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word/footer94.xml" ContentType="application/vnd.openxmlformats-officedocument.wordprocessingml.footer+xml"/>
  <Override PartName="/word/footer95.xml" ContentType="application/vnd.openxmlformats-officedocument.wordprocessingml.footer+xml"/>
  <Override PartName="/word/footer96.xml" ContentType="application/vnd.openxmlformats-officedocument.wordprocessingml.footer+xml"/>
  <Override PartName="/word/footer97.xml" ContentType="application/vnd.openxmlformats-officedocument.wordprocessingml.footer+xml"/>
  <Override PartName="/word/footer98.xml" ContentType="application/vnd.openxmlformats-officedocument.wordprocessingml.footer+xml"/>
  <Override PartName="/word/footer99.xml" ContentType="application/vnd.openxmlformats-officedocument.wordprocessingml.footer+xml"/>
  <Override PartName="/word/footer100.xml" ContentType="application/vnd.openxmlformats-officedocument.wordprocessingml.footer+xml"/>
  <Override PartName="/word/footer101.xml" ContentType="application/vnd.openxmlformats-officedocument.wordprocessingml.footer+xml"/>
  <Override PartName="/word/footer102.xml" ContentType="application/vnd.openxmlformats-officedocument.wordprocessingml.footer+xml"/>
  <Override PartName="/word/footer103.xml" ContentType="application/vnd.openxmlformats-officedocument.wordprocessingml.footer+xml"/>
  <Override PartName="/word/footer104.xml" ContentType="application/vnd.openxmlformats-officedocument.wordprocessingml.footer+xml"/>
  <Override PartName="/word/footer105.xml" ContentType="application/vnd.openxmlformats-officedocument.wordprocessingml.footer+xml"/>
  <Override PartName="/word/footer106.xml" ContentType="application/vnd.openxmlformats-officedocument.wordprocessingml.footer+xml"/>
  <Override PartName="/word/footer107.xml" ContentType="application/vnd.openxmlformats-officedocument.wordprocessingml.footer+xml"/>
  <Override PartName="/word/footer108.xml" ContentType="application/vnd.openxmlformats-officedocument.wordprocessingml.footer+xml"/>
  <Override PartName="/word/footer109.xml" ContentType="application/vnd.openxmlformats-officedocument.wordprocessingml.footer+xml"/>
  <Override PartName="/word/footer110.xml" ContentType="application/vnd.openxmlformats-officedocument.wordprocessingml.footer+xml"/>
  <Override PartName="/word/footer111.xml" ContentType="application/vnd.openxmlformats-officedocument.wordprocessingml.footer+xml"/>
  <Override PartName="/word/footer112.xml" ContentType="application/vnd.openxmlformats-officedocument.wordprocessingml.footer+xml"/>
  <Override PartName="/word/footer113.xml" ContentType="application/vnd.openxmlformats-officedocument.wordprocessingml.footer+xml"/>
  <Override PartName="/word/footer114.xml" ContentType="application/vnd.openxmlformats-officedocument.wordprocessingml.footer+xml"/>
  <Override PartName="/word/footer115.xml" ContentType="application/vnd.openxmlformats-officedocument.wordprocessingml.footer+xml"/>
  <Override PartName="/word/footer116.xml" ContentType="application/vnd.openxmlformats-officedocument.wordprocessingml.footer+xml"/>
  <Override PartName="/word/footer117.xml" ContentType="application/vnd.openxmlformats-officedocument.wordprocessingml.footer+xml"/>
  <Override PartName="/word/footer118.xml" ContentType="application/vnd.openxmlformats-officedocument.wordprocessingml.footer+xml"/>
  <Override PartName="/word/footer119.xml" ContentType="application/vnd.openxmlformats-officedocument.wordprocessingml.footer+xml"/>
  <Override PartName="/word/footer120.xml" ContentType="application/vnd.openxmlformats-officedocument.wordprocessingml.footer+xml"/>
  <Override PartName="/word/footer121.xml" ContentType="application/vnd.openxmlformats-officedocument.wordprocessingml.footer+xml"/>
  <Override PartName="/word/footer122.xml" ContentType="application/vnd.openxmlformats-officedocument.wordprocessingml.footer+xml"/>
  <Override PartName="/word/footer123.xml" ContentType="application/vnd.openxmlformats-officedocument.wordprocessingml.footer+xml"/>
  <Override PartName="/word/footer124.xml" ContentType="application/vnd.openxmlformats-officedocument.wordprocessingml.footer+xml"/>
  <Override PartName="/word/footer125.xml" ContentType="application/vnd.openxmlformats-officedocument.wordprocessingml.footer+xml"/>
  <Override PartName="/word/footer126.xml" ContentType="application/vnd.openxmlformats-officedocument.wordprocessingml.footer+xml"/>
  <Override PartName="/word/footer127.xml" ContentType="application/vnd.openxmlformats-officedocument.wordprocessingml.footer+xml"/>
  <Override PartName="/word/footer128.xml" ContentType="application/vnd.openxmlformats-officedocument.wordprocessingml.footer+xml"/>
  <Override PartName="/word/footer129.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keepLines/>
        <w:widowControl w:val="0"/>
        <w:shd w:val="clear" w:color="auto" w:fill="auto"/>
        <w:bidi w:val="0"/>
        <w:spacing w:before="0" w:after="420" w:line="240" w:lineRule="auto"/>
        <w:ind w:left="0" w:right="0" w:firstLine="0"/>
        <w:jc w:val="center"/>
      </w:pPr>
      <w:bookmarkStart w:id="0" w:name="bookmark0"/>
      <w:bookmarkStart w:id="1" w:name="bookmark1"/>
      <w:bookmarkStart w:id="2" w:name="bookmark2"/>
      <w:r>
        <w:rPr>
          <w:color w:val="000000"/>
          <w:spacing w:val="0"/>
          <w:w w:val="100"/>
          <w:position w:val="0"/>
        </w:rPr>
        <w:t>苏宁云商集团股份有限公司</w:t>
      </w:r>
      <w:bookmarkEnd w:id="0"/>
      <w:bookmarkEnd w:id="1"/>
      <w:bookmarkEnd w:id="2"/>
    </w:p>
    <w:p>
      <w:pPr>
        <w:pStyle w:val="Style8"/>
        <w:keepNext w:val="0"/>
        <w:keepLines w:val="0"/>
        <w:widowControl w:val="0"/>
        <w:shd w:val="clear" w:color="auto" w:fill="auto"/>
        <w:bidi w:val="0"/>
        <w:spacing w:before="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年年度报告</w:t>
      </w:r>
    </w:p>
    <w:p>
      <w:pPr>
        <w:pStyle w:val="Style11"/>
        <w:keepNext w:val="0"/>
        <w:keepLines w:val="0"/>
        <w:widowControl w:val="0"/>
        <w:shd w:val="clear" w:color="auto" w:fill="auto"/>
        <w:bidi w:val="0"/>
        <w:spacing w:before="0"/>
        <w:ind w:left="0" w:right="0" w:firstLine="0"/>
        <w:jc w:val="center"/>
      </w:pPr>
      <w:r>
        <w:rPr>
          <w:spacing w:val="0"/>
          <w:w w:val="100"/>
          <w:position w:val="0"/>
        </w:rPr>
        <w:t>SUNING</w:t>
      </w:r>
    </w:p>
    <w:p>
      <w:pPr>
        <w:pStyle w:val="Style13"/>
        <w:keepNext w:val="0"/>
        <w:keepLines w:val="0"/>
        <w:widowControl w:val="0"/>
        <w:shd w:val="clear" w:color="auto" w:fill="auto"/>
        <w:bidi w:val="0"/>
        <w:spacing w:before="0"/>
        <w:ind w:left="0" w:right="0" w:firstLine="0"/>
        <w:jc w:val="center"/>
      </w:pPr>
      <w:r>
        <w:rPr>
          <w:spacing w:val="0"/>
          <w:w w:val="100"/>
          <w:position w:val="0"/>
        </w:rPr>
        <w:t>示宁己商</w:t>
      </w:r>
    </w:p>
    <w:p>
      <w:pPr>
        <w:pStyle w:val="Style15"/>
        <w:keepNext w:val="0"/>
        <w:keepLines w:val="0"/>
        <w:widowControl w:val="0"/>
        <w:shd w:val="clear" w:color="auto" w:fill="auto"/>
        <w:bidi w:val="0"/>
        <w:spacing w:before="0" w:line="240" w:lineRule="auto"/>
        <w:ind w:left="0" w:right="0" w:firstLine="0"/>
        <w:jc w:val="center"/>
        <w:sectPr>
          <w:headerReference w:type="default" r:id="rId5"/>
          <w:headerReference w:type="even" r:id="rId6"/>
          <w:footnotePr>
            <w:pos w:val="pageBottom"/>
            <w:numFmt w:val="decimal"/>
            <w:numRestart w:val="continuous"/>
          </w:footnotePr>
          <w:pgSz w:w="11900" w:h="16840"/>
          <w:pgMar w:top="2862" w:right="1193" w:bottom="2862" w:left="1107" w:header="0" w:footer="2434" w:gutter="0"/>
          <w:pgNumType w:start="1"/>
          <w:cols w:space="720"/>
          <w:noEndnote/>
          <w:rtlGutter w:val="0"/>
          <w:docGrid w:linePitch="360"/>
        </w:sectPr>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p>
    <w:p>
      <w:pPr>
        <w:pStyle w:val="Style18"/>
        <w:keepNext/>
        <w:keepLines/>
        <w:widowControl w:val="0"/>
        <w:shd w:val="clear" w:color="auto" w:fill="auto"/>
        <w:bidi w:val="0"/>
        <w:spacing w:before="0" w:line="240" w:lineRule="auto"/>
        <w:ind w:left="0" w:right="0" w:firstLine="0"/>
        <w:jc w:val="center"/>
      </w:pPr>
      <w:bookmarkStart w:id="3" w:name="bookmark3"/>
      <w:bookmarkStart w:id="4" w:name="bookmark4"/>
      <w:bookmarkStart w:id="5" w:name="bookmark5"/>
      <w:bookmarkStart w:id="6" w:name="bookmark6"/>
      <w:r>
        <w:rPr>
          <w:color w:val="000000"/>
          <w:spacing w:val="0"/>
          <w:w w:val="100"/>
          <w:position w:val="0"/>
        </w:rPr>
        <w:t>第一节重要提示、目录和释义</w:t>
      </w:r>
      <w:bookmarkEnd w:id="4"/>
      <w:bookmarkEnd w:id="5"/>
      <w:bookmarkEnd w:id="6"/>
      <w:bookmarkEnd w:id="3"/>
    </w:p>
    <w:p>
      <w:pPr>
        <w:pStyle w:val="Style20"/>
        <w:keepNext w:val="0"/>
        <w:keepLines w:val="0"/>
        <w:widowControl w:val="0"/>
        <w:shd w:val="clear" w:color="auto" w:fill="auto"/>
        <w:bidi w:val="0"/>
        <w:spacing w:before="0"/>
        <w:ind w:left="0" w:right="0"/>
        <w:jc w:val="both"/>
      </w:pPr>
      <w:r>
        <w:rPr>
          <w:color w:val="000000"/>
          <w:spacing w:val="0"/>
          <w:w w:val="100"/>
          <w:position w:val="0"/>
        </w:rPr>
        <w:t>本公司董事会、监事会及董事、监事、高级管理人员保证年度报告内容的 真实、准确、完整，不存在虚假记载、误导性陈述或重大遗漏，并承担个别和 连带的法律责任。</w:t>
      </w:r>
    </w:p>
    <w:p>
      <w:pPr>
        <w:pStyle w:val="Style20"/>
        <w:keepNext w:val="0"/>
        <w:keepLines w:val="0"/>
        <w:widowControl w:val="0"/>
        <w:shd w:val="clear" w:color="auto" w:fill="auto"/>
        <w:bidi w:val="0"/>
        <w:spacing w:before="0" w:line="619" w:lineRule="exact"/>
        <w:ind w:left="0" w:right="0"/>
        <w:jc w:val="both"/>
      </w:pPr>
      <w:r>
        <w:rPr>
          <w:color w:val="000000"/>
          <w:spacing w:val="0"/>
          <w:w w:val="100"/>
          <w:position w:val="0"/>
        </w:rPr>
        <w:t>所有董事均已出席了审议本报告的董事会会议，其中董事孙为民先生、张 彧女士、杨光先生因工作原因以通讯方式参加。</w:t>
      </w:r>
    </w:p>
    <w:p>
      <w:pPr>
        <w:pStyle w:val="Style20"/>
        <w:keepNext w:val="0"/>
        <w:keepLines w:val="0"/>
        <w:widowControl w:val="0"/>
        <w:shd w:val="clear" w:color="auto" w:fill="auto"/>
        <w:bidi w:val="0"/>
        <w:spacing w:before="0" w:line="631" w:lineRule="exact"/>
        <w:ind w:left="0" w:right="0"/>
        <w:jc w:val="both"/>
      </w:pPr>
      <w:r>
        <w:rPr>
          <w:color w:val="000000"/>
          <w:spacing w:val="0"/>
          <w:w w:val="100"/>
          <w:position w:val="0"/>
        </w:rPr>
        <w:t>公司经本次董事会审议通过的利润分配预案为：以2016年12月31日的 总股本9,310,039,655股为基数，向全体股东每10股派发现金红利</w:t>
      </w:r>
      <w:r>
        <w:rPr>
          <w:color w:val="000000"/>
          <w:spacing w:val="0"/>
          <w:w w:val="100"/>
          <w:position w:val="0"/>
        </w:rPr>
        <w:t>0.70</w:t>
      </w:r>
      <w:r>
        <w:rPr>
          <w:color w:val="000000"/>
          <w:spacing w:val="0"/>
          <w:w w:val="100"/>
          <w:position w:val="0"/>
        </w:rPr>
        <w:t>元（含 税），不送红股，不以公积金转增股本。</w:t>
      </w:r>
    </w:p>
    <w:p>
      <w:pPr>
        <w:pStyle w:val="Style20"/>
        <w:keepNext w:val="0"/>
        <w:keepLines w:val="0"/>
        <w:widowControl w:val="0"/>
        <w:shd w:val="clear" w:color="auto" w:fill="auto"/>
        <w:bidi w:val="0"/>
        <w:spacing w:before="0" w:line="612" w:lineRule="exact"/>
        <w:ind w:left="0" w:right="0"/>
        <w:jc w:val="both"/>
        <w:sectPr>
          <w:headerReference w:type="default" r:id="rId7"/>
          <w:footerReference w:type="default" r:id="rId8"/>
          <w:headerReference w:type="even" r:id="rId9"/>
          <w:footerReference w:type="even" r:id="rId10"/>
          <w:footnotePr>
            <w:pos w:val="pageBottom"/>
            <w:numFmt w:val="decimal"/>
            <w:numRestart w:val="continuous"/>
          </w:footnotePr>
          <w:pgSz w:w="11900" w:h="16840"/>
          <w:pgMar w:top="1974" w:right="1193" w:bottom="1974" w:left="1107" w:header="0" w:footer="3" w:gutter="0"/>
          <w:pgNumType w:start="1"/>
          <w:cols w:space="720"/>
          <w:noEndnote/>
          <w:rtlGutter w:val="0"/>
          <w:docGrid w:linePitch="360"/>
        </w:sectPr>
      </w:pPr>
      <w:r>
        <w:rPr>
          <w:color w:val="000000"/>
          <w:spacing w:val="0"/>
          <w:w w:val="100"/>
          <w:position w:val="0"/>
        </w:rPr>
        <w:t>公司负责人张近东先生、主管会计工作负责人肖忠祥先生及会计机构负责 人（会计主管人员）华志松先生声明：保证年度报告中财务报告的真实、准确、 完整。</w:t>
      </w:r>
    </w:p>
    <w:p>
      <w:pPr>
        <w:pStyle w:val="Style2"/>
        <w:keepNext/>
        <w:keepLines/>
        <w:widowControl w:val="0"/>
        <w:shd w:val="clear" w:color="auto" w:fill="auto"/>
        <w:bidi w:val="0"/>
        <w:spacing w:before="0" w:after="1560" w:line="240" w:lineRule="auto"/>
        <w:ind w:left="0" w:right="0" w:firstLine="0"/>
        <w:jc w:val="center"/>
      </w:pPr>
      <w:bookmarkStart w:id="7" w:name="bookmark7"/>
      <w:bookmarkStart w:id="8" w:name="bookmark8"/>
      <w:bookmarkStart w:id="9" w:name="bookmark9"/>
      <w:r>
        <w:rPr>
          <w:color w:val="000000"/>
          <w:spacing w:val="0"/>
          <w:w w:val="100"/>
          <w:position w:val="0"/>
        </w:rPr>
        <w:t>目录</w:t>
      </w:r>
      <w:bookmarkEnd w:id="7"/>
      <w:bookmarkEnd w:id="8"/>
      <w:bookmarkEnd w:id="9"/>
    </w:p>
    <w:p>
      <w:pPr>
        <w:pStyle w:val="Style22"/>
        <w:keepNext w:val="0"/>
        <w:keepLines w:val="0"/>
        <w:widowControl w:val="0"/>
        <w:shd w:val="clear" w:color="auto" w:fill="auto"/>
        <w:tabs>
          <w:tab w:leader="dot" w:pos="9604" w:val="right"/>
        </w:tabs>
        <w:bidi w:val="0"/>
        <w:spacing w:before="0" w:line="240" w:lineRule="auto"/>
        <w:ind w:left="0" w:right="0" w:firstLine="0"/>
        <w:jc w:val="both"/>
      </w:pPr>
      <w:r>
        <w:fldChar w:fldCharType="begin"/>
        <w:instrText xml:space="preserve"> TOC \o "1-5" \h \z </w:instrText>
        <w:fldChar w:fldCharType="separate"/>
      </w:r>
      <w:hyperlink w:anchor="bookmark5" w:tooltip="Current Document">
        <w:r>
          <w:rPr>
            <w:color w:val="000000"/>
            <w:spacing w:val="0"/>
            <w:w w:val="100"/>
            <w:position w:val="0"/>
            <w:sz w:val="24"/>
            <w:szCs w:val="24"/>
          </w:rPr>
          <w:t>第一节重要提示、目录和释义</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w:t>
        </w:r>
      </w:hyperlink>
    </w:p>
    <w:p>
      <w:pPr>
        <w:pStyle w:val="Style22"/>
        <w:keepNext w:val="0"/>
        <w:keepLines w:val="0"/>
        <w:widowControl w:val="0"/>
        <w:shd w:val="clear" w:color="auto" w:fill="auto"/>
        <w:tabs>
          <w:tab w:leader="dot" w:pos="9604" w:val="right"/>
        </w:tabs>
        <w:bidi w:val="0"/>
        <w:spacing w:before="0" w:line="240" w:lineRule="auto"/>
        <w:ind w:left="0" w:right="0" w:firstLine="0"/>
        <w:jc w:val="both"/>
      </w:pPr>
      <w:hyperlink w:anchor="bookmark12" w:tooltip="Current Document">
        <w:r>
          <w:rPr>
            <w:color w:val="000000"/>
            <w:spacing w:val="0"/>
            <w:w w:val="100"/>
            <w:position w:val="0"/>
            <w:sz w:val="24"/>
            <w:szCs w:val="24"/>
          </w:rPr>
          <w:t>第二节公司简介和主要财务指标</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3</w:t>
        </w:r>
      </w:hyperlink>
    </w:p>
    <w:p>
      <w:pPr>
        <w:pStyle w:val="Style22"/>
        <w:keepNext w:val="0"/>
        <w:keepLines w:val="0"/>
        <w:widowControl w:val="0"/>
        <w:shd w:val="clear" w:color="auto" w:fill="auto"/>
        <w:tabs>
          <w:tab w:leader="dot" w:pos="9604" w:val="right"/>
        </w:tabs>
        <w:bidi w:val="0"/>
        <w:spacing w:before="0" w:line="240" w:lineRule="auto"/>
        <w:ind w:left="0" w:right="0" w:firstLine="0"/>
        <w:jc w:val="both"/>
      </w:pPr>
      <w:hyperlink w:anchor="bookmark33" w:tooltip="Current Document">
        <w:r>
          <w:rPr>
            <w:color w:val="000000"/>
            <w:spacing w:val="0"/>
            <w:w w:val="100"/>
            <w:position w:val="0"/>
            <w:sz w:val="24"/>
            <w:szCs w:val="24"/>
          </w:rPr>
          <w:t>第三节公司业务概要</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7</w:t>
        </w:r>
      </w:hyperlink>
    </w:p>
    <w:p>
      <w:pPr>
        <w:pStyle w:val="Style22"/>
        <w:keepNext w:val="0"/>
        <w:keepLines w:val="0"/>
        <w:widowControl w:val="0"/>
        <w:shd w:val="clear" w:color="auto" w:fill="auto"/>
        <w:tabs>
          <w:tab w:leader="dot" w:pos="9604" w:val="right"/>
        </w:tabs>
        <w:bidi w:val="0"/>
        <w:spacing w:before="0" w:line="240" w:lineRule="auto"/>
        <w:ind w:left="0" w:right="0" w:firstLine="0"/>
        <w:jc w:val="both"/>
      </w:pPr>
      <w:hyperlink w:anchor="bookmark84" w:tooltip="Current Document">
        <w:r>
          <w:rPr>
            <w:color w:val="000000"/>
            <w:spacing w:val="0"/>
            <w:w w:val="100"/>
            <w:position w:val="0"/>
            <w:sz w:val="24"/>
            <w:szCs w:val="24"/>
          </w:rPr>
          <w:t>第四节经营情况讨论与分析</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16</w:t>
        </w:r>
      </w:hyperlink>
    </w:p>
    <w:p>
      <w:pPr>
        <w:pStyle w:val="Style22"/>
        <w:keepNext w:val="0"/>
        <w:keepLines w:val="0"/>
        <w:widowControl w:val="0"/>
        <w:shd w:val="clear" w:color="auto" w:fill="auto"/>
        <w:tabs>
          <w:tab w:leader="dot" w:pos="9604" w:val="right"/>
        </w:tabs>
        <w:bidi w:val="0"/>
        <w:spacing w:before="0" w:line="240" w:lineRule="auto"/>
        <w:ind w:left="0" w:right="0" w:firstLine="0"/>
        <w:jc w:val="both"/>
      </w:pPr>
      <w:hyperlink w:anchor="bookmark235" w:tooltip="Current Document">
        <w:r>
          <w:rPr>
            <w:color w:val="000000"/>
            <w:spacing w:val="0"/>
            <w:w w:val="100"/>
            <w:position w:val="0"/>
            <w:sz w:val="24"/>
            <w:szCs w:val="24"/>
          </w:rPr>
          <w:t>第五节重要事项</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63</w:t>
        </w:r>
      </w:hyperlink>
    </w:p>
    <w:p>
      <w:pPr>
        <w:pStyle w:val="Style22"/>
        <w:keepNext w:val="0"/>
        <w:keepLines w:val="0"/>
        <w:widowControl w:val="0"/>
        <w:shd w:val="clear" w:color="auto" w:fill="auto"/>
        <w:tabs>
          <w:tab w:leader="dot" w:pos="9604" w:val="right"/>
        </w:tabs>
        <w:bidi w:val="0"/>
        <w:spacing w:before="0" w:line="240" w:lineRule="auto"/>
        <w:ind w:left="0" w:right="0" w:firstLine="0"/>
        <w:jc w:val="both"/>
      </w:pPr>
      <w:hyperlink w:anchor="bookmark389" w:tooltip="Current Document">
        <w:r>
          <w:rPr>
            <w:color w:val="000000"/>
            <w:spacing w:val="0"/>
            <w:w w:val="100"/>
            <w:position w:val="0"/>
            <w:sz w:val="24"/>
            <w:szCs w:val="24"/>
          </w:rPr>
          <w:t>第六节股份变动及股东情况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102</w:t>
        </w:r>
      </w:hyperlink>
    </w:p>
    <w:p>
      <w:pPr>
        <w:pStyle w:val="Style22"/>
        <w:keepNext w:val="0"/>
        <w:keepLines w:val="0"/>
        <w:widowControl w:val="0"/>
        <w:shd w:val="clear" w:color="auto" w:fill="auto"/>
        <w:tabs>
          <w:tab w:leader="dot" w:pos="9604" w:val="right"/>
        </w:tabs>
        <w:bidi w:val="0"/>
        <w:spacing w:before="0" w:line="240" w:lineRule="auto"/>
        <w:ind w:left="0" w:right="0" w:firstLine="0"/>
        <w:jc w:val="both"/>
      </w:pPr>
      <w:hyperlink w:anchor="bookmark432" w:tooltip="Current Document">
        <w:r>
          <w:rPr>
            <w:color w:val="000000"/>
            <w:spacing w:val="0"/>
            <w:w w:val="100"/>
            <w:position w:val="0"/>
            <w:sz w:val="24"/>
            <w:szCs w:val="24"/>
          </w:rPr>
          <w:t>第七节优先股相关情况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110</w:t>
        </w:r>
      </w:hyperlink>
    </w:p>
    <w:p>
      <w:pPr>
        <w:pStyle w:val="Style22"/>
        <w:keepNext w:val="0"/>
        <w:keepLines w:val="0"/>
        <w:widowControl w:val="0"/>
        <w:shd w:val="clear" w:color="auto" w:fill="auto"/>
        <w:tabs>
          <w:tab w:leader="dot" w:pos="9604" w:val="right"/>
        </w:tabs>
        <w:bidi w:val="0"/>
        <w:spacing w:before="0" w:line="240" w:lineRule="auto"/>
        <w:ind w:left="0" w:right="0" w:firstLine="0"/>
        <w:jc w:val="both"/>
      </w:pPr>
      <w:hyperlink w:anchor="bookmark436" w:tooltip="Current Document">
        <w:r>
          <w:rPr>
            <w:color w:val="000000"/>
            <w:spacing w:val="0"/>
            <w:w w:val="100"/>
            <w:position w:val="0"/>
            <w:sz w:val="24"/>
            <w:szCs w:val="24"/>
          </w:rPr>
          <w:t>第八节董事、监事、高级管理人员和员工情况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111</w:t>
        </w:r>
      </w:hyperlink>
    </w:p>
    <w:p>
      <w:pPr>
        <w:pStyle w:val="Style22"/>
        <w:keepNext w:val="0"/>
        <w:keepLines w:val="0"/>
        <w:widowControl w:val="0"/>
        <w:shd w:val="clear" w:color="auto" w:fill="auto"/>
        <w:tabs>
          <w:tab w:leader="dot" w:pos="9604" w:val="right"/>
        </w:tabs>
        <w:bidi w:val="0"/>
        <w:spacing w:before="0" w:line="240" w:lineRule="auto"/>
        <w:ind w:left="0" w:right="0" w:firstLine="0"/>
        <w:jc w:val="both"/>
      </w:pPr>
      <w:hyperlink w:anchor="bookmark464" w:tooltip="Current Document">
        <w:r>
          <w:rPr>
            <w:color w:val="000000"/>
            <w:spacing w:val="0"/>
            <w:w w:val="100"/>
            <w:position w:val="0"/>
            <w:sz w:val="24"/>
            <w:szCs w:val="24"/>
          </w:rPr>
          <w:t>第九节公司治理</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117</w:t>
        </w:r>
      </w:hyperlink>
    </w:p>
    <w:p>
      <w:pPr>
        <w:pStyle w:val="Style22"/>
        <w:keepNext w:val="0"/>
        <w:keepLines w:val="0"/>
        <w:widowControl w:val="0"/>
        <w:shd w:val="clear" w:color="auto" w:fill="auto"/>
        <w:tabs>
          <w:tab w:leader="dot" w:pos="9604" w:val="right"/>
        </w:tabs>
        <w:bidi w:val="0"/>
        <w:spacing w:before="0" w:line="240" w:lineRule="auto"/>
        <w:ind w:left="0" w:right="0" w:firstLine="0"/>
        <w:jc w:val="both"/>
      </w:pPr>
      <w:hyperlink w:anchor="bookmark560" w:tooltip="Current Document">
        <w:r>
          <w:rPr>
            <w:color w:val="000000"/>
            <w:spacing w:val="0"/>
            <w:w w:val="100"/>
            <w:position w:val="0"/>
            <w:sz w:val="24"/>
            <w:szCs w:val="24"/>
          </w:rPr>
          <w:t>第十节公司债券相关情况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127</w:t>
        </w:r>
      </w:hyperlink>
    </w:p>
    <w:p>
      <w:pPr>
        <w:pStyle w:val="Style22"/>
        <w:keepNext w:val="0"/>
        <w:keepLines w:val="0"/>
        <w:widowControl w:val="0"/>
        <w:shd w:val="clear" w:color="auto" w:fill="auto"/>
        <w:tabs>
          <w:tab w:leader="dot" w:pos="9604" w:val="right"/>
        </w:tabs>
        <w:bidi w:val="0"/>
        <w:spacing w:before="0" w:line="240" w:lineRule="auto"/>
        <w:ind w:left="0" w:right="0" w:firstLine="0"/>
        <w:jc w:val="both"/>
      </w:pPr>
      <w:hyperlink w:anchor="bookmark583" w:tooltip="Current Document">
        <w:r>
          <w:rPr>
            <w:color w:val="000000"/>
            <w:spacing w:val="0"/>
            <w:w w:val="100"/>
            <w:position w:val="0"/>
            <w:sz w:val="24"/>
            <w:szCs w:val="24"/>
          </w:rPr>
          <w:t>第^一节财务报告</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132</w:t>
        </w:r>
      </w:hyperlink>
    </w:p>
    <w:p>
      <w:pPr>
        <w:pStyle w:val="Style22"/>
        <w:keepNext w:val="0"/>
        <w:keepLines w:val="0"/>
        <w:widowControl w:val="0"/>
        <w:shd w:val="clear" w:color="auto" w:fill="auto"/>
        <w:tabs>
          <w:tab w:leader="dot" w:pos="9604" w:val="right"/>
        </w:tabs>
        <w:bidi w:val="0"/>
        <w:spacing w:before="0" w:line="240" w:lineRule="auto"/>
        <w:ind w:left="0" w:right="0" w:firstLine="0"/>
        <w:jc w:val="both"/>
        <w:sectPr>
          <w:footnotePr>
            <w:pos w:val="pageBottom"/>
            <w:numFmt w:val="decimal"/>
            <w:numRestart w:val="continuous"/>
          </w:footnotePr>
          <w:pgSz w:w="11900" w:h="16840"/>
          <w:pgMar w:top="2857" w:right="1117" w:bottom="2857" w:left="1112" w:header="0" w:footer="3" w:gutter="0"/>
          <w:cols w:space="720"/>
          <w:noEndnote/>
          <w:rtlGutter w:val="0"/>
          <w:docGrid w:linePitch="360"/>
        </w:sectPr>
      </w:pPr>
      <w:hyperlink w:anchor="bookmark1210" w:tooltip="Current Document">
        <w:r>
          <w:rPr>
            <w:color w:val="000000"/>
            <w:spacing w:val="0"/>
            <w:w w:val="100"/>
            <w:position w:val="0"/>
            <w:sz w:val="24"/>
            <w:szCs w:val="24"/>
          </w:rPr>
          <w:t>第^一节备查文件目录</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322</w:t>
        </w:r>
      </w:hyperlink>
      <w:r>
        <w:fldChar w:fldCharType="end"/>
      </w:r>
    </w:p>
    <w:p>
      <w:pPr>
        <w:pStyle w:val="Style18"/>
        <w:keepNext/>
        <w:keepLines/>
        <w:widowControl w:val="0"/>
        <w:shd w:val="clear" w:color="auto" w:fill="auto"/>
        <w:bidi w:val="0"/>
        <w:spacing w:before="420" w:after="560" w:line="240" w:lineRule="auto"/>
        <w:ind w:left="0" w:right="0" w:firstLine="0"/>
        <w:jc w:val="center"/>
      </w:pPr>
      <w:bookmarkStart w:id="10" w:name="bookmark10"/>
      <w:bookmarkStart w:id="11" w:name="bookmark11"/>
      <w:bookmarkStart w:id="12" w:name="bookmark12"/>
      <w:bookmarkStart w:id="13" w:name="bookmark13"/>
      <w:r>
        <w:rPr>
          <w:color w:val="000000"/>
          <w:spacing w:val="0"/>
          <w:w w:val="100"/>
          <w:position w:val="0"/>
        </w:rPr>
        <w:t>第二节公司简介和主要财务指标</w:t>
      </w:r>
      <w:bookmarkEnd w:id="11"/>
      <w:bookmarkEnd w:id="12"/>
      <w:bookmarkEnd w:id="13"/>
      <w:bookmarkEnd w:id="10"/>
    </w:p>
    <w:p>
      <w:pPr>
        <w:pStyle w:val="Style25"/>
        <w:keepNext w:val="0"/>
        <w:keepLines w:val="0"/>
        <w:widowControl w:val="0"/>
        <w:shd w:val="clear" w:color="auto" w:fill="auto"/>
        <w:bidi w:val="0"/>
        <w:spacing w:before="0" w:after="0" w:line="240" w:lineRule="auto"/>
        <w:ind w:left="240" w:right="0" w:firstLine="0"/>
        <w:jc w:val="left"/>
        <w:rPr>
          <w:sz w:val="24"/>
          <w:szCs w:val="24"/>
        </w:rPr>
      </w:pPr>
      <w:r>
        <w:rPr>
          <w:b/>
          <w:bCs/>
          <w:color w:val="000000"/>
          <w:spacing w:val="0"/>
          <w:w w:val="100"/>
          <w:position w:val="0"/>
          <w:sz w:val="24"/>
          <w:szCs w:val="24"/>
        </w:rPr>
        <w:t>、公司信息</w:t>
      </w:r>
    </w:p>
    <w:tbl>
      <w:tblPr>
        <w:tblOverlap w:val="never"/>
        <w:jc w:val="center"/>
        <w:tblLayout w:type="fixed"/>
      </w:tblPr>
      <w:tblGrid>
        <w:gridCol w:w="2290"/>
        <w:gridCol w:w="2952"/>
        <w:gridCol w:w="2155"/>
        <w:gridCol w:w="2184"/>
      </w:tblGrid>
      <w:tr>
        <w:trPr>
          <w:trHeight w:val="302"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苏宁云商</w:t>
            </w:r>
          </w:p>
        </w:tc>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股票代码</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002024</w:t>
            </w:r>
          </w:p>
        </w:tc>
      </w:tr>
      <w:tr>
        <w:trPr>
          <w:trHeight w:val="293" w:hRule="exact"/>
        </w:trPr>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股票上市证券交易所</w:t>
            </w:r>
          </w:p>
        </w:tc>
        <w:tc>
          <w:tcPr>
            <w:gridSpan w:val="3"/>
            <w:tcBorders>
              <w:top w:val="single" w:sz="4"/>
              <w:left w:val="single" w:sz="4"/>
              <w:righ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深圳证券交易所</w:t>
            </w:r>
          </w:p>
        </w:tc>
      </w:tr>
      <w:tr>
        <w:trPr>
          <w:trHeight w:val="298"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gridSpan w:val="3"/>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苏宁云商集团股份有限公司</w:t>
            </w:r>
          </w:p>
        </w:tc>
      </w:tr>
      <w:tr>
        <w:trPr>
          <w:trHeight w:val="293" w:hRule="exact"/>
        </w:trPr>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gridSpan w:val="3"/>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苏宁云商</w:t>
            </w:r>
          </w:p>
        </w:tc>
      </w:tr>
      <w:tr>
        <w:trPr>
          <w:trHeight w:val="298"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w:t>
            </w:r>
          </w:p>
        </w:tc>
        <w:tc>
          <w:tcPr>
            <w:gridSpan w:val="3"/>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SUNING COMMERCE GROUP CO.,LTD.</w:t>
            </w:r>
          </w:p>
        </w:tc>
      </w:tr>
      <w:tr>
        <w:trPr>
          <w:trHeight w:val="29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w:t>
            </w:r>
          </w:p>
        </w:tc>
        <w:tc>
          <w:tcPr>
            <w:gridSpan w:val="3"/>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SUNING COMMERCE</w:t>
            </w:r>
          </w:p>
        </w:tc>
      </w:tr>
      <w:tr>
        <w:trPr>
          <w:trHeight w:val="298"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gridSpan w:val="3"/>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张近东</w:t>
            </w:r>
          </w:p>
        </w:tc>
      </w:tr>
      <w:tr>
        <w:trPr>
          <w:trHeight w:val="29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gridSpan w:val="3"/>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江苏省南京市山西路</w:t>
            </w:r>
            <w:r>
              <w:rPr>
                <w:rFonts w:ascii="Times New Roman" w:eastAsia="Times New Roman" w:hAnsi="Times New Roman" w:cs="Times New Roman"/>
                <w:color w:val="000000"/>
                <w:spacing w:val="0"/>
                <w:w w:val="100"/>
                <w:position w:val="0"/>
              </w:rPr>
              <w:t>8</w:t>
            </w:r>
            <w:r>
              <w:rPr>
                <w:color w:val="000000"/>
                <w:spacing w:val="0"/>
                <w:w w:val="100"/>
                <w:position w:val="0"/>
              </w:rPr>
              <w:t>号金山大厦</w:t>
            </w:r>
            <w:r>
              <w:rPr>
                <w:rFonts w:ascii="Times New Roman" w:eastAsia="Times New Roman" w:hAnsi="Times New Roman" w:cs="Times New Roman"/>
                <w:color w:val="000000"/>
                <w:spacing w:val="0"/>
                <w:w w:val="100"/>
                <w:position w:val="0"/>
              </w:rPr>
              <w:t>1-5</w:t>
            </w:r>
            <w:r>
              <w:rPr>
                <w:color w:val="000000"/>
                <w:spacing w:val="0"/>
                <w:w w:val="100"/>
                <w:position w:val="0"/>
              </w:rPr>
              <w:t>层</w:t>
            </w:r>
          </w:p>
        </w:tc>
      </w:tr>
      <w:tr>
        <w:trPr>
          <w:trHeight w:val="298"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gridSpan w:val="3"/>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210009</w:t>
            </w:r>
          </w:p>
        </w:tc>
      </w:tr>
      <w:tr>
        <w:trPr>
          <w:trHeight w:val="29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gridSpan w:val="3"/>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江苏省南京市玄武区苏宁大道</w:t>
            </w:r>
            <w:r>
              <w:rPr>
                <w:rFonts w:ascii="Times New Roman" w:eastAsia="Times New Roman" w:hAnsi="Times New Roman" w:cs="Times New Roman"/>
                <w:color w:val="000000"/>
                <w:spacing w:val="0"/>
                <w:w w:val="100"/>
                <w:position w:val="0"/>
              </w:rPr>
              <w:t>1</w:t>
            </w:r>
            <w:r>
              <w:rPr>
                <w:color w:val="000000"/>
                <w:spacing w:val="0"/>
                <w:w w:val="100"/>
                <w:position w:val="0"/>
              </w:rPr>
              <w:t>号</w:t>
            </w:r>
          </w:p>
        </w:tc>
      </w:tr>
      <w:tr>
        <w:trPr>
          <w:trHeight w:val="298"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gridSpan w:val="3"/>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210042</w:t>
            </w:r>
          </w:p>
        </w:tc>
      </w:tr>
      <w:tr>
        <w:trPr>
          <w:trHeight w:val="29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gridSpan w:val="3"/>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fldChar w:fldCharType="begin"/>
            </w:r>
            <w:r>
              <w:rPr/>
              <w:instrText> HYPERLINK "http://www.suning.cn" </w:instrText>
            </w:r>
            <w:r>
              <w:fldChar w:fldCharType="separate"/>
            </w:r>
            <w:r>
              <w:rPr>
                <w:rFonts w:ascii="Times New Roman" w:eastAsia="Times New Roman" w:hAnsi="Times New Roman" w:cs="Times New Roman"/>
                <w:color w:val="000000"/>
                <w:spacing w:val="0"/>
                <w:w w:val="100"/>
                <w:position w:val="0"/>
              </w:rPr>
              <w:t>http</w:t>
            </w:r>
            <w:r>
              <w:rPr>
                <w:rFonts w:ascii="Times New Roman" w:eastAsia="Times New Roman" w:hAnsi="Times New Roman" w:cs="Times New Roman"/>
                <w:color w:val="000000"/>
                <w:spacing w:val="0"/>
                <w:w w:val="100"/>
                <w:position w:val="0"/>
              </w:rPr>
              <w:t xml:space="preserve">: </w:t>
            </w:r>
            <w:r>
              <w:rPr>
                <w:rFonts w:ascii="Times New Roman" w:eastAsia="Times New Roman" w:hAnsi="Times New Roman" w:cs="Times New Roman"/>
                <w:color w:val="000000"/>
                <w:spacing w:val="0"/>
                <w:w w:val="100"/>
                <w:position w:val="0"/>
              </w:rPr>
              <w:t>//www. suning.cn</w:t>
            </w:r>
            <w:r>
              <w:fldChar w:fldCharType="end"/>
            </w:r>
          </w:p>
        </w:tc>
      </w:tr>
      <w:tr>
        <w:trPr>
          <w:trHeight w:val="302" w:hRule="exact"/>
        </w:trPr>
        <w:tc>
          <w:tcPr>
            <w:tcBorders>
              <w:top w:val="single" w:sz="4"/>
              <w:left w:val="single" w:sz="4"/>
              <w:bottom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gridSpan w:val="3"/>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fldChar w:fldCharType="begin"/>
            </w:r>
            <w:r>
              <w:rPr/>
              <w:instrText> HYPERLINK "mailto:stock@cnsuning.com" </w:instrText>
            </w:r>
            <w:r>
              <w:fldChar w:fldCharType="separate"/>
            </w:r>
            <w:r>
              <w:rPr>
                <w:rFonts w:ascii="Times New Roman" w:eastAsia="Times New Roman" w:hAnsi="Times New Roman" w:cs="Times New Roman"/>
                <w:color w:val="000000"/>
                <w:spacing w:val="0"/>
                <w:w w:val="100"/>
                <w:position w:val="0"/>
              </w:rPr>
              <w:t>stock@cnsuning.com</w:t>
            </w:r>
            <w:r>
              <w:fldChar w:fldCharType="end"/>
            </w:r>
          </w:p>
        </w:tc>
      </w:tr>
    </w:tbl>
    <w:p>
      <w:pPr>
        <w:widowControl w:val="0"/>
        <w:spacing w:after="299" w:line="1" w:lineRule="exact"/>
      </w:pPr>
    </w:p>
    <w:p>
      <w:pPr>
        <w:pStyle w:val="Style25"/>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二、联系人和联系方式</w:t>
      </w:r>
    </w:p>
    <w:tbl>
      <w:tblPr>
        <w:tblOverlap w:val="never"/>
        <w:jc w:val="center"/>
        <w:tblLayout w:type="fixed"/>
      </w:tblPr>
      <w:tblGrid>
        <w:gridCol w:w="3269"/>
        <w:gridCol w:w="3115"/>
        <w:gridCol w:w="3197"/>
      </w:tblGrid>
      <w:tr>
        <w:trPr>
          <w:trHeight w:val="30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293" w:hRule="exact"/>
        </w:trPr>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黄巍</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韩枫</w:t>
            </w:r>
          </w:p>
        </w:tc>
      </w:tr>
      <w:tr>
        <w:trPr>
          <w:trHeight w:val="293" w:hRule="exact"/>
        </w:trPr>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gridSpan w:val="2"/>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江苏省南京市玄武区苏宁大道</w:t>
            </w:r>
            <w:r>
              <w:rPr>
                <w:rFonts w:ascii="Times New Roman" w:eastAsia="Times New Roman" w:hAnsi="Times New Roman" w:cs="Times New Roman"/>
                <w:color w:val="000000"/>
                <w:spacing w:val="0"/>
                <w:w w:val="100"/>
                <w:position w:val="0"/>
              </w:rPr>
              <w:t>1</w:t>
            </w:r>
            <w:r>
              <w:rPr>
                <w:color w:val="000000"/>
                <w:spacing w:val="0"/>
                <w:w w:val="100"/>
                <w:position w:val="0"/>
              </w:rPr>
              <w:t>号</w:t>
            </w:r>
          </w:p>
        </w:tc>
      </w:tr>
      <w:tr>
        <w:trPr>
          <w:trHeight w:val="298"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gridSpan w:val="2"/>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025-84418888-888122/888480</w:t>
            </w:r>
          </w:p>
        </w:tc>
      </w:tr>
      <w:tr>
        <w:trPr>
          <w:trHeight w:val="298" w:hRule="exact"/>
        </w:trPr>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gridSpan w:val="2"/>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025-84418888-2-888480</w:t>
            </w:r>
          </w:p>
        </w:tc>
      </w:tr>
      <w:tr>
        <w:trPr>
          <w:trHeight w:val="302" w:hRule="exact"/>
        </w:trPr>
        <w:tc>
          <w:tcPr>
            <w:tcBorders>
              <w:top w:val="single" w:sz="4"/>
              <w:left w:val="single" w:sz="4"/>
              <w:bottom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gridSpan w:val="2"/>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fldChar w:fldCharType="begin"/>
            </w:r>
            <w:r>
              <w:rPr/>
              <w:instrText> HYPERLINK "mailto:stock@cnsuning.com" </w:instrText>
            </w:r>
            <w:r>
              <w:fldChar w:fldCharType="separate"/>
            </w:r>
            <w:r>
              <w:rPr>
                <w:rFonts w:ascii="Times New Roman" w:eastAsia="Times New Roman" w:hAnsi="Times New Roman" w:cs="Times New Roman"/>
                <w:color w:val="000000"/>
                <w:spacing w:val="0"/>
                <w:w w:val="100"/>
                <w:position w:val="0"/>
              </w:rPr>
              <w:t>stock@cnsuning.com</w:t>
            </w:r>
            <w:r>
              <w:fldChar w:fldCharType="end"/>
            </w:r>
          </w:p>
        </w:tc>
      </w:tr>
    </w:tbl>
    <w:p>
      <w:pPr>
        <w:pStyle w:val="Style25"/>
        <w:keepNext w:val="0"/>
        <w:keepLines w:val="0"/>
        <w:widowControl w:val="0"/>
        <w:shd w:val="clear" w:color="auto" w:fill="auto"/>
        <w:bidi w:val="0"/>
        <w:spacing w:before="0" w:after="0" w:line="240" w:lineRule="auto"/>
        <w:ind w:left="427" w:right="0" w:firstLine="0"/>
        <w:jc w:val="left"/>
      </w:pPr>
      <w:r>
        <w:rPr>
          <w:color w:val="000000"/>
          <w:spacing w:val="0"/>
          <w:w w:val="100"/>
          <w:position w:val="0"/>
        </w:rPr>
        <w:t>经深交所审核同意，</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日公司召开第六届董事会第一次会议，审议通过《关于聘任</w:t>
      </w:r>
    </w:p>
    <w:p>
      <w:pPr>
        <w:widowControl w:val="0"/>
        <w:spacing w:after="159" w:line="1" w:lineRule="exact"/>
      </w:pPr>
    </w:p>
    <w:p>
      <w:pPr>
        <w:pStyle w:val="Style32"/>
        <w:keepNext w:val="0"/>
        <w:keepLines w:val="0"/>
        <w:widowControl w:val="0"/>
        <w:shd w:val="clear" w:color="auto" w:fill="auto"/>
        <w:bidi w:val="0"/>
        <w:spacing w:before="0" w:after="420" w:line="240" w:lineRule="auto"/>
        <w:ind w:left="0" w:right="0" w:firstLine="0"/>
        <w:jc w:val="left"/>
      </w:pPr>
      <w:r>
        <w:rPr>
          <w:color w:val="000000"/>
          <w:spacing w:val="0"/>
          <w:w w:val="100"/>
          <w:position w:val="0"/>
        </w:rPr>
        <w:t>公司董事会秘书的议案》，公司聘任黄巍女士为公司董事会秘书，自董事会审议通过后生效。</w:t>
      </w:r>
    </w:p>
    <w:p>
      <w:pPr>
        <w:pStyle w:val="Style25"/>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三、信息披露及备置地点</w:t>
      </w:r>
    </w:p>
    <w:tbl>
      <w:tblPr>
        <w:tblOverlap w:val="never"/>
        <w:jc w:val="center"/>
        <w:tblLayout w:type="fixed"/>
      </w:tblPr>
      <w:tblGrid>
        <w:gridCol w:w="3269"/>
        <w:gridCol w:w="6312"/>
      </w:tblGrid>
      <w:tr>
        <w:trPr>
          <w:trHeight w:val="586"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公司选定的信息披露媒体的名称</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93" w:lineRule="exact"/>
              <w:ind w:left="0" w:right="0" w:firstLine="0"/>
              <w:jc w:val="left"/>
            </w:pPr>
            <w:r>
              <w:rPr>
                <w:color w:val="000000"/>
                <w:spacing w:val="0"/>
                <w:w w:val="100"/>
                <w:position w:val="0"/>
              </w:rPr>
              <w:t>《证券时报》、《中国证券报》、《上海证券报》、《证券日 报》</w:t>
            </w:r>
          </w:p>
        </w:tc>
      </w:tr>
      <w:tr>
        <w:trPr>
          <w:trHeight w:val="581" w:hRule="exact"/>
        </w:trPr>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83" w:lineRule="exact"/>
              <w:ind w:left="0" w:right="0" w:firstLine="0"/>
              <w:jc w:val="left"/>
            </w:pPr>
            <w:r>
              <w:rPr>
                <w:color w:val="000000"/>
                <w:spacing w:val="0"/>
                <w:w w:val="100"/>
                <w:position w:val="0"/>
              </w:rPr>
              <w:t>登载年度报告的中国证监会指定 网站的网址</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rPr>
              <w:t>http://www.cninfo.com.cn</w:t>
            </w:r>
            <w:r>
              <w:fldChar w:fldCharType="end"/>
            </w:r>
          </w:p>
        </w:tc>
      </w:tr>
      <w:tr>
        <w:trPr>
          <w:trHeight w:val="302" w:hRule="exact"/>
        </w:trPr>
        <w:tc>
          <w:tcPr>
            <w:tcBorders>
              <w:top w:val="single" w:sz="4"/>
              <w:left w:val="single" w:sz="4"/>
              <w:bottom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公司董事会秘书办公室</w:t>
            </w:r>
          </w:p>
        </w:tc>
      </w:tr>
    </w:tbl>
    <w:p>
      <w:pPr>
        <w:widowControl w:val="0"/>
        <w:spacing w:after="299" w:line="1" w:lineRule="exact"/>
      </w:pPr>
    </w:p>
    <w:p>
      <w:pPr>
        <w:pStyle w:val="Style25"/>
        <w:keepNext w:val="0"/>
        <w:keepLines w:val="0"/>
        <w:widowControl w:val="0"/>
        <w:shd w:val="clear" w:color="auto" w:fill="auto"/>
        <w:bidi w:val="0"/>
        <w:spacing w:before="0" w:after="0" w:line="240" w:lineRule="auto"/>
        <w:ind w:left="5" w:right="0" w:firstLine="0"/>
        <w:jc w:val="left"/>
        <w:rPr>
          <w:sz w:val="24"/>
          <w:szCs w:val="24"/>
        </w:rPr>
      </w:pPr>
      <w:r>
        <w:rPr>
          <w:b/>
          <w:bCs/>
          <w:color w:val="000000"/>
          <w:spacing w:val="0"/>
          <w:w w:val="100"/>
          <w:position w:val="0"/>
          <w:sz w:val="24"/>
          <w:szCs w:val="24"/>
        </w:rPr>
        <w:t>四、注册变更情况</w:t>
      </w:r>
    </w:p>
    <w:tbl>
      <w:tblPr>
        <w:tblOverlap w:val="never"/>
        <w:jc w:val="center"/>
        <w:tblLayout w:type="fixed"/>
      </w:tblPr>
      <w:tblGrid>
        <w:gridCol w:w="3974"/>
        <w:gridCol w:w="5606"/>
      </w:tblGrid>
      <w:tr>
        <w:trPr>
          <w:trHeight w:val="298"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组织机构代码</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91320000608950987L</w:t>
            </w:r>
          </w:p>
        </w:tc>
      </w:tr>
      <w:tr>
        <w:trPr>
          <w:trHeight w:val="298"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公司上市以来主营业务的变化情况</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无变更</w:t>
            </w:r>
          </w:p>
        </w:tc>
      </w:tr>
      <w:tr>
        <w:trPr>
          <w:trHeight w:val="298" w:hRule="exact"/>
        </w:trPr>
        <w:tc>
          <w:tcPr>
            <w:tcBorders>
              <w:top w:val="single" w:sz="4"/>
              <w:left w:val="single" w:sz="4"/>
              <w:bottom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历次控股股东的变更情况</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无变更</w:t>
            </w:r>
          </w:p>
        </w:tc>
      </w:tr>
    </w:tbl>
    <w:p>
      <w:pPr>
        <w:pStyle w:val="Style32"/>
        <w:keepNext w:val="0"/>
        <w:keepLines w:val="0"/>
        <w:widowControl w:val="0"/>
        <w:shd w:val="clear" w:color="auto" w:fill="auto"/>
        <w:bidi w:val="0"/>
        <w:spacing w:before="0" w:after="200" w:line="467" w:lineRule="exact"/>
        <w:ind w:left="0" w:right="0" w:firstLine="460"/>
        <w:jc w:val="left"/>
      </w:pPr>
      <w:r>
        <w:rPr>
          <w:color w:val="000000"/>
          <w:spacing w:val="0"/>
          <w:w w:val="100"/>
          <w:position w:val="0"/>
        </w:rPr>
        <w:t>公司第五届董事会第二十三次会议审议通过、</w:t>
      </w:r>
      <w:r>
        <w:rPr>
          <w:rFonts w:ascii="Times New Roman" w:eastAsia="Times New Roman" w:hAnsi="Times New Roman" w:cs="Times New Roman"/>
          <w:color w:val="000000"/>
          <w:spacing w:val="0"/>
          <w:w w:val="100"/>
          <w:position w:val="0"/>
        </w:rPr>
        <w:t>2015</w:t>
      </w:r>
      <w:r>
        <w:rPr>
          <w:color w:val="000000"/>
          <w:spacing w:val="0"/>
          <w:w w:val="100"/>
          <w:position w:val="0"/>
        </w:rPr>
        <w:t xml:space="preserve">年第三次临时股东大会决议通过《关于公司 </w:t>
      </w:r>
      <w:r>
        <w:rPr>
          <w:rFonts w:ascii="Times New Roman" w:eastAsia="Times New Roman" w:hAnsi="Times New Roman" w:cs="Times New Roman"/>
          <w:color w:val="000000"/>
          <w:spacing w:val="0"/>
          <w:w w:val="100"/>
          <w:position w:val="0"/>
        </w:rPr>
        <w:t>2015</w:t>
      </w:r>
      <w:r>
        <w:rPr>
          <w:color w:val="000000"/>
          <w:spacing w:val="0"/>
          <w:w w:val="100"/>
          <w:position w:val="0"/>
        </w:rPr>
        <w:t>年非公开发行股票发行方案的议案》等议案内容，公司于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日实施完成本次非公开 发行股票新股上市工作，并于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 xml:space="preserve">日领取新的企业法人营业执照，公司组织机构代码由 </w:t>
      </w:r>
      <w:r>
        <w:rPr>
          <w:rFonts w:ascii="Times New Roman" w:eastAsia="Times New Roman" w:hAnsi="Times New Roman" w:cs="Times New Roman"/>
          <w:color w:val="000000"/>
          <w:spacing w:val="0"/>
          <w:w w:val="100"/>
          <w:position w:val="0"/>
        </w:rPr>
        <w:t xml:space="preserve">“60895098-7” </w:t>
      </w:r>
      <w:r>
        <w:rPr>
          <w:color w:val="000000"/>
          <w:spacing w:val="0"/>
          <w:w w:val="100"/>
          <w:position w:val="0"/>
        </w:rPr>
        <w:t xml:space="preserve">变更为统一社会信用代码 </w:t>
      </w:r>
      <w:r>
        <w:rPr>
          <w:rFonts w:ascii="Times New Roman" w:eastAsia="Times New Roman" w:hAnsi="Times New Roman" w:cs="Times New Roman"/>
          <w:color w:val="000000"/>
          <w:spacing w:val="0"/>
          <w:w w:val="100"/>
          <w:position w:val="0"/>
        </w:rPr>
        <w:t>“91320000608950987L”</w:t>
      </w:r>
      <w:r>
        <w:rPr>
          <w:color w:val="000000"/>
          <w:spacing w:val="0"/>
          <w:w w:val="100"/>
          <w:position w:val="0"/>
        </w:rPr>
        <w:t>。</w:t>
      </w:r>
    </w:p>
    <w:p>
      <w:pPr>
        <w:pStyle w:val="Style32"/>
        <w:keepNext w:val="0"/>
        <w:keepLines w:val="0"/>
        <w:widowControl w:val="0"/>
        <w:shd w:val="clear" w:color="auto" w:fill="auto"/>
        <w:bidi w:val="0"/>
        <w:spacing w:before="0" w:after="320" w:line="467" w:lineRule="exact"/>
        <w:ind w:left="0" w:right="0" w:firstLine="0"/>
        <w:jc w:val="left"/>
        <w:rPr>
          <w:sz w:val="24"/>
          <w:szCs w:val="24"/>
        </w:rPr>
      </w:pPr>
      <w:bookmarkStart w:id="14" w:name="bookmark14"/>
      <w:r>
        <w:rPr>
          <w:b/>
          <w:bCs/>
          <w:color w:val="000000"/>
          <w:spacing w:val="0"/>
          <w:w w:val="100"/>
          <w:position w:val="0"/>
          <w:sz w:val="24"/>
          <w:szCs w:val="24"/>
        </w:rPr>
        <w:t>五</w:t>
      </w:r>
      <w:bookmarkEnd w:id="14"/>
      <w:r>
        <w:rPr>
          <w:b/>
          <w:bCs/>
          <w:color w:val="000000"/>
          <w:spacing w:val="0"/>
          <w:w w:val="100"/>
          <w:position w:val="0"/>
          <w:sz w:val="24"/>
          <w:szCs w:val="24"/>
        </w:rPr>
        <w:t>、其他有关资料</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69"/>
        <w:gridCol w:w="6912"/>
      </w:tblGrid>
      <w:tr>
        <w:trPr>
          <w:trHeight w:val="298"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普华永道中天会计师事务所（特殊普通合伙）</w:t>
            </w:r>
          </w:p>
        </w:tc>
      </w:tr>
      <w:tr>
        <w:trPr>
          <w:trHeight w:val="298"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中国上海市湖滨路</w:t>
            </w:r>
            <w:r>
              <w:rPr>
                <w:rFonts w:ascii="Times New Roman" w:eastAsia="Times New Roman" w:hAnsi="Times New Roman" w:cs="Times New Roman"/>
                <w:color w:val="000000"/>
                <w:spacing w:val="0"/>
                <w:w w:val="100"/>
                <w:position w:val="0"/>
              </w:rPr>
              <w:t>202</w:t>
            </w:r>
            <w:r>
              <w:rPr>
                <w:color w:val="000000"/>
                <w:spacing w:val="0"/>
                <w:w w:val="100"/>
                <w:position w:val="0"/>
              </w:rPr>
              <w:t>号</w:t>
            </w:r>
          </w:p>
        </w:tc>
      </w:tr>
      <w:tr>
        <w:trPr>
          <w:trHeight w:val="302" w:hRule="exact"/>
        </w:trPr>
        <w:tc>
          <w:tcPr>
            <w:tcBorders>
              <w:top w:val="single" w:sz="4"/>
              <w:left w:val="single" w:sz="4"/>
              <w:bottom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邓锡麟、郑怡荽</w:t>
            </w:r>
          </w:p>
        </w:tc>
      </w:tr>
    </w:tbl>
    <w:p>
      <w:pPr>
        <w:widowControl w:val="0"/>
        <w:spacing w:after="319" w:line="1" w:lineRule="exact"/>
      </w:pP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公司聘请的报告期内履行持续督导职责的保荐机构</w:t>
      </w:r>
    </w:p>
    <w:tbl>
      <w:tblPr>
        <w:tblOverlap w:val="never"/>
        <w:jc w:val="center"/>
        <w:tblLayout w:type="fixed"/>
      </w:tblPr>
      <w:tblGrid>
        <w:gridCol w:w="2558"/>
        <w:gridCol w:w="2837"/>
        <w:gridCol w:w="1786"/>
        <w:gridCol w:w="2400"/>
      </w:tblGrid>
      <w:tr>
        <w:trPr>
          <w:trHeight w:val="298"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保荐机构名称</w:t>
            </w:r>
          </w:p>
        </w:tc>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保荐机构办公地址</w:t>
            </w:r>
          </w:p>
        </w:tc>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保荐代表人姓名</w:t>
            </w:r>
          </w:p>
        </w:tc>
        <w:tc>
          <w:tcPr>
            <w:tcBorders>
              <w:top w:val="single" w:sz="4"/>
              <w:left w:val="single" w:sz="4"/>
              <w:righ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持续督导期间</w:t>
            </w:r>
          </w:p>
        </w:tc>
      </w:tr>
      <w:tr>
        <w:trPr>
          <w:trHeight w:val="1445"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招商证券股份有限公司</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中国北京市西城区金融街甲</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w:t>
            </w:r>
            <w:r>
              <w:rPr>
                <w:color w:val="000000"/>
                <w:spacing w:val="0"/>
                <w:w w:val="100"/>
                <w:position w:val="0"/>
              </w:rPr>
              <w:t>号金融街中心</w:t>
            </w:r>
            <w:r>
              <w:rPr>
                <w:rFonts w:ascii="Times New Roman" w:eastAsia="Times New Roman" w:hAnsi="Times New Roman" w:cs="Times New Roman"/>
                <w:color w:val="000000"/>
                <w:spacing w:val="0"/>
                <w:w w:val="100"/>
                <w:position w:val="0"/>
              </w:rPr>
              <w:t>7</w:t>
            </w:r>
            <w:r>
              <w:rPr>
                <w:color w:val="000000"/>
                <w:spacing w:val="0"/>
                <w:w w:val="100"/>
                <w:position w:val="0"/>
              </w:rPr>
              <w:t>层</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任强伟、李恺</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84" w:lineRule="exact"/>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年非公开发行股份 上市的当年剩余时间及 其后的一个完整会计年 度，即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 至</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bl>
    <w:p>
      <w:pPr>
        <w:widowControl w:val="0"/>
        <w:spacing w:after="199" w:line="1" w:lineRule="exact"/>
      </w:pPr>
    </w:p>
    <w:p>
      <w:pPr>
        <w:pStyle w:val="Style32"/>
        <w:keepNext w:val="0"/>
        <w:keepLines w:val="0"/>
        <w:widowControl w:val="0"/>
        <w:shd w:val="clear" w:color="auto" w:fill="auto"/>
        <w:bidi w:val="0"/>
        <w:spacing w:before="0" w:after="200" w:line="466" w:lineRule="exact"/>
        <w:ind w:left="0" w:right="0" w:firstLine="460"/>
        <w:jc w:val="left"/>
      </w:pPr>
      <w:r>
        <w:rPr>
          <w:color w:val="000000"/>
          <w:spacing w:val="0"/>
          <w:w w:val="100"/>
          <w:position w:val="0"/>
        </w:rPr>
        <w:t>公司聘请的报告期内履行持续督导职责的财务顾问</w:t>
      </w:r>
    </w:p>
    <w:p>
      <w:pPr>
        <w:pStyle w:val="Style32"/>
        <w:keepNext w:val="0"/>
        <w:keepLines w:val="0"/>
        <w:widowControl w:val="0"/>
        <w:shd w:val="clear" w:color="auto" w:fill="auto"/>
        <w:bidi w:val="0"/>
        <w:spacing w:before="0" w:after="0" w:line="442" w:lineRule="auto"/>
        <w:ind w:left="0" w:right="0" w:firstLine="46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2"/>
        <w:keepNext w:val="0"/>
        <w:keepLines w:val="0"/>
        <w:widowControl w:val="0"/>
        <w:shd w:val="clear" w:color="auto" w:fill="auto"/>
        <w:bidi w:val="0"/>
        <w:spacing w:before="0" w:after="200" w:line="466" w:lineRule="exact"/>
        <w:ind w:left="0" w:right="0" w:firstLine="0"/>
        <w:jc w:val="left"/>
        <w:rPr>
          <w:sz w:val="24"/>
          <w:szCs w:val="24"/>
        </w:rPr>
      </w:pPr>
      <w:bookmarkStart w:id="15" w:name="bookmark15"/>
      <w:r>
        <w:rPr>
          <w:b/>
          <w:bCs/>
          <w:color w:val="000000"/>
          <w:spacing w:val="0"/>
          <w:w w:val="100"/>
          <w:position w:val="0"/>
          <w:sz w:val="24"/>
          <w:szCs w:val="24"/>
        </w:rPr>
        <w:t>六</w:t>
      </w:r>
      <w:bookmarkEnd w:id="15"/>
      <w:r>
        <w:rPr>
          <w:b/>
          <w:bCs/>
          <w:color w:val="000000"/>
          <w:spacing w:val="0"/>
          <w:w w:val="100"/>
          <w:position w:val="0"/>
          <w:sz w:val="24"/>
          <w:szCs w:val="24"/>
        </w:rPr>
        <w:t>、主要会计数据和财务指标</w:t>
      </w:r>
    </w:p>
    <w:p>
      <w:pPr>
        <w:pStyle w:val="Style32"/>
        <w:keepNext w:val="0"/>
        <w:keepLines w:val="0"/>
        <w:widowControl w:val="0"/>
        <w:shd w:val="clear" w:color="auto" w:fill="auto"/>
        <w:bidi w:val="0"/>
        <w:spacing w:before="0" w:after="120" w:line="466" w:lineRule="exact"/>
        <w:ind w:left="460" w:right="0" w:firstLine="0"/>
        <w:jc w:val="left"/>
      </w:pPr>
      <w:r>
        <w:rPr>
          <w:color w:val="000000"/>
          <w:spacing w:val="0"/>
          <w:w w:val="100"/>
          <w:position w:val="0"/>
        </w:rPr>
        <w:t xml:space="preserve">公司是否因会计政策变更及会计差错更正等追溯调整或重述以前年度会计数据 </w:t>
      </w:r>
      <w:r>
        <w:rPr>
          <w:rFonts w:ascii="Times New Roman" w:eastAsia="Times New Roman" w:hAnsi="Times New Roman" w:cs="Times New Roman"/>
          <w:color w:val="000000"/>
          <w:spacing w:val="0"/>
          <w:w w:val="100"/>
          <w:position w:val="0"/>
        </w:rPr>
        <w:t>□</w:t>
      </w:r>
      <w:r>
        <w:rPr>
          <w:color w:val="000000"/>
          <w:spacing w:val="0"/>
          <w:w w:val="100"/>
          <w:position w:val="0"/>
        </w:rPr>
        <w:t>是</w:t>
      </w:r>
      <w:r>
        <w:rPr>
          <w:color w:val="000000"/>
          <w:spacing w:val="0"/>
          <w:w w:val="100"/>
          <w:position w:val="0"/>
        </w:rPr>
        <w:t>寸</w:t>
      </w:r>
      <w:r>
        <w:rPr>
          <w:color w:val="000000"/>
          <w:spacing w:val="0"/>
          <w:w w:val="100"/>
          <w:position w:val="0"/>
        </w:rPr>
        <w:t>否</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单位：千元</w:t>
      </w:r>
    </w:p>
    <w:tbl>
      <w:tblPr>
        <w:tblOverlap w:val="never"/>
        <w:jc w:val="center"/>
        <w:tblLayout w:type="fixed"/>
      </w:tblPr>
      <w:tblGrid>
        <w:gridCol w:w="3269"/>
        <w:gridCol w:w="1574"/>
        <w:gridCol w:w="1579"/>
        <w:gridCol w:w="1805"/>
        <w:gridCol w:w="1354"/>
      </w:tblGrid>
      <w:tr>
        <w:trPr>
          <w:trHeight w:val="2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本年比上年增减</w:t>
            </w:r>
          </w:p>
        </w:tc>
        <w:tc>
          <w:tcPr>
            <w:tcBorders>
              <w:top w:val="single" w:sz="4"/>
              <w:left w:val="single" w:sz="4"/>
              <w:righ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年</w:t>
            </w:r>
          </w:p>
        </w:tc>
      </w:tr>
      <w:tr>
        <w:trPr>
          <w:trHeight w:val="29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148,585,331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135,547,633</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9.62%</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108,925,296</w:t>
            </w:r>
          </w:p>
        </w:tc>
      </w:tr>
      <w:tr>
        <w:trPr>
          <w:trHeight w:val="298"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704,414</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872,504</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-19.27%</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866,915</w:t>
            </w:r>
          </w:p>
        </w:tc>
      </w:tr>
      <w:tr>
        <w:trPr>
          <w:trHeight w:val="581"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93" w:lineRule="exact"/>
              <w:ind w:left="0" w:right="0" w:firstLine="0"/>
              <w:jc w:val="left"/>
            </w:pPr>
            <w:r>
              <w:rPr>
                <w:color w:val="000000"/>
                <w:spacing w:val="0"/>
                <w:w w:val="100"/>
                <w:position w:val="0"/>
              </w:rPr>
              <w:t>归属于上市公司股东的扣除非经 常性损益的净利润</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-1,107,612</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-1,464,864</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24.39%</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-1,252,211</w:t>
            </w:r>
          </w:p>
        </w:tc>
      </w:tr>
      <w:tr>
        <w:trPr>
          <w:trHeight w:val="298"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3,839,235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1,733,339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121.49%</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-1,381,419</w:t>
            </w:r>
          </w:p>
        </w:tc>
      </w:tr>
      <w:tr>
        <w:trPr>
          <w:trHeight w:val="293" w:hRule="exact"/>
        </w:trPr>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0.08</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0.12</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-33.33%</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0.12</w:t>
            </w:r>
          </w:p>
        </w:tc>
      </w:tr>
      <w:tr>
        <w:trPr>
          <w:trHeight w:val="298" w:hRule="exact"/>
        </w:trPr>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0.08</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0.12</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-33.33%</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0.12</w:t>
            </w:r>
          </w:p>
        </w:tc>
      </w:tr>
      <w:tr>
        <w:trPr>
          <w:trHeight w:val="293" w:hRule="exact"/>
        </w:trPr>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2.87%</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-1.46%</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3.01%</w:t>
            </w:r>
          </w:p>
        </w:tc>
      </w:tr>
      <w:tr>
        <w:trPr>
          <w:trHeight w:val="581"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2016</w:t>
            </w:r>
            <w:r>
              <w:rPr>
                <w:color w:val="000000"/>
                <w:spacing w:val="0"/>
                <w:w w:val="100"/>
                <w:position w:val="0"/>
              </w:rPr>
              <w:t>年末</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2015</w:t>
            </w:r>
            <w:r>
              <w:rPr>
                <w:color w:val="000000"/>
                <w:spacing w:val="0"/>
                <w:w w:val="100"/>
                <w:position w:val="0"/>
              </w:rPr>
              <w:t>年末</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本年末比上年末 增减</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2014</w:t>
            </w:r>
            <w:r>
              <w:rPr>
                <w:color w:val="000000"/>
                <w:spacing w:val="0"/>
                <w:w w:val="100"/>
                <w:position w:val="0"/>
              </w:rPr>
              <w:t>年末</w:t>
            </w:r>
          </w:p>
        </w:tc>
      </w:tr>
      <w:tr>
        <w:trPr>
          <w:trHeight w:val="298"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137,167,241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88,075,672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55.74%</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82,193,729</w:t>
            </w:r>
          </w:p>
        </w:tc>
      </w:tr>
      <w:tr>
        <w:trPr>
          <w:trHeight w:val="298" w:hRule="exact"/>
        </w:trPr>
        <w:tc>
          <w:tcPr>
            <w:tcBorders>
              <w:top w:val="single" w:sz="4"/>
              <w:left w:val="single" w:sz="4"/>
              <w:bottom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归属于上市公司股东的净资产</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65,709,680</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30,482,556</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115.56%</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29,281,855</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截止披露前一交易日的公司总股本:</w:t>
      </w:r>
    </w:p>
    <w:tbl>
      <w:tblPr>
        <w:tblOverlap w:val="never"/>
        <w:jc w:val="center"/>
        <w:tblLayout w:type="fixed"/>
      </w:tblPr>
      <w:tblGrid>
        <w:gridCol w:w="4531"/>
        <w:gridCol w:w="5050"/>
      </w:tblGrid>
      <w:tr>
        <w:trPr>
          <w:trHeight w:val="298"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截止披露前一交易日的公司总股本（股）</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9,310,039,655</w:t>
            </w:r>
          </w:p>
        </w:tc>
      </w:tr>
      <w:tr>
        <w:trPr>
          <w:trHeight w:val="302" w:hRule="exact"/>
        </w:trPr>
        <w:tc>
          <w:tcPr>
            <w:tcBorders>
              <w:top w:val="single" w:sz="4"/>
              <w:left w:val="single" w:sz="4"/>
              <w:bottom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用最新股本计算的全面摊薄每股收益（元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0.0757</w:t>
            </w:r>
          </w:p>
        </w:tc>
      </w:tr>
    </w:tbl>
    <w:p>
      <w:pPr>
        <w:widowControl w:val="0"/>
        <w:spacing w:after="399" w:line="1" w:lineRule="exact"/>
      </w:pPr>
    </w:p>
    <w:p>
      <w:pPr>
        <w:pStyle w:val="Style32"/>
        <w:keepNext w:val="0"/>
        <w:keepLines w:val="0"/>
        <w:widowControl w:val="0"/>
        <w:shd w:val="clear" w:color="auto" w:fill="auto"/>
        <w:bidi w:val="0"/>
        <w:spacing w:before="0" w:after="200" w:line="240" w:lineRule="auto"/>
        <w:ind w:left="0" w:right="0" w:firstLine="460"/>
        <w:jc w:val="left"/>
      </w:pPr>
      <w:r>
        <w:rPr>
          <w:color w:val="000000"/>
          <w:spacing w:val="0"/>
          <w:w w:val="100"/>
          <w:position w:val="0"/>
        </w:rPr>
        <w:t>是否存在公司债</w:t>
      </w:r>
    </w:p>
    <w:p>
      <w:pPr>
        <w:pStyle w:val="Style32"/>
        <w:keepNext w:val="0"/>
        <w:keepLines w:val="0"/>
        <w:widowControl w:val="0"/>
        <w:shd w:val="clear" w:color="auto" w:fill="auto"/>
        <w:bidi w:val="0"/>
        <w:spacing w:before="0" w:after="460" w:line="240" w:lineRule="auto"/>
        <w:ind w:left="0" w:right="0" w:firstLine="460"/>
        <w:jc w:val="left"/>
      </w:pPr>
      <w:r>
        <w:rPr>
          <w:i/>
          <w:iCs/>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p>
    <w:p>
      <w:pPr>
        <w:pStyle w:val="Style32"/>
        <w:keepNext w:val="0"/>
        <w:keepLines w:val="0"/>
        <w:widowControl w:val="0"/>
        <w:shd w:val="clear" w:color="auto" w:fill="auto"/>
        <w:bidi w:val="0"/>
        <w:spacing w:before="0" w:after="200" w:line="470" w:lineRule="exact"/>
        <w:ind w:left="0" w:right="0" w:firstLine="460"/>
        <w:jc w:val="left"/>
      </w:pPr>
      <w:r>
        <w:rPr>
          <w:color w:val="000000"/>
          <w:spacing w:val="0"/>
          <w:w w:val="100"/>
          <w:position w:val="0"/>
        </w:rPr>
        <w:t>公司是否存在最近两年连续亏损的情形</w:t>
      </w:r>
    </w:p>
    <w:p>
      <w:pPr>
        <w:pStyle w:val="Style32"/>
        <w:keepNext w:val="0"/>
        <w:keepLines w:val="0"/>
        <w:widowControl w:val="0"/>
        <w:shd w:val="clear" w:color="auto" w:fill="auto"/>
        <w:bidi w:val="0"/>
        <w:spacing w:before="0" w:after="0"/>
        <w:ind w:left="0" w:right="0" w:firstLine="460"/>
        <w:jc w:val="both"/>
      </w:pPr>
      <w:r>
        <w:rPr>
          <w:rFonts w:ascii="Times New Roman" w:eastAsia="Times New Roman" w:hAnsi="Times New Roman" w:cs="Times New Roman"/>
          <w:color w:val="000000"/>
          <w:spacing w:val="0"/>
          <w:w w:val="100"/>
          <w:position w:val="0"/>
        </w:rPr>
        <w:t>□</w:t>
      </w:r>
      <w:r>
        <w:rPr>
          <w:color w:val="000000"/>
          <w:spacing w:val="0"/>
          <w:w w:val="100"/>
          <w:position w:val="0"/>
        </w:rPr>
        <w:t>是</w:t>
      </w:r>
      <w:r>
        <w:rPr>
          <w:color w:val="000000"/>
          <w:spacing w:val="0"/>
          <w:w w:val="100"/>
          <w:position w:val="0"/>
        </w:rPr>
        <w:t>寸</w:t>
      </w:r>
      <w:r>
        <w:rPr>
          <w:color w:val="000000"/>
          <w:spacing w:val="0"/>
          <w:w w:val="100"/>
          <w:position w:val="0"/>
        </w:rPr>
        <w:t>否</w:t>
      </w:r>
      <w:r>
        <w:rPr>
          <w:color w:val="000000"/>
          <w:spacing w:val="0"/>
          <w:w w:val="100"/>
          <w:position w:val="0"/>
        </w:rPr>
        <w:t>口</w:t>
      </w:r>
      <w:r>
        <w:rPr>
          <w:color w:val="000000"/>
          <w:spacing w:val="0"/>
          <w:w w:val="100"/>
          <w:position w:val="0"/>
        </w:rPr>
        <w:t>不适用</w:t>
      </w:r>
    </w:p>
    <w:p>
      <w:pPr>
        <w:pStyle w:val="Style32"/>
        <w:keepNext w:val="0"/>
        <w:keepLines w:val="0"/>
        <w:widowControl w:val="0"/>
        <w:shd w:val="clear" w:color="auto" w:fill="auto"/>
        <w:tabs>
          <w:tab w:pos="522" w:val="left"/>
        </w:tabs>
        <w:bidi w:val="0"/>
        <w:spacing w:before="0" w:after="140" w:line="470" w:lineRule="exact"/>
        <w:ind w:left="0" w:right="0" w:firstLine="0"/>
        <w:jc w:val="left"/>
        <w:rPr>
          <w:sz w:val="24"/>
          <w:szCs w:val="24"/>
        </w:rPr>
      </w:pPr>
      <w:bookmarkStart w:id="16" w:name="bookmark16"/>
      <w:r>
        <w:rPr>
          <w:b/>
          <w:bCs/>
          <w:color w:val="000000"/>
          <w:spacing w:val="0"/>
          <w:w w:val="100"/>
          <w:position w:val="0"/>
          <w:sz w:val="24"/>
          <w:szCs w:val="24"/>
        </w:rPr>
        <w:t>七</w:t>
      </w:r>
      <w:bookmarkEnd w:id="16"/>
      <w:r>
        <w:rPr>
          <w:b/>
          <w:bCs/>
          <w:color w:val="000000"/>
          <w:spacing w:val="0"/>
          <w:w w:val="100"/>
          <w:position w:val="0"/>
          <w:sz w:val="24"/>
          <w:szCs w:val="24"/>
        </w:rPr>
        <w:t>、</w:t>
        <w:tab/>
        <w:t>境内外会计准则下会计数据差异</w:t>
      </w:r>
    </w:p>
    <w:p>
      <w:pPr>
        <w:pStyle w:val="Style38"/>
        <w:keepNext/>
        <w:keepLines/>
        <w:widowControl w:val="0"/>
        <w:shd w:val="clear" w:color="auto" w:fill="auto"/>
        <w:tabs>
          <w:tab w:pos="400" w:val="left"/>
        </w:tabs>
        <w:bidi w:val="0"/>
        <w:spacing w:before="0" w:after="400" w:line="470" w:lineRule="exact"/>
        <w:ind w:left="0" w:right="0" w:firstLine="0"/>
        <w:jc w:val="left"/>
      </w:pPr>
      <w:bookmarkStart w:id="17" w:name="bookmark17"/>
      <w:bookmarkStart w:id="18" w:name="bookmark18"/>
      <w:bookmarkStart w:id="19" w:name="bookmark19"/>
      <w:bookmarkStart w:id="20" w:name="bookmark20"/>
      <w:r>
        <w:rPr>
          <w:rFonts w:ascii="Times New Roman" w:eastAsia="Times New Roman" w:hAnsi="Times New Roman" w:cs="Times New Roman"/>
          <w:color w:val="000000"/>
          <w:spacing w:val="0"/>
          <w:w w:val="100"/>
          <w:position w:val="0"/>
        </w:rPr>
        <w:t>1</w:t>
      </w:r>
      <w:bookmarkEnd w:id="19"/>
      <w:r>
        <w:rPr>
          <w:color w:val="000000"/>
          <w:spacing w:val="0"/>
          <w:w w:val="100"/>
          <w:position w:val="0"/>
        </w:rPr>
        <w:t>、</w:t>
        <w:tab/>
        <w:t>同时按照国际会计准则与按照中国会计准则披露的财务报告中净利润和净资产差异情况</w:t>
      </w:r>
      <w:bookmarkEnd w:id="17"/>
      <w:bookmarkEnd w:id="18"/>
      <w:bookmarkEnd w:id="20"/>
    </w:p>
    <w:p>
      <w:pPr>
        <w:pStyle w:val="Style32"/>
        <w:keepNext w:val="0"/>
        <w:keepLines w:val="0"/>
        <w:widowControl w:val="0"/>
        <w:shd w:val="clear" w:color="auto" w:fill="auto"/>
        <w:bidi w:val="0"/>
        <w:spacing w:before="0" w:after="0"/>
        <w:ind w:left="0" w:right="0" w:firstLine="46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2"/>
        <w:keepNext w:val="0"/>
        <w:keepLines w:val="0"/>
        <w:widowControl w:val="0"/>
        <w:shd w:val="clear" w:color="auto" w:fill="auto"/>
        <w:bidi w:val="0"/>
        <w:spacing w:before="0" w:after="200" w:line="470" w:lineRule="exact"/>
        <w:ind w:left="0" w:right="0" w:firstLine="460"/>
        <w:jc w:val="left"/>
      </w:pPr>
      <w:r>
        <w:rPr>
          <w:color w:val="000000"/>
          <w:spacing w:val="0"/>
          <w:w w:val="100"/>
          <w:position w:val="0"/>
        </w:rPr>
        <w:t>公司报告期不存在按照国际会计准则与按照中国会计准则披露的财务报告中净利润和净资产差 异情况。</w:t>
      </w:r>
    </w:p>
    <w:p>
      <w:pPr>
        <w:pStyle w:val="Style38"/>
        <w:keepNext/>
        <w:keepLines/>
        <w:widowControl w:val="0"/>
        <w:shd w:val="clear" w:color="auto" w:fill="auto"/>
        <w:tabs>
          <w:tab w:pos="400" w:val="left"/>
        </w:tabs>
        <w:bidi w:val="0"/>
        <w:spacing w:before="0" w:after="400" w:line="470" w:lineRule="exact"/>
        <w:ind w:left="0" w:right="0" w:firstLine="0"/>
        <w:jc w:val="left"/>
      </w:pPr>
      <w:bookmarkStart w:id="21" w:name="bookmark21"/>
      <w:bookmarkStart w:id="22" w:name="bookmark22"/>
      <w:bookmarkStart w:id="23" w:name="bookmark23"/>
      <w:bookmarkStart w:id="24" w:name="bookmark24"/>
      <w:r>
        <w:rPr>
          <w:rFonts w:ascii="Times New Roman" w:eastAsia="Times New Roman" w:hAnsi="Times New Roman" w:cs="Times New Roman"/>
          <w:color w:val="000000"/>
          <w:spacing w:val="0"/>
          <w:w w:val="100"/>
          <w:position w:val="0"/>
        </w:rPr>
        <w:t>2</w:t>
      </w:r>
      <w:bookmarkEnd w:id="23"/>
      <w:r>
        <w:rPr>
          <w:color w:val="000000"/>
          <w:spacing w:val="0"/>
          <w:w w:val="100"/>
          <w:position w:val="0"/>
        </w:rPr>
        <w:t>、</w:t>
        <w:tab/>
        <w:t>同时按照境外会计准则与按照中国会计准则披露的财务报告中净利润和净资产差异情况</w:t>
      </w:r>
      <w:bookmarkEnd w:id="21"/>
      <w:bookmarkEnd w:id="22"/>
      <w:bookmarkEnd w:id="24"/>
    </w:p>
    <w:p>
      <w:pPr>
        <w:pStyle w:val="Style32"/>
        <w:keepNext w:val="0"/>
        <w:keepLines w:val="0"/>
        <w:widowControl w:val="0"/>
        <w:shd w:val="clear" w:color="auto" w:fill="auto"/>
        <w:bidi w:val="0"/>
        <w:spacing w:before="0" w:after="0"/>
        <w:ind w:left="0" w:right="0" w:firstLine="46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2"/>
        <w:keepNext w:val="0"/>
        <w:keepLines w:val="0"/>
        <w:widowControl w:val="0"/>
        <w:shd w:val="clear" w:color="auto" w:fill="auto"/>
        <w:bidi w:val="0"/>
        <w:spacing w:before="0" w:after="200" w:line="470" w:lineRule="exact"/>
        <w:ind w:left="0" w:right="0" w:firstLine="460"/>
        <w:jc w:val="left"/>
      </w:pPr>
      <w:r>
        <w:rPr>
          <w:color w:val="000000"/>
          <w:spacing w:val="0"/>
          <w:w w:val="100"/>
          <w:position w:val="0"/>
        </w:rPr>
        <w:t>公司报告期不存在按照境外会计准则与按照中国会计准则披露的财务报告中净利润和净资产差 异情况。</w:t>
      </w:r>
    </w:p>
    <w:p>
      <w:pPr>
        <w:pStyle w:val="Style38"/>
        <w:keepNext/>
        <w:keepLines/>
        <w:widowControl w:val="0"/>
        <w:shd w:val="clear" w:color="auto" w:fill="auto"/>
        <w:tabs>
          <w:tab w:pos="400" w:val="left"/>
        </w:tabs>
        <w:bidi w:val="0"/>
        <w:spacing w:before="0" w:after="400" w:line="470" w:lineRule="exact"/>
        <w:ind w:left="0" w:right="0" w:firstLine="0"/>
        <w:jc w:val="left"/>
      </w:pPr>
      <w:bookmarkStart w:id="25" w:name="bookmark25"/>
      <w:bookmarkStart w:id="26" w:name="bookmark26"/>
      <w:bookmarkStart w:id="27" w:name="bookmark27"/>
      <w:bookmarkStart w:id="28" w:name="bookmark28"/>
      <w:r>
        <w:rPr>
          <w:rFonts w:ascii="Times New Roman" w:eastAsia="Times New Roman" w:hAnsi="Times New Roman" w:cs="Times New Roman"/>
          <w:color w:val="000000"/>
          <w:spacing w:val="0"/>
          <w:w w:val="100"/>
          <w:position w:val="0"/>
        </w:rPr>
        <w:t>3</w:t>
      </w:r>
      <w:bookmarkEnd w:id="27"/>
      <w:r>
        <w:rPr>
          <w:color w:val="000000"/>
          <w:spacing w:val="0"/>
          <w:w w:val="100"/>
          <w:position w:val="0"/>
        </w:rPr>
        <w:t>、</w:t>
        <w:tab/>
        <w:t>境内外会计准则下会计数据差异原因说明</w:t>
      </w:r>
      <w:bookmarkEnd w:id="25"/>
      <w:bookmarkEnd w:id="26"/>
      <w:bookmarkEnd w:id="28"/>
    </w:p>
    <w:p>
      <w:pPr>
        <w:pStyle w:val="Style32"/>
        <w:keepNext w:val="0"/>
        <w:keepLines w:val="0"/>
        <w:widowControl w:val="0"/>
        <w:shd w:val="clear" w:color="auto" w:fill="auto"/>
        <w:bidi w:val="0"/>
        <w:spacing w:before="0" w:after="0"/>
        <w:ind w:left="0" w:right="0" w:firstLine="46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2"/>
        <w:keepNext w:val="0"/>
        <w:keepLines w:val="0"/>
        <w:widowControl w:val="0"/>
        <w:shd w:val="clear" w:color="auto" w:fill="auto"/>
        <w:tabs>
          <w:tab w:pos="522" w:val="left"/>
        </w:tabs>
        <w:bidi w:val="0"/>
        <w:spacing w:before="0" w:after="400" w:line="470" w:lineRule="exact"/>
        <w:ind w:left="0" w:right="0" w:firstLine="0"/>
        <w:jc w:val="left"/>
        <w:rPr>
          <w:sz w:val="24"/>
          <w:szCs w:val="24"/>
        </w:rPr>
      </w:pPr>
      <w:bookmarkStart w:id="29" w:name="bookmark29"/>
      <w:r>
        <w:rPr>
          <w:b/>
          <w:bCs/>
          <w:color w:val="000000"/>
          <w:spacing w:val="0"/>
          <w:w w:val="100"/>
          <w:position w:val="0"/>
          <w:sz w:val="24"/>
          <w:szCs w:val="24"/>
        </w:rPr>
        <w:t>八</w:t>
      </w:r>
      <w:bookmarkEnd w:id="29"/>
      <w:r>
        <w:rPr>
          <w:b/>
          <w:bCs/>
          <w:color w:val="000000"/>
          <w:spacing w:val="0"/>
          <w:w w:val="100"/>
          <w:position w:val="0"/>
          <w:sz w:val="24"/>
          <w:szCs w:val="24"/>
        </w:rPr>
        <w:t>、</w:t>
        <w:tab/>
        <w:t>分季度主要财务指标</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单位：千元</w:t>
      </w:r>
    </w:p>
    <w:tbl>
      <w:tblPr>
        <w:tblOverlap w:val="never"/>
        <w:jc w:val="center"/>
        <w:tblLayout w:type="fixed"/>
      </w:tblPr>
      <w:tblGrid>
        <w:gridCol w:w="2981"/>
        <w:gridCol w:w="1651"/>
        <w:gridCol w:w="1646"/>
        <w:gridCol w:w="1646"/>
        <w:gridCol w:w="1656"/>
      </w:tblGrid>
      <w:tr>
        <w:trPr>
          <w:trHeight w:val="2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第一季度</w:t>
            </w:r>
          </w:p>
        </w:tc>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第二季度</w:t>
            </w:r>
          </w:p>
        </w:tc>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第三季度</w:t>
            </w:r>
          </w:p>
        </w:tc>
        <w:tc>
          <w:tcPr>
            <w:tcBorders>
              <w:top w:val="single" w:sz="4"/>
              <w:left w:val="single" w:sz="4"/>
              <w:righ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第四季度</w:t>
            </w:r>
          </w:p>
        </w:tc>
      </w:tr>
      <w:tr>
        <w:trPr>
          <w:trHeight w:val="29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31,843,068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36,871,691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35,148,182</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44,722,390</w:t>
            </w:r>
          </w:p>
        </w:tc>
      </w:tr>
      <w:tr>
        <w:trPr>
          <w:trHeight w:val="298"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-296,118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174,927</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-182,436</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1,008,041</w:t>
            </w:r>
          </w:p>
        </w:tc>
      </w:tr>
      <w:tr>
        <w:trPr>
          <w:trHeight w:val="581"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93" w:lineRule="exact"/>
              <w:ind w:left="0" w:right="0" w:firstLine="0"/>
              <w:jc w:val="left"/>
            </w:pPr>
            <w:r>
              <w:rPr>
                <w:color w:val="000000"/>
                <w:spacing w:val="0"/>
                <w:w w:val="100"/>
                <w:position w:val="0"/>
              </w:rPr>
              <w:t>归属于上市公司股东的扣除非 经常性损益的净利润</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-333,383</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-356,841</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-272,927</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-144,461</w:t>
            </w:r>
          </w:p>
        </w:tc>
      </w:tr>
      <w:tr>
        <w:trPr>
          <w:trHeight w:val="298" w:hRule="exact"/>
        </w:trPr>
        <w:tc>
          <w:tcPr>
            <w:tcBorders>
              <w:top w:val="single" w:sz="4"/>
              <w:left w:val="single" w:sz="4"/>
              <w:bottom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-2,511,065</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851,430</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775,512</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4,723,358</w:t>
            </w:r>
          </w:p>
        </w:tc>
      </w:tr>
    </w:tbl>
    <w:p>
      <w:pPr>
        <w:spacing w:lineRule="exact" w:line="1"/>
        <w:rPr>
          <w:sz w:val="2"/>
          <w:szCs w:val="2"/>
        </w:rPr>
      </w:pPr>
      <w:r>
        <w:br w:type="page"/>
      </w:r>
    </w:p>
    <w:p>
      <w:pPr>
        <w:pStyle w:val="Style32"/>
        <w:keepNext w:val="0"/>
        <w:keepLines w:val="0"/>
        <w:widowControl w:val="0"/>
        <w:shd w:val="clear" w:color="auto" w:fill="auto"/>
        <w:bidi w:val="0"/>
        <w:spacing w:before="0" w:after="200" w:line="240" w:lineRule="auto"/>
        <w:ind w:left="0" w:right="0" w:firstLine="440"/>
        <w:jc w:val="left"/>
      </w:pPr>
      <w:r>
        <w:rPr>
          <w:color w:val="000000"/>
          <w:spacing w:val="0"/>
          <w:w w:val="100"/>
          <w:position w:val="0"/>
        </w:rPr>
        <w:t>上述财务指标或其加总数是否与公司已披露季度报告、半年度报告相关财务指标存在重大差异</w:t>
      </w:r>
    </w:p>
    <w:p>
      <w:pPr>
        <w:pStyle w:val="Style32"/>
        <w:keepNext w:val="0"/>
        <w:keepLines w:val="0"/>
        <w:widowControl w:val="0"/>
        <w:shd w:val="clear" w:color="auto" w:fill="auto"/>
        <w:bidi w:val="0"/>
        <w:spacing w:before="0" w:after="400" w:line="240" w:lineRule="auto"/>
        <w:ind w:left="0" w:right="0" w:firstLine="44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i/>
          <w:iCs/>
          <w:color w:val="000000"/>
          <w:spacing w:val="0"/>
          <w:w w:val="100"/>
          <w:position w:val="0"/>
        </w:rPr>
        <w:t>寸</w:t>
      </w:r>
      <w:r>
        <w:rPr>
          <w:color w:val="000000"/>
          <w:spacing w:val="0"/>
          <w:w w:val="100"/>
          <w:position w:val="0"/>
        </w:rPr>
        <w:t>否</w:t>
      </w:r>
    </w:p>
    <w:p>
      <w:pPr>
        <w:pStyle w:val="Style32"/>
        <w:keepNext w:val="0"/>
        <w:keepLines w:val="0"/>
        <w:widowControl w:val="0"/>
        <w:shd w:val="clear" w:color="auto" w:fill="auto"/>
        <w:bidi w:val="0"/>
        <w:spacing w:before="0" w:after="340" w:line="240" w:lineRule="auto"/>
        <w:ind w:left="0" w:right="0" w:firstLine="0"/>
        <w:jc w:val="left"/>
        <w:rPr>
          <w:sz w:val="24"/>
          <w:szCs w:val="24"/>
        </w:rPr>
      </w:pPr>
      <w:bookmarkStart w:id="30" w:name="bookmark30"/>
      <w:r>
        <w:rPr>
          <w:b/>
          <w:bCs/>
          <w:color w:val="000000"/>
          <w:spacing w:val="0"/>
          <w:w w:val="100"/>
          <w:position w:val="0"/>
          <w:sz w:val="24"/>
          <w:szCs w:val="24"/>
        </w:rPr>
        <w:t>九</w:t>
      </w:r>
      <w:bookmarkEnd w:id="30"/>
      <w:r>
        <w:rPr>
          <w:b/>
          <w:bCs/>
          <w:color w:val="000000"/>
          <w:spacing w:val="0"/>
          <w:w w:val="100"/>
          <w:position w:val="0"/>
          <w:sz w:val="24"/>
          <w:szCs w:val="24"/>
        </w:rPr>
        <w:t>、非经常性损益项目及金额</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单位：千元</w:t>
      </w:r>
    </w:p>
    <w:tbl>
      <w:tblPr>
        <w:tblOverlap w:val="never"/>
        <w:jc w:val="center"/>
        <w:tblLayout w:type="fixed"/>
      </w:tblPr>
      <w:tblGrid>
        <w:gridCol w:w="5534"/>
        <w:gridCol w:w="1378"/>
        <w:gridCol w:w="1382"/>
        <w:gridCol w:w="1382"/>
      </w:tblGrid>
      <w:tr>
        <w:trPr>
          <w:trHeight w:val="298" w:hRule="exact"/>
        </w:trPr>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2016</w:t>
            </w:r>
            <w:r>
              <w:rPr>
                <w:color w:val="000000"/>
                <w:spacing w:val="0"/>
                <w:w w:val="100"/>
                <w:position w:val="0"/>
              </w:rPr>
              <w:t>年金额</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年金额</w:t>
            </w:r>
          </w:p>
        </w:tc>
        <w:tc>
          <w:tcPr>
            <w:tcBorders>
              <w:top w:val="single" w:sz="4"/>
              <w:left w:val="single" w:sz="4"/>
              <w:righ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2014</w:t>
            </w:r>
            <w:r>
              <w:rPr>
                <w:color w:val="000000"/>
                <w:spacing w:val="0"/>
                <w:w w:val="100"/>
                <w:position w:val="0"/>
              </w:rPr>
              <w:t>年金额</w:t>
            </w:r>
          </w:p>
        </w:tc>
      </w:tr>
      <w:tr>
        <w:trPr>
          <w:trHeight w:val="586" w:hRule="exact"/>
        </w:trPr>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93" w:lineRule="exact"/>
              <w:ind w:left="0" w:right="0" w:firstLine="0"/>
              <w:jc w:val="both"/>
            </w:pPr>
            <w:r>
              <w:rPr>
                <w:color w:val="000000"/>
                <w:spacing w:val="0"/>
                <w:w w:val="100"/>
                <w:position w:val="0"/>
              </w:rPr>
              <w:t>非流动资产处置损益（包括已计提资产减值准备的冲销 部分）</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502,292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1,397,346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2,420,528</w:t>
            </w:r>
          </w:p>
        </w:tc>
      </w:tr>
      <w:tr>
        <w:trPr>
          <w:trHeight w:val="581" w:hRule="exact"/>
        </w:trPr>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83" w:lineRule="exact"/>
              <w:ind w:left="0" w:right="0" w:firstLine="0"/>
              <w:jc w:val="both"/>
            </w:pPr>
            <w:r>
              <w:rPr>
                <w:color w:val="000000"/>
                <w:spacing w:val="0"/>
                <w:w w:val="100"/>
                <w:position w:val="0"/>
              </w:rPr>
              <w:t>计入当期损益的政府补助（与企业业务密切相关，按照 国家统一标准定额或定量享受的政府补助除外）</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381,148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158,850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117,172</w:t>
            </w:r>
          </w:p>
        </w:tc>
      </w:tr>
      <w:tr>
        <w:trPr>
          <w:trHeight w:val="1147" w:hRule="exact"/>
        </w:trPr>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88" w:lineRule="exact"/>
              <w:ind w:left="0" w:right="0" w:firstLine="0"/>
              <w:jc w:val="both"/>
            </w:pPr>
            <w:r>
              <w:rPr>
                <w:color w:val="000000"/>
                <w:spacing w:val="0"/>
                <w:w w:val="100"/>
                <w:position w:val="0"/>
              </w:rPr>
              <w:t>除同公司正常经营业务相关的有效套期保值业务外，持 有交易性金融资产、交易性金融负债产生的公允价值变 动损益，以及处置交易性金融资产、交易性金融负债和 可供出售金融资产取得的投资收益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211,033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229,724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183,635</w:t>
            </w:r>
          </w:p>
        </w:tc>
      </w:tr>
      <w:tr>
        <w:trPr>
          <w:trHeight w:val="298"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处置子公司产生的投资收益</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1,304,071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1,447,503</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29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15,395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-57,218</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-106,154</w:t>
            </w:r>
          </w:p>
        </w:tc>
      </w:tr>
      <w:tr>
        <w:trPr>
          <w:trHeight w:val="26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591,375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789,672</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492,062</w:t>
            </w:r>
          </w:p>
        </w:tc>
      </w:tr>
      <w:tr>
        <w:trPr>
          <w:trHeight w:val="29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460"/>
              <w:jc w:val="left"/>
            </w:pPr>
            <w:r>
              <w:rPr>
                <w:color w:val="000000"/>
                <w:spacing w:val="0"/>
                <w:w w:val="100"/>
                <w:position w:val="0"/>
              </w:rPr>
              <w:t>少数股东权益影响额（税后）</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10,538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49,165</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3,993</w:t>
            </w:r>
          </w:p>
        </w:tc>
      </w:tr>
      <w:tr>
        <w:trPr>
          <w:trHeight w:val="302" w:hRule="exact"/>
        </w:trPr>
        <w:tc>
          <w:tcPr>
            <w:tcBorders>
              <w:top w:val="single" w:sz="4"/>
              <w:left w:val="single" w:sz="4"/>
              <w:bottom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1,812,026</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2,337,368</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2,119,126</w:t>
            </w:r>
          </w:p>
        </w:tc>
      </w:tr>
    </w:tbl>
    <w:p>
      <w:pPr>
        <w:widowControl w:val="0"/>
        <w:spacing w:after="59" w:line="1" w:lineRule="exact"/>
      </w:pPr>
    </w:p>
    <w:p>
      <w:pPr>
        <w:pStyle w:val="Style32"/>
        <w:keepNext w:val="0"/>
        <w:keepLines w:val="0"/>
        <w:widowControl w:val="0"/>
        <w:shd w:val="clear" w:color="auto" w:fill="auto"/>
        <w:bidi w:val="0"/>
        <w:spacing w:before="0" w:after="200" w:line="451" w:lineRule="exact"/>
        <w:ind w:left="0" w:right="0" w:firstLine="440"/>
        <w:jc w:val="left"/>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w:t>
      </w:r>
      <w:r>
        <w:rPr>
          <w:color w:val="000000"/>
          <w:spacing w:val="0"/>
          <w:w w:val="100"/>
          <w:position w:val="0"/>
        </w:rPr>
        <w:t>一一</w:t>
      </w:r>
      <w:r>
        <w:rPr>
          <w:color w:val="000000"/>
          <w:spacing w:val="0"/>
          <w:w w:val="100"/>
          <w:position w:val="0"/>
        </w:rPr>
        <w:t>非经常性损益》定义界定的 非经常性损益项目，以及把《公开发行证券的公司信息披露解释性公告第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w:t>
      </w:r>
      <w:r>
        <w:rPr>
          <w:color w:val="000000"/>
          <w:spacing w:val="0"/>
          <w:w w:val="100"/>
          <w:position w:val="0"/>
        </w:rPr>
        <w:t>一一</w:t>
      </w:r>
      <w:r>
        <w:rPr>
          <w:color w:val="000000"/>
          <w:spacing w:val="0"/>
          <w:w w:val="100"/>
          <w:position w:val="0"/>
        </w:rPr>
        <w:t>非经常性损益》 中列举的非经常性损益项目界定为经常性损益的项目，应说明原因</w:t>
      </w:r>
    </w:p>
    <w:p>
      <w:pPr>
        <w:pStyle w:val="Style32"/>
        <w:keepNext w:val="0"/>
        <w:keepLines w:val="0"/>
        <w:widowControl w:val="0"/>
        <w:shd w:val="clear" w:color="auto" w:fill="auto"/>
        <w:bidi w:val="0"/>
        <w:spacing w:before="0" w:after="0" w:line="442" w:lineRule="auto"/>
        <w:ind w:left="0" w:right="0" w:firstLine="44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2"/>
        <w:keepNext w:val="0"/>
        <w:keepLines w:val="0"/>
        <w:widowControl w:val="0"/>
        <w:shd w:val="clear" w:color="auto" w:fill="auto"/>
        <w:bidi w:val="0"/>
        <w:spacing w:before="0" w:after="260" w:line="466" w:lineRule="exact"/>
        <w:ind w:left="0" w:right="0" w:firstLine="440"/>
        <w:jc w:val="left"/>
        <w:sectPr>
          <w:footnotePr>
            <w:pos w:val="pageBottom"/>
            <w:numFmt w:val="decimal"/>
            <w:numRestart w:val="continuous"/>
          </w:footnotePr>
          <w:pgSz w:w="11900" w:h="16840"/>
          <w:pgMar w:top="1340" w:right="1103" w:bottom="1806" w:left="1091" w:header="0" w:footer="3" w:gutter="0"/>
          <w:cols w:space="720"/>
          <w:noEndnote/>
          <w:rtlGutter w:val="0"/>
          <w:docGrid w:linePitch="360"/>
        </w:sectPr>
      </w:pPr>
      <w:r>
        <w:rPr>
          <w:color w:val="000000"/>
          <w:spacing w:val="0"/>
          <w:w w:val="100"/>
          <w:position w:val="0"/>
        </w:rPr>
        <w:t>公司报告期不存在将根据《公开发行证券的公司信息披露解释性公告第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w:t>
      </w:r>
      <w:r>
        <w:rPr>
          <w:color w:val="000000"/>
          <w:spacing w:val="0"/>
          <w:w w:val="100"/>
          <w:position w:val="0"/>
        </w:rPr>
        <w:t>一一</w:t>
      </w:r>
      <w:r>
        <w:rPr>
          <w:color w:val="000000"/>
          <w:spacing w:val="0"/>
          <w:w w:val="100"/>
          <w:position w:val="0"/>
        </w:rPr>
        <w:t>非经常性损益》 定义、列举的非经常性损益项目界定为经常性损益的项目的情形。</w:t>
      </w:r>
    </w:p>
    <w:p>
      <w:pPr>
        <w:pStyle w:val="Style18"/>
        <w:keepNext/>
        <w:keepLines/>
        <w:widowControl w:val="0"/>
        <w:shd w:val="clear" w:color="auto" w:fill="auto"/>
        <w:bidi w:val="0"/>
        <w:spacing w:before="640" w:line="240" w:lineRule="auto"/>
        <w:ind w:left="0" w:right="0" w:firstLine="0"/>
        <w:jc w:val="center"/>
      </w:pPr>
      <w:bookmarkStart w:id="31" w:name="bookmark31"/>
      <w:bookmarkStart w:id="32" w:name="bookmark32"/>
      <w:bookmarkStart w:id="33" w:name="bookmark33"/>
      <w:bookmarkStart w:id="34" w:name="bookmark34"/>
      <w:r>
        <w:rPr>
          <w:color w:val="000000"/>
          <w:spacing w:val="0"/>
          <w:w w:val="100"/>
          <w:position w:val="0"/>
        </w:rPr>
        <w:t>第三节公司业务概要</w:t>
      </w:r>
      <w:bookmarkEnd w:id="32"/>
      <w:bookmarkEnd w:id="33"/>
      <w:bookmarkEnd w:id="34"/>
      <w:bookmarkEnd w:id="31"/>
    </w:p>
    <w:p>
      <w:pPr>
        <w:pStyle w:val="Style32"/>
        <w:keepNext w:val="0"/>
        <w:keepLines w:val="0"/>
        <w:widowControl w:val="0"/>
        <w:shd w:val="clear" w:color="auto" w:fill="auto"/>
        <w:bidi w:val="0"/>
        <w:spacing w:before="0" w:after="200" w:line="468" w:lineRule="exact"/>
        <w:ind w:left="0" w:right="0" w:firstLine="340"/>
        <w:jc w:val="left"/>
        <w:rPr>
          <w:sz w:val="24"/>
          <w:szCs w:val="24"/>
        </w:rPr>
      </w:pPr>
      <w:bookmarkStart w:id="35" w:name="bookmark35"/>
      <w:r>
        <w:rPr>
          <w:b/>
          <w:bCs/>
          <w:color w:val="000000"/>
          <w:spacing w:val="0"/>
          <w:w w:val="100"/>
          <w:position w:val="0"/>
          <w:sz w:val="24"/>
          <w:szCs w:val="24"/>
        </w:rPr>
        <w:t>一</w:t>
      </w:r>
      <w:bookmarkEnd w:id="35"/>
      <w:r>
        <w:rPr>
          <w:b/>
          <w:bCs/>
          <w:color w:val="000000"/>
          <w:spacing w:val="0"/>
          <w:w w:val="100"/>
          <w:position w:val="0"/>
          <w:sz w:val="24"/>
          <w:szCs w:val="24"/>
        </w:rPr>
        <w:t>、报告期内公司从事的主要业务</w:t>
      </w:r>
    </w:p>
    <w:p>
      <w:pPr>
        <w:pStyle w:val="Style32"/>
        <w:keepNext w:val="0"/>
        <w:keepLines w:val="0"/>
        <w:widowControl w:val="0"/>
        <w:shd w:val="clear" w:color="auto" w:fill="auto"/>
        <w:bidi w:val="0"/>
        <w:spacing w:before="0" w:after="0" w:line="468" w:lineRule="exact"/>
        <w:ind w:left="0" w:right="0" w:firstLine="780"/>
        <w:jc w:val="left"/>
      </w:pPr>
      <w:r>
        <w:rPr>
          <w:color w:val="000000"/>
          <w:spacing w:val="0"/>
          <w:w w:val="100"/>
          <w:position w:val="0"/>
        </w:rPr>
        <w:t>公司是否需要遵守特殊行业的披露要求</w:t>
      </w:r>
    </w:p>
    <w:p>
      <w:pPr>
        <w:pStyle w:val="Style32"/>
        <w:keepNext w:val="0"/>
        <w:keepLines w:val="0"/>
        <w:widowControl w:val="0"/>
        <w:shd w:val="clear" w:color="auto" w:fill="auto"/>
        <w:bidi w:val="0"/>
        <w:spacing w:before="0" w:after="360" w:line="468" w:lineRule="exact"/>
        <w:ind w:left="0" w:right="0" w:firstLine="780"/>
        <w:jc w:val="left"/>
      </w:pPr>
      <w:r>
        <w:rPr>
          <w:color w:val="000000"/>
          <w:spacing w:val="0"/>
          <w:w w:val="100"/>
          <w:position w:val="0"/>
        </w:rPr>
        <w:t>否</w:t>
      </w:r>
    </w:p>
    <w:p>
      <w:pPr>
        <w:pStyle w:val="Style38"/>
        <w:keepNext/>
        <w:keepLines/>
        <w:widowControl w:val="0"/>
        <w:shd w:val="clear" w:color="auto" w:fill="auto"/>
        <w:bidi w:val="0"/>
        <w:spacing w:before="0" w:after="200" w:line="326" w:lineRule="exact"/>
        <w:ind w:left="340" w:right="0" w:firstLine="440"/>
        <w:jc w:val="left"/>
      </w:pPr>
      <w:bookmarkStart w:id="36" w:name="bookmark36"/>
      <w:bookmarkStart w:id="37" w:name="bookmark37"/>
      <w:bookmarkStart w:id="38" w:name="bookmark38"/>
      <w:bookmarkStart w:id="39" w:name="bookmark39"/>
      <w:r>
        <w:rPr>
          <w:rFonts w:ascii="Times New Roman" w:eastAsia="Times New Roman" w:hAnsi="Times New Roman" w:cs="Times New Roman"/>
          <w:color w:val="000000"/>
          <w:spacing w:val="0"/>
          <w:w w:val="100"/>
          <w:position w:val="0"/>
        </w:rPr>
        <w:t>1</w:t>
      </w:r>
      <w:bookmarkEnd w:id="38"/>
      <w:r>
        <w:rPr>
          <w:color w:val="000000"/>
          <w:spacing w:val="0"/>
          <w:w w:val="100"/>
          <w:position w:val="0"/>
        </w:rPr>
        <w:t>、报告期内公司所从事的主要业务、主要产品及其用途、经营模式、主要的业绩驱动因素等内 容</w:t>
      </w:r>
      <w:bookmarkEnd w:id="36"/>
      <w:bookmarkEnd w:id="37"/>
      <w:bookmarkEnd w:id="39"/>
    </w:p>
    <w:p>
      <w:pPr>
        <w:pStyle w:val="Style32"/>
        <w:keepNext w:val="0"/>
        <w:keepLines w:val="0"/>
        <w:widowControl w:val="0"/>
        <w:shd w:val="clear" w:color="auto" w:fill="auto"/>
        <w:bidi w:val="0"/>
        <w:spacing w:before="0" w:after="200" w:line="468" w:lineRule="exact"/>
        <w:ind w:left="340" w:right="0" w:firstLine="440"/>
        <w:jc w:val="left"/>
      </w:pPr>
      <w:r>
        <w:rPr>
          <w:color w:val="000000"/>
          <w:spacing w:val="0"/>
          <w:w w:val="100"/>
          <w:position w:val="0"/>
        </w:rPr>
        <w:t>苏宁云商是中国领先的互联网零售服务商，经历了</w:t>
      </w:r>
      <w:r>
        <w:rPr>
          <w:rFonts w:ascii="Times New Roman" w:eastAsia="Times New Roman" w:hAnsi="Times New Roman" w:cs="Times New Roman"/>
          <w:color w:val="000000"/>
          <w:spacing w:val="0"/>
          <w:w w:val="100"/>
          <w:position w:val="0"/>
        </w:rPr>
        <w:t>7</w:t>
      </w:r>
      <w:r>
        <w:rPr>
          <w:color w:val="000000"/>
          <w:spacing w:val="0"/>
          <w:w w:val="100"/>
          <w:position w:val="0"/>
        </w:rPr>
        <w:t>年的转型升级，苏宁已经形成了零售、金 融、物流三大业务单元协同发展的态势。</w:t>
      </w:r>
      <w:r>
        <w:rPr>
          <w:rFonts w:ascii="Times New Roman" w:eastAsia="Times New Roman" w:hAnsi="Times New Roman" w:cs="Times New Roman"/>
          <w:color w:val="000000"/>
          <w:spacing w:val="0"/>
          <w:w w:val="100"/>
          <w:position w:val="0"/>
        </w:rPr>
        <w:t>2016</w:t>
      </w:r>
      <w:r>
        <w:rPr>
          <w:color w:val="000000"/>
          <w:spacing w:val="0"/>
          <w:w w:val="100"/>
          <w:position w:val="0"/>
        </w:rPr>
        <w:t>年，企业进入转型收获阶段，零售业务规模效应显现， 运营效益提升，苏宁物流、苏宁金融板块基于多年的超前投入储备，资源优势及价值逐步凸显，业 务发展快速，初步形成了企业多元化盈利结构。</w:t>
      </w:r>
    </w:p>
    <w:p>
      <w:pPr>
        <w:pStyle w:val="Style38"/>
        <w:keepNext/>
        <w:keepLines/>
        <w:widowControl w:val="0"/>
        <w:shd w:val="clear" w:color="auto" w:fill="auto"/>
        <w:bidi w:val="0"/>
        <w:spacing w:before="0" w:after="0" w:line="444" w:lineRule="auto"/>
        <w:ind w:left="0" w:right="0" w:firstLine="780"/>
        <w:jc w:val="left"/>
      </w:pPr>
      <w:bookmarkStart w:id="40" w:name="bookmark40"/>
      <w:bookmarkStart w:id="41" w:name="bookmark41"/>
      <w:bookmarkStart w:id="42" w:name="bookmark42"/>
      <w:r>
        <w:rPr>
          <w:rFonts w:ascii="Arial" w:eastAsia="Arial" w:hAnsi="Arial" w:cs="Arial"/>
          <w:b w:val="0"/>
          <w:bCs w:val="0"/>
          <w:color w:val="000000"/>
          <w:spacing w:val="0"/>
          <w:w w:val="100"/>
          <w:position w:val="0"/>
        </w:rPr>
        <w:t>■</w:t>
      </w:r>
      <w:r>
        <w:rPr>
          <w:color w:val="000000"/>
          <w:spacing w:val="0"/>
          <w:w w:val="100"/>
          <w:position w:val="0"/>
        </w:rPr>
        <w:t>零售业务</w:t>
      </w:r>
      <w:bookmarkEnd w:id="40"/>
      <w:bookmarkEnd w:id="41"/>
      <w:bookmarkEnd w:id="42"/>
    </w:p>
    <w:p>
      <w:pPr>
        <w:pStyle w:val="Style32"/>
        <w:keepNext w:val="0"/>
        <w:keepLines w:val="0"/>
        <w:widowControl w:val="0"/>
        <w:shd w:val="clear" w:color="auto" w:fill="auto"/>
        <w:bidi w:val="0"/>
        <w:spacing w:before="0" w:after="0" w:line="468" w:lineRule="exact"/>
        <w:ind w:left="340" w:right="0" w:firstLine="440"/>
        <w:jc w:val="left"/>
      </w:pPr>
      <w:r>
        <w:rPr>
          <w:color w:val="000000"/>
          <w:spacing w:val="0"/>
          <w:w w:val="100"/>
          <w:position w:val="0"/>
        </w:rPr>
        <w:t>公司零售业务拥有全产品、全场景的购物体验优势，致力于为消费者提供品质消费的生活方式； 公司拥有的线上线下数字化服务网络能够为供应商提供基于大数据挖掘的精准品牌推广、商品定制 和供应链管理等服务，有效提升供应商品牌形象及销售。报告期内，公司聚焦渠道、商品、服务， 强化面向消费者、供应商及合作伙伴的服务能力，实现了规模发展。</w:t>
      </w:r>
    </w:p>
    <w:p>
      <w:pPr>
        <w:pStyle w:val="Style38"/>
        <w:keepNext/>
        <w:keepLines/>
        <w:widowControl w:val="0"/>
        <w:shd w:val="clear" w:color="auto" w:fill="auto"/>
        <w:bidi w:val="0"/>
        <w:spacing w:before="0" w:after="0" w:line="468" w:lineRule="exact"/>
        <w:ind w:left="0" w:right="0" w:firstLine="780"/>
        <w:jc w:val="left"/>
      </w:pPr>
      <w:bookmarkStart w:id="43" w:name="bookmark43"/>
      <w:bookmarkStart w:id="44" w:name="bookmark44"/>
      <w:bookmarkStart w:id="45" w:name="bookmark45"/>
      <w:r>
        <w:rPr>
          <w:rFonts w:ascii="Arial" w:eastAsia="Arial" w:hAnsi="Arial" w:cs="Arial"/>
          <w:b w:val="0"/>
          <w:bCs w:val="0"/>
          <w:color w:val="000000"/>
          <w:spacing w:val="0"/>
          <w:w w:val="100"/>
          <w:position w:val="0"/>
        </w:rPr>
        <w:t>■</w:t>
      </w:r>
      <w:r>
        <w:rPr>
          <w:color w:val="000000"/>
          <w:spacing w:val="0"/>
          <w:w w:val="100"/>
          <w:position w:val="0"/>
        </w:rPr>
        <w:t>渠道建设</w:t>
      </w:r>
      <w:r>
        <w:rPr>
          <w:color w:val="000000"/>
          <w:spacing w:val="0"/>
          <w:w w:val="100"/>
          <w:position w:val="0"/>
        </w:rPr>
        <w:t>一</w:t>
      </w:r>
      <w:r>
        <w:rPr>
          <w:color w:val="000000"/>
          <w:spacing w:val="0"/>
          <w:w w:val="100"/>
          <w:position w:val="0"/>
        </w:rPr>
        <w:t>以用户为中心，升级线下、下沉市场、发力移动端</w:t>
      </w:r>
      <w:bookmarkEnd w:id="43"/>
      <w:bookmarkEnd w:id="44"/>
      <w:bookmarkEnd w:id="45"/>
    </w:p>
    <w:p>
      <w:pPr>
        <w:pStyle w:val="Style32"/>
        <w:keepNext w:val="0"/>
        <w:keepLines w:val="0"/>
        <w:widowControl w:val="0"/>
        <w:shd w:val="clear" w:color="auto" w:fill="auto"/>
        <w:bidi w:val="0"/>
        <w:spacing w:before="0" w:after="200" w:line="468" w:lineRule="exact"/>
        <w:ind w:left="0" w:right="0" w:firstLine="780"/>
        <w:jc w:val="left"/>
      </w:pPr>
      <w:bookmarkStart w:id="46" w:name="bookmark46"/>
      <w:r>
        <w:rPr>
          <w:color w:val="000000"/>
          <w:spacing w:val="0"/>
          <w:w w:val="100"/>
          <w:position w:val="0"/>
        </w:rPr>
        <w:t>（</w:t>
      </w:r>
      <w:bookmarkEnd w:id="46"/>
      <w:r>
        <w:rPr>
          <w:rFonts w:ascii="Times New Roman" w:eastAsia="Times New Roman" w:hAnsi="Times New Roman" w:cs="Times New Roman"/>
          <w:color w:val="000000"/>
          <w:spacing w:val="0"/>
          <w:w w:val="100"/>
          <w:position w:val="0"/>
        </w:rPr>
        <w:t>1</w:t>
      </w:r>
      <w:r>
        <w:rPr>
          <w:color w:val="000000"/>
          <w:spacing w:val="0"/>
          <w:w w:val="100"/>
          <w:position w:val="0"/>
        </w:rPr>
        <w:t>）线下连锁网络建设</w:t>
      </w:r>
    </w:p>
    <w:p>
      <w:pPr>
        <w:pStyle w:val="Style32"/>
        <w:keepNext w:val="0"/>
        <w:keepLines w:val="0"/>
        <w:widowControl w:val="0"/>
        <w:shd w:val="clear" w:color="auto" w:fill="auto"/>
        <w:bidi w:val="0"/>
        <w:spacing w:before="0" w:after="0" w:line="444" w:lineRule="auto"/>
        <w:ind w:left="0" w:right="0" w:firstLine="780"/>
        <w:jc w:val="left"/>
      </w:pPr>
      <w:r>
        <w:rPr>
          <w:rFonts w:ascii="Arial" w:eastAsia="Arial" w:hAnsi="Arial" w:cs="Arial"/>
          <w:color w:val="000000"/>
          <w:spacing w:val="0"/>
          <w:w w:val="100"/>
          <w:position w:val="0"/>
        </w:rPr>
        <w:t>＞</w:t>
      </w:r>
      <w:r>
        <w:rPr>
          <w:color w:val="000000"/>
          <w:spacing w:val="0"/>
          <w:w w:val="100"/>
          <w:position w:val="0"/>
        </w:rPr>
        <w:t>大陆市场发展</w:t>
      </w:r>
    </w:p>
    <w:p>
      <w:pPr>
        <w:pStyle w:val="Style32"/>
        <w:keepNext w:val="0"/>
        <w:keepLines w:val="0"/>
        <w:widowControl w:val="0"/>
        <w:shd w:val="clear" w:color="auto" w:fill="auto"/>
        <w:bidi w:val="0"/>
        <w:spacing w:before="0" w:after="0" w:line="468" w:lineRule="exact"/>
        <w:ind w:left="340" w:right="0" w:firstLine="440"/>
        <w:jc w:val="left"/>
      </w:pPr>
      <w:r>
        <w:rPr>
          <w:rFonts w:ascii="Times New Roman" w:eastAsia="Times New Roman" w:hAnsi="Times New Roman" w:cs="Times New Roman"/>
          <w:color w:val="000000"/>
          <w:spacing w:val="0"/>
          <w:w w:val="100"/>
          <w:position w:val="0"/>
        </w:rPr>
        <w:t>2016</w:t>
      </w:r>
      <w:r>
        <w:rPr>
          <w:color w:val="000000"/>
          <w:spacing w:val="0"/>
          <w:w w:val="100"/>
          <w:position w:val="0"/>
        </w:rPr>
        <w:t>年公司继续优化门店结构，加快门店的互联网化升级，报告期内新开、改造云店</w:t>
      </w:r>
      <w:r>
        <w:rPr>
          <w:rFonts w:ascii="Times New Roman" w:eastAsia="Times New Roman" w:hAnsi="Times New Roman" w:cs="Times New Roman"/>
          <w:color w:val="000000"/>
          <w:spacing w:val="0"/>
          <w:w w:val="100"/>
          <w:position w:val="0"/>
        </w:rPr>
        <w:t>99</w:t>
      </w:r>
      <w:r>
        <w:rPr>
          <w:color w:val="000000"/>
          <w:spacing w:val="0"/>
          <w:w w:val="100"/>
          <w:position w:val="0"/>
        </w:rPr>
        <w:t>家，云 店规模已达到</w:t>
      </w:r>
      <w:r>
        <w:rPr>
          <w:rFonts w:ascii="Times New Roman" w:eastAsia="Times New Roman" w:hAnsi="Times New Roman" w:cs="Times New Roman"/>
          <w:color w:val="000000"/>
          <w:spacing w:val="0"/>
          <w:w w:val="100"/>
          <w:position w:val="0"/>
        </w:rPr>
        <w:t>141</w:t>
      </w:r>
      <w:r>
        <w:rPr>
          <w:color w:val="000000"/>
          <w:spacing w:val="0"/>
          <w:w w:val="100"/>
          <w:position w:val="0"/>
        </w:rPr>
        <w:t>家，有效地提升了线下渠道的经营质量；新开常规店</w:t>
      </w:r>
      <w:r>
        <w:rPr>
          <w:rFonts w:ascii="Times New Roman" w:eastAsia="Times New Roman" w:hAnsi="Times New Roman" w:cs="Times New Roman"/>
          <w:color w:val="000000"/>
          <w:spacing w:val="0"/>
          <w:w w:val="100"/>
          <w:position w:val="0"/>
        </w:rPr>
        <w:t>54</w:t>
      </w:r>
      <w:r>
        <w:rPr>
          <w:color w:val="000000"/>
          <w:spacing w:val="0"/>
          <w:w w:val="100"/>
          <w:position w:val="0"/>
        </w:rPr>
        <w:t>家、红孩子店</w:t>
      </w:r>
      <w:r>
        <w:rPr>
          <w:rFonts w:ascii="Times New Roman" w:eastAsia="Times New Roman" w:hAnsi="Times New Roman" w:cs="Times New Roman"/>
          <w:color w:val="000000"/>
          <w:spacing w:val="0"/>
          <w:w w:val="100"/>
          <w:position w:val="0"/>
        </w:rPr>
        <w:t>19</w:t>
      </w:r>
      <w:r>
        <w:rPr>
          <w:color w:val="000000"/>
          <w:spacing w:val="0"/>
          <w:w w:val="100"/>
          <w:position w:val="0"/>
        </w:rPr>
        <w:t xml:space="preserve">家、超市店 </w:t>
      </w:r>
      <w:r>
        <w:rPr>
          <w:rFonts w:ascii="Times New Roman" w:eastAsia="Times New Roman" w:hAnsi="Times New Roman" w:cs="Times New Roman"/>
          <w:color w:val="000000"/>
          <w:spacing w:val="0"/>
          <w:w w:val="100"/>
          <w:position w:val="0"/>
        </w:rPr>
        <w:t>1</w:t>
      </w:r>
      <w:r>
        <w:rPr>
          <w:color w:val="000000"/>
          <w:spacing w:val="0"/>
          <w:w w:val="100"/>
          <w:position w:val="0"/>
        </w:rPr>
        <w:t>家。公司持续强化互联网</w:t>
      </w:r>
      <w:r>
        <w:rPr>
          <w:rFonts w:ascii="Times New Roman" w:eastAsia="Times New Roman" w:hAnsi="Times New Roman" w:cs="Times New Roman"/>
          <w:color w:val="000000"/>
          <w:spacing w:val="0"/>
          <w:w w:val="100"/>
          <w:position w:val="0"/>
        </w:rPr>
        <w:t>+</w:t>
      </w:r>
      <w:r>
        <w:rPr>
          <w:color w:val="000000"/>
          <w:spacing w:val="0"/>
          <w:w w:val="100"/>
          <w:position w:val="0"/>
        </w:rPr>
        <w:t>云店模式，继续调整关闭常规店，红孩子店、超市店的运营模式也在不 断摸索完善，并加快调整优化。报告期内，公司合计置换</w:t>
      </w:r>
      <w:r>
        <w:rPr>
          <w:rFonts w:ascii="Times New Roman" w:eastAsia="Times New Roman" w:hAnsi="Times New Roman" w:cs="Times New Roman"/>
          <w:color w:val="000000"/>
          <w:spacing w:val="0"/>
          <w:w w:val="100"/>
          <w:position w:val="0"/>
        </w:rPr>
        <w:t>/</w:t>
      </w:r>
      <w:r>
        <w:rPr>
          <w:color w:val="000000"/>
          <w:spacing w:val="0"/>
          <w:w w:val="100"/>
          <w:position w:val="0"/>
        </w:rPr>
        <w:t>关闭各类店面</w:t>
      </w:r>
      <w:r>
        <w:rPr>
          <w:rFonts w:ascii="Times New Roman" w:eastAsia="Times New Roman" w:hAnsi="Times New Roman" w:cs="Times New Roman"/>
          <w:color w:val="000000"/>
          <w:spacing w:val="0"/>
          <w:w w:val="100"/>
          <w:position w:val="0"/>
        </w:rPr>
        <w:t>195</w:t>
      </w:r>
      <w:r>
        <w:rPr>
          <w:color w:val="000000"/>
          <w:spacing w:val="0"/>
          <w:w w:val="100"/>
          <w:position w:val="0"/>
        </w:rPr>
        <w:t>家。</w:t>
      </w:r>
    </w:p>
    <w:p>
      <w:pPr>
        <w:pStyle w:val="Style32"/>
        <w:keepNext w:val="0"/>
        <w:keepLines w:val="0"/>
        <w:widowControl w:val="0"/>
        <w:shd w:val="clear" w:color="auto" w:fill="auto"/>
        <w:bidi w:val="0"/>
        <w:spacing w:before="0" w:after="0" w:line="468" w:lineRule="exact"/>
        <w:ind w:left="340" w:right="0" w:firstLine="44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日，公司已进入</w:t>
      </w:r>
      <w:r>
        <w:rPr>
          <w:rFonts w:ascii="Times New Roman" w:eastAsia="Times New Roman" w:hAnsi="Times New Roman" w:cs="Times New Roman"/>
          <w:color w:val="000000"/>
          <w:spacing w:val="0"/>
          <w:w w:val="100"/>
          <w:position w:val="0"/>
        </w:rPr>
        <w:t>297</w:t>
      </w:r>
      <w:r>
        <w:rPr>
          <w:color w:val="000000"/>
          <w:spacing w:val="0"/>
          <w:w w:val="100"/>
          <w:position w:val="0"/>
        </w:rPr>
        <w:t>个地级以上城市，拥有店面</w:t>
      </w:r>
      <w:r>
        <w:rPr>
          <w:rFonts w:ascii="Times New Roman" w:eastAsia="Times New Roman" w:hAnsi="Times New Roman" w:cs="Times New Roman"/>
          <w:color w:val="000000"/>
          <w:spacing w:val="0"/>
          <w:w w:val="100"/>
          <w:position w:val="0"/>
        </w:rPr>
        <w:t>1,510</w:t>
      </w:r>
      <w:r>
        <w:rPr>
          <w:color w:val="000000"/>
          <w:spacing w:val="0"/>
          <w:w w:val="100"/>
          <w:position w:val="0"/>
        </w:rPr>
        <w:t>家，其中云店</w:t>
      </w:r>
      <w:r>
        <w:rPr>
          <w:rFonts w:ascii="Times New Roman" w:eastAsia="Times New Roman" w:hAnsi="Times New Roman" w:cs="Times New Roman"/>
          <w:color w:val="000000"/>
          <w:spacing w:val="0"/>
          <w:w w:val="100"/>
          <w:position w:val="0"/>
        </w:rPr>
        <w:t>141</w:t>
      </w:r>
      <w:r>
        <w:rPr>
          <w:color w:val="000000"/>
          <w:spacing w:val="0"/>
          <w:w w:val="100"/>
          <w:position w:val="0"/>
        </w:rPr>
        <w:t>家、苏 宁易购常规店</w:t>
      </w:r>
      <w:r>
        <w:rPr>
          <w:rFonts w:ascii="Times New Roman" w:eastAsia="Times New Roman" w:hAnsi="Times New Roman" w:cs="Times New Roman"/>
          <w:color w:val="000000"/>
          <w:spacing w:val="0"/>
          <w:w w:val="100"/>
          <w:position w:val="0"/>
        </w:rPr>
        <w:t>1,303</w:t>
      </w:r>
      <w:r>
        <w:rPr>
          <w:color w:val="000000"/>
          <w:spacing w:val="0"/>
          <w:w w:val="100"/>
          <w:position w:val="0"/>
        </w:rPr>
        <w:t>家（旗舰店</w:t>
      </w:r>
      <w:r>
        <w:rPr>
          <w:rFonts w:ascii="Times New Roman" w:eastAsia="Times New Roman" w:hAnsi="Times New Roman" w:cs="Times New Roman"/>
          <w:color w:val="000000"/>
          <w:spacing w:val="0"/>
          <w:w w:val="100"/>
          <w:position w:val="0"/>
        </w:rPr>
        <w:t>242</w:t>
      </w:r>
      <w:r>
        <w:rPr>
          <w:color w:val="000000"/>
          <w:spacing w:val="0"/>
          <w:w w:val="100"/>
          <w:position w:val="0"/>
        </w:rPr>
        <w:t>家、中心店</w:t>
      </w:r>
      <w:r>
        <w:rPr>
          <w:rFonts w:ascii="Times New Roman" w:eastAsia="Times New Roman" w:hAnsi="Times New Roman" w:cs="Times New Roman"/>
          <w:color w:val="000000"/>
          <w:spacing w:val="0"/>
          <w:w w:val="100"/>
          <w:position w:val="0"/>
        </w:rPr>
        <w:t>389</w:t>
      </w:r>
      <w:r>
        <w:rPr>
          <w:color w:val="000000"/>
          <w:spacing w:val="0"/>
          <w:w w:val="100"/>
          <w:position w:val="0"/>
        </w:rPr>
        <w:t>家、社区店</w:t>
      </w:r>
      <w:r>
        <w:rPr>
          <w:rFonts w:ascii="Times New Roman" w:eastAsia="Times New Roman" w:hAnsi="Times New Roman" w:cs="Times New Roman"/>
          <w:color w:val="000000"/>
          <w:spacing w:val="0"/>
          <w:w w:val="100"/>
          <w:position w:val="0"/>
        </w:rPr>
        <w:t>672</w:t>
      </w:r>
      <w:r>
        <w:rPr>
          <w:color w:val="000000"/>
          <w:spacing w:val="0"/>
          <w:w w:val="100"/>
          <w:position w:val="0"/>
        </w:rPr>
        <w:t>家）、县镇店</w:t>
      </w:r>
      <w:r>
        <w:rPr>
          <w:rFonts w:ascii="Times New Roman" w:eastAsia="Times New Roman" w:hAnsi="Times New Roman" w:cs="Times New Roman"/>
          <w:color w:val="000000"/>
          <w:spacing w:val="0"/>
          <w:w w:val="100"/>
          <w:position w:val="0"/>
        </w:rPr>
        <w:t>34</w:t>
      </w:r>
      <w:r>
        <w:rPr>
          <w:color w:val="000000"/>
          <w:spacing w:val="0"/>
          <w:w w:val="100"/>
          <w:position w:val="0"/>
        </w:rPr>
        <w:t>家、苏宁红孩子店</w:t>
      </w:r>
      <w:r>
        <w:rPr>
          <w:rFonts w:ascii="Times New Roman" w:eastAsia="Times New Roman" w:hAnsi="Times New Roman" w:cs="Times New Roman"/>
          <w:color w:val="000000"/>
          <w:spacing w:val="0"/>
          <w:w w:val="100"/>
          <w:position w:val="0"/>
        </w:rPr>
        <w:t xml:space="preserve">26 </w:t>
      </w:r>
      <w:r>
        <w:rPr>
          <w:color w:val="000000"/>
          <w:spacing w:val="0"/>
          <w:w w:val="100"/>
          <w:position w:val="0"/>
        </w:rPr>
        <w:t>家、苏宁超市店</w:t>
      </w:r>
      <w:r>
        <w:rPr>
          <w:rFonts w:ascii="Times New Roman" w:eastAsia="Times New Roman" w:hAnsi="Times New Roman" w:cs="Times New Roman"/>
          <w:color w:val="000000"/>
          <w:spacing w:val="0"/>
          <w:w w:val="100"/>
          <w:position w:val="0"/>
        </w:rPr>
        <w:t>6</w:t>
      </w:r>
      <w:r>
        <w:rPr>
          <w:color w:val="000000"/>
          <w:spacing w:val="0"/>
          <w:w w:val="100"/>
          <w:position w:val="0"/>
        </w:rPr>
        <w:t>家。随着云店的快速开发，公司越来越重视对核心优质物业的获取，公司采用自建、 购置、合作等方式获取稳定、优质的物业资源。截至报告期末，公司共拥有自有物业</w:t>
      </w:r>
      <w:r>
        <w:rPr>
          <w:rFonts w:ascii="Times New Roman" w:eastAsia="Times New Roman" w:hAnsi="Times New Roman" w:cs="Times New Roman"/>
          <w:color w:val="000000"/>
          <w:spacing w:val="0"/>
          <w:w w:val="100"/>
          <w:position w:val="0"/>
        </w:rPr>
        <w:t>29</w:t>
      </w:r>
      <w:r>
        <w:rPr>
          <w:color w:val="000000"/>
          <w:spacing w:val="0"/>
          <w:w w:val="100"/>
          <w:position w:val="0"/>
        </w:rPr>
        <w:t>处，通过与 全国性房地产商苏宁置业、万达地产等合作租赁店面</w:t>
      </w:r>
      <w:r>
        <w:rPr>
          <w:rFonts w:ascii="Times New Roman" w:eastAsia="Times New Roman" w:hAnsi="Times New Roman" w:cs="Times New Roman"/>
          <w:color w:val="000000"/>
          <w:spacing w:val="0"/>
          <w:w w:val="100"/>
          <w:position w:val="0"/>
        </w:rPr>
        <w:t>75</w:t>
      </w:r>
      <w:r>
        <w:rPr>
          <w:color w:val="000000"/>
          <w:spacing w:val="0"/>
          <w:w w:val="100"/>
          <w:position w:val="0"/>
        </w:rPr>
        <w:t xml:space="preserve">家，此外通过实施门店资产创新运作获得长 </w:t>
      </w:r>
      <w:r>
        <w:rPr>
          <w:color w:val="000000"/>
          <w:spacing w:val="0"/>
          <w:w w:val="100"/>
          <w:position w:val="0"/>
        </w:rPr>
        <w:t>期稳定的店面</w:t>
      </w:r>
      <w:r>
        <w:rPr>
          <w:rFonts w:ascii="Times New Roman" w:eastAsia="Times New Roman" w:hAnsi="Times New Roman" w:cs="Times New Roman"/>
          <w:color w:val="000000"/>
          <w:spacing w:val="0"/>
          <w:w w:val="100"/>
          <w:position w:val="0"/>
        </w:rPr>
        <w:t>25</w:t>
      </w:r>
      <w:r>
        <w:rPr>
          <w:color w:val="000000"/>
          <w:spacing w:val="0"/>
          <w:w w:val="100"/>
          <w:position w:val="0"/>
        </w:rPr>
        <w:t>家。公司还将通过创新资产获取模式，加快对于生活广场、云店物业资源的取得， 以全面升级线下零售业态。</w:t>
      </w:r>
    </w:p>
    <w:p>
      <w:pPr>
        <w:pStyle w:val="Style32"/>
        <w:keepNext w:val="0"/>
        <w:keepLines w:val="0"/>
        <w:widowControl w:val="0"/>
        <w:shd w:val="clear" w:color="auto" w:fill="auto"/>
        <w:bidi w:val="0"/>
        <w:spacing w:before="0" w:after="0" w:line="468" w:lineRule="exact"/>
        <w:ind w:left="340" w:right="0" w:firstLine="440"/>
        <w:jc w:val="both"/>
      </w:pPr>
      <w:r>
        <w:rPr>
          <w:color w:val="000000"/>
          <w:spacing w:val="0"/>
          <w:w w:val="100"/>
          <w:position w:val="0"/>
        </w:rPr>
        <w:t>为有效抢占三四级农村消费市场，公司持续推进苏宁易购服务站的建设，</w:t>
      </w:r>
      <w:r>
        <w:rPr>
          <w:rFonts w:ascii="Times New Roman" w:eastAsia="Times New Roman" w:hAnsi="Times New Roman" w:cs="Times New Roman"/>
          <w:color w:val="000000"/>
          <w:spacing w:val="0"/>
          <w:w w:val="100"/>
          <w:position w:val="0"/>
        </w:rPr>
        <w:t>2016</w:t>
      </w:r>
      <w:r>
        <w:rPr>
          <w:color w:val="000000"/>
          <w:spacing w:val="0"/>
          <w:w w:val="100"/>
          <w:position w:val="0"/>
        </w:rPr>
        <w:t>年公司进一步完 善了易购服务站的开发标准、店内业态布局以及运营团队的激励考核，并对现有的加盟、合作网点 与代理点进行梳理及调整。截至</w:t>
      </w:r>
      <w:r>
        <w:rPr>
          <w:rFonts w:ascii="Times New Roman" w:eastAsia="Times New Roman" w:hAnsi="Times New Roman" w:cs="Times New Roman"/>
          <w:color w:val="000000"/>
          <w:spacing w:val="0"/>
          <w:w w:val="100"/>
          <w:position w:val="0"/>
        </w:rPr>
        <w:t>2016</w:t>
      </w:r>
      <w:r>
        <w:rPr>
          <w:color w:val="000000"/>
          <w:spacing w:val="0"/>
          <w:w w:val="100"/>
          <w:position w:val="0"/>
        </w:rPr>
        <w:t>年底，苏宁易购服务站直营店</w:t>
      </w:r>
      <w:r>
        <w:rPr>
          <w:rFonts w:ascii="Times New Roman" w:eastAsia="Times New Roman" w:hAnsi="Times New Roman" w:cs="Times New Roman"/>
          <w:color w:val="000000"/>
          <w:spacing w:val="0"/>
          <w:w w:val="100"/>
          <w:position w:val="0"/>
        </w:rPr>
        <w:t>1,902</w:t>
      </w:r>
      <w:r>
        <w:rPr>
          <w:color w:val="000000"/>
          <w:spacing w:val="0"/>
          <w:w w:val="100"/>
          <w:position w:val="0"/>
        </w:rPr>
        <w:t xml:space="preserve">家，苏宁易购授权服务网点 </w:t>
      </w:r>
      <w:r>
        <w:rPr>
          <w:rFonts w:ascii="Times New Roman" w:eastAsia="Times New Roman" w:hAnsi="Times New Roman" w:cs="Times New Roman"/>
          <w:color w:val="000000"/>
          <w:spacing w:val="0"/>
          <w:w w:val="100"/>
          <w:position w:val="0"/>
        </w:rPr>
        <w:t>1,927</w:t>
      </w:r>
      <w:r>
        <w:rPr>
          <w:color w:val="000000"/>
          <w:spacing w:val="0"/>
          <w:w w:val="100"/>
          <w:position w:val="0"/>
        </w:rPr>
        <w:t>家。</w:t>
      </w:r>
    </w:p>
    <w:p>
      <w:pPr>
        <w:pStyle w:val="Style32"/>
        <w:keepNext w:val="0"/>
        <w:keepLines w:val="0"/>
        <w:widowControl w:val="0"/>
        <w:shd w:val="clear" w:color="auto" w:fill="auto"/>
        <w:bidi w:val="0"/>
        <w:spacing w:before="0" w:after="0" w:line="468" w:lineRule="exact"/>
        <w:ind w:left="340" w:right="0" w:firstLine="440"/>
        <w:jc w:val="both"/>
      </w:pPr>
      <w:r>
        <w:rPr>
          <w:color w:val="000000"/>
          <w:spacing w:val="0"/>
          <w:w w:val="100"/>
          <w:position w:val="0"/>
        </w:rPr>
        <w:t>为强化对社区、校园市场的服务提供，发挥本地化优势，</w:t>
      </w:r>
      <w:r>
        <w:rPr>
          <w:rFonts w:ascii="Times New Roman" w:eastAsia="Times New Roman" w:hAnsi="Times New Roman" w:cs="Times New Roman"/>
          <w:color w:val="000000"/>
          <w:spacing w:val="0"/>
          <w:w w:val="100"/>
          <w:position w:val="0"/>
        </w:rPr>
        <w:t>2016</w:t>
      </w:r>
      <w:r>
        <w:rPr>
          <w:color w:val="000000"/>
          <w:spacing w:val="0"/>
          <w:w w:val="100"/>
          <w:position w:val="0"/>
        </w:rPr>
        <w:t>年公司率先在南京地区推进致力 于提供社区便利服务的苏宁小店网络，截至</w:t>
      </w:r>
      <w:r>
        <w:rPr>
          <w:rFonts w:ascii="Times New Roman" w:eastAsia="Times New Roman" w:hAnsi="Times New Roman" w:cs="Times New Roman"/>
          <w:color w:val="000000"/>
          <w:spacing w:val="0"/>
          <w:w w:val="100"/>
          <w:position w:val="0"/>
        </w:rPr>
        <w:t>2016</w:t>
      </w:r>
      <w:r>
        <w:rPr>
          <w:color w:val="000000"/>
          <w:spacing w:val="0"/>
          <w:w w:val="100"/>
          <w:position w:val="0"/>
        </w:rPr>
        <w:t>年末已开设</w:t>
      </w:r>
      <w:r>
        <w:rPr>
          <w:rFonts w:ascii="Times New Roman" w:eastAsia="Times New Roman" w:hAnsi="Times New Roman" w:cs="Times New Roman"/>
          <w:color w:val="000000"/>
          <w:spacing w:val="0"/>
          <w:w w:val="100"/>
          <w:position w:val="0"/>
        </w:rPr>
        <w:t>13</w:t>
      </w:r>
      <w:r>
        <w:rPr>
          <w:color w:val="000000"/>
          <w:spacing w:val="0"/>
          <w:w w:val="100"/>
          <w:position w:val="0"/>
        </w:rPr>
        <w:t>家店面，未来计划在南京形成规模后 拓展至全国。</w:t>
      </w:r>
    </w:p>
    <w:p>
      <w:pPr>
        <w:pStyle w:val="Style32"/>
        <w:keepNext w:val="0"/>
        <w:keepLines w:val="0"/>
        <w:widowControl w:val="0"/>
        <w:shd w:val="clear" w:color="auto" w:fill="auto"/>
        <w:bidi w:val="0"/>
        <w:spacing w:before="0" w:after="0" w:line="468" w:lineRule="exact"/>
        <w:ind w:left="0" w:right="0" w:firstLine="780"/>
        <w:jc w:val="both"/>
      </w:pPr>
      <w:r>
        <w:rPr>
          <w:rFonts w:ascii="Arial" w:eastAsia="Arial" w:hAnsi="Arial" w:cs="Arial"/>
          <w:color w:val="000000"/>
          <w:spacing w:val="0"/>
          <w:w w:val="100"/>
          <w:position w:val="0"/>
        </w:rPr>
        <w:t>＞</w:t>
      </w:r>
      <w:r>
        <w:rPr>
          <w:color w:val="000000"/>
          <w:spacing w:val="0"/>
          <w:w w:val="100"/>
          <w:position w:val="0"/>
        </w:rPr>
        <w:t>海外市场发展</w:t>
      </w:r>
    </w:p>
    <w:p>
      <w:pPr>
        <w:pStyle w:val="Style32"/>
        <w:keepNext w:val="0"/>
        <w:keepLines w:val="0"/>
        <w:widowControl w:val="0"/>
        <w:shd w:val="clear" w:color="auto" w:fill="auto"/>
        <w:bidi w:val="0"/>
        <w:spacing w:before="0" w:after="0" w:line="468" w:lineRule="exact"/>
        <w:ind w:left="340" w:right="0" w:firstLine="440"/>
        <w:jc w:val="both"/>
      </w:pPr>
      <w:r>
        <w:rPr>
          <w:color w:val="000000"/>
          <w:spacing w:val="0"/>
          <w:w w:val="100"/>
          <w:position w:val="0"/>
        </w:rPr>
        <w:t>报告期内受香港地区店面租约到期的影响，公司在香港地区关闭店面</w:t>
      </w:r>
      <w:r>
        <w:rPr>
          <w:rFonts w:ascii="Times New Roman" w:eastAsia="Times New Roman" w:hAnsi="Times New Roman" w:cs="Times New Roman"/>
          <w:color w:val="000000"/>
          <w:spacing w:val="0"/>
          <w:w w:val="100"/>
          <w:position w:val="0"/>
        </w:rPr>
        <w:t>5</w:t>
      </w:r>
      <w:r>
        <w:rPr>
          <w:color w:val="000000"/>
          <w:spacing w:val="0"/>
          <w:w w:val="100"/>
          <w:position w:val="0"/>
        </w:rPr>
        <w:t>家，新开店面</w:t>
      </w:r>
      <w:r>
        <w:rPr>
          <w:rFonts w:ascii="Times New Roman" w:eastAsia="Times New Roman" w:hAnsi="Times New Roman" w:cs="Times New Roman"/>
          <w:color w:val="000000"/>
          <w:spacing w:val="0"/>
          <w:w w:val="100"/>
          <w:position w:val="0"/>
        </w:rPr>
        <w:t>1</w:t>
      </w:r>
      <w:r>
        <w:rPr>
          <w:color w:val="000000"/>
          <w:spacing w:val="0"/>
          <w:w w:val="100"/>
          <w:position w:val="0"/>
        </w:rPr>
        <w:t>家；日本 地区加速店面扩张，新开店面</w:t>
      </w:r>
      <w:r>
        <w:rPr>
          <w:rFonts w:ascii="Times New Roman" w:eastAsia="Times New Roman" w:hAnsi="Times New Roman" w:cs="Times New Roman"/>
          <w:color w:val="000000"/>
          <w:spacing w:val="0"/>
          <w:w w:val="100"/>
          <w:position w:val="0"/>
        </w:rPr>
        <w:t>15</w:t>
      </w:r>
      <w:r>
        <w:rPr>
          <w:color w:val="000000"/>
          <w:spacing w:val="0"/>
          <w:w w:val="100"/>
          <w:position w:val="0"/>
        </w:rPr>
        <w:t>家，关闭店面</w:t>
      </w:r>
      <w:r>
        <w:rPr>
          <w:rFonts w:ascii="Times New Roman" w:eastAsia="Times New Roman" w:hAnsi="Times New Roman" w:cs="Times New Roman"/>
          <w:color w:val="000000"/>
          <w:spacing w:val="0"/>
          <w:w w:val="100"/>
          <w:position w:val="0"/>
        </w:rPr>
        <w:t>6</w:t>
      </w:r>
      <w:r>
        <w:rPr>
          <w:color w:val="000000"/>
          <w:spacing w:val="0"/>
          <w:w w:val="100"/>
          <w:position w:val="0"/>
        </w:rPr>
        <w:t>家。截至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日，公司在香港、澳门地区合 计拥有店面</w:t>
      </w:r>
      <w:r>
        <w:rPr>
          <w:rFonts w:ascii="Times New Roman" w:eastAsia="Times New Roman" w:hAnsi="Times New Roman" w:cs="Times New Roman"/>
          <w:color w:val="000000"/>
          <w:spacing w:val="0"/>
          <w:w w:val="100"/>
          <w:position w:val="0"/>
        </w:rPr>
        <w:t>24</w:t>
      </w:r>
      <w:r>
        <w:rPr>
          <w:color w:val="000000"/>
          <w:spacing w:val="0"/>
          <w:w w:val="100"/>
          <w:position w:val="0"/>
        </w:rPr>
        <w:t>家，日本市场拥有店面</w:t>
      </w:r>
      <w:r>
        <w:rPr>
          <w:rFonts w:ascii="Times New Roman" w:eastAsia="Times New Roman" w:hAnsi="Times New Roman" w:cs="Times New Roman"/>
          <w:color w:val="000000"/>
          <w:spacing w:val="0"/>
          <w:w w:val="100"/>
          <w:position w:val="0"/>
        </w:rPr>
        <w:t>42</w:t>
      </w:r>
      <w:r>
        <w:rPr>
          <w:color w:val="000000"/>
          <w:spacing w:val="0"/>
          <w:w w:val="100"/>
          <w:position w:val="0"/>
        </w:rPr>
        <w:t>家。</w:t>
      </w:r>
    </w:p>
    <w:p>
      <w:pPr>
        <w:pStyle w:val="Style32"/>
        <w:keepNext w:val="0"/>
        <w:keepLines w:val="0"/>
        <w:widowControl w:val="0"/>
        <w:shd w:val="clear" w:color="auto" w:fill="auto"/>
        <w:bidi w:val="0"/>
        <w:spacing w:before="0" w:after="0" w:line="468" w:lineRule="exact"/>
        <w:ind w:left="0" w:right="0" w:firstLine="780"/>
        <w:jc w:val="left"/>
      </w:pPr>
      <w:r>
        <w:rPr>
          <w:color w:val="000000"/>
          <w:spacing w:val="0"/>
          <w:w w:val="100"/>
          <w:position w:val="0"/>
        </w:rPr>
        <w:t>综上所述，截至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日公司合计拥有各类型店面合计</w:t>
      </w:r>
      <w:r>
        <w:rPr>
          <w:rFonts w:ascii="Times New Roman" w:eastAsia="Times New Roman" w:hAnsi="Times New Roman" w:cs="Times New Roman"/>
          <w:color w:val="000000"/>
          <w:spacing w:val="0"/>
          <w:w w:val="100"/>
          <w:position w:val="0"/>
        </w:rPr>
        <w:t>3,491</w:t>
      </w:r>
      <w:r>
        <w:rPr>
          <w:color w:val="000000"/>
          <w:spacing w:val="0"/>
          <w:w w:val="100"/>
          <w:position w:val="0"/>
        </w:rPr>
        <w:t>家。</w:t>
      </w:r>
    </w:p>
    <w:p>
      <w:pPr>
        <w:pStyle w:val="Style32"/>
        <w:keepNext w:val="0"/>
        <w:keepLines w:val="0"/>
        <w:widowControl w:val="0"/>
        <w:shd w:val="clear" w:color="auto" w:fill="auto"/>
        <w:bidi w:val="0"/>
        <w:spacing w:before="0" w:after="200" w:line="468" w:lineRule="exact"/>
        <w:ind w:left="340" w:right="0" w:firstLine="440"/>
        <w:jc w:val="both"/>
      </w:pPr>
      <w:r>
        <w:rPr>
          <w:color w:val="000000"/>
          <w:spacing w:val="0"/>
          <w:w w:val="100"/>
          <w:position w:val="0"/>
        </w:rPr>
        <w:t>从公司未来的店面结构来看，苏宁的店面将分为两个大的类型，一类是在核心商圈所部署的云 店和旗舰店，该类型店面为用户提供舒适的购物环境、丰富的商品组合以及良好的用户体验；另一 类是在城市社区和三四级市场所开设的便利型门店，为用户提供更加便捷的购买流程和本地化服务。 这两种类型的店面都是</w:t>
      </w:r>
      <w:r>
        <w:rPr>
          <w:rFonts w:ascii="Times New Roman" w:eastAsia="Times New Roman" w:hAnsi="Times New Roman" w:cs="Times New Roman"/>
          <w:color w:val="000000"/>
          <w:spacing w:val="0"/>
          <w:w w:val="100"/>
          <w:position w:val="0"/>
        </w:rPr>
        <w:t>020</w:t>
      </w:r>
      <w:r>
        <w:rPr>
          <w:color w:val="000000"/>
          <w:spacing w:val="0"/>
          <w:w w:val="100"/>
          <w:position w:val="0"/>
        </w:rPr>
        <w:t>模式的体现，是基于互联网应用的门店业态的升级，公司将予以大力的 推进实施。</w:t>
      </w:r>
    </w:p>
    <w:p>
      <w:pPr>
        <w:pStyle w:val="Style25"/>
        <w:keepNext w:val="0"/>
        <w:keepLines w:val="0"/>
        <w:widowControl w:val="0"/>
        <w:shd w:val="clear" w:color="auto" w:fill="auto"/>
        <w:tabs>
          <w:tab w:pos="8760" w:val="left"/>
        </w:tabs>
        <w:bidi w:val="0"/>
        <w:spacing w:before="0" w:after="0" w:line="240" w:lineRule="auto"/>
        <w:ind w:left="778" w:right="0" w:firstLine="0"/>
        <w:jc w:val="left"/>
      </w:pPr>
      <w:r>
        <w:rPr>
          <w:color w:val="000000"/>
          <w:spacing w:val="0"/>
          <w:w w:val="100"/>
          <w:position w:val="0"/>
        </w:rPr>
        <w:t>表</w:t>
      </w:r>
      <w:r>
        <w:rPr>
          <w:rFonts w:ascii="Times New Roman" w:eastAsia="Times New Roman" w:hAnsi="Times New Roman" w:cs="Times New Roman"/>
          <w:color w:val="000000"/>
          <w:spacing w:val="0"/>
          <w:w w:val="100"/>
          <w:position w:val="0"/>
        </w:rPr>
        <w:t>1</w:t>
      </w:r>
      <w:r>
        <w:rPr>
          <w:color w:val="000000"/>
          <w:spacing w:val="0"/>
          <w:w w:val="100"/>
          <w:position w:val="0"/>
        </w:rPr>
        <w:t>大陆地区按照店面类型分布情况</w:t>
        <w:tab/>
        <w:t>（单位：家）</w:t>
      </w:r>
    </w:p>
    <w:tbl>
      <w:tblPr>
        <w:tblOverlap w:val="never"/>
        <w:jc w:val="center"/>
        <w:tblLayout w:type="fixed"/>
      </w:tblPr>
      <w:tblGrid>
        <w:gridCol w:w="2059"/>
        <w:gridCol w:w="1133"/>
        <w:gridCol w:w="1560"/>
        <w:gridCol w:w="1238"/>
        <w:gridCol w:w="1598"/>
        <w:gridCol w:w="1238"/>
        <w:gridCol w:w="1526"/>
      </w:tblGrid>
      <w:tr>
        <w:trPr>
          <w:trHeight w:val="298" w:hRule="exact"/>
        </w:trPr>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2"/>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gridSpan w:val="2"/>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gridSpan w:val="2"/>
            <w:tcBorders>
              <w:top w:val="single" w:sz="4"/>
              <w:left w:val="single" w:sz="4"/>
              <w:righ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增减变化情况</w:t>
            </w:r>
          </w:p>
        </w:tc>
      </w:tr>
      <w:tr>
        <w:trPr>
          <w:trHeight w:val="581"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占比（</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占比（</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数量变化</w:t>
            </w:r>
          </w:p>
        </w:tc>
        <w:tc>
          <w:tcPr>
            <w:tcBorders>
              <w:top w:val="single" w:sz="4"/>
              <w:left w:val="single" w:sz="4"/>
              <w:righ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占比变化</w:t>
            </w:r>
          </w:p>
          <w:p>
            <w:pPr>
              <w:pStyle w:val="Style28"/>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298" w:hRule="exact"/>
        </w:trPr>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云店（注</w:t>
            </w:r>
            <w:r>
              <w:rPr>
                <w:rFonts w:ascii="Times New Roman" w:eastAsia="Times New Roman" w:hAnsi="Times New Roman" w:cs="Times New Roman"/>
                <w:color w:val="000000"/>
                <w:spacing w:val="0"/>
                <w:w w:val="100"/>
                <w:position w:val="0"/>
              </w:rPr>
              <w:t>1</w:t>
            </w:r>
            <w:r>
              <w:rPr>
                <w:color w:val="000000"/>
                <w:spacing w:val="0"/>
                <w:w w:val="100"/>
                <w:position w:val="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141</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9.34%</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42</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2.66%</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99</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6.68%</w:t>
            </w:r>
          </w:p>
        </w:tc>
      </w:tr>
      <w:tr>
        <w:trPr>
          <w:trHeight w:val="298" w:hRule="exact"/>
        </w:trPr>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旗舰店（注</w:t>
            </w:r>
            <w:r>
              <w:rPr>
                <w:rFonts w:ascii="Times New Roman" w:eastAsia="Times New Roman" w:hAnsi="Times New Roman" w:cs="Times New Roman"/>
                <w:color w:val="000000"/>
                <w:spacing w:val="0"/>
                <w:w w:val="100"/>
                <w:position w:val="0"/>
              </w:rPr>
              <w:t>1</w:t>
            </w:r>
            <w:r>
              <w:rPr>
                <w:color w:val="000000"/>
                <w:spacing w:val="0"/>
                <w:w w:val="100"/>
                <w:position w:val="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242</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16.03%</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298</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18.90%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-56</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-2.87%</w:t>
            </w:r>
          </w:p>
        </w:tc>
      </w:tr>
      <w:tr>
        <w:trPr>
          <w:trHeight w:val="293" w:hRule="exact"/>
        </w:trPr>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中心店</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389</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25.76%</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406</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25.74%</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-17</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0.02%</w:t>
            </w:r>
          </w:p>
        </w:tc>
      </w:tr>
      <w:tr>
        <w:trPr>
          <w:trHeight w:val="298" w:hRule="exact"/>
        </w:trPr>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社区店（注</w:t>
            </w:r>
            <w:r>
              <w:rPr>
                <w:rFonts w:ascii="Times New Roman" w:eastAsia="Times New Roman" w:hAnsi="Times New Roman" w:cs="Times New Roman"/>
                <w:color w:val="000000"/>
                <w:spacing w:val="0"/>
                <w:w w:val="100"/>
                <w:position w:val="0"/>
              </w:rPr>
              <w:t>2</w:t>
            </w:r>
            <w:r>
              <w:rPr>
                <w:color w:val="000000"/>
                <w:spacing w:val="0"/>
                <w:w w:val="100"/>
                <w:position w:val="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672</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44.50%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721</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45.72%</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-49</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-1.22%</w:t>
            </w:r>
          </w:p>
        </w:tc>
      </w:tr>
      <w:tr>
        <w:trPr>
          <w:trHeight w:val="293" w:hRule="exact"/>
        </w:trPr>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县镇店（注</w:t>
            </w:r>
            <w:r>
              <w:rPr>
                <w:rFonts w:ascii="Times New Roman" w:eastAsia="Times New Roman" w:hAnsi="Times New Roman" w:cs="Times New Roman"/>
                <w:color w:val="000000"/>
                <w:spacing w:val="0"/>
                <w:w w:val="100"/>
                <w:position w:val="0"/>
              </w:rPr>
              <w:t>2</w:t>
            </w:r>
            <w:r>
              <w:rPr>
                <w:color w:val="000000"/>
                <w:spacing w:val="0"/>
                <w:w w:val="100"/>
                <w:position w:val="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34</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2.25%</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43</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2.73%</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-0.48%</w:t>
            </w:r>
          </w:p>
        </w:tc>
      </w:tr>
      <w:tr>
        <w:trPr>
          <w:trHeight w:val="298" w:hRule="exact"/>
        </w:trPr>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红孩子店（注</w:t>
            </w:r>
            <w:r>
              <w:rPr>
                <w:rFonts w:ascii="Times New Roman" w:eastAsia="Times New Roman" w:hAnsi="Times New Roman" w:cs="Times New Roman"/>
                <w:color w:val="000000"/>
                <w:spacing w:val="0"/>
                <w:w w:val="100"/>
                <w:position w:val="0"/>
              </w:rPr>
              <w:t>3</w:t>
            </w:r>
            <w:r>
              <w:rPr>
                <w:color w:val="000000"/>
                <w:spacing w:val="0"/>
                <w:w w:val="100"/>
                <w:position w:val="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26</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1.72%</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27</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1.71%</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0.01%</w:t>
            </w:r>
          </w:p>
        </w:tc>
      </w:tr>
      <w:tr>
        <w:trPr>
          <w:trHeight w:val="293" w:hRule="exact"/>
        </w:trPr>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超市店</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0.40%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37</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2.35%</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-31</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-1.95%</w:t>
            </w:r>
          </w:p>
        </w:tc>
      </w:tr>
      <w:tr>
        <w:trPr>
          <w:trHeight w:val="298" w:hRule="exact"/>
        </w:trPr>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乐购仕店</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0.19%</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-0.19%</w:t>
            </w:r>
          </w:p>
        </w:tc>
      </w:tr>
      <w:tr>
        <w:trPr>
          <w:trHeight w:val="298" w:hRule="exact"/>
        </w:trPr>
        <w:tc>
          <w:tcPr>
            <w:tcBorders>
              <w:top w:val="single" w:sz="4"/>
              <w:left w:val="single" w:sz="4"/>
              <w:bottom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1510</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1577</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-67</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5"/>
        <w:keepNext w:val="0"/>
        <w:keepLines w:val="0"/>
        <w:widowControl w:val="0"/>
        <w:shd w:val="clear" w:color="auto" w:fill="auto"/>
        <w:bidi w:val="0"/>
        <w:spacing w:before="0" w:after="0" w:line="240" w:lineRule="auto"/>
        <w:ind w:left="754" w:right="0" w:firstLine="0"/>
        <w:jc w:val="left"/>
        <w:rPr>
          <w:sz w:val="20"/>
          <w:szCs w:val="20"/>
        </w:rPr>
      </w:pPr>
      <w:r>
        <w:rPr>
          <w:color w:val="000000"/>
          <w:spacing w:val="0"/>
          <w:w w:val="100"/>
          <w:position w:val="0"/>
          <w:sz w:val="20"/>
          <w:szCs w:val="20"/>
        </w:rPr>
        <w:t>注</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：报告期内，公司</w:t>
      </w:r>
      <w:r>
        <w:rPr>
          <w:rFonts w:ascii="Times New Roman" w:eastAsia="Times New Roman" w:hAnsi="Times New Roman" w:cs="Times New Roman"/>
          <w:color w:val="000000"/>
          <w:spacing w:val="0"/>
          <w:w w:val="100"/>
          <w:position w:val="0"/>
          <w:sz w:val="20"/>
          <w:szCs w:val="20"/>
        </w:rPr>
        <w:t>45</w:t>
      </w:r>
      <w:r>
        <w:rPr>
          <w:color w:val="000000"/>
          <w:spacing w:val="0"/>
          <w:w w:val="100"/>
          <w:position w:val="0"/>
          <w:sz w:val="20"/>
          <w:szCs w:val="20"/>
        </w:rPr>
        <w:t>家旗舰店改造为云店。</w:t>
      </w:r>
    </w:p>
    <w:p>
      <w:pPr>
        <w:pStyle w:val="Style32"/>
        <w:keepNext w:val="0"/>
        <w:keepLines w:val="0"/>
        <w:widowControl w:val="0"/>
        <w:shd w:val="clear" w:color="auto" w:fill="auto"/>
        <w:bidi w:val="0"/>
        <w:spacing w:before="0" w:after="0" w:line="472" w:lineRule="exact"/>
        <w:ind w:left="420" w:right="0" w:firstLine="420"/>
        <w:jc w:val="left"/>
        <w:rPr>
          <w:sz w:val="20"/>
          <w:szCs w:val="20"/>
        </w:rPr>
      </w:pPr>
      <w:r>
        <w:rPr>
          <w:color w:val="000000"/>
          <w:spacing w:val="0"/>
          <w:w w:val="100"/>
          <w:position w:val="0"/>
          <w:sz w:val="20"/>
          <w:szCs w:val="20"/>
        </w:rPr>
        <w:t>注</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：社区店除了包括在一、二级市场社区商圈开设的店面以外，也包括在县级市场开设的</w:t>
      </w:r>
      <w:r>
        <w:rPr>
          <w:rFonts w:ascii="Times New Roman" w:eastAsia="Times New Roman" w:hAnsi="Times New Roman" w:cs="Times New Roman"/>
          <w:color w:val="000000"/>
          <w:spacing w:val="0"/>
          <w:w w:val="100"/>
          <w:position w:val="0"/>
          <w:sz w:val="20"/>
          <w:szCs w:val="20"/>
        </w:rPr>
        <w:t>3000</w:t>
      </w:r>
      <w:r>
        <w:rPr>
          <w:color w:val="000000"/>
          <w:spacing w:val="0"/>
          <w:w w:val="100"/>
          <w:position w:val="0"/>
          <w:sz w:val="20"/>
          <w:szCs w:val="20"/>
        </w:rPr>
        <w:t>平米 左右的标准店；县镇店指在欠发达的县级市场与镇级市场开设的</w:t>
      </w:r>
      <w:r>
        <w:rPr>
          <w:rFonts w:ascii="Times New Roman" w:eastAsia="Times New Roman" w:hAnsi="Times New Roman" w:cs="Times New Roman"/>
          <w:color w:val="000000"/>
          <w:spacing w:val="0"/>
          <w:w w:val="100"/>
          <w:position w:val="0"/>
          <w:sz w:val="20"/>
          <w:szCs w:val="20"/>
        </w:rPr>
        <w:t>800-1500</w:t>
      </w:r>
      <w:r>
        <w:rPr>
          <w:color w:val="000000"/>
          <w:spacing w:val="0"/>
          <w:w w:val="100"/>
          <w:position w:val="0"/>
          <w:sz w:val="20"/>
          <w:szCs w:val="20"/>
        </w:rPr>
        <w:t>平米的店面。</w:t>
      </w:r>
    </w:p>
    <w:p>
      <w:pPr>
        <w:pStyle w:val="Style32"/>
        <w:keepNext w:val="0"/>
        <w:keepLines w:val="0"/>
        <w:widowControl w:val="0"/>
        <w:shd w:val="clear" w:color="auto" w:fill="auto"/>
        <w:bidi w:val="0"/>
        <w:spacing w:before="0" w:after="200" w:line="472" w:lineRule="exact"/>
        <w:ind w:left="420" w:right="0" w:firstLine="420"/>
        <w:jc w:val="left"/>
        <w:rPr>
          <w:sz w:val="20"/>
          <w:szCs w:val="20"/>
        </w:rPr>
      </w:pPr>
      <w:r>
        <w:rPr>
          <w:color w:val="000000"/>
          <w:spacing w:val="0"/>
          <w:w w:val="100"/>
          <w:position w:val="0"/>
          <w:sz w:val="20"/>
          <w:szCs w:val="20"/>
        </w:rPr>
        <w:t>注</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：报告期内，公司对红孩子线下门店进行了优化升级，致力于打造一站式的母婴童体验中心，基 于此对原有平均面积在</w:t>
      </w:r>
      <w:r>
        <w:rPr>
          <w:rFonts w:ascii="Times New Roman" w:eastAsia="Times New Roman" w:hAnsi="Times New Roman" w:cs="Times New Roman"/>
          <w:color w:val="000000"/>
          <w:spacing w:val="0"/>
          <w:w w:val="100"/>
          <w:position w:val="0"/>
          <w:sz w:val="20"/>
          <w:szCs w:val="20"/>
        </w:rPr>
        <w:t>800</w:t>
      </w:r>
      <w:r>
        <w:rPr>
          <w:color w:val="000000"/>
          <w:spacing w:val="0"/>
          <w:w w:val="100"/>
          <w:position w:val="0"/>
          <w:sz w:val="20"/>
          <w:szCs w:val="20"/>
        </w:rPr>
        <w:t>平米左右的门店进行了置换或关闭，替代为单店面积在</w:t>
      </w:r>
      <w:r>
        <w:rPr>
          <w:rFonts w:ascii="Times New Roman" w:eastAsia="Times New Roman" w:hAnsi="Times New Roman" w:cs="Times New Roman"/>
          <w:color w:val="000000"/>
          <w:spacing w:val="0"/>
          <w:w w:val="100"/>
          <w:position w:val="0"/>
          <w:sz w:val="20"/>
          <w:szCs w:val="20"/>
        </w:rPr>
        <w:t>2000</w:t>
      </w:r>
      <w:r>
        <w:rPr>
          <w:color w:val="000000"/>
          <w:spacing w:val="0"/>
          <w:w w:val="100"/>
          <w:position w:val="0"/>
          <w:sz w:val="20"/>
          <w:szCs w:val="20"/>
        </w:rPr>
        <w:t>平米以上的大店。 升级后的红孩子店面将满足用户购物、体验、社交等多重需求。公司将不断对红孩子店进行升级迭代， 进一步加强场景互动体验、社交培训等功能，提高用户粘性。</w:t>
      </w:r>
    </w:p>
    <w:p>
      <w:pPr>
        <w:pStyle w:val="Style25"/>
        <w:keepNext w:val="0"/>
        <w:keepLines w:val="0"/>
        <w:widowControl w:val="0"/>
        <w:shd w:val="clear" w:color="auto" w:fill="auto"/>
        <w:tabs>
          <w:tab w:pos="8832" w:val="left"/>
        </w:tabs>
        <w:bidi w:val="0"/>
        <w:spacing w:before="0" w:after="0" w:line="240" w:lineRule="auto"/>
        <w:ind w:left="850" w:right="0" w:firstLine="0"/>
        <w:jc w:val="left"/>
      </w:pPr>
      <w:r>
        <w:rPr>
          <w:color w:val="000000"/>
          <w:spacing w:val="0"/>
          <w:w w:val="100"/>
          <w:position w:val="0"/>
        </w:rPr>
        <w:t>表</w:t>
      </w:r>
      <w:r>
        <w:rPr>
          <w:rFonts w:ascii="Times New Roman" w:eastAsia="Times New Roman" w:hAnsi="Times New Roman" w:cs="Times New Roman"/>
          <w:color w:val="000000"/>
          <w:spacing w:val="0"/>
          <w:w w:val="100"/>
          <w:position w:val="0"/>
        </w:rPr>
        <w:t>2</w:t>
      </w:r>
      <w:r>
        <w:rPr>
          <w:color w:val="000000"/>
          <w:spacing w:val="0"/>
          <w:w w:val="100"/>
          <w:position w:val="0"/>
        </w:rPr>
        <w:t>大陆地区按照市场级别店面分布情况</w:t>
        <w:tab/>
        <w:t>（单位：家）</w:t>
      </w:r>
    </w:p>
    <w:tbl>
      <w:tblPr>
        <w:tblOverlap w:val="never"/>
        <w:jc w:val="center"/>
        <w:tblLayout w:type="fixed"/>
      </w:tblPr>
      <w:tblGrid>
        <w:gridCol w:w="1502"/>
        <w:gridCol w:w="1522"/>
        <w:gridCol w:w="1522"/>
        <w:gridCol w:w="1517"/>
        <w:gridCol w:w="1522"/>
        <w:gridCol w:w="1349"/>
        <w:gridCol w:w="1565"/>
      </w:tblGrid>
      <w:tr>
        <w:trPr>
          <w:trHeight w:val="298" w:hRule="exact"/>
        </w:trPr>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2"/>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gridSpan w:val="2"/>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gridSpan w:val="2"/>
            <w:tcBorders>
              <w:top w:val="single" w:sz="4"/>
              <w:left w:val="single" w:sz="4"/>
              <w:righ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增减变化情况</w:t>
            </w:r>
          </w:p>
        </w:tc>
      </w:tr>
      <w:tr>
        <w:trPr>
          <w:trHeight w:val="581"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占比（</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占比（</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数量变化</w:t>
            </w:r>
          </w:p>
        </w:tc>
        <w:tc>
          <w:tcPr>
            <w:tcBorders>
              <w:top w:val="single" w:sz="4"/>
              <w:left w:val="single" w:sz="4"/>
              <w:righ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占比变化</w:t>
            </w:r>
          </w:p>
          <w:p>
            <w:pPr>
              <w:pStyle w:val="Style28"/>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312" w:hRule="exact"/>
        </w:trPr>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300"/>
              <w:jc w:val="left"/>
            </w:pPr>
            <w:r>
              <w:rPr>
                <w:color w:val="000000"/>
                <w:spacing w:val="0"/>
                <w:w w:val="100"/>
                <w:position w:val="0"/>
              </w:rPr>
              <w:t>一级市场</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470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31.13%</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512</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32.47%</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-42</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-1.34%</w:t>
            </w:r>
          </w:p>
        </w:tc>
      </w:tr>
      <w:tr>
        <w:trPr>
          <w:trHeight w:val="307"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300"/>
              <w:jc w:val="left"/>
            </w:pPr>
            <w:r>
              <w:rPr>
                <w:color w:val="000000"/>
                <w:spacing w:val="0"/>
                <w:w w:val="100"/>
                <w:position w:val="0"/>
              </w:rPr>
              <w:t>二级市场</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441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29.20%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447</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28.34%</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0.86%</w:t>
            </w:r>
          </w:p>
        </w:tc>
      </w:tr>
      <w:tr>
        <w:trPr>
          <w:trHeight w:val="312"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300"/>
              <w:jc w:val="left"/>
            </w:pPr>
            <w:r>
              <w:rPr>
                <w:color w:val="000000"/>
                <w:spacing w:val="0"/>
                <w:w w:val="100"/>
                <w:position w:val="0"/>
              </w:rPr>
              <w:t>三级市场</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541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35.83%</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546</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34.62%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1.21%</w:t>
            </w:r>
          </w:p>
        </w:tc>
      </w:tr>
      <w:tr>
        <w:trPr>
          <w:trHeight w:val="307"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300"/>
              <w:jc w:val="left"/>
            </w:pPr>
            <w:r>
              <w:rPr>
                <w:color w:val="000000"/>
                <w:spacing w:val="0"/>
                <w:w w:val="100"/>
                <w:position w:val="0"/>
              </w:rPr>
              <w:t>四级市场</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3.84%</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4.57%</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-0.73%</w:t>
            </w:r>
          </w:p>
        </w:tc>
      </w:tr>
      <w:tr>
        <w:trPr>
          <w:trHeight w:val="317" w:hRule="exact"/>
        </w:trPr>
        <w:tc>
          <w:tcPr>
            <w:tcBorders>
              <w:top w:val="single" w:sz="4"/>
              <w:left w:val="single" w:sz="4"/>
              <w:bottom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1510</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1577</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-67</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5"/>
        <w:keepNext w:val="0"/>
        <w:keepLines w:val="0"/>
        <w:widowControl w:val="0"/>
        <w:shd w:val="clear" w:color="auto" w:fill="auto"/>
        <w:bidi w:val="0"/>
        <w:spacing w:before="0" w:after="0" w:line="475" w:lineRule="exact"/>
        <w:ind w:left="422" w:right="0" w:firstLine="0"/>
        <w:jc w:val="left"/>
        <w:rPr>
          <w:sz w:val="20"/>
          <w:szCs w:val="20"/>
        </w:rPr>
      </w:pPr>
      <w:r>
        <w:rPr>
          <w:color w:val="000000"/>
          <w:spacing w:val="0"/>
          <w:w w:val="100"/>
          <w:position w:val="0"/>
          <w:sz w:val="20"/>
          <w:szCs w:val="20"/>
        </w:rPr>
        <w:t>注</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 一级市场指副省级以上城市；二级市场指一级市场以外的地级市；三级市场指一二级市场下辖 的县、县级市或远郊区；四级市场主要指镇级城市。</w:t>
      </w:r>
    </w:p>
    <w:p>
      <w:pPr>
        <w:widowControl w:val="0"/>
        <w:spacing w:after="59" w:line="1" w:lineRule="exact"/>
      </w:pPr>
    </w:p>
    <w:p>
      <w:pPr>
        <w:pStyle w:val="Style32"/>
        <w:keepNext w:val="0"/>
        <w:keepLines w:val="0"/>
        <w:widowControl w:val="0"/>
        <w:shd w:val="clear" w:color="auto" w:fill="auto"/>
        <w:bidi w:val="0"/>
        <w:spacing w:before="0" w:after="200" w:line="240" w:lineRule="auto"/>
        <w:ind w:left="0" w:right="0" w:firstLine="840"/>
        <w:jc w:val="left"/>
      </w:pPr>
      <w:r>
        <w:rPr>
          <w:color w:val="000000"/>
          <w:spacing w:val="0"/>
          <w:w w:val="100"/>
          <w:position w:val="0"/>
        </w:rPr>
        <w:t>一二级市场公司以互联网</w:t>
      </w:r>
      <w:r>
        <w:rPr>
          <w:rFonts w:ascii="Times New Roman" w:eastAsia="Times New Roman" w:hAnsi="Times New Roman" w:cs="Times New Roman"/>
          <w:color w:val="000000"/>
          <w:spacing w:val="0"/>
          <w:w w:val="100"/>
          <w:position w:val="0"/>
        </w:rPr>
        <w:t>+</w:t>
      </w:r>
      <w:r>
        <w:rPr>
          <w:color w:val="000000"/>
          <w:spacing w:val="0"/>
          <w:w w:val="100"/>
          <w:position w:val="0"/>
        </w:rPr>
        <w:t>旗舰店的方式进行覆盖，增加云店、旗舰店的升级，进一步优化店面</w:t>
      </w:r>
    </w:p>
    <w:p>
      <w:pPr>
        <w:pStyle w:val="Style32"/>
        <w:keepNext w:val="0"/>
        <w:keepLines w:val="0"/>
        <w:widowControl w:val="0"/>
        <w:shd w:val="clear" w:color="auto" w:fill="auto"/>
        <w:bidi w:val="0"/>
        <w:spacing w:before="0" w:after="200" w:line="240" w:lineRule="auto"/>
        <w:ind w:left="0" w:right="0" w:firstLine="420"/>
        <w:jc w:val="left"/>
      </w:pPr>
      <w:r>
        <w:rPr>
          <w:color w:val="000000"/>
          <w:spacing w:val="0"/>
          <w:w w:val="100"/>
          <w:position w:val="0"/>
        </w:rPr>
        <w:t>结构。三四级市场公司加快店面业态调整，完善</w:t>
      </w:r>
      <w:r>
        <w:rPr>
          <w:rFonts w:ascii="Times New Roman" w:eastAsia="Times New Roman" w:hAnsi="Times New Roman" w:cs="Times New Roman"/>
          <w:color w:val="000000"/>
          <w:spacing w:val="0"/>
          <w:w w:val="100"/>
          <w:position w:val="0"/>
        </w:rPr>
        <w:t>020</w:t>
      </w:r>
      <w:r>
        <w:rPr>
          <w:color w:val="000000"/>
          <w:spacing w:val="0"/>
          <w:w w:val="100"/>
          <w:position w:val="0"/>
        </w:rPr>
        <w:t>模式，开设苏宁易购服务站作为常规店的补充。</w:t>
      </w:r>
    </w:p>
    <w:p>
      <w:pPr>
        <w:pStyle w:val="Style25"/>
        <w:keepNext w:val="0"/>
        <w:keepLines w:val="0"/>
        <w:widowControl w:val="0"/>
        <w:shd w:val="clear" w:color="auto" w:fill="auto"/>
        <w:tabs>
          <w:tab w:pos="8779" w:val="left"/>
        </w:tabs>
        <w:bidi w:val="0"/>
        <w:spacing w:before="0" w:after="0" w:line="240" w:lineRule="auto"/>
        <w:ind w:left="806" w:right="0" w:firstLine="0"/>
        <w:jc w:val="left"/>
      </w:pPr>
      <w:r>
        <w:rPr>
          <w:color w:val="000000"/>
          <w:spacing w:val="0"/>
          <w:w w:val="100"/>
          <w:position w:val="0"/>
        </w:rPr>
        <w:t>表</w:t>
      </w:r>
      <w:r>
        <w:rPr>
          <w:rFonts w:ascii="Times New Roman" w:eastAsia="Times New Roman" w:hAnsi="Times New Roman" w:cs="Times New Roman"/>
          <w:color w:val="000000"/>
          <w:spacing w:val="0"/>
          <w:w w:val="100"/>
          <w:position w:val="0"/>
        </w:rPr>
        <w:t>3</w:t>
      </w:r>
      <w:r>
        <w:rPr>
          <w:color w:val="000000"/>
          <w:spacing w:val="0"/>
          <w:w w:val="100"/>
          <w:position w:val="0"/>
        </w:rPr>
        <w:t>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日苏宁易购服务站直营店分布情况</w:t>
        <w:tab/>
        <w:t>（单位：家）</w:t>
      </w:r>
    </w:p>
    <w:tbl>
      <w:tblPr>
        <w:tblOverlap w:val="never"/>
        <w:jc w:val="center"/>
        <w:tblLayout w:type="fixed"/>
      </w:tblPr>
      <w:tblGrid>
        <w:gridCol w:w="1618"/>
        <w:gridCol w:w="989"/>
        <w:gridCol w:w="994"/>
        <w:gridCol w:w="989"/>
        <w:gridCol w:w="946"/>
        <w:gridCol w:w="1042"/>
        <w:gridCol w:w="854"/>
        <w:gridCol w:w="1032"/>
        <w:gridCol w:w="854"/>
        <w:gridCol w:w="1094"/>
      </w:tblGrid>
      <w:tr>
        <w:trPr>
          <w:trHeight w:val="586"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华东 一区</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华东 二区</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华南 地区</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华中 地区</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华北 地区</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74" w:lineRule="exact"/>
              <w:ind w:left="200" w:right="0" w:firstLine="20"/>
              <w:jc w:val="left"/>
            </w:pPr>
            <w:r>
              <w:rPr>
                <w:color w:val="000000"/>
                <w:spacing w:val="0"/>
                <w:w w:val="100"/>
                <w:position w:val="0"/>
              </w:rPr>
              <w:t>西北 地区</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西南 地区</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69" w:lineRule="exact"/>
              <w:ind w:left="0" w:right="0" w:firstLine="0"/>
              <w:jc w:val="center"/>
            </w:pPr>
            <w:r>
              <w:rPr>
                <w:color w:val="000000"/>
                <w:spacing w:val="0"/>
                <w:w w:val="100"/>
                <w:position w:val="0"/>
              </w:rPr>
              <w:t>东北 地区</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r>
      <w:tr>
        <w:trPr>
          <w:trHeight w:val="576" w:hRule="exact"/>
        </w:trPr>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苏宁易购服务 站直营店数量</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475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312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243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251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221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193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1902</w:t>
            </w:r>
          </w:p>
        </w:tc>
      </w:tr>
      <w:tr>
        <w:trPr>
          <w:trHeight w:val="298"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占比（</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24.97%</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16.40%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12.78%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13.20%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11.62%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6.94%</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10.15%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3.94%</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r>
      <w:tr>
        <w:trPr>
          <w:trHeight w:val="302" w:hRule="exact"/>
        </w:trPr>
        <w:tc>
          <w:tcPr>
            <w:tcBorders>
              <w:top w:val="single" w:sz="4"/>
              <w:left w:val="single" w:sz="4"/>
              <w:bottom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同期变动</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241</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125</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121</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123</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110</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44</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98</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29</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891</w:t>
            </w:r>
          </w:p>
        </w:tc>
      </w:tr>
    </w:tbl>
    <w:p>
      <w:pPr>
        <w:pStyle w:val="Style25"/>
        <w:keepNext w:val="0"/>
        <w:keepLines w:val="0"/>
        <w:widowControl w:val="0"/>
        <w:shd w:val="clear" w:color="auto" w:fill="auto"/>
        <w:tabs>
          <w:tab w:pos="4899" w:val="left"/>
        </w:tabs>
        <w:bidi w:val="0"/>
        <w:spacing w:before="0" w:after="0" w:line="240" w:lineRule="auto"/>
        <w:ind w:left="365" w:right="0" w:firstLine="0"/>
        <w:jc w:val="left"/>
        <w:rPr>
          <w:sz w:val="20"/>
          <w:szCs w:val="20"/>
        </w:rPr>
      </w:pPr>
      <w:r>
        <w:rPr>
          <w:color w:val="000000"/>
          <w:spacing w:val="0"/>
          <w:w w:val="100"/>
          <w:position w:val="0"/>
          <w:sz w:val="20"/>
          <w:szCs w:val="20"/>
        </w:rPr>
        <w:t>注</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：华东一区江苏、安徽、山东；</w:t>
        <w:tab/>
        <w:t>华东二区上海、福建、浙江、江西；</w:t>
      </w:r>
    </w:p>
    <w:p>
      <w:pPr>
        <w:widowControl w:val="0"/>
        <w:spacing w:after="239" w:line="1" w:lineRule="exact"/>
      </w:pPr>
    </w:p>
    <w:p>
      <w:pPr>
        <w:pStyle w:val="Style32"/>
        <w:keepNext w:val="0"/>
        <w:keepLines w:val="0"/>
        <w:widowControl w:val="0"/>
        <w:shd w:val="clear" w:color="auto" w:fill="auto"/>
        <w:tabs>
          <w:tab w:pos="4610" w:val="left"/>
        </w:tabs>
        <w:bidi w:val="0"/>
        <w:spacing w:before="0" w:after="240" w:line="240" w:lineRule="auto"/>
        <w:ind w:left="0" w:right="0" w:firstLine="840"/>
        <w:jc w:val="left"/>
        <w:rPr>
          <w:sz w:val="20"/>
          <w:szCs w:val="20"/>
        </w:rPr>
      </w:pPr>
      <w:r>
        <w:rPr>
          <w:color w:val="000000"/>
          <w:spacing w:val="0"/>
          <w:w w:val="100"/>
          <w:position w:val="0"/>
          <w:sz w:val="20"/>
          <w:szCs w:val="20"/>
        </w:rPr>
        <w:t>华南地区广东、广西、海南；</w:t>
        <w:tab/>
        <w:t>华北地区北京、天津、河北、山西、内蒙；</w:t>
      </w:r>
    </w:p>
    <w:p>
      <w:pPr>
        <w:pStyle w:val="Style32"/>
        <w:keepNext w:val="0"/>
        <w:keepLines w:val="0"/>
        <w:widowControl w:val="0"/>
        <w:shd w:val="clear" w:color="auto" w:fill="auto"/>
        <w:tabs>
          <w:tab w:pos="5189" w:val="left"/>
        </w:tabs>
        <w:bidi w:val="0"/>
        <w:spacing w:before="0" w:after="240" w:line="240" w:lineRule="auto"/>
        <w:ind w:left="0" w:right="0" w:firstLine="840"/>
        <w:jc w:val="left"/>
        <w:rPr>
          <w:sz w:val="20"/>
          <w:szCs w:val="20"/>
        </w:rPr>
      </w:pPr>
      <w:r>
        <w:rPr>
          <w:color w:val="000000"/>
          <w:spacing w:val="0"/>
          <w:w w:val="100"/>
          <w:position w:val="0"/>
          <w:sz w:val="20"/>
          <w:szCs w:val="20"/>
        </w:rPr>
        <w:t>西南地区四川、重庆、云南、贵州、西藏；</w:t>
        <w:tab/>
        <w:t>华中地区湖北、湖南、河南；</w:t>
      </w:r>
    </w:p>
    <w:p>
      <w:pPr>
        <w:pStyle w:val="Style32"/>
        <w:keepNext w:val="0"/>
        <w:keepLines w:val="0"/>
        <w:widowControl w:val="0"/>
        <w:shd w:val="clear" w:color="auto" w:fill="auto"/>
        <w:tabs>
          <w:tab w:pos="4610" w:val="left"/>
        </w:tabs>
        <w:bidi w:val="0"/>
        <w:spacing w:before="0" w:after="360" w:line="240" w:lineRule="auto"/>
        <w:ind w:left="0" w:right="0" w:firstLine="840"/>
        <w:jc w:val="left"/>
        <w:rPr>
          <w:sz w:val="20"/>
          <w:szCs w:val="20"/>
        </w:rPr>
      </w:pPr>
      <w:r>
        <w:rPr>
          <w:color w:val="000000"/>
          <w:spacing w:val="0"/>
          <w:w w:val="100"/>
          <w:position w:val="0"/>
          <w:sz w:val="20"/>
          <w:szCs w:val="20"/>
        </w:rPr>
        <w:t>东北地区辽宁、黑龙江、吉林；</w:t>
        <w:tab/>
        <w:t>西北地区陕西、甘肃、青海、新疆、宁夏。</w:t>
      </w:r>
    </w:p>
    <w:p>
      <w:pPr>
        <w:pStyle w:val="Style32"/>
        <w:keepNext w:val="0"/>
        <w:keepLines w:val="0"/>
        <w:widowControl w:val="0"/>
        <w:shd w:val="clear" w:color="auto" w:fill="auto"/>
        <w:bidi w:val="0"/>
        <w:spacing w:before="0" w:after="200" w:line="240" w:lineRule="auto"/>
        <w:ind w:left="0" w:right="0" w:firstLine="840"/>
        <w:jc w:val="left"/>
      </w:pPr>
      <w:bookmarkStart w:id="47" w:name="bookmark47"/>
      <w:r>
        <w:rPr>
          <w:color w:val="000000"/>
          <w:spacing w:val="0"/>
          <w:w w:val="100"/>
          <w:position w:val="0"/>
        </w:rPr>
        <w:t>（</w:t>
      </w:r>
      <w:bookmarkEnd w:id="47"/>
      <w:r>
        <w:rPr>
          <w:rFonts w:ascii="Times New Roman" w:eastAsia="Times New Roman" w:hAnsi="Times New Roman" w:cs="Times New Roman"/>
          <w:color w:val="000000"/>
          <w:spacing w:val="0"/>
          <w:w w:val="100"/>
          <w:position w:val="0"/>
        </w:rPr>
        <w:t>2</w:t>
      </w:r>
      <w:r>
        <w:rPr>
          <w:color w:val="000000"/>
          <w:spacing w:val="0"/>
          <w:w w:val="100"/>
          <w:position w:val="0"/>
        </w:rPr>
        <w:t>）连锁门店经营质量</w:t>
      </w:r>
    </w:p>
    <w:p>
      <w:pPr>
        <w:pStyle w:val="Style32"/>
        <w:keepNext w:val="0"/>
        <w:keepLines w:val="0"/>
        <w:widowControl w:val="0"/>
        <w:shd w:val="clear" w:color="auto" w:fill="auto"/>
        <w:bidi w:val="0"/>
        <w:spacing w:before="0" w:after="200" w:line="240" w:lineRule="auto"/>
        <w:ind w:left="0" w:right="0" w:firstLine="840"/>
        <w:jc w:val="left"/>
      </w:pPr>
      <w:r>
        <w:rPr>
          <w:rFonts w:ascii="Times New Roman" w:eastAsia="Times New Roman" w:hAnsi="Times New Roman" w:cs="Times New Roman"/>
          <w:color w:val="000000"/>
          <w:spacing w:val="0"/>
          <w:w w:val="100"/>
          <w:position w:val="0"/>
        </w:rPr>
        <w:t>2016</w:t>
      </w:r>
      <w:r>
        <w:rPr>
          <w:color w:val="000000"/>
          <w:spacing w:val="0"/>
          <w:w w:val="100"/>
          <w:position w:val="0"/>
        </w:rPr>
        <w:t>年，外部环境景气度依然较弱，公司强化门店基础管理，通过运用互联网数据营销工具，</w:t>
      </w:r>
    </w:p>
    <w:p>
      <w:pPr>
        <w:pStyle w:val="Style32"/>
        <w:keepNext w:val="0"/>
        <w:keepLines w:val="0"/>
        <w:widowControl w:val="0"/>
        <w:shd w:val="clear" w:color="auto" w:fill="auto"/>
        <w:bidi w:val="0"/>
        <w:spacing w:before="0" w:after="200" w:line="240" w:lineRule="auto"/>
        <w:ind w:left="0" w:right="0" w:firstLine="420"/>
        <w:jc w:val="left"/>
      </w:pPr>
      <w:r>
        <w:rPr>
          <w:color w:val="000000"/>
          <w:spacing w:val="0"/>
          <w:w w:val="100"/>
          <w:position w:val="0"/>
        </w:rPr>
        <w:t>提高门店销售转化；加强门店面积优化，实施招商、降租、退租方式，店面坪效提高；优化商品出</w:t>
      </w:r>
    </w:p>
    <w:p>
      <w:pPr>
        <w:pStyle w:val="Style32"/>
        <w:keepNext w:val="0"/>
        <w:keepLines w:val="0"/>
        <w:widowControl w:val="0"/>
        <w:shd w:val="clear" w:color="auto" w:fill="auto"/>
        <w:bidi w:val="0"/>
        <w:spacing w:before="0" w:after="200" w:line="240" w:lineRule="auto"/>
        <w:ind w:left="0" w:right="0" w:firstLine="420"/>
        <w:jc w:val="left"/>
      </w:pPr>
      <w:r>
        <w:rPr>
          <w:color w:val="000000"/>
          <w:spacing w:val="0"/>
          <w:w w:val="100"/>
          <w:position w:val="0"/>
        </w:rPr>
        <w:t>样，增加差异化产品，注重体验及服务升级，线下销售逐步回升。</w:t>
      </w:r>
    </w:p>
    <w:p>
      <w:pPr>
        <w:pStyle w:val="Style32"/>
        <w:keepNext w:val="0"/>
        <w:keepLines w:val="0"/>
        <w:widowControl w:val="0"/>
        <w:shd w:val="clear" w:color="auto" w:fill="auto"/>
        <w:bidi w:val="0"/>
        <w:spacing w:before="0" w:after="180" w:line="470" w:lineRule="exact"/>
        <w:ind w:left="400" w:right="0" w:firstLine="460"/>
        <w:jc w:val="both"/>
      </w:pPr>
      <w:r>
        <w:rPr>
          <w:color w:val="000000"/>
          <w:spacing w:val="0"/>
          <w:w w:val="100"/>
          <w:position w:val="0"/>
        </w:rPr>
        <w:t>整体来看，</w:t>
      </w:r>
      <w:r>
        <w:rPr>
          <w:rFonts w:ascii="Times New Roman" w:eastAsia="Times New Roman" w:hAnsi="Times New Roman" w:cs="Times New Roman"/>
          <w:color w:val="000000"/>
          <w:spacing w:val="0"/>
          <w:w w:val="100"/>
          <w:position w:val="0"/>
        </w:rPr>
        <w:t>2016</w:t>
      </w:r>
      <w:r>
        <w:rPr>
          <w:color w:val="000000"/>
          <w:spacing w:val="0"/>
          <w:w w:val="100"/>
          <w:position w:val="0"/>
        </w:rPr>
        <w:t>年公司可比店面（指</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日当日及之前开设的店面）销售较去年同期下 降</w:t>
      </w:r>
      <w:r>
        <w:rPr>
          <w:rFonts w:ascii="Times New Roman" w:eastAsia="Times New Roman" w:hAnsi="Times New Roman" w:cs="Times New Roman"/>
          <w:color w:val="000000"/>
          <w:spacing w:val="0"/>
          <w:w w:val="100"/>
          <w:position w:val="0"/>
        </w:rPr>
        <w:t>1.33%</w:t>
      </w:r>
      <w:r>
        <w:rPr>
          <w:color w:val="000000"/>
          <w:spacing w:val="0"/>
          <w:w w:val="100"/>
          <w:position w:val="0"/>
        </w:rPr>
        <w:t>，但增速逐季提升。三季度增长基本持平，四季度在旺季销售、</w:t>
      </w:r>
      <w:r>
        <w:rPr>
          <w:rFonts w:ascii="Times New Roman" w:eastAsia="Times New Roman" w:hAnsi="Times New Roman" w:cs="Times New Roman"/>
          <w:color w:val="000000"/>
          <w:spacing w:val="0"/>
          <w:w w:val="100"/>
          <w:position w:val="0"/>
        </w:rPr>
        <w:t>020</w:t>
      </w:r>
      <w:r>
        <w:rPr>
          <w:color w:val="000000"/>
          <w:spacing w:val="0"/>
          <w:w w:val="100"/>
          <w:position w:val="0"/>
        </w:rPr>
        <w:t>促销联合推广的带动下, 可比店面单季度实现收入同比增长</w:t>
      </w:r>
      <w:r>
        <w:rPr>
          <w:rFonts w:ascii="Times New Roman" w:eastAsia="Times New Roman" w:hAnsi="Times New Roman" w:cs="Times New Roman"/>
          <w:color w:val="000000"/>
          <w:spacing w:val="0"/>
          <w:w w:val="100"/>
          <w:position w:val="0"/>
        </w:rPr>
        <w:t>4.28%</w:t>
      </w:r>
      <w:r>
        <w:rPr>
          <w:color w:val="000000"/>
          <w:spacing w:val="0"/>
          <w:w w:val="100"/>
          <w:position w:val="0"/>
        </w:rPr>
        <w:t xml:space="preserve">。与此同时，一系列优化举措，带来连锁坪效同比提升 </w:t>
      </w:r>
      <w:r>
        <w:rPr>
          <w:rFonts w:ascii="Times New Roman" w:eastAsia="Times New Roman" w:hAnsi="Times New Roman" w:cs="Times New Roman"/>
          <w:color w:val="000000"/>
          <w:spacing w:val="0"/>
          <w:w w:val="100"/>
          <w:position w:val="0"/>
        </w:rPr>
        <w:t>19.49%</w:t>
      </w:r>
      <w:r>
        <w:rPr>
          <w:color w:val="000000"/>
          <w:spacing w:val="0"/>
          <w:w w:val="100"/>
          <w:position w:val="0"/>
        </w:rPr>
        <w:t>，店面经营质量有较大的改善。</w:t>
      </w:r>
    </w:p>
    <w:p>
      <w:pPr>
        <w:pStyle w:val="Style25"/>
        <w:keepNext w:val="0"/>
        <w:keepLines w:val="0"/>
        <w:widowControl w:val="0"/>
        <w:shd w:val="clear" w:color="auto" w:fill="auto"/>
        <w:bidi w:val="0"/>
        <w:spacing w:before="0" w:after="0" w:line="240" w:lineRule="auto"/>
        <w:ind w:left="437" w:right="0" w:firstLine="0"/>
        <w:jc w:val="left"/>
      </w:pPr>
      <w:r>
        <w:rPr>
          <w:color w:val="000000"/>
          <w:spacing w:val="0"/>
          <w:w w:val="100"/>
          <w:position w:val="0"/>
        </w:rPr>
        <w:t>表</w:t>
      </w:r>
      <w:r>
        <w:rPr>
          <w:rFonts w:ascii="Times New Roman" w:eastAsia="Times New Roman" w:hAnsi="Times New Roman" w:cs="Times New Roman"/>
          <w:color w:val="000000"/>
          <w:spacing w:val="0"/>
          <w:w w:val="100"/>
          <w:position w:val="0"/>
        </w:rPr>
        <w:t>4</w:t>
      </w:r>
      <w:r>
        <w:rPr>
          <w:color w:val="000000"/>
          <w:spacing w:val="0"/>
          <w:w w:val="100"/>
          <w:position w:val="0"/>
        </w:rPr>
        <w:t>大陆地区可比店面按店面类型分布经营质量情况</w:t>
      </w:r>
    </w:p>
    <w:tbl>
      <w:tblPr>
        <w:tblOverlap w:val="never"/>
        <w:jc w:val="center"/>
        <w:tblLayout w:type="fixed"/>
      </w:tblPr>
      <w:tblGrid>
        <w:gridCol w:w="2568"/>
        <w:gridCol w:w="1416"/>
        <w:gridCol w:w="1421"/>
        <w:gridCol w:w="1421"/>
        <w:gridCol w:w="1421"/>
        <w:gridCol w:w="1421"/>
      </w:tblGrid>
      <w:tr>
        <w:trPr>
          <w:trHeight w:val="317"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市场级别</w:t>
            </w:r>
          </w:p>
        </w:tc>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云店</w:t>
            </w:r>
          </w:p>
        </w:tc>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旗舰店</w:t>
            </w:r>
          </w:p>
        </w:tc>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中心店</w:t>
            </w:r>
          </w:p>
        </w:tc>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社区店</w:t>
            </w:r>
          </w:p>
        </w:tc>
        <w:tc>
          <w:tcPr>
            <w:tcBorders>
              <w:top w:val="single" w:sz="4"/>
              <w:left w:val="single" w:sz="4"/>
              <w:righ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县镇店</w:t>
            </w:r>
          </w:p>
        </w:tc>
      </w:tr>
      <w:tr>
        <w:trPr>
          <w:trHeight w:val="322" w:hRule="exact"/>
        </w:trPr>
        <w:tc>
          <w:tcPr>
            <w:tcBorders>
              <w:top w:val="single" w:sz="4"/>
              <w:left w:val="single" w:sz="4"/>
              <w:bottom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可比店面销售收入同比</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3.67%</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-1.36%</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-3.46%</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-5.55%</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-3.83%</w:t>
            </w:r>
          </w:p>
        </w:tc>
      </w:tr>
    </w:tbl>
    <w:p>
      <w:pPr>
        <w:widowControl w:val="0"/>
        <w:spacing w:after="79" w:line="1" w:lineRule="exact"/>
      </w:pPr>
    </w:p>
    <w:p>
      <w:pPr>
        <w:pStyle w:val="Style25"/>
        <w:keepNext w:val="0"/>
        <w:keepLines w:val="0"/>
        <w:widowControl w:val="0"/>
        <w:shd w:val="clear" w:color="auto" w:fill="auto"/>
        <w:bidi w:val="0"/>
        <w:spacing w:before="0" w:after="0" w:line="240" w:lineRule="auto"/>
        <w:ind w:left="437" w:right="0" w:firstLine="0"/>
        <w:jc w:val="left"/>
      </w:pPr>
      <w:r>
        <w:rPr>
          <w:color w:val="000000"/>
          <w:spacing w:val="0"/>
          <w:w w:val="100"/>
          <w:position w:val="0"/>
        </w:rPr>
        <w:t>表</w:t>
      </w:r>
      <w:r>
        <w:rPr>
          <w:rFonts w:ascii="Times New Roman" w:eastAsia="Times New Roman" w:hAnsi="Times New Roman" w:cs="Times New Roman"/>
          <w:color w:val="000000"/>
          <w:spacing w:val="0"/>
          <w:w w:val="100"/>
          <w:position w:val="0"/>
        </w:rPr>
        <w:t>5</w:t>
      </w:r>
      <w:r>
        <w:rPr>
          <w:color w:val="000000"/>
          <w:spacing w:val="0"/>
          <w:w w:val="100"/>
          <w:position w:val="0"/>
        </w:rPr>
        <w:t>大陆地区可比店面按市场类型分布经营质量情况</w:t>
      </w:r>
    </w:p>
    <w:tbl>
      <w:tblPr>
        <w:tblOverlap w:val="never"/>
        <w:jc w:val="center"/>
        <w:tblLayout w:type="fixed"/>
      </w:tblPr>
      <w:tblGrid>
        <w:gridCol w:w="2587"/>
        <w:gridCol w:w="1771"/>
        <w:gridCol w:w="1771"/>
        <w:gridCol w:w="1771"/>
        <w:gridCol w:w="1766"/>
      </w:tblGrid>
      <w:tr>
        <w:trPr>
          <w:trHeight w:val="317"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市场级别</w:t>
            </w:r>
          </w:p>
        </w:tc>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一级市场</w:t>
            </w:r>
          </w:p>
        </w:tc>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二级市场</w:t>
            </w:r>
          </w:p>
        </w:tc>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三级市场</w:t>
            </w:r>
          </w:p>
        </w:tc>
        <w:tc>
          <w:tcPr>
            <w:tcBorders>
              <w:top w:val="single" w:sz="4"/>
              <w:left w:val="single" w:sz="4"/>
              <w:righ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四级市场</w:t>
            </w:r>
          </w:p>
        </w:tc>
      </w:tr>
      <w:tr>
        <w:trPr>
          <w:trHeight w:val="322" w:hRule="exact"/>
        </w:trPr>
        <w:tc>
          <w:tcPr>
            <w:tcBorders>
              <w:top w:val="single" w:sz="4"/>
              <w:left w:val="single" w:sz="4"/>
              <w:bottom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可比店面销售收入同比</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2.34%</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-6.12%</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-5.96%</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-4.33%</w:t>
            </w:r>
          </w:p>
        </w:tc>
      </w:tr>
    </w:tbl>
    <w:p>
      <w:pPr>
        <w:pStyle w:val="Style32"/>
        <w:keepNext w:val="0"/>
        <w:keepLines w:val="0"/>
        <w:widowControl w:val="0"/>
        <w:shd w:val="clear" w:color="auto" w:fill="auto"/>
        <w:bidi w:val="0"/>
        <w:spacing w:before="0" w:after="0" w:line="468" w:lineRule="exact"/>
        <w:ind w:left="400" w:right="0" w:firstLine="460"/>
        <w:jc w:val="both"/>
      </w:pPr>
      <w:r>
        <w:rPr>
          <w:color w:val="000000"/>
          <w:spacing w:val="0"/>
          <w:w w:val="100"/>
          <w:position w:val="0"/>
        </w:rPr>
        <w:t>苏宁易购服务站是公司在三四级市场实践</w:t>
      </w:r>
      <w:r>
        <w:rPr>
          <w:rFonts w:ascii="Times New Roman" w:eastAsia="Times New Roman" w:hAnsi="Times New Roman" w:cs="Times New Roman"/>
          <w:color w:val="000000"/>
          <w:spacing w:val="0"/>
          <w:w w:val="100"/>
          <w:position w:val="0"/>
        </w:rPr>
        <w:t>020</w:t>
      </w:r>
      <w:r>
        <w:rPr>
          <w:color w:val="000000"/>
          <w:spacing w:val="0"/>
          <w:w w:val="100"/>
          <w:position w:val="0"/>
        </w:rPr>
        <w:t>零售模式的平台，经营效益逐步显现，</w:t>
      </w:r>
      <w:r>
        <w:rPr>
          <w:rFonts w:ascii="Times New Roman" w:eastAsia="Times New Roman" w:hAnsi="Times New Roman" w:cs="Times New Roman"/>
          <w:color w:val="000000"/>
          <w:spacing w:val="0"/>
          <w:w w:val="100"/>
          <w:position w:val="0"/>
        </w:rPr>
        <w:t>2015</w:t>
      </w:r>
      <w:r>
        <w:rPr>
          <w:color w:val="000000"/>
          <w:spacing w:val="0"/>
          <w:w w:val="100"/>
          <w:position w:val="0"/>
        </w:rPr>
        <w:t>年开 设的苏宁易购服务站直营店在</w:t>
      </w:r>
      <w:r>
        <w:rPr>
          <w:rFonts w:ascii="Times New Roman" w:eastAsia="Times New Roman" w:hAnsi="Times New Roman" w:cs="Times New Roman"/>
          <w:color w:val="000000"/>
          <w:spacing w:val="0"/>
          <w:w w:val="100"/>
          <w:position w:val="0"/>
        </w:rPr>
        <w:t>2016</w:t>
      </w:r>
      <w:r>
        <w:rPr>
          <w:color w:val="000000"/>
          <w:spacing w:val="0"/>
          <w:w w:val="100"/>
          <w:position w:val="0"/>
        </w:rPr>
        <w:t>年单店年销售额较</w:t>
      </w:r>
      <w:r>
        <w:rPr>
          <w:rFonts w:ascii="Times New Roman" w:eastAsia="Times New Roman" w:hAnsi="Times New Roman" w:cs="Times New Roman"/>
          <w:color w:val="000000"/>
          <w:spacing w:val="0"/>
          <w:w w:val="100"/>
          <w:position w:val="0"/>
        </w:rPr>
        <w:t>2015</w:t>
      </w:r>
      <w:r>
        <w:rPr>
          <w:color w:val="000000"/>
          <w:spacing w:val="0"/>
          <w:w w:val="100"/>
          <w:position w:val="0"/>
        </w:rPr>
        <w:t>年同比提升</w:t>
      </w:r>
      <w:r>
        <w:rPr>
          <w:rFonts w:ascii="Times New Roman" w:eastAsia="Times New Roman" w:hAnsi="Times New Roman" w:cs="Times New Roman"/>
          <w:color w:val="000000"/>
          <w:spacing w:val="0"/>
          <w:w w:val="100"/>
          <w:position w:val="0"/>
        </w:rPr>
        <w:t>17.25%</w:t>
      </w:r>
      <w:r>
        <w:rPr>
          <w:color w:val="000000"/>
          <w:spacing w:val="0"/>
          <w:w w:val="100"/>
          <w:position w:val="0"/>
        </w:rPr>
        <w:t>,占比</w:t>
      </w:r>
      <w:r>
        <w:rPr>
          <w:rFonts w:ascii="Times New Roman" w:eastAsia="Times New Roman" w:hAnsi="Times New Roman" w:cs="Times New Roman"/>
          <w:color w:val="000000"/>
          <w:spacing w:val="0"/>
          <w:w w:val="100"/>
          <w:position w:val="0"/>
        </w:rPr>
        <w:t>81.06%</w:t>
      </w:r>
      <w:r>
        <w:rPr>
          <w:color w:val="000000"/>
          <w:spacing w:val="0"/>
          <w:w w:val="100"/>
          <w:position w:val="0"/>
        </w:rPr>
        <w:t>的苏宁易 购服务站直营店在</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月实现了单月盈利。苏宁易购服务站单店成本低，较易实现盈亏平衡， 公司将进一步强化直营店的商品管理，提升销售及毛利水平，加强费用管控，进一步提升线下的盈 利规模。</w:t>
      </w:r>
    </w:p>
    <w:p>
      <w:pPr>
        <w:pStyle w:val="Style32"/>
        <w:keepNext w:val="0"/>
        <w:keepLines w:val="0"/>
        <w:widowControl w:val="0"/>
        <w:shd w:val="clear" w:color="auto" w:fill="auto"/>
        <w:bidi w:val="0"/>
        <w:spacing w:before="0" w:after="0" w:line="468" w:lineRule="exact"/>
        <w:ind w:left="400" w:right="0" w:firstLine="460"/>
        <w:jc w:val="both"/>
      </w:pPr>
      <w:r>
        <w:rPr>
          <w:color w:val="000000"/>
          <w:spacing w:val="0"/>
          <w:w w:val="100"/>
          <w:position w:val="0"/>
        </w:rPr>
        <w:t>互联网升级之后的云店和旗舰店的销售提升效果明显，</w:t>
      </w:r>
      <w:r>
        <w:rPr>
          <w:rFonts w:ascii="Times New Roman" w:eastAsia="Times New Roman" w:hAnsi="Times New Roman" w:cs="Times New Roman"/>
          <w:color w:val="000000"/>
          <w:spacing w:val="0"/>
          <w:w w:val="100"/>
          <w:position w:val="0"/>
        </w:rPr>
        <w:t>2016</w:t>
      </w:r>
      <w:r>
        <w:rPr>
          <w:color w:val="000000"/>
          <w:spacing w:val="0"/>
          <w:w w:val="100"/>
          <w:position w:val="0"/>
        </w:rPr>
        <w:t>年该类店面以及此类店面较为集中 的一级市场可比店面销售增长远快于其他类型及区域的门店。此外，大店具有较强的规模效应，盈 利能力较强。公司将加快一二级市场云店、旗舰店的发展，并强化大店的特色运营，提升线下的销 售及利润水平。三四级市场将加快店面业态的调整，加快开设苏宁易购服务站，对常规店进行补充, 从而强化三四级市场的服务和客户获取能力，提高单位坪效。基于此，公司线下渠道无论是销售规 模还是盈利能力均有较强的增长潜力。</w:t>
      </w:r>
    </w:p>
    <w:p>
      <w:pPr>
        <w:pStyle w:val="Style32"/>
        <w:keepNext w:val="0"/>
        <w:keepLines w:val="0"/>
        <w:widowControl w:val="0"/>
        <w:shd w:val="clear" w:color="auto" w:fill="auto"/>
        <w:bidi w:val="0"/>
        <w:spacing w:before="0" w:after="0" w:line="468" w:lineRule="exact"/>
        <w:ind w:left="0" w:right="0" w:firstLine="860"/>
        <w:jc w:val="both"/>
      </w:pPr>
      <w:bookmarkStart w:id="48" w:name="bookmark48"/>
      <w:r>
        <w:rPr>
          <w:color w:val="000000"/>
          <w:spacing w:val="0"/>
          <w:w w:val="100"/>
          <w:position w:val="0"/>
        </w:rPr>
        <w:t>（</w:t>
      </w:r>
      <w:bookmarkEnd w:id="48"/>
      <w:r>
        <w:rPr>
          <w:rFonts w:ascii="Times New Roman" w:eastAsia="Times New Roman" w:hAnsi="Times New Roman" w:cs="Times New Roman"/>
          <w:color w:val="000000"/>
          <w:spacing w:val="0"/>
          <w:w w:val="100"/>
          <w:position w:val="0"/>
        </w:rPr>
        <w:t>3</w:t>
      </w:r>
      <w:r>
        <w:rPr>
          <w:color w:val="000000"/>
          <w:spacing w:val="0"/>
          <w:w w:val="100"/>
          <w:position w:val="0"/>
        </w:rPr>
        <w:t>）线上平台运营</w:t>
      </w:r>
    </w:p>
    <w:p>
      <w:pPr>
        <w:pStyle w:val="Style32"/>
        <w:keepNext w:val="0"/>
        <w:keepLines w:val="0"/>
        <w:widowControl w:val="0"/>
        <w:shd w:val="clear" w:color="auto" w:fill="auto"/>
        <w:bidi w:val="0"/>
        <w:spacing w:before="0" w:after="0" w:line="468" w:lineRule="exact"/>
        <w:ind w:left="400" w:right="0" w:firstLine="460"/>
        <w:jc w:val="both"/>
      </w:pPr>
      <w:r>
        <w:rPr>
          <w:color w:val="000000"/>
          <w:spacing w:val="0"/>
          <w:w w:val="100"/>
          <w:position w:val="0"/>
        </w:rPr>
        <w:t>报告期内，公司聚焦用户体验优化，完善搜索推荐功能，对互联网核心营销产品进行持续的功 能优化，提高转化率。</w:t>
      </w:r>
    </w:p>
    <w:p>
      <w:pPr>
        <w:pStyle w:val="Style32"/>
        <w:keepNext w:val="0"/>
        <w:keepLines w:val="0"/>
        <w:widowControl w:val="0"/>
        <w:shd w:val="clear" w:color="auto" w:fill="auto"/>
        <w:bidi w:val="0"/>
        <w:spacing w:before="0" w:after="0" w:line="468" w:lineRule="exact"/>
        <w:ind w:left="400" w:right="0" w:firstLine="460"/>
        <w:jc w:val="both"/>
      </w:pPr>
      <w:r>
        <w:rPr>
          <w:color w:val="000000"/>
          <w:spacing w:val="0"/>
          <w:w w:val="100"/>
          <w:position w:val="0"/>
        </w:rPr>
        <w:t>会员方面，实施精准化运营，用户结构优化，年轻会员、女性会员占比提升，此外公司还加强 细分市场的互联网促销推广，如通过与八天在线的合作，校园会员增长较快。截至</w:t>
      </w:r>
      <w:r>
        <w:rPr>
          <w:rFonts w:ascii="Times New Roman" w:eastAsia="Times New Roman" w:hAnsi="Times New Roman" w:cs="Times New Roman"/>
          <w:color w:val="000000"/>
          <w:spacing w:val="0"/>
          <w:w w:val="100"/>
          <w:position w:val="0"/>
        </w:rPr>
        <w:t>2016</w:t>
      </w:r>
      <w:r>
        <w:rPr>
          <w:color w:val="000000"/>
          <w:spacing w:val="0"/>
          <w:w w:val="100"/>
          <w:position w:val="0"/>
        </w:rPr>
        <w:t>年末，公司 零售体系会员总数</w:t>
      </w:r>
      <w:r>
        <w:rPr>
          <w:rFonts w:ascii="Times New Roman" w:eastAsia="Times New Roman" w:hAnsi="Times New Roman" w:cs="Times New Roman"/>
          <w:color w:val="000000"/>
          <w:spacing w:val="0"/>
          <w:w w:val="100"/>
          <w:position w:val="0"/>
        </w:rPr>
        <w:t>2.8</w:t>
      </w:r>
      <w:r>
        <w:rPr>
          <w:color w:val="000000"/>
          <w:spacing w:val="0"/>
          <w:w w:val="100"/>
          <w:position w:val="0"/>
        </w:rPr>
        <w:t>亿。</w:t>
      </w:r>
    </w:p>
    <w:p>
      <w:pPr>
        <w:pStyle w:val="Style32"/>
        <w:keepNext w:val="0"/>
        <w:keepLines w:val="0"/>
        <w:widowControl w:val="0"/>
        <w:shd w:val="clear" w:color="auto" w:fill="auto"/>
        <w:bidi w:val="0"/>
        <w:spacing w:before="0" w:after="40" w:line="468" w:lineRule="exact"/>
        <w:ind w:left="400" w:right="0" w:firstLine="460"/>
        <w:jc w:val="left"/>
      </w:pPr>
      <w:r>
        <w:rPr>
          <w:color w:val="000000"/>
          <w:spacing w:val="0"/>
          <w:w w:val="100"/>
          <w:position w:val="0"/>
        </w:rPr>
        <w:t xml:space="preserve">大力发展移动端，依托大数据应用支撑系统，重点强化智能推荐、精准营销能力，苏宁易购 </w:t>
      </w:r>
      <w:r>
        <w:rPr>
          <w:rFonts w:ascii="Times New Roman" w:eastAsia="Times New Roman" w:hAnsi="Times New Roman" w:cs="Times New Roman"/>
          <w:color w:val="000000"/>
          <w:spacing w:val="0"/>
          <w:w w:val="100"/>
          <w:position w:val="0"/>
        </w:rPr>
        <w:t>APP</w:t>
      </w:r>
      <w:r>
        <w:rPr>
          <w:color w:val="000000"/>
          <w:spacing w:val="0"/>
          <w:w w:val="100"/>
          <w:position w:val="0"/>
        </w:rPr>
        <w:t>日新增下载用户数、活跃用户数提升显著，</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 xml:space="preserve">月移动端订单数量占线上整体比例提升至 </w:t>
      </w:r>
      <w:r>
        <w:rPr>
          <w:rFonts w:ascii="Times New Roman" w:eastAsia="Times New Roman" w:hAnsi="Times New Roman" w:cs="Times New Roman"/>
          <w:color w:val="000000"/>
          <w:spacing w:val="0"/>
          <w:w w:val="100"/>
          <w:position w:val="0"/>
        </w:rPr>
        <w:t>83%</w:t>
      </w:r>
      <w:r>
        <w:rPr>
          <w:color w:val="000000"/>
          <w:spacing w:val="0"/>
          <w:w w:val="100"/>
          <w:position w:val="0"/>
        </w:rPr>
        <w:t>。</w:t>
      </w:r>
    </w:p>
    <w:p>
      <w:pPr>
        <w:pStyle w:val="Style32"/>
        <w:keepNext w:val="0"/>
        <w:keepLines w:val="0"/>
        <w:widowControl w:val="0"/>
        <w:shd w:val="clear" w:color="auto" w:fill="auto"/>
        <w:bidi w:val="0"/>
        <w:spacing w:before="0" w:after="0" w:line="468" w:lineRule="exact"/>
        <w:ind w:left="420" w:right="0" w:firstLine="440"/>
        <w:jc w:val="both"/>
      </w:pPr>
      <w:r>
        <w:rPr>
          <w:color w:val="000000"/>
          <w:spacing w:val="0"/>
          <w:w w:val="100"/>
          <w:position w:val="0"/>
        </w:rPr>
        <w:t>苏宁易购天猫旗舰店坚持自营全品类商品，</w:t>
      </w:r>
      <w:r>
        <w:rPr>
          <w:rFonts w:ascii="Times New Roman" w:eastAsia="Times New Roman" w:hAnsi="Times New Roman" w:cs="Times New Roman"/>
          <w:color w:val="000000"/>
          <w:spacing w:val="0"/>
          <w:w w:val="100"/>
          <w:position w:val="0"/>
        </w:rPr>
        <w:t>2016</w:t>
      </w:r>
      <w:r>
        <w:rPr>
          <w:color w:val="000000"/>
          <w:spacing w:val="0"/>
          <w:w w:val="100"/>
          <w:position w:val="0"/>
        </w:rPr>
        <w:t>年实现了商品、服务方面与苏宁易购的全面打 通，销售增长较快，服务满意度稳步提升。</w:t>
      </w:r>
    </w:p>
    <w:p>
      <w:pPr>
        <w:pStyle w:val="Style32"/>
        <w:keepNext w:val="0"/>
        <w:keepLines w:val="0"/>
        <w:widowControl w:val="0"/>
        <w:shd w:val="clear" w:color="auto" w:fill="auto"/>
        <w:bidi w:val="0"/>
        <w:spacing w:before="0" w:after="0" w:line="468" w:lineRule="exact"/>
        <w:ind w:left="420" w:right="0" w:firstLine="440"/>
        <w:jc w:val="both"/>
      </w:pPr>
      <w:r>
        <w:rPr>
          <w:rFonts w:ascii="Times New Roman" w:eastAsia="Times New Roman" w:hAnsi="Times New Roman" w:cs="Times New Roman"/>
          <w:color w:val="000000"/>
          <w:spacing w:val="0"/>
          <w:w w:val="100"/>
          <w:position w:val="0"/>
        </w:rPr>
        <w:t>2016</w:t>
      </w:r>
      <w:r>
        <w:rPr>
          <w:color w:val="000000"/>
          <w:spacing w:val="0"/>
          <w:w w:val="100"/>
          <w:position w:val="0"/>
        </w:rPr>
        <w:t>年，公司线上业务实现自营商品销售收入</w:t>
      </w:r>
      <w:r>
        <w:rPr>
          <w:rFonts w:ascii="Times New Roman" w:eastAsia="Times New Roman" w:hAnsi="Times New Roman" w:cs="Times New Roman"/>
          <w:color w:val="000000"/>
          <w:spacing w:val="0"/>
          <w:w w:val="100"/>
          <w:position w:val="0"/>
        </w:rPr>
        <w:t>618.7</w:t>
      </w:r>
      <w:r>
        <w:rPr>
          <w:rFonts w:ascii="Times New Roman" w:eastAsia="Times New Roman" w:hAnsi="Times New Roman" w:cs="Times New Roman"/>
          <w:color w:val="000000"/>
          <w:spacing w:val="0"/>
          <w:w w:val="100"/>
          <w:position w:val="0"/>
        </w:rPr>
        <w:t>0</w:t>
      </w:r>
      <w:r>
        <w:rPr>
          <w:color w:val="000000"/>
          <w:spacing w:val="0"/>
          <w:w w:val="100"/>
          <w:position w:val="0"/>
        </w:rPr>
        <w:t>亿元（含税），开放平台实现商品交易规模 为</w:t>
      </w:r>
      <w:r>
        <w:rPr>
          <w:rFonts w:ascii="Times New Roman" w:eastAsia="Times New Roman" w:hAnsi="Times New Roman" w:cs="Times New Roman"/>
          <w:color w:val="000000"/>
          <w:spacing w:val="0"/>
          <w:w w:val="100"/>
          <w:position w:val="0"/>
        </w:rPr>
        <w:t>186.40</w:t>
      </w:r>
      <w:r>
        <w:rPr>
          <w:color w:val="000000"/>
          <w:spacing w:val="0"/>
          <w:w w:val="100"/>
          <w:position w:val="0"/>
        </w:rPr>
        <w:t>亿元（含税）</w:t>
      </w:r>
      <w:r>
        <w:rPr>
          <w:i/>
          <w:iCs/>
          <w:color w:val="000000"/>
          <w:spacing w:val="0"/>
          <w:w w:val="100"/>
          <w:position w:val="0"/>
        </w:rPr>
        <w:t>，</w:t>
      </w:r>
      <w:r>
        <w:rPr>
          <w:color w:val="000000"/>
          <w:spacing w:val="0"/>
          <w:w w:val="100"/>
          <w:position w:val="0"/>
        </w:rPr>
        <w:t>公司线上平台实体商品交易总规模为</w:t>
      </w:r>
      <w:r>
        <w:rPr>
          <w:rFonts w:ascii="Times New Roman" w:eastAsia="Times New Roman" w:hAnsi="Times New Roman" w:cs="Times New Roman"/>
          <w:color w:val="000000"/>
          <w:spacing w:val="0"/>
          <w:w w:val="100"/>
          <w:position w:val="0"/>
        </w:rPr>
        <w:t>805.10</w:t>
      </w:r>
      <w:r>
        <w:rPr>
          <w:color w:val="000000"/>
          <w:spacing w:val="0"/>
          <w:w w:val="100"/>
          <w:position w:val="0"/>
        </w:rPr>
        <w:t>亿元（含税）</w:t>
      </w:r>
      <w:r>
        <w:rPr>
          <w:i/>
          <w:iCs/>
          <w:color w:val="000000"/>
          <w:spacing w:val="0"/>
          <w:w w:val="100"/>
          <w:position w:val="0"/>
        </w:rPr>
        <w:t>，</w:t>
      </w:r>
      <w:r>
        <w:rPr>
          <w:color w:val="000000"/>
          <w:spacing w:val="0"/>
          <w:w w:val="100"/>
          <w:position w:val="0"/>
        </w:rPr>
        <w:t>同比增长</w:t>
      </w:r>
      <w:r>
        <w:rPr>
          <w:rFonts w:ascii="Times New Roman" w:eastAsia="Times New Roman" w:hAnsi="Times New Roman" w:cs="Times New Roman"/>
          <w:color w:val="000000"/>
          <w:spacing w:val="0"/>
          <w:w w:val="100"/>
          <w:position w:val="0"/>
        </w:rPr>
        <w:t>60.14%</w:t>
      </w:r>
      <w:r>
        <w:rPr>
          <w:color w:val="000000"/>
          <w:spacing w:val="0"/>
          <w:w w:val="100"/>
          <w:position w:val="0"/>
        </w:rPr>
        <w:t>。</w:t>
      </w:r>
    </w:p>
    <w:p>
      <w:pPr>
        <w:pStyle w:val="Style38"/>
        <w:keepNext/>
        <w:keepLines/>
        <w:widowControl w:val="0"/>
        <w:shd w:val="clear" w:color="auto" w:fill="auto"/>
        <w:bidi w:val="0"/>
        <w:spacing w:before="0" w:after="0" w:line="468" w:lineRule="exact"/>
        <w:ind w:left="0" w:right="0" w:firstLine="860"/>
        <w:jc w:val="both"/>
      </w:pPr>
      <w:bookmarkStart w:id="49" w:name="bookmark49"/>
      <w:bookmarkStart w:id="50" w:name="bookmark50"/>
      <w:bookmarkStart w:id="51" w:name="bookmark51"/>
      <w:r>
        <w:rPr>
          <w:rFonts w:ascii="Arial" w:eastAsia="Arial" w:hAnsi="Arial" w:cs="Arial"/>
          <w:b w:val="0"/>
          <w:bCs w:val="0"/>
          <w:color w:val="000000"/>
          <w:spacing w:val="0"/>
          <w:w w:val="100"/>
          <w:position w:val="0"/>
        </w:rPr>
        <w:t>■</w:t>
      </w:r>
      <w:r>
        <w:rPr>
          <w:color w:val="000000"/>
          <w:spacing w:val="0"/>
          <w:w w:val="100"/>
          <w:position w:val="0"/>
        </w:rPr>
        <w:t>商品经营</w:t>
      </w:r>
      <w:r>
        <w:rPr>
          <w:color w:val="000000"/>
          <w:spacing w:val="0"/>
          <w:w w:val="100"/>
          <w:position w:val="0"/>
        </w:rPr>
        <w:t>一</w:t>
      </w:r>
      <w:r>
        <w:rPr>
          <w:color w:val="000000"/>
          <w:spacing w:val="0"/>
          <w:w w:val="100"/>
          <w:position w:val="0"/>
        </w:rPr>
        <w:t>持续优化供应链，实现全品类、专业化运营</w:t>
      </w:r>
      <w:bookmarkEnd w:id="49"/>
      <w:bookmarkEnd w:id="50"/>
      <w:bookmarkEnd w:id="51"/>
    </w:p>
    <w:p>
      <w:pPr>
        <w:pStyle w:val="Style32"/>
        <w:keepNext w:val="0"/>
        <w:keepLines w:val="0"/>
        <w:widowControl w:val="0"/>
        <w:shd w:val="clear" w:color="auto" w:fill="auto"/>
        <w:bidi w:val="0"/>
        <w:spacing w:before="0" w:after="0" w:line="468" w:lineRule="exact"/>
        <w:ind w:left="420" w:right="0" w:firstLine="440"/>
        <w:jc w:val="both"/>
      </w:pPr>
      <w:r>
        <w:rPr>
          <w:color w:val="000000"/>
          <w:spacing w:val="0"/>
          <w:w w:val="100"/>
          <w:position w:val="0"/>
        </w:rPr>
        <w:t>家电品类经营上，公司持续加强线上线下的差异化运营，充分发挥门店体验及服务的优势，为 家庭用户提供一站式购物解决方案，提高线下商品毛利；加强单品运作，在空调、冰洗、通讯等品 类加强了新品首发及定制包销，推出的惠而浦香薰空调、海尔</w:t>
      </w:r>
      <w:r>
        <w:rPr>
          <w:rFonts w:ascii="Times New Roman" w:eastAsia="Times New Roman" w:hAnsi="Times New Roman" w:cs="Times New Roman"/>
          <w:color w:val="000000"/>
          <w:spacing w:val="0"/>
          <w:w w:val="100"/>
          <w:position w:val="0"/>
        </w:rPr>
        <w:t>Hello Kitty</w:t>
      </w:r>
      <w:r>
        <w:rPr>
          <w:color w:val="000000"/>
          <w:spacing w:val="0"/>
          <w:w w:val="100"/>
          <w:position w:val="0"/>
        </w:rPr>
        <w:t>洗衣机、小米</w:t>
      </w:r>
      <w:r>
        <w:rPr>
          <w:rFonts w:ascii="Times New Roman" w:eastAsia="Times New Roman" w:hAnsi="Times New Roman" w:cs="Times New Roman"/>
          <w:color w:val="000000"/>
          <w:spacing w:val="0"/>
          <w:w w:val="100"/>
          <w:position w:val="0"/>
        </w:rPr>
        <w:t>4S</w:t>
      </w:r>
      <w:r>
        <w:rPr>
          <w:color w:val="000000"/>
          <w:spacing w:val="0"/>
          <w:w w:val="100"/>
          <w:position w:val="0"/>
        </w:rPr>
        <w:t>、</w:t>
      </w:r>
      <w:r>
        <w:rPr>
          <w:color w:val="000000"/>
          <w:spacing w:val="0"/>
          <w:w w:val="100"/>
          <w:position w:val="0"/>
        </w:rPr>
        <w:t>荣耀</w:t>
      </w:r>
      <w:r>
        <w:rPr>
          <w:rFonts w:ascii="Times New Roman" w:eastAsia="Times New Roman" w:hAnsi="Times New Roman" w:cs="Times New Roman"/>
          <w:color w:val="000000"/>
          <w:spacing w:val="0"/>
          <w:w w:val="100"/>
          <w:position w:val="0"/>
        </w:rPr>
        <w:t>5C</w:t>
      </w:r>
      <w:r>
        <w:rPr>
          <w:color w:val="000000"/>
          <w:spacing w:val="0"/>
          <w:w w:val="100"/>
          <w:position w:val="0"/>
        </w:rPr>
        <w:t xml:space="preserve">、 </w:t>
      </w:r>
      <w:r>
        <w:rPr>
          <w:color w:val="000000"/>
          <w:spacing w:val="0"/>
          <w:w w:val="100"/>
          <w:position w:val="0"/>
        </w:rPr>
        <w:t>惠普杨洋定制笔记本等一系列产品均取得了较好的市场反响，有效提升了市场竞争力；此外，公司 还充分挖掘用户品质消费的需求，在中央空调、净水、嵌入式厨卫等品质生活代表的新类目产品上 加强供应链建设，快速抢占新兴市场。</w:t>
      </w:r>
    </w:p>
    <w:p>
      <w:pPr>
        <w:pStyle w:val="Style32"/>
        <w:keepNext w:val="0"/>
        <w:keepLines w:val="0"/>
        <w:widowControl w:val="0"/>
        <w:shd w:val="clear" w:color="auto" w:fill="auto"/>
        <w:bidi w:val="0"/>
        <w:spacing w:before="0" w:after="0" w:line="468" w:lineRule="exact"/>
        <w:ind w:left="420" w:right="0" w:firstLine="440"/>
        <w:jc w:val="both"/>
      </w:pPr>
      <w:r>
        <w:rPr>
          <w:color w:val="000000"/>
          <w:spacing w:val="0"/>
          <w:w w:val="100"/>
          <w:position w:val="0"/>
        </w:rPr>
        <w:t>母婴品类经营上，公司已经建立了母婴行业独有且最完备的</w:t>
      </w:r>
      <w:r>
        <w:rPr>
          <w:rFonts w:ascii="Times New Roman" w:eastAsia="Times New Roman" w:hAnsi="Times New Roman" w:cs="Times New Roman"/>
          <w:color w:val="000000"/>
          <w:spacing w:val="0"/>
          <w:w w:val="100"/>
          <w:position w:val="0"/>
        </w:rPr>
        <w:t>020</w:t>
      </w:r>
      <w:r>
        <w:rPr>
          <w:color w:val="000000"/>
          <w:spacing w:val="0"/>
          <w:w w:val="100"/>
          <w:position w:val="0"/>
        </w:rPr>
        <w:t>渠道，具有较强的竞争优势。 线上为消费者提供海量正品的商品选择，线下苏宁红孩子实体店提供亲子互动、科学育儿等贴心服 务，带来会员粘性大大提高。对于品牌商，苏宁线上线下融合的渠道资源，在会员拉新、销售提升 上有较强优势，且依托于苏宁易购服务站，还能将自身品牌知名度以及会员群体逐步拓展至三四级 市场。</w:t>
      </w:r>
    </w:p>
    <w:p>
      <w:pPr>
        <w:pStyle w:val="Style32"/>
        <w:keepNext w:val="0"/>
        <w:keepLines w:val="0"/>
        <w:widowControl w:val="0"/>
        <w:shd w:val="clear" w:color="auto" w:fill="auto"/>
        <w:bidi w:val="0"/>
        <w:spacing w:before="0" w:after="0" w:line="468" w:lineRule="exact"/>
        <w:ind w:left="420" w:right="0" w:firstLine="440"/>
        <w:jc w:val="both"/>
      </w:pPr>
      <w:r>
        <w:rPr>
          <w:color w:val="000000"/>
          <w:spacing w:val="0"/>
          <w:w w:val="100"/>
          <w:position w:val="0"/>
        </w:rPr>
        <w:t>超市品类经营上，公司打造专业化的供应链能力，在细分类目如酒水、冲饮类商品上实现突破； 优化仓储部署，增加设置前行仓，提高区域配送效率，优化客户体验；升级线下超市业态，试点推 进</w:t>
      </w:r>
      <w:r>
        <w:rPr>
          <w:rFonts w:ascii="Times New Roman" w:eastAsia="Times New Roman" w:hAnsi="Times New Roman" w:cs="Times New Roman"/>
          <w:color w:val="000000"/>
          <w:spacing w:val="0"/>
          <w:w w:val="100"/>
          <w:position w:val="0"/>
        </w:rPr>
        <w:t>O2O</w:t>
      </w:r>
      <w:r>
        <w:rPr>
          <w:color w:val="000000"/>
          <w:spacing w:val="0"/>
          <w:w w:val="100"/>
          <w:position w:val="0"/>
        </w:rPr>
        <w:t>经营特点的便利型超市的拓展，以增强对用户的本地化服务能力。</w:t>
      </w:r>
    </w:p>
    <w:p>
      <w:pPr>
        <w:pStyle w:val="Style32"/>
        <w:keepNext w:val="0"/>
        <w:keepLines w:val="0"/>
        <w:widowControl w:val="0"/>
        <w:shd w:val="clear" w:color="auto" w:fill="auto"/>
        <w:bidi w:val="0"/>
        <w:spacing w:before="0" w:after="0" w:line="468" w:lineRule="exact"/>
        <w:ind w:left="420" w:right="0" w:firstLine="440"/>
        <w:jc w:val="both"/>
      </w:pPr>
      <w:r>
        <w:rPr>
          <w:color w:val="000000"/>
          <w:spacing w:val="0"/>
          <w:w w:val="100"/>
          <w:position w:val="0"/>
        </w:rPr>
        <w:t>开放平台建设方面，公司结合消费升级需求，在百货、母婴等品类上加大核心</w:t>
      </w:r>
      <w:r>
        <w:rPr>
          <w:rFonts w:ascii="Times New Roman" w:eastAsia="Times New Roman" w:hAnsi="Times New Roman" w:cs="Times New Roman"/>
          <w:color w:val="000000"/>
          <w:spacing w:val="0"/>
          <w:w w:val="100"/>
          <w:position w:val="0"/>
        </w:rPr>
        <w:t>KA</w:t>
      </w:r>
      <w:r>
        <w:rPr>
          <w:color w:val="000000"/>
          <w:spacing w:val="0"/>
          <w:w w:val="100"/>
          <w:position w:val="0"/>
        </w:rPr>
        <w:t>商户的引进； 加强与各地政府的合作，引入了较多区域性的优质商户；此外，公司还积极响应农村电商号召，积 极将各地名优特产引入平台，截至</w:t>
      </w:r>
      <w:r>
        <w:rPr>
          <w:rFonts w:ascii="Times New Roman" w:eastAsia="Times New Roman" w:hAnsi="Times New Roman" w:cs="Times New Roman"/>
          <w:color w:val="000000"/>
          <w:spacing w:val="0"/>
          <w:w w:val="100"/>
          <w:position w:val="0"/>
        </w:rPr>
        <w:t>2016</w:t>
      </w:r>
      <w:r>
        <w:rPr>
          <w:color w:val="000000"/>
          <w:spacing w:val="0"/>
          <w:w w:val="100"/>
          <w:position w:val="0"/>
        </w:rPr>
        <w:t>年末，苏宁易购已上线</w:t>
      </w:r>
      <w:r>
        <w:rPr>
          <w:rFonts w:ascii="Times New Roman" w:eastAsia="Times New Roman" w:hAnsi="Times New Roman" w:cs="Times New Roman"/>
          <w:color w:val="000000"/>
          <w:spacing w:val="0"/>
          <w:w w:val="100"/>
          <w:position w:val="0"/>
        </w:rPr>
        <w:t>211</w:t>
      </w:r>
      <w:r>
        <w:rPr>
          <w:color w:val="000000"/>
          <w:spacing w:val="0"/>
          <w:w w:val="100"/>
          <w:position w:val="0"/>
        </w:rPr>
        <w:t>个城市</w:t>
      </w:r>
      <w:r>
        <w:rPr>
          <w:rFonts w:ascii="Times New Roman" w:eastAsia="Times New Roman" w:hAnsi="Times New Roman" w:cs="Times New Roman"/>
          <w:color w:val="000000"/>
          <w:spacing w:val="0"/>
          <w:w w:val="100"/>
          <w:position w:val="0"/>
        </w:rPr>
        <w:t>“</w:t>
      </w:r>
      <w:r>
        <w:rPr>
          <w:color w:val="000000"/>
          <w:spacing w:val="0"/>
          <w:w w:val="100"/>
          <w:position w:val="0"/>
        </w:rPr>
        <w:t>中华特色馆</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32"/>
        <w:keepNext w:val="0"/>
        <w:keepLines w:val="0"/>
        <w:widowControl w:val="0"/>
        <w:shd w:val="clear" w:color="auto" w:fill="auto"/>
        <w:bidi w:val="0"/>
        <w:spacing w:before="0" w:after="220" w:line="468" w:lineRule="exact"/>
        <w:ind w:left="420" w:right="0" w:firstLine="440"/>
        <w:jc w:val="both"/>
      </w:pPr>
      <w:r>
        <w:rPr>
          <w:color w:val="000000"/>
          <w:spacing w:val="0"/>
          <w:w w:val="100"/>
          <w:position w:val="0"/>
        </w:rPr>
        <w:t>基于自营以及开放平台的发展，公司的商品丰富度进一步提升，截至报告期末，公司自营与平 台商品</w:t>
      </w:r>
      <w:r>
        <w:rPr>
          <w:rFonts w:ascii="Times New Roman" w:eastAsia="Times New Roman" w:hAnsi="Times New Roman" w:cs="Times New Roman"/>
          <w:color w:val="000000"/>
          <w:spacing w:val="0"/>
          <w:w w:val="100"/>
          <w:position w:val="0"/>
        </w:rPr>
        <w:t>SKU</w:t>
      </w:r>
      <w:r>
        <w:rPr>
          <w:color w:val="000000"/>
          <w:spacing w:val="0"/>
          <w:w w:val="100"/>
          <w:position w:val="0"/>
        </w:rPr>
        <w:t>数量超过</w:t>
      </w:r>
      <w:r>
        <w:rPr>
          <w:rFonts w:ascii="Times New Roman" w:eastAsia="Times New Roman" w:hAnsi="Times New Roman" w:cs="Times New Roman"/>
          <w:color w:val="000000"/>
          <w:spacing w:val="0"/>
          <w:w w:val="100"/>
          <w:position w:val="0"/>
        </w:rPr>
        <w:t>4,400</w:t>
      </w:r>
      <w:r>
        <w:rPr>
          <w:color w:val="000000"/>
          <w:spacing w:val="0"/>
          <w:w w:val="100"/>
          <w:position w:val="0"/>
        </w:rPr>
        <w:t>万（同一商品来自不同供应商、同一商品被公司和开放平台第三方商户销 售均计入同一个</w:t>
      </w:r>
      <w:r>
        <w:rPr>
          <w:rFonts w:ascii="Times New Roman" w:eastAsia="Times New Roman" w:hAnsi="Times New Roman" w:cs="Times New Roman"/>
          <w:color w:val="000000"/>
          <w:spacing w:val="0"/>
          <w:w w:val="100"/>
          <w:position w:val="0"/>
        </w:rPr>
        <w:t>S KU</w:t>
      </w:r>
      <w:r>
        <w:rPr>
          <w:color w:val="000000"/>
          <w:spacing w:val="0"/>
          <w:w w:val="100"/>
          <w:position w:val="0"/>
        </w:rPr>
        <w:t>）。</w:t>
      </w:r>
    </w:p>
    <w:p>
      <w:pPr>
        <w:pStyle w:val="Style38"/>
        <w:keepNext/>
        <w:keepLines/>
        <w:widowControl w:val="0"/>
        <w:shd w:val="clear" w:color="auto" w:fill="auto"/>
        <w:bidi w:val="0"/>
        <w:spacing w:before="0" w:after="0" w:line="444" w:lineRule="auto"/>
        <w:ind w:left="0" w:right="0" w:firstLine="860"/>
        <w:jc w:val="both"/>
      </w:pPr>
      <w:bookmarkStart w:id="52" w:name="bookmark52"/>
      <w:bookmarkStart w:id="53" w:name="bookmark53"/>
      <w:bookmarkStart w:id="54" w:name="bookmark54"/>
      <w:r>
        <w:rPr>
          <w:rFonts w:ascii="Arial" w:eastAsia="Arial" w:hAnsi="Arial" w:cs="Arial"/>
          <w:b w:val="0"/>
          <w:bCs w:val="0"/>
          <w:color w:val="000000"/>
          <w:spacing w:val="0"/>
          <w:w w:val="100"/>
          <w:position w:val="0"/>
        </w:rPr>
        <w:t>■</w:t>
      </w:r>
      <w:r>
        <w:rPr>
          <w:color w:val="000000"/>
          <w:spacing w:val="0"/>
          <w:w w:val="100"/>
          <w:position w:val="0"/>
        </w:rPr>
        <w:t>物流业务</w:t>
      </w:r>
      <w:bookmarkEnd w:id="52"/>
      <w:bookmarkEnd w:id="53"/>
      <w:bookmarkEnd w:id="54"/>
    </w:p>
    <w:p>
      <w:pPr>
        <w:pStyle w:val="Style32"/>
        <w:keepNext w:val="0"/>
        <w:keepLines w:val="0"/>
        <w:widowControl w:val="0"/>
        <w:shd w:val="clear" w:color="auto" w:fill="auto"/>
        <w:bidi w:val="0"/>
        <w:spacing w:before="0" w:after="0" w:line="468" w:lineRule="exact"/>
        <w:ind w:left="420" w:right="0" w:firstLine="440"/>
        <w:jc w:val="both"/>
      </w:pPr>
      <w:r>
        <w:rPr>
          <w:rFonts w:ascii="Times New Roman" w:eastAsia="Times New Roman" w:hAnsi="Times New Roman" w:cs="Times New Roman"/>
          <w:color w:val="000000"/>
          <w:spacing w:val="0"/>
          <w:w w:val="100"/>
          <w:position w:val="0"/>
        </w:rPr>
        <w:t>2016</w:t>
      </w:r>
      <w:r>
        <w:rPr>
          <w:color w:val="000000"/>
          <w:spacing w:val="0"/>
          <w:w w:val="100"/>
          <w:position w:val="0"/>
        </w:rPr>
        <w:t>年，苏宁物流围绕基础设施网络建设、物流运营效率提升以及社会化开放运作不断强化核 心竞争力。</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月末，苏宁物流与天天快递有限公司的有关股东签署协议以收购天天快递有限 公司</w:t>
      </w:r>
      <w:r>
        <w:rPr>
          <w:rFonts w:ascii="Times New Roman" w:eastAsia="Times New Roman" w:hAnsi="Times New Roman" w:cs="Times New Roman"/>
          <w:color w:val="000000"/>
          <w:spacing w:val="0"/>
          <w:w w:val="100"/>
          <w:position w:val="0"/>
        </w:rPr>
        <w:t>70%</w:t>
      </w:r>
      <w:r>
        <w:rPr>
          <w:color w:val="000000"/>
          <w:spacing w:val="0"/>
          <w:w w:val="100"/>
          <w:position w:val="0"/>
        </w:rPr>
        <w:t>的股份，双方将在仓储、干线、末端等方面整合资源，提高配送效率，降低运营成本，增 强苏宁物流的规模效应。截至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日，公司及天天快递拥有物流仓储及相关配套总面积达</w:t>
      </w:r>
    </w:p>
    <w:p>
      <w:pPr>
        <w:pStyle w:val="Style32"/>
        <w:keepNext w:val="0"/>
        <w:keepLines w:val="0"/>
        <w:widowControl w:val="0"/>
        <w:shd w:val="clear" w:color="auto" w:fill="auto"/>
        <w:bidi w:val="0"/>
        <w:spacing w:before="0" w:after="0" w:line="490" w:lineRule="exact"/>
        <w:ind w:left="420" w:right="0" w:firstLine="0"/>
        <w:jc w:val="both"/>
      </w:pPr>
      <w:r>
        <w:rPr>
          <w:rFonts w:ascii="Times New Roman" w:eastAsia="Times New Roman" w:hAnsi="Times New Roman" w:cs="Times New Roman"/>
          <w:color w:val="000000"/>
          <w:spacing w:val="0"/>
          <w:w w:val="100"/>
          <w:position w:val="0"/>
        </w:rPr>
        <w:t>583</w:t>
      </w:r>
      <w:r>
        <w:rPr>
          <w:color w:val="000000"/>
          <w:spacing w:val="0"/>
          <w:w w:val="100"/>
          <w:position w:val="0"/>
        </w:rPr>
        <w:t>万平方米，拥有的快递网点达到</w:t>
      </w:r>
      <w:r>
        <w:rPr>
          <w:rFonts w:ascii="Times New Roman" w:eastAsia="Times New Roman" w:hAnsi="Times New Roman" w:cs="Times New Roman"/>
          <w:color w:val="000000"/>
          <w:spacing w:val="0"/>
          <w:w w:val="100"/>
          <w:position w:val="0"/>
        </w:rPr>
        <w:t>17,000</w:t>
      </w:r>
      <w:r>
        <w:rPr>
          <w:color w:val="000000"/>
          <w:spacing w:val="0"/>
          <w:w w:val="100"/>
          <w:position w:val="0"/>
        </w:rPr>
        <w:t>个，公司物流网络覆盖全国</w:t>
      </w:r>
      <w:r>
        <w:rPr>
          <w:rFonts w:ascii="Times New Roman" w:eastAsia="Times New Roman" w:hAnsi="Times New Roman" w:cs="Times New Roman"/>
          <w:color w:val="000000"/>
          <w:spacing w:val="0"/>
          <w:w w:val="100"/>
          <w:position w:val="0"/>
        </w:rPr>
        <w:t>352</w:t>
      </w:r>
      <w:r>
        <w:rPr>
          <w:color w:val="000000"/>
          <w:spacing w:val="0"/>
          <w:w w:val="100"/>
          <w:position w:val="0"/>
        </w:rPr>
        <w:t>个地级城市、</w:t>
      </w:r>
      <w:r>
        <w:rPr>
          <w:rFonts w:ascii="Times New Roman" w:eastAsia="Times New Roman" w:hAnsi="Times New Roman" w:cs="Times New Roman"/>
          <w:color w:val="000000"/>
          <w:spacing w:val="0"/>
          <w:w w:val="100"/>
          <w:position w:val="0"/>
        </w:rPr>
        <w:t>2,805</w:t>
      </w:r>
      <w:r>
        <w:rPr>
          <w:color w:val="000000"/>
          <w:spacing w:val="0"/>
          <w:w w:val="100"/>
          <w:position w:val="0"/>
        </w:rPr>
        <w:t>个区县 城市。</w:t>
      </w:r>
    </w:p>
    <w:p>
      <w:pPr>
        <w:pStyle w:val="Style32"/>
        <w:keepNext w:val="0"/>
        <w:keepLines w:val="0"/>
        <w:widowControl w:val="0"/>
        <w:shd w:val="clear" w:color="auto" w:fill="auto"/>
        <w:bidi w:val="0"/>
        <w:spacing w:before="0" w:after="0" w:line="467" w:lineRule="exact"/>
        <w:ind w:left="420" w:right="0" w:firstLine="440"/>
        <w:jc w:val="both"/>
      </w:pPr>
      <w:r>
        <w:rPr>
          <w:color w:val="000000"/>
          <w:spacing w:val="0"/>
          <w:w w:val="100"/>
          <w:position w:val="0"/>
        </w:rPr>
        <w:t>报告期内，公司加快物流配送中心的建设进度，兰州、南宁物流区域配送中心投入运营，仓储 自动化、智能化建设方面取得突破性进展，南京雨花自动化拣选中心建成投入运营。截至</w:t>
      </w:r>
      <w:r>
        <w:rPr>
          <w:rFonts w:ascii="Times New Roman" w:eastAsia="Times New Roman" w:hAnsi="Times New Roman" w:cs="Times New Roman"/>
          <w:color w:val="000000"/>
          <w:spacing w:val="0"/>
          <w:w w:val="100"/>
          <w:position w:val="0"/>
        </w:rPr>
        <w:t>2016</w:t>
      </w:r>
      <w:r>
        <w:rPr>
          <w:color w:val="000000"/>
          <w:spacing w:val="0"/>
          <w:w w:val="100"/>
          <w:position w:val="0"/>
        </w:rPr>
        <w:t>年底， 公司合计投入运营</w:t>
      </w:r>
      <w:r>
        <w:rPr>
          <w:rFonts w:ascii="Times New Roman" w:eastAsia="Times New Roman" w:hAnsi="Times New Roman" w:cs="Times New Roman"/>
          <w:color w:val="000000"/>
          <w:spacing w:val="0"/>
          <w:w w:val="100"/>
          <w:position w:val="0"/>
        </w:rPr>
        <w:t>7</w:t>
      </w:r>
      <w:r>
        <w:rPr>
          <w:color w:val="000000"/>
          <w:spacing w:val="0"/>
          <w:w w:val="100"/>
          <w:position w:val="0"/>
        </w:rPr>
        <w:t>个自动化拣选中心、</w:t>
      </w:r>
      <w:r>
        <w:rPr>
          <w:rFonts w:ascii="Times New Roman" w:eastAsia="Times New Roman" w:hAnsi="Times New Roman" w:cs="Times New Roman"/>
          <w:color w:val="000000"/>
          <w:spacing w:val="0"/>
          <w:w w:val="100"/>
          <w:position w:val="0"/>
        </w:rPr>
        <w:t>32</w:t>
      </w:r>
      <w:r>
        <w:rPr>
          <w:color w:val="000000"/>
          <w:spacing w:val="0"/>
          <w:w w:val="100"/>
          <w:position w:val="0"/>
        </w:rPr>
        <w:t>个区域配送中心，另有</w:t>
      </w:r>
      <w:r>
        <w:rPr>
          <w:rFonts w:ascii="Times New Roman" w:eastAsia="Times New Roman" w:hAnsi="Times New Roman" w:cs="Times New Roman"/>
          <w:color w:val="000000"/>
          <w:spacing w:val="0"/>
          <w:w w:val="100"/>
          <w:position w:val="0"/>
        </w:rPr>
        <w:t>3</w:t>
      </w:r>
      <w:r>
        <w:rPr>
          <w:color w:val="000000"/>
          <w:spacing w:val="0"/>
          <w:w w:val="100"/>
          <w:position w:val="0"/>
        </w:rPr>
        <w:t>个自动化拣选中心、</w:t>
      </w:r>
      <w:r>
        <w:rPr>
          <w:rFonts w:ascii="Times New Roman" w:eastAsia="Times New Roman" w:hAnsi="Times New Roman" w:cs="Times New Roman"/>
          <w:color w:val="000000"/>
          <w:spacing w:val="0"/>
          <w:w w:val="100"/>
          <w:position w:val="0"/>
        </w:rPr>
        <w:t>15</w:t>
      </w:r>
      <w:r>
        <w:rPr>
          <w:color w:val="000000"/>
          <w:spacing w:val="0"/>
          <w:w w:val="100"/>
          <w:position w:val="0"/>
        </w:rPr>
        <w:t>个区域配 送中心在建。</w:t>
      </w:r>
    </w:p>
    <w:p>
      <w:pPr>
        <w:pStyle w:val="Style32"/>
        <w:keepNext w:val="0"/>
        <w:keepLines w:val="0"/>
        <w:widowControl w:val="0"/>
        <w:shd w:val="clear" w:color="auto" w:fill="auto"/>
        <w:bidi w:val="0"/>
        <w:spacing w:before="0" w:after="0" w:line="467" w:lineRule="exact"/>
        <w:ind w:left="420" w:right="0" w:firstLine="440"/>
        <w:jc w:val="both"/>
      </w:pPr>
      <w:r>
        <w:rPr>
          <w:color w:val="000000"/>
          <w:spacing w:val="0"/>
          <w:w w:val="100"/>
          <w:position w:val="0"/>
        </w:rPr>
        <w:t>物流基础设施的不断完善为物流运营效率的提升提供了有力的支撑，通过在全国八仓所在地加 快小件商品如快消品的前行仓部署，进一步缩短配送半径，缩短服务响应时间；围绕消费需求公司 进一步强化特色服务的能力，在全国</w:t>
      </w:r>
      <w:r>
        <w:rPr>
          <w:rFonts w:ascii="Times New Roman" w:eastAsia="Times New Roman" w:hAnsi="Times New Roman" w:cs="Times New Roman"/>
          <w:color w:val="000000"/>
          <w:spacing w:val="0"/>
          <w:w w:val="100"/>
          <w:position w:val="0"/>
        </w:rPr>
        <w:t>114</w:t>
      </w:r>
      <w:r>
        <w:rPr>
          <w:color w:val="000000"/>
          <w:spacing w:val="0"/>
          <w:w w:val="100"/>
          <w:position w:val="0"/>
        </w:rPr>
        <w:t>个城市提供</w:t>
      </w:r>
      <w:r>
        <w:rPr>
          <w:rFonts w:ascii="Times New Roman" w:eastAsia="Times New Roman" w:hAnsi="Times New Roman" w:cs="Times New Roman"/>
          <w:color w:val="000000"/>
          <w:spacing w:val="0"/>
          <w:w w:val="100"/>
          <w:position w:val="0"/>
        </w:rPr>
        <w:t>“</w:t>
      </w:r>
      <w:r>
        <w:rPr>
          <w:color w:val="000000"/>
          <w:spacing w:val="0"/>
          <w:w w:val="100"/>
          <w:position w:val="0"/>
        </w:rPr>
        <w:t>送装一体</w:t>
      </w:r>
      <w:r>
        <w:rPr>
          <w:rFonts w:ascii="Times New Roman" w:eastAsia="Times New Roman" w:hAnsi="Times New Roman" w:cs="Times New Roman"/>
          <w:color w:val="000000"/>
          <w:spacing w:val="0"/>
          <w:w w:val="100"/>
          <w:position w:val="0"/>
        </w:rPr>
        <w:t>”</w:t>
      </w:r>
      <w:r>
        <w:rPr>
          <w:color w:val="000000"/>
          <w:spacing w:val="0"/>
          <w:w w:val="100"/>
          <w:position w:val="0"/>
        </w:rPr>
        <w:t>服务，提升了客户体验；</w:t>
      </w:r>
      <w:r>
        <w:rPr>
          <w:rFonts w:ascii="Times New Roman" w:eastAsia="Times New Roman" w:hAnsi="Times New Roman" w:cs="Times New Roman"/>
          <w:color w:val="000000"/>
          <w:spacing w:val="0"/>
          <w:w w:val="100"/>
          <w:position w:val="0"/>
        </w:rPr>
        <w:t>“</w:t>
      </w:r>
      <w:r>
        <w:rPr>
          <w:color w:val="000000"/>
          <w:spacing w:val="0"/>
          <w:w w:val="100"/>
          <w:position w:val="0"/>
        </w:rPr>
        <w:t>次日达</w:t>
      </w:r>
      <w:r>
        <w:rPr>
          <w:rFonts w:ascii="Times New Roman" w:eastAsia="Times New Roman" w:hAnsi="Times New Roman" w:cs="Times New Roman"/>
          <w:color w:val="000000"/>
          <w:spacing w:val="0"/>
          <w:w w:val="100"/>
          <w:position w:val="0"/>
        </w:rPr>
        <w:t>”</w:t>
      </w:r>
      <w:r>
        <w:rPr>
          <w:color w:val="000000"/>
          <w:spacing w:val="0"/>
          <w:w w:val="100"/>
          <w:position w:val="0"/>
        </w:rPr>
        <w:t xml:space="preserve">、 </w:t>
      </w:r>
      <w:r>
        <w:rPr>
          <w:rFonts w:ascii="Times New Roman" w:eastAsia="Times New Roman" w:hAnsi="Times New Roman" w:cs="Times New Roman"/>
          <w:color w:val="000000"/>
          <w:spacing w:val="0"/>
          <w:w w:val="100"/>
          <w:position w:val="0"/>
        </w:rPr>
        <w:t>“</w:t>
      </w:r>
      <w:r>
        <w:rPr>
          <w:color w:val="000000"/>
          <w:spacing w:val="0"/>
          <w:w w:val="100"/>
          <w:position w:val="0"/>
        </w:rPr>
        <w:t>半日达</w:t>
      </w:r>
      <w:r>
        <w:rPr>
          <w:rFonts w:ascii="Times New Roman" w:eastAsia="Times New Roman" w:hAnsi="Times New Roman" w:cs="Times New Roman"/>
          <w:color w:val="000000"/>
          <w:spacing w:val="0"/>
          <w:w w:val="100"/>
          <w:position w:val="0"/>
        </w:rPr>
        <w:t>“</w:t>
      </w:r>
      <w:r>
        <w:rPr>
          <w:color w:val="000000"/>
          <w:spacing w:val="0"/>
          <w:w w:val="100"/>
          <w:position w:val="0"/>
        </w:rPr>
        <w:t>急速达</w:t>
      </w:r>
      <w:r>
        <w:rPr>
          <w:rFonts w:ascii="Times New Roman" w:eastAsia="Times New Roman" w:hAnsi="Times New Roman" w:cs="Times New Roman"/>
          <w:color w:val="000000"/>
          <w:spacing w:val="0"/>
          <w:w w:val="100"/>
          <w:position w:val="0"/>
        </w:rPr>
        <w:t>”</w:t>
      </w:r>
      <w:r>
        <w:rPr>
          <w:color w:val="000000"/>
          <w:spacing w:val="0"/>
          <w:w w:val="100"/>
          <w:position w:val="0"/>
        </w:rPr>
        <w:t>配送服务范围持续优化，物流效率大大提升。</w:t>
      </w:r>
    </w:p>
    <w:p>
      <w:pPr>
        <w:pStyle w:val="Style32"/>
        <w:keepNext w:val="0"/>
        <w:keepLines w:val="0"/>
        <w:widowControl w:val="0"/>
        <w:shd w:val="clear" w:color="auto" w:fill="auto"/>
        <w:bidi w:val="0"/>
        <w:spacing w:before="0" w:after="0" w:line="467" w:lineRule="exact"/>
        <w:ind w:left="420" w:right="0" w:firstLine="440"/>
        <w:jc w:val="both"/>
      </w:pPr>
      <w:r>
        <w:rPr>
          <w:color w:val="000000"/>
          <w:spacing w:val="0"/>
          <w:w w:val="100"/>
          <w:position w:val="0"/>
        </w:rPr>
        <w:t>售后服务方面，公司继续强化这一差异化竞争优势。报告期内，</w:t>
      </w:r>
      <w:r>
        <w:rPr>
          <w:rFonts w:ascii="Times New Roman" w:eastAsia="Times New Roman" w:hAnsi="Times New Roman" w:cs="Times New Roman"/>
          <w:color w:val="000000"/>
          <w:spacing w:val="0"/>
          <w:w w:val="100"/>
          <w:position w:val="0"/>
        </w:rPr>
        <w:t>“</w:t>
      </w:r>
      <w:r>
        <w:rPr>
          <w:color w:val="000000"/>
          <w:spacing w:val="0"/>
          <w:w w:val="100"/>
          <w:position w:val="0"/>
        </w:rPr>
        <w:t>以旧换新</w:t>
      </w:r>
      <w:r>
        <w:rPr>
          <w:rFonts w:ascii="Times New Roman" w:eastAsia="Times New Roman" w:hAnsi="Times New Roman" w:cs="Times New Roman"/>
          <w:color w:val="000000"/>
          <w:spacing w:val="0"/>
          <w:w w:val="100"/>
          <w:position w:val="0"/>
        </w:rPr>
        <w:t>”</w:t>
      </w:r>
      <w:r>
        <w:rPr>
          <w:color w:val="000000"/>
          <w:spacing w:val="0"/>
          <w:w w:val="100"/>
          <w:position w:val="0"/>
        </w:rPr>
        <w:t>增加手机品类，</w:t>
      </w:r>
      <w:r>
        <w:rPr>
          <w:rFonts w:ascii="Times New Roman" w:eastAsia="Times New Roman" w:hAnsi="Times New Roman" w:cs="Times New Roman"/>
          <w:color w:val="000000"/>
          <w:spacing w:val="0"/>
          <w:w w:val="100"/>
          <w:position w:val="0"/>
        </w:rPr>
        <w:t>“</w:t>
      </w:r>
      <w:r>
        <w:rPr>
          <w:color w:val="000000"/>
          <w:spacing w:val="0"/>
          <w:w w:val="100"/>
          <w:position w:val="0"/>
        </w:rPr>
        <w:t>送 装一体</w:t>
      </w:r>
      <w:r>
        <w:rPr>
          <w:rFonts w:ascii="Times New Roman" w:eastAsia="Times New Roman" w:hAnsi="Times New Roman" w:cs="Times New Roman"/>
          <w:color w:val="000000"/>
          <w:spacing w:val="0"/>
          <w:w w:val="100"/>
          <w:position w:val="0"/>
        </w:rPr>
        <w:t>”</w:t>
      </w:r>
      <w:r>
        <w:rPr>
          <w:color w:val="000000"/>
          <w:spacing w:val="0"/>
          <w:w w:val="100"/>
          <w:position w:val="0"/>
        </w:rPr>
        <w:t>服务主城区覆盖率达到</w:t>
      </w:r>
      <w:r>
        <w:rPr>
          <w:rFonts w:ascii="Times New Roman" w:eastAsia="Times New Roman" w:hAnsi="Times New Roman" w:cs="Times New Roman"/>
          <w:color w:val="000000"/>
          <w:spacing w:val="0"/>
          <w:w w:val="100"/>
          <w:position w:val="0"/>
        </w:rPr>
        <w:t>98.56%</w:t>
      </w:r>
      <w:r>
        <w:rPr>
          <w:color w:val="000000"/>
          <w:spacing w:val="0"/>
          <w:w w:val="100"/>
          <w:position w:val="0"/>
        </w:rPr>
        <w:t>；此外公司还着手搭建售后服务运营平台，整合社会服务商资 源，满足用户多样化的服务需求。</w:t>
      </w:r>
    </w:p>
    <w:p>
      <w:pPr>
        <w:pStyle w:val="Style32"/>
        <w:keepNext w:val="0"/>
        <w:keepLines w:val="0"/>
        <w:widowControl w:val="0"/>
        <w:shd w:val="clear" w:color="auto" w:fill="auto"/>
        <w:bidi w:val="0"/>
        <w:spacing w:before="0" w:after="0" w:line="467" w:lineRule="exact"/>
        <w:ind w:left="420" w:right="0" w:firstLine="440"/>
        <w:jc w:val="both"/>
      </w:pPr>
      <w:r>
        <w:rPr>
          <w:color w:val="000000"/>
          <w:spacing w:val="0"/>
          <w:w w:val="100"/>
          <w:position w:val="0"/>
        </w:rPr>
        <w:t>报告期内，公司社会化物流以服务供应商、菜鸟业务为重点，提供包括合同物流、仓储代运营、 仓配一体、供应链金融、仓储租赁等多元化的服务产品，实现社会化物流收入同比增长</w:t>
      </w:r>
      <w:r>
        <w:rPr>
          <w:rFonts w:ascii="Times New Roman" w:eastAsia="Times New Roman" w:hAnsi="Times New Roman" w:cs="Times New Roman"/>
          <w:color w:val="000000"/>
          <w:spacing w:val="0"/>
          <w:w w:val="100"/>
          <w:position w:val="0"/>
        </w:rPr>
        <w:t>320.33%</w:t>
      </w:r>
      <w:r>
        <w:rPr>
          <w:color w:val="000000"/>
          <w:spacing w:val="0"/>
          <w:w w:val="100"/>
          <w:position w:val="0"/>
        </w:rPr>
        <w:t>。</w:t>
      </w:r>
    </w:p>
    <w:p>
      <w:pPr>
        <w:pStyle w:val="Style38"/>
        <w:keepNext/>
        <w:keepLines/>
        <w:widowControl w:val="0"/>
        <w:shd w:val="clear" w:color="auto" w:fill="auto"/>
        <w:bidi w:val="0"/>
        <w:spacing w:before="0" w:after="0" w:line="467" w:lineRule="exact"/>
        <w:ind w:left="0" w:right="0" w:firstLine="860"/>
        <w:jc w:val="both"/>
      </w:pPr>
      <w:bookmarkStart w:id="55" w:name="bookmark55"/>
      <w:bookmarkStart w:id="56" w:name="bookmark56"/>
      <w:bookmarkStart w:id="57" w:name="bookmark57"/>
      <w:r>
        <w:rPr>
          <w:rFonts w:ascii="Arial" w:eastAsia="Arial" w:hAnsi="Arial" w:cs="Arial"/>
          <w:b w:val="0"/>
          <w:bCs w:val="0"/>
          <w:color w:val="000000"/>
          <w:spacing w:val="0"/>
          <w:w w:val="100"/>
          <w:position w:val="0"/>
        </w:rPr>
        <w:t>■</w:t>
      </w:r>
      <w:r>
        <w:rPr>
          <w:color w:val="000000"/>
          <w:spacing w:val="0"/>
          <w:w w:val="100"/>
          <w:position w:val="0"/>
        </w:rPr>
        <w:t>金融业务</w:t>
      </w:r>
      <w:bookmarkEnd w:id="55"/>
      <w:bookmarkEnd w:id="56"/>
      <w:bookmarkEnd w:id="57"/>
    </w:p>
    <w:p>
      <w:pPr>
        <w:pStyle w:val="Style32"/>
        <w:keepNext w:val="0"/>
        <w:keepLines w:val="0"/>
        <w:widowControl w:val="0"/>
        <w:shd w:val="clear" w:color="auto" w:fill="auto"/>
        <w:bidi w:val="0"/>
        <w:spacing w:before="0" w:after="0" w:line="467" w:lineRule="exact"/>
        <w:ind w:left="420" w:right="0" w:firstLine="440"/>
        <w:jc w:val="both"/>
      </w:pPr>
      <w:r>
        <w:rPr>
          <w:color w:val="000000"/>
          <w:spacing w:val="0"/>
          <w:w w:val="100"/>
          <w:position w:val="0"/>
        </w:rPr>
        <w:t>伴随着各项基础设施的布局成熟，苏宁金融各项金融产品的规模与效益突显，报告期末苏宁银 行获批筹建，苏宁金融生态布局也将更为完善，发展步入快车道。</w:t>
      </w:r>
      <w:r>
        <w:rPr>
          <w:rFonts w:ascii="Times New Roman" w:eastAsia="Times New Roman" w:hAnsi="Times New Roman" w:cs="Times New Roman"/>
          <w:color w:val="000000"/>
          <w:spacing w:val="0"/>
          <w:w w:val="100"/>
          <w:position w:val="0"/>
        </w:rPr>
        <w:t>2016</w:t>
      </w:r>
      <w:r>
        <w:rPr>
          <w:color w:val="000000"/>
          <w:spacing w:val="0"/>
          <w:w w:val="100"/>
          <w:position w:val="0"/>
        </w:rPr>
        <w:t>年苏宁金融业务（支付业务、 供应链金融等业务）总体交易规模同比增长</w:t>
      </w:r>
      <w:r>
        <w:rPr>
          <w:rFonts w:ascii="Times New Roman" w:eastAsia="Times New Roman" w:hAnsi="Times New Roman" w:cs="Times New Roman"/>
          <w:color w:val="000000"/>
          <w:spacing w:val="0"/>
          <w:w w:val="100"/>
          <w:position w:val="0"/>
        </w:rPr>
        <w:t>157.21%</w:t>
      </w:r>
      <w:r>
        <w:rPr>
          <w:color w:val="000000"/>
          <w:spacing w:val="0"/>
          <w:w w:val="100"/>
          <w:position w:val="0"/>
        </w:rPr>
        <w:t>。</w:t>
      </w:r>
    </w:p>
    <w:p>
      <w:pPr>
        <w:pStyle w:val="Style32"/>
        <w:keepNext w:val="0"/>
        <w:keepLines w:val="0"/>
        <w:widowControl w:val="0"/>
        <w:shd w:val="clear" w:color="auto" w:fill="auto"/>
        <w:bidi w:val="0"/>
        <w:spacing w:before="0" w:after="0" w:line="467" w:lineRule="exact"/>
        <w:ind w:left="420" w:right="0" w:firstLine="440"/>
        <w:jc w:val="both"/>
      </w:pPr>
      <w:r>
        <w:rPr>
          <w:color w:val="000000"/>
          <w:spacing w:val="0"/>
          <w:w w:val="100"/>
          <w:position w:val="0"/>
        </w:rPr>
        <w:t>报告期内，苏宁金融专注于苏宁上游供应商和下游用户在支付结算、融资、保险等金融服务方 面的需求，持续优化产品布局，提升苏宁生态圈内金融服务渗透率；生态圈外拓上，着重发展企业 端支付业务和供应链金融业务，目前苏宁易付宝支付直连银行超过</w:t>
      </w:r>
      <w:r>
        <w:rPr>
          <w:rFonts w:ascii="Times New Roman" w:eastAsia="Times New Roman" w:hAnsi="Times New Roman" w:cs="Times New Roman"/>
          <w:color w:val="000000"/>
          <w:spacing w:val="0"/>
          <w:w w:val="100"/>
          <w:position w:val="0"/>
        </w:rPr>
        <w:t>70</w:t>
      </w:r>
      <w:r>
        <w:rPr>
          <w:color w:val="000000"/>
          <w:spacing w:val="0"/>
          <w:w w:val="100"/>
          <w:position w:val="0"/>
        </w:rPr>
        <w:t>家，通过整合直连支付通道开 发</w:t>
      </w:r>
      <w:r>
        <w:rPr>
          <w:rFonts w:ascii="Times New Roman" w:eastAsia="Times New Roman" w:hAnsi="Times New Roman" w:cs="Times New Roman"/>
          <w:color w:val="000000"/>
          <w:spacing w:val="0"/>
          <w:w w:val="100"/>
          <w:position w:val="0"/>
        </w:rPr>
        <w:t>“</w:t>
      </w:r>
      <w:r>
        <w:rPr>
          <w:color w:val="000000"/>
          <w:spacing w:val="0"/>
          <w:w w:val="100"/>
          <w:position w:val="0"/>
        </w:rPr>
        <w:t>跨行通</w:t>
      </w:r>
      <w:r>
        <w:rPr>
          <w:rFonts w:ascii="Times New Roman" w:eastAsia="Times New Roman" w:hAnsi="Times New Roman" w:cs="Times New Roman"/>
          <w:color w:val="000000"/>
          <w:spacing w:val="0"/>
          <w:w w:val="100"/>
          <w:position w:val="0"/>
        </w:rPr>
        <w:t>”</w:t>
      </w:r>
      <w:r>
        <w:rPr>
          <w:color w:val="000000"/>
          <w:spacing w:val="0"/>
          <w:w w:val="100"/>
          <w:position w:val="0"/>
        </w:rPr>
        <w:t>产品，为企业客户提供银行间支付解决方案；针对苏宁售后服务商群体，推出</w:t>
      </w:r>
      <w:r>
        <w:rPr>
          <w:rFonts w:ascii="Times New Roman" w:eastAsia="Times New Roman" w:hAnsi="Times New Roman" w:cs="Times New Roman"/>
          <w:color w:val="000000"/>
          <w:spacing w:val="0"/>
          <w:w w:val="100"/>
          <w:position w:val="0"/>
        </w:rPr>
        <w:t>“</w:t>
      </w:r>
      <w:r>
        <w:rPr>
          <w:color w:val="000000"/>
          <w:spacing w:val="0"/>
          <w:w w:val="100"/>
          <w:position w:val="0"/>
        </w:rPr>
        <w:t>乐业贷</w:t>
      </w:r>
      <w:r>
        <w:rPr>
          <w:rFonts w:ascii="Times New Roman" w:eastAsia="Times New Roman" w:hAnsi="Times New Roman" w:cs="Times New Roman"/>
          <w:color w:val="000000"/>
          <w:spacing w:val="0"/>
          <w:w w:val="100"/>
          <w:position w:val="0"/>
        </w:rPr>
        <w:t>”</w:t>
      </w:r>
      <w:r>
        <w:rPr>
          <w:color w:val="000000"/>
          <w:spacing w:val="0"/>
          <w:w w:val="100"/>
          <w:position w:val="0"/>
        </w:rPr>
        <w:t>融 资产品。同时，持续推动数据拓源、加大科技投入、完善风控体系建设，上线智能营销决策引擎， 打造全流程、全业务覆盖的智能实时风控，为各类金融业务的快速发展提供技术保障。</w:t>
      </w:r>
      <w:r>
        <w:rPr>
          <w:rFonts w:ascii="Times New Roman" w:eastAsia="Times New Roman" w:hAnsi="Times New Roman" w:cs="Times New Roman"/>
          <w:color w:val="000000"/>
          <w:spacing w:val="0"/>
          <w:w w:val="100"/>
          <w:position w:val="0"/>
        </w:rPr>
        <w:t>2016</w:t>
      </w:r>
      <w:r>
        <w:rPr>
          <w:color w:val="000000"/>
          <w:spacing w:val="0"/>
          <w:w w:val="100"/>
          <w:position w:val="0"/>
        </w:rPr>
        <w:t>年，苏 宁金融持续强化以</w:t>
      </w:r>
      <w:r>
        <w:rPr>
          <w:rFonts w:ascii="Times New Roman" w:eastAsia="Times New Roman" w:hAnsi="Times New Roman" w:cs="Times New Roman"/>
          <w:color w:val="000000"/>
          <w:spacing w:val="0"/>
          <w:w w:val="100"/>
          <w:position w:val="0"/>
        </w:rPr>
        <w:t>020</w:t>
      </w:r>
      <w:r>
        <w:rPr>
          <w:color w:val="000000"/>
          <w:spacing w:val="0"/>
          <w:w w:val="100"/>
          <w:position w:val="0"/>
        </w:rPr>
        <w:t>为特色的金融科技企业的品牌定位，稳居国内一流的互联网金融集团之列。</w:t>
      </w:r>
    </w:p>
    <w:p>
      <w:pPr>
        <w:pStyle w:val="Style38"/>
        <w:keepNext/>
        <w:keepLines/>
        <w:widowControl w:val="0"/>
        <w:shd w:val="clear" w:color="auto" w:fill="auto"/>
        <w:bidi w:val="0"/>
        <w:spacing w:before="0" w:after="0" w:line="467" w:lineRule="exact"/>
        <w:ind w:left="0" w:right="0" w:firstLine="860"/>
        <w:jc w:val="both"/>
      </w:pPr>
      <w:bookmarkStart w:id="58" w:name="bookmark58"/>
      <w:bookmarkStart w:id="59" w:name="bookmark59"/>
      <w:bookmarkStart w:id="60" w:name="bookmark60"/>
      <w:r>
        <w:rPr>
          <w:rFonts w:ascii="Arial" w:eastAsia="Arial" w:hAnsi="Arial" w:cs="Arial"/>
          <w:b w:val="0"/>
          <w:bCs w:val="0"/>
          <w:color w:val="000000"/>
          <w:spacing w:val="0"/>
          <w:w w:val="100"/>
          <w:position w:val="0"/>
        </w:rPr>
        <w:t>■</w:t>
      </w:r>
      <w:r>
        <w:rPr>
          <w:color w:val="000000"/>
          <w:spacing w:val="0"/>
          <w:w w:val="100"/>
          <w:position w:val="0"/>
        </w:rPr>
        <w:t>内部管理</w:t>
      </w:r>
      <w:bookmarkEnd w:id="58"/>
      <w:bookmarkEnd w:id="59"/>
      <w:bookmarkEnd w:id="60"/>
    </w:p>
    <w:p>
      <w:pPr>
        <w:pStyle w:val="Style32"/>
        <w:keepNext w:val="0"/>
        <w:keepLines w:val="0"/>
        <w:widowControl w:val="0"/>
        <w:shd w:val="clear" w:color="auto" w:fill="auto"/>
        <w:bidi w:val="0"/>
        <w:spacing w:before="0" w:after="420" w:line="467" w:lineRule="exact"/>
        <w:ind w:left="420" w:right="0" w:firstLine="440"/>
        <w:jc w:val="both"/>
      </w:pPr>
      <w:r>
        <w:rPr>
          <w:color w:val="000000"/>
          <w:spacing w:val="0"/>
          <w:w w:val="100"/>
          <w:position w:val="0"/>
        </w:rPr>
        <w:t xml:space="preserve">为满足企业发展多元化和专业化的要求，公司不断优化组织设置，推进事业部公司化以及小团 队机制，强化管理团队专业能力的提升。强化绩效评估，围绕核心运营岗位建立奖首罚末的机制； </w:t>
      </w:r>
      <w:r>
        <w:rPr>
          <w:color w:val="000000"/>
          <w:spacing w:val="0"/>
          <w:w w:val="100"/>
          <w:position w:val="0"/>
        </w:rPr>
        <w:t>立足自主培养，全面加强人才梯队建设，选拔年轻干部，倡导事业经理人，提出了目标导向下个人 成就驱动的新动力机制；搭建员工服务平台，为员工的工作、生活、学习发展提供支持。</w:t>
      </w:r>
    </w:p>
    <w:p>
      <w:pPr>
        <w:pStyle w:val="Style38"/>
        <w:keepNext/>
        <w:keepLines/>
        <w:widowControl w:val="0"/>
        <w:shd w:val="clear" w:color="auto" w:fill="auto"/>
        <w:bidi w:val="0"/>
        <w:spacing w:before="0" w:after="0" w:line="444" w:lineRule="auto"/>
        <w:ind w:left="0" w:right="0" w:firstLine="860"/>
        <w:jc w:val="both"/>
      </w:pPr>
      <w:bookmarkStart w:id="61" w:name="bookmark61"/>
      <w:bookmarkStart w:id="62" w:name="bookmark62"/>
      <w:bookmarkStart w:id="63" w:name="bookmark63"/>
      <w:bookmarkStart w:id="64" w:name="bookmark64"/>
      <w:r>
        <w:rPr>
          <w:rFonts w:ascii="Times New Roman" w:eastAsia="Times New Roman" w:hAnsi="Times New Roman" w:cs="Times New Roman"/>
          <w:color w:val="000000"/>
          <w:spacing w:val="0"/>
          <w:w w:val="100"/>
          <w:position w:val="0"/>
        </w:rPr>
        <w:t>2</w:t>
      </w:r>
      <w:bookmarkEnd w:id="63"/>
      <w:r>
        <w:rPr>
          <w:color w:val="000000"/>
          <w:spacing w:val="0"/>
          <w:w w:val="100"/>
          <w:position w:val="0"/>
        </w:rPr>
        <w:t>、报告期内公司所属行业的发展阶段、周期性特点以及公司所处的行业地位等</w:t>
      </w:r>
      <w:bookmarkEnd w:id="61"/>
      <w:bookmarkEnd w:id="62"/>
      <w:bookmarkEnd w:id="64"/>
    </w:p>
    <w:p>
      <w:pPr>
        <w:pStyle w:val="Style32"/>
        <w:keepNext w:val="0"/>
        <w:keepLines w:val="0"/>
        <w:widowControl w:val="0"/>
        <w:shd w:val="clear" w:color="auto" w:fill="auto"/>
        <w:tabs>
          <w:tab w:pos="1358" w:val="left"/>
        </w:tabs>
        <w:bidi w:val="0"/>
        <w:spacing w:before="0" w:after="0" w:line="468" w:lineRule="exact"/>
        <w:ind w:left="0" w:right="0" w:firstLine="860"/>
        <w:jc w:val="both"/>
      </w:pPr>
      <w:bookmarkStart w:id="65" w:name="bookmark65"/>
      <w:r>
        <w:rPr>
          <w:color w:val="000000"/>
          <w:spacing w:val="0"/>
          <w:w w:val="100"/>
          <w:position w:val="0"/>
        </w:rPr>
        <w:t>（</w:t>
      </w:r>
      <w:bookmarkEnd w:id="65"/>
      <w:r>
        <w:rPr>
          <w:rFonts w:ascii="Times New Roman" w:eastAsia="Times New Roman" w:hAnsi="Times New Roman" w:cs="Times New Roman"/>
          <w:color w:val="000000"/>
          <w:spacing w:val="0"/>
          <w:w w:val="100"/>
          <w:position w:val="0"/>
        </w:rPr>
        <w:t>1</w:t>
      </w:r>
      <w:r>
        <w:rPr>
          <w:color w:val="000000"/>
          <w:spacing w:val="0"/>
          <w:w w:val="100"/>
          <w:position w:val="0"/>
        </w:rPr>
        <w:t>）</w:t>
        <w:tab/>
        <w:t>苏宁云商按照中国证监会行业划分所属</w:t>
      </w:r>
      <w:r>
        <w:rPr>
          <w:rFonts w:ascii="Times New Roman" w:eastAsia="Times New Roman" w:hAnsi="Times New Roman" w:cs="Times New Roman"/>
          <w:color w:val="000000"/>
          <w:spacing w:val="0"/>
          <w:w w:val="100"/>
          <w:position w:val="0"/>
        </w:rPr>
        <w:t>“</w:t>
      </w:r>
      <w:r>
        <w:rPr>
          <w:color w:val="000000"/>
          <w:spacing w:val="0"/>
          <w:w w:val="100"/>
          <w:position w:val="0"/>
        </w:rPr>
        <w:t>批发和零售贸易</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零售业</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32"/>
        <w:keepNext w:val="0"/>
        <w:keepLines w:val="0"/>
        <w:widowControl w:val="0"/>
        <w:shd w:val="clear" w:color="auto" w:fill="auto"/>
        <w:tabs>
          <w:tab w:pos="1358" w:val="left"/>
        </w:tabs>
        <w:bidi w:val="0"/>
        <w:spacing w:before="0" w:after="0" w:line="468" w:lineRule="exact"/>
        <w:ind w:left="0" w:right="0" w:firstLine="860"/>
        <w:jc w:val="both"/>
      </w:pPr>
      <w:bookmarkStart w:id="66" w:name="bookmark66"/>
      <w:r>
        <w:rPr>
          <w:color w:val="000000"/>
          <w:spacing w:val="0"/>
          <w:w w:val="100"/>
          <w:position w:val="0"/>
        </w:rPr>
        <w:t>（</w:t>
      </w:r>
      <w:bookmarkEnd w:id="66"/>
      <w:r>
        <w:rPr>
          <w:rFonts w:ascii="Times New Roman" w:eastAsia="Times New Roman" w:hAnsi="Times New Roman" w:cs="Times New Roman"/>
          <w:color w:val="000000"/>
          <w:spacing w:val="0"/>
          <w:w w:val="100"/>
          <w:position w:val="0"/>
        </w:rPr>
        <w:t>2</w:t>
      </w:r>
      <w:r>
        <w:rPr>
          <w:color w:val="000000"/>
          <w:spacing w:val="0"/>
          <w:w w:val="100"/>
          <w:position w:val="0"/>
        </w:rPr>
        <w:t>）</w:t>
        <w:tab/>
        <w:t>行业发展情况</w:t>
      </w:r>
    </w:p>
    <w:p>
      <w:pPr>
        <w:pStyle w:val="Style32"/>
        <w:keepNext w:val="0"/>
        <w:keepLines w:val="0"/>
        <w:widowControl w:val="0"/>
        <w:shd w:val="clear" w:color="auto" w:fill="auto"/>
        <w:bidi w:val="0"/>
        <w:spacing w:before="0" w:after="0" w:line="468" w:lineRule="exact"/>
        <w:ind w:left="420" w:right="0" w:firstLine="440"/>
        <w:jc w:val="both"/>
      </w:pPr>
      <w:r>
        <w:rPr>
          <w:rFonts w:ascii="Times New Roman" w:eastAsia="Times New Roman" w:hAnsi="Times New Roman" w:cs="Times New Roman"/>
          <w:color w:val="000000"/>
          <w:spacing w:val="0"/>
          <w:w w:val="100"/>
          <w:position w:val="0"/>
        </w:rPr>
        <w:t>2016</w:t>
      </w:r>
      <w:r>
        <w:rPr>
          <w:color w:val="000000"/>
          <w:spacing w:val="0"/>
          <w:w w:val="100"/>
          <w:position w:val="0"/>
        </w:rPr>
        <w:t xml:space="preserve">年，国民经济进入新常态发展，消费对经济的拉动效应进一步显现。根据国家统计局数据, </w:t>
      </w:r>
      <w:r>
        <w:rPr>
          <w:rFonts w:ascii="Times New Roman" w:eastAsia="Times New Roman" w:hAnsi="Times New Roman" w:cs="Times New Roman"/>
          <w:color w:val="000000"/>
          <w:spacing w:val="0"/>
          <w:w w:val="100"/>
          <w:position w:val="0"/>
        </w:rPr>
        <w:t>2016</w:t>
      </w:r>
      <w:r>
        <w:rPr>
          <w:color w:val="000000"/>
          <w:spacing w:val="0"/>
          <w:w w:val="100"/>
          <w:position w:val="0"/>
        </w:rPr>
        <w:t>年社会消费品零售总额达到</w:t>
      </w:r>
      <w:r>
        <w:rPr>
          <w:rFonts w:ascii="Times New Roman" w:eastAsia="Times New Roman" w:hAnsi="Times New Roman" w:cs="Times New Roman"/>
          <w:color w:val="000000"/>
          <w:spacing w:val="0"/>
          <w:w w:val="100"/>
          <w:position w:val="0"/>
        </w:rPr>
        <w:t>33.2</w:t>
      </w:r>
      <w:r>
        <w:rPr>
          <w:color w:val="000000"/>
          <w:spacing w:val="0"/>
          <w:w w:val="100"/>
          <w:position w:val="0"/>
        </w:rPr>
        <w:t>万亿元，同比增长</w:t>
      </w:r>
      <w:r>
        <w:rPr>
          <w:rFonts w:ascii="Times New Roman" w:eastAsia="Times New Roman" w:hAnsi="Times New Roman" w:cs="Times New Roman"/>
          <w:color w:val="000000"/>
          <w:spacing w:val="0"/>
          <w:w w:val="100"/>
          <w:position w:val="0"/>
        </w:rPr>
        <w:t>10.4%</w:t>
      </w:r>
      <w:r>
        <w:rPr>
          <w:color w:val="000000"/>
          <w:spacing w:val="0"/>
          <w:w w:val="100"/>
          <w:position w:val="0"/>
        </w:rPr>
        <w:t>,对经济增长的贡献率达到</w:t>
      </w:r>
      <w:r>
        <w:rPr>
          <w:rFonts w:ascii="Times New Roman" w:eastAsia="Times New Roman" w:hAnsi="Times New Roman" w:cs="Times New Roman"/>
          <w:color w:val="000000"/>
          <w:spacing w:val="0"/>
          <w:w w:val="100"/>
          <w:position w:val="0"/>
        </w:rPr>
        <w:t>64.6%</w:t>
      </w:r>
      <w:r>
        <w:rPr>
          <w:color w:val="000000"/>
          <w:spacing w:val="0"/>
          <w:w w:val="100"/>
          <w:position w:val="0"/>
        </w:rPr>
        <w:t>，较 上年提升</w:t>
      </w:r>
      <w:r>
        <w:rPr>
          <w:rFonts w:ascii="Times New Roman" w:eastAsia="Times New Roman" w:hAnsi="Times New Roman" w:cs="Times New Roman"/>
          <w:color w:val="000000"/>
          <w:spacing w:val="0"/>
          <w:w w:val="100"/>
          <w:position w:val="0"/>
        </w:rPr>
        <w:t>4.7</w:t>
      </w:r>
      <w:r>
        <w:rPr>
          <w:color w:val="000000"/>
          <w:spacing w:val="0"/>
          <w:w w:val="100"/>
          <w:position w:val="0"/>
        </w:rPr>
        <w:t>个百分点。</w:t>
      </w:r>
    </w:p>
    <w:p>
      <w:pPr>
        <w:pStyle w:val="Style32"/>
        <w:keepNext w:val="0"/>
        <w:keepLines w:val="0"/>
        <w:widowControl w:val="0"/>
        <w:shd w:val="clear" w:color="auto" w:fill="auto"/>
        <w:bidi w:val="0"/>
        <w:spacing w:before="0" w:after="0" w:line="468" w:lineRule="exact"/>
        <w:ind w:left="420" w:right="0" w:firstLine="440"/>
        <w:jc w:val="both"/>
      </w:pPr>
      <w:r>
        <w:rPr>
          <w:color w:val="000000"/>
          <w:spacing w:val="0"/>
          <w:w w:val="100"/>
          <w:position w:val="0"/>
        </w:rPr>
        <w:t>网上零售继续保持较快增速，同比增长</w:t>
      </w:r>
      <w:r>
        <w:rPr>
          <w:rFonts w:ascii="Times New Roman" w:eastAsia="Times New Roman" w:hAnsi="Times New Roman" w:cs="Times New Roman"/>
          <w:color w:val="000000"/>
          <w:spacing w:val="0"/>
          <w:w w:val="100"/>
          <w:position w:val="0"/>
        </w:rPr>
        <w:t>26.2%</w:t>
      </w:r>
      <w:r>
        <w:rPr>
          <w:color w:val="000000"/>
          <w:spacing w:val="0"/>
          <w:w w:val="100"/>
          <w:position w:val="0"/>
        </w:rPr>
        <w:t>,在消费结构加快升级的影响下，以及实体零售自 身提档升级的推动下，实体零售销售增速自</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月份以来回升。总体来看，</w:t>
      </w:r>
      <w:r>
        <w:rPr>
          <w:rFonts w:ascii="Times New Roman" w:eastAsia="Times New Roman" w:hAnsi="Times New Roman" w:cs="Times New Roman"/>
          <w:color w:val="000000"/>
          <w:spacing w:val="0"/>
          <w:w w:val="100"/>
          <w:position w:val="0"/>
        </w:rPr>
        <w:t>2016</w:t>
      </w:r>
      <w:r>
        <w:rPr>
          <w:color w:val="000000"/>
          <w:spacing w:val="0"/>
          <w:w w:val="100"/>
          <w:position w:val="0"/>
        </w:rPr>
        <w:t>年我国消费市场 实现了平稳较快发展，新常态下消费市场呈现出消费升级的新态势，居民消费向品质升级、服务升 级进行转变，零售行业发展回归零售本质，专注于个性化、品质化、体验化的商品及服务提供。</w:t>
      </w:r>
    </w:p>
    <w:p>
      <w:pPr>
        <w:pStyle w:val="Style32"/>
        <w:keepNext w:val="0"/>
        <w:keepLines w:val="0"/>
        <w:widowControl w:val="0"/>
        <w:shd w:val="clear" w:color="auto" w:fill="auto"/>
        <w:bidi w:val="0"/>
        <w:spacing w:before="0" w:after="0" w:line="468" w:lineRule="exact"/>
        <w:ind w:left="420" w:right="0" w:firstLine="440"/>
        <w:jc w:val="both"/>
      </w:pPr>
      <w:r>
        <w:rPr>
          <w:color w:val="000000"/>
          <w:spacing w:val="0"/>
          <w:w w:val="100"/>
          <w:position w:val="0"/>
        </w:rPr>
        <w:t>展望未来，随着新型工业化以及供给侧结构性改革加快推进，城镇化步伐加快，城乡居民消费 能力稳步提升，消费品市场将持续保持平稳较快的增长。</w:t>
      </w:r>
    </w:p>
    <w:p>
      <w:pPr>
        <w:pStyle w:val="Style32"/>
        <w:keepNext w:val="0"/>
        <w:keepLines w:val="0"/>
        <w:widowControl w:val="0"/>
        <w:shd w:val="clear" w:color="auto" w:fill="auto"/>
        <w:tabs>
          <w:tab w:pos="1358" w:val="left"/>
        </w:tabs>
        <w:bidi w:val="0"/>
        <w:spacing w:before="0" w:after="0" w:line="468" w:lineRule="exact"/>
        <w:ind w:left="0" w:right="0" w:firstLine="860"/>
        <w:jc w:val="both"/>
      </w:pPr>
      <w:bookmarkStart w:id="67" w:name="bookmark67"/>
      <w:r>
        <w:rPr>
          <w:color w:val="000000"/>
          <w:spacing w:val="0"/>
          <w:w w:val="100"/>
          <w:position w:val="0"/>
        </w:rPr>
        <w:t>（</w:t>
      </w:r>
      <w:bookmarkEnd w:id="67"/>
      <w:r>
        <w:rPr>
          <w:rFonts w:ascii="Times New Roman" w:eastAsia="Times New Roman" w:hAnsi="Times New Roman" w:cs="Times New Roman"/>
          <w:color w:val="000000"/>
          <w:spacing w:val="0"/>
          <w:w w:val="100"/>
          <w:position w:val="0"/>
        </w:rPr>
        <w:t>3</w:t>
      </w:r>
      <w:r>
        <w:rPr>
          <w:color w:val="000000"/>
          <w:spacing w:val="0"/>
          <w:w w:val="100"/>
          <w:position w:val="0"/>
        </w:rPr>
        <w:t>）</w:t>
        <w:tab/>
        <w:t>公司所处行业地位</w:t>
      </w:r>
    </w:p>
    <w:p>
      <w:pPr>
        <w:pStyle w:val="Style32"/>
        <w:keepNext w:val="0"/>
        <w:keepLines w:val="0"/>
        <w:widowControl w:val="0"/>
        <w:shd w:val="clear" w:color="auto" w:fill="auto"/>
        <w:bidi w:val="0"/>
        <w:spacing w:before="0" w:after="420" w:line="468" w:lineRule="exact"/>
        <w:ind w:left="420" w:right="0" w:firstLine="440"/>
        <w:jc w:val="both"/>
      </w:pPr>
      <w:r>
        <w:rPr>
          <w:color w:val="000000"/>
          <w:spacing w:val="0"/>
          <w:w w:val="100"/>
          <w:position w:val="0"/>
        </w:rPr>
        <w:t>多年来，苏宁一直坚持推进互联网零售模式转型升级，形成的线上线下融合的渠道更加契合消 费者多样化的购物需求；品类方面也从家电、</w:t>
      </w:r>
      <w:r>
        <w:rPr>
          <w:rFonts w:ascii="Times New Roman" w:eastAsia="Times New Roman" w:hAnsi="Times New Roman" w:cs="Times New Roman"/>
          <w:color w:val="000000"/>
          <w:spacing w:val="0"/>
          <w:w w:val="100"/>
          <w:position w:val="0"/>
        </w:rPr>
        <w:t>3C</w:t>
      </w:r>
      <w:r>
        <w:rPr>
          <w:color w:val="000000"/>
          <w:spacing w:val="0"/>
          <w:w w:val="100"/>
          <w:position w:val="0"/>
        </w:rPr>
        <w:t>延伸至母婴、超市、百货、家居等，从实物商品延 伸至文化体育等内容商品，以及智能家居、科技金融等服务商品，不仅能够满足用户对品质消费、 绿色消费、时尚消费等升级类相关商品的需求，也实现了对服务性消费需求的提供。苏宁基于行业 的前瞻性研究，充分运用科技</w:t>
      </w:r>
      <w:r>
        <w:rPr>
          <w:rFonts w:ascii="Times New Roman" w:eastAsia="Times New Roman" w:hAnsi="Times New Roman" w:cs="Times New Roman"/>
          <w:color w:val="000000"/>
          <w:spacing w:val="0"/>
          <w:w w:val="100"/>
          <w:position w:val="0"/>
        </w:rPr>
        <w:t>IT</w:t>
      </w:r>
      <w:r>
        <w:rPr>
          <w:color w:val="000000"/>
          <w:spacing w:val="0"/>
          <w:w w:val="100"/>
          <w:position w:val="0"/>
        </w:rPr>
        <w:t>技术，打造出行业领先的互联网零售模式，有效地契合了消费市场 发展趋势，具备较强的竞争优势，已经成为中国最先进的</w:t>
      </w:r>
      <w:r>
        <w:rPr>
          <w:rFonts w:ascii="Times New Roman" w:eastAsia="Times New Roman" w:hAnsi="Times New Roman" w:cs="Times New Roman"/>
          <w:color w:val="000000"/>
          <w:spacing w:val="0"/>
          <w:w w:val="100"/>
          <w:position w:val="0"/>
        </w:rPr>
        <w:t>020</w:t>
      </w:r>
      <w:r>
        <w:rPr>
          <w:color w:val="000000"/>
          <w:spacing w:val="0"/>
          <w:w w:val="100"/>
          <w:position w:val="0"/>
        </w:rPr>
        <w:t>零售模式的标杆。</w:t>
      </w:r>
    </w:p>
    <w:p>
      <w:pPr>
        <w:pStyle w:val="Style32"/>
        <w:keepNext w:val="0"/>
        <w:keepLines w:val="0"/>
        <w:widowControl w:val="0"/>
        <w:shd w:val="clear" w:color="auto" w:fill="auto"/>
        <w:bidi w:val="0"/>
        <w:spacing w:before="0" w:after="300" w:line="240" w:lineRule="auto"/>
        <w:ind w:left="0" w:right="0" w:firstLine="420"/>
        <w:jc w:val="both"/>
        <w:rPr>
          <w:sz w:val="24"/>
          <w:szCs w:val="24"/>
        </w:rPr>
      </w:pPr>
      <w:bookmarkStart w:id="68" w:name="bookmark68"/>
      <w:r>
        <w:rPr>
          <w:b/>
          <w:bCs/>
          <w:color w:val="000000"/>
          <w:spacing w:val="0"/>
          <w:w w:val="100"/>
          <w:position w:val="0"/>
          <w:sz w:val="24"/>
          <w:szCs w:val="24"/>
        </w:rPr>
        <w:t>二</w:t>
      </w:r>
      <w:bookmarkEnd w:id="68"/>
      <w:r>
        <w:rPr>
          <w:b/>
          <w:bCs/>
          <w:color w:val="000000"/>
          <w:spacing w:val="0"/>
          <w:w w:val="100"/>
          <w:position w:val="0"/>
          <w:sz w:val="24"/>
          <w:szCs w:val="24"/>
        </w:rPr>
        <w:t>、主要资产重大变化情况</w:t>
      </w:r>
    </w:p>
    <w:p>
      <w:pPr>
        <w:pStyle w:val="Style32"/>
        <w:keepNext w:val="0"/>
        <w:keepLines w:val="0"/>
        <w:widowControl w:val="0"/>
        <w:shd w:val="clear" w:color="auto" w:fill="auto"/>
        <w:bidi w:val="0"/>
        <w:spacing w:before="0" w:after="300" w:line="240" w:lineRule="auto"/>
        <w:ind w:left="0" w:right="0" w:firstLine="420"/>
        <w:jc w:val="both"/>
      </w:pPr>
      <w:bookmarkStart w:id="69" w:name="bookmark69"/>
      <w:r>
        <w:rPr>
          <w:rFonts w:ascii="Times New Roman" w:eastAsia="Times New Roman" w:hAnsi="Times New Roman" w:cs="Times New Roman"/>
          <w:b/>
          <w:bCs/>
          <w:color w:val="000000"/>
          <w:spacing w:val="0"/>
          <w:w w:val="100"/>
          <w:position w:val="0"/>
        </w:rPr>
        <w:t>1</w:t>
      </w:r>
      <w:bookmarkEnd w:id="69"/>
      <w:r>
        <w:rPr>
          <w:b/>
          <w:bCs/>
          <w:color w:val="000000"/>
          <w:spacing w:val="0"/>
          <w:w w:val="100"/>
          <w:position w:val="0"/>
        </w:rPr>
        <w:t>、主要资产重大变化情况</w:t>
      </w:r>
    </w:p>
    <w:tbl>
      <w:tblPr>
        <w:tblOverlap w:val="never"/>
        <w:jc w:val="center"/>
        <w:tblLayout w:type="fixed"/>
      </w:tblPr>
      <w:tblGrid>
        <w:gridCol w:w="1565"/>
        <w:gridCol w:w="8016"/>
      </w:tblGrid>
      <w:tr>
        <w:trPr>
          <w:trHeight w:val="691"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40"/>
              <w:jc w:val="left"/>
            </w:pPr>
            <w:r>
              <w:rPr>
                <w:color w:val="000000"/>
                <w:spacing w:val="0"/>
                <w:w w:val="100"/>
                <w:position w:val="0"/>
              </w:rPr>
              <w:t>主要资产</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重大变化说明</w:t>
            </w:r>
          </w:p>
        </w:tc>
      </w:tr>
      <w:tr>
        <w:trPr>
          <w:trHeight w:val="581"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股权资产</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98" w:lineRule="exact"/>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日长期股权投资余额较期初增加</w:t>
            </w:r>
            <w:r>
              <w:rPr>
                <w:rFonts w:ascii="Times New Roman" w:eastAsia="Times New Roman" w:hAnsi="Times New Roman" w:cs="Times New Roman"/>
                <w:color w:val="000000"/>
                <w:spacing w:val="0"/>
                <w:w w:val="100"/>
                <w:position w:val="0"/>
              </w:rPr>
              <w:t>89.74%</w:t>
            </w:r>
            <w:r>
              <w:rPr>
                <w:color w:val="000000"/>
                <w:spacing w:val="0"/>
                <w:w w:val="100"/>
                <w:position w:val="0"/>
              </w:rPr>
              <w:t>，主要由于报告期内 公司子公司增加对外投资。</w:t>
            </w:r>
          </w:p>
        </w:tc>
      </w:tr>
      <w:tr>
        <w:trPr>
          <w:trHeight w:val="29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日固定资产余额较期初减少</w:t>
            </w:r>
            <w:r>
              <w:rPr>
                <w:rFonts w:ascii="Times New Roman" w:eastAsia="Times New Roman" w:hAnsi="Times New Roman" w:cs="Times New Roman"/>
                <w:color w:val="000000"/>
                <w:spacing w:val="0"/>
                <w:w w:val="100"/>
                <w:position w:val="0"/>
              </w:rPr>
              <w:t>3.32%</w:t>
            </w:r>
            <w:r>
              <w:rPr>
                <w:color w:val="000000"/>
                <w:spacing w:val="0"/>
                <w:w w:val="100"/>
                <w:position w:val="0"/>
              </w:rPr>
              <w:t>，未发生重大变化。</w:t>
            </w:r>
          </w:p>
        </w:tc>
      </w:tr>
      <w:tr>
        <w:trPr>
          <w:trHeight w:val="298"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日无形资产余额较期初减少</w:t>
            </w:r>
            <w:r>
              <w:rPr>
                <w:rFonts w:ascii="Times New Roman" w:eastAsia="Times New Roman" w:hAnsi="Times New Roman" w:cs="Times New Roman"/>
                <w:color w:val="000000"/>
                <w:spacing w:val="0"/>
                <w:w w:val="100"/>
                <w:position w:val="0"/>
              </w:rPr>
              <w:t>20.42%</w:t>
            </w:r>
            <w:r>
              <w:rPr>
                <w:color w:val="000000"/>
                <w:spacing w:val="0"/>
                <w:w w:val="100"/>
                <w:position w:val="0"/>
              </w:rPr>
              <w:t>，未发生重大变化。</w:t>
            </w:r>
          </w:p>
        </w:tc>
      </w:tr>
      <w:tr>
        <w:trPr>
          <w:trHeight w:val="302" w:hRule="exact"/>
        </w:trPr>
        <w:tc>
          <w:tcPr>
            <w:tcBorders>
              <w:top w:val="single" w:sz="4"/>
              <w:left w:val="single" w:sz="4"/>
              <w:bottom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日在建工程余额较期初减少</w:t>
            </w:r>
            <w:r>
              <w:rPr>
                <w:rFonts w:ascii="Times New Roman" w:eastAsia="Times New Roman" w:hAnsi="Times New Roman" w:cs="Times New Roman"/>
                <w:color w:val="000000"/>
                <w:spacing w:val="0"/>
                <w:w w:val="100"/>
                <w:position w:val="0"/>
              </w:rPr>
              <w:t>17.16%</w:t>
            </w:r>
            <w:r>
              <w:rPr>
                <w:color w:val="000000"/>
                <w:spacing w:val="0"/>
                <w:w w:val="100"/>
                <w:position w:val="0"/>
              </w:rPr>
              <w:t>，未发生重大变化。</w:t>
            </w:r>
          </w:p>
        </w:tc>
      </w:tr>
    </w:tbl>
    <w:p>
      <w:pPr>
        <w:pStyle w:val="Style32"/>
        <w:keepNext w:val="0"/>
        <w:keepLines w:val="0"/>
        <w:widowControl w:val="0"/>
        <w:shd w:val="clear" w:color="auto" w:fill="auto"/>
        <w:bidi w:val="0"/>
        <w:spacing w:before="0" w:after="400" w:line="240" w:lineRule="auto"/>
        <w:ind w:left="0" w:right="0" w:firstLine="840"/>
        <w:jc w:val="left"/>
        <w:rPr>
          <w:sz w:val="20"/>
          <w:szCs w:val="20"/>
        </w:rPr>
      </w:pPr>
      <w:r>
        <w:rPr>
          <w:color w:val="000000"/>
          <w:spacing w:val="0"/>
          <w:w w:val="100"/>
          <w:position w:val="0"/>
          <w:sz w:val="20"/>
          <w:szCs w:val="20"/>
        </w:rPr>
        <w:t>注：公司资产重大变化详见</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第四节经营情况讨论与分析四、资产及负债状况分析</w:t>
      </w:r>
    </w:p>
    <w:p>
      <w:pPr>
        <w:pStyle w:val="Style38"/>
        <w:keepNext/>
        <w:keepLines/>
        <w:widowControl w:val="0"/>
        <w:shd w:val="clear" w:color="auto" w:fill="auto"/>
        <w:bidi w:val="0"/>
        <w:spacing w:before="0" w:after="340" w:line="240" w:lineRule="auto"/>
        <w:ind w:left="0" w:right="0" w:firstLine="400"/>
        <w:jc w:val="left"/>
      </w:pPr>
      <w:bookmarkStart w:id="70" w:name="bookmark70"/>
      <w:bookmarkStart w:id="71" w:name="bookmark71"/>
      <w:bookmarkStart w:id="72" w:name="bookmark72"/>
      <w:bookmarkStart w:id="73" w:name="bookmark73"/>
      <w:r>
        <w:rPr>
          <w:rFonts w:ascii="Times New Roman" w:eastAsia="Times New Roman" w:hAnsi="Times New Roman" w:cs="Times New Roman"/>
          <w:color w:val="000000"/>
          <w:spacing w:val="0"/>
          <w:w w:val="100"/>
          <w:position w:val="0"/>
        </w:rPr>
        <w:t>2</w:t>
      </w:r>
      <w:bookmarkEnd w:id="72"/>
      <w:r>
        <w:rPr>
          <w:color w:val="000000"/>
          <w:spacing w:val="0"/>
          <w:w w:val="100"/>
          <w:position w:val="0"/>
        </w:rPr>
        <w:t>、主要境外资产情况</w:t>
      </w:r>
      <w:bookmarkEnd w:id="70"/>
      <w:bookmarkEnd w:id="71"/>
      <w:bookmarkEnd w:id="73"/>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单位：千元</w:t>
      </w:r>
    </w:p>
    <w:tbl>
      <w:tblPr>
        <w:tblOverlap w:val="never"/>
        <w:jc w:val="center"/>
        <w:tblLayout w:type="fixed"/>
      </w:tblPr>
      <w:tblGrid>
        <w:gridCol w:w="1282"/>
        <w:gridCol w:w="850"/>
        <w:gridCol w:w="1277"/>
        <w:gridCol w:w="864"/>
        <w:gridCol w:w="1051"/>
        <w:gridCol w:w="1051"/>
        <w:gridCol w:w="1080"/>
        <w:gridCol w:w="1056"/>
        <w:gridCol w:w="1070"/>
      </w:tblGrid>
      <w:tr>
        <w:trPr>
          <w:trHeight w:val="1152"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88" w:lineRule="exact"/>
              <w:ind w:left="0" w:right="0" w:firstLine="0"/>
              <w:jc w:val="center"/>
            </w:pPr>
            <w:r>
              <w:rPr>
                <w:color w:val="000000"/>
                <w:spacing w:val="0"/>
                <w:w w:val="100"/>
                <w:position w:val="0"/>
              </w:rPr>
              <w:t>资产的具体 内容</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88" w:lineRule="exact"/>
              <w:ind w:left="0" w:right="0" w:firstLine="0"/>
              <w:jc w:val="center"/>
            </w:pPr>
            <w:r>
              <w:rPr>
                <w:color w:val="000000"/>
                <w:spacing w:val="0"/>
                <w:w w:val="100"/>
                <w:position w:val="0"/>
              </w:rPr>
              <w:t>形成原 因</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95" w:lineRule="exact"/>
              <w:ind w:left="0" w:right="0" w:firstLine="0"/>
              <w:jc w:val="center"/>
            </w:pPr>
            <w:r>
              <w:rPr>
                <w:color w:val="000000"/>
                <w:spacing w:val="0"/>
                <w:w w:val="100"/>
                <w:position w:val="0"/>
              </w:rPr>
              <w:t>截至</w:t>
            </w:r>
            <w:r>
              <w:rPr>
                <w:rFonts w:ascii="Times New Roman" w:eastAsia="Times New Roman" w:hAnsi="Times New Roman" w:cs="Times New Roman"/>
                <w:color w:val="000000"/>
                <w:spacing w:val="0"/>
                <w:w w:val="100"/>
                <w:position w:val="0"/>
              </w:rPr>
              <w:t>2016</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 净资产规模</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所在地</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运营模式</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86" w:lineRule="exact"/>
              <w:ind w:left="0" w:right="0" w:firstLine="0"/>
              <w:jc w:val="center"/>
            </w:pPr>
            <w:r>
              <w:rPr>
                <w:color w:val="000000"/>
                <w:spacing w:val="0"/>
                <w:w w:val="100"/>
                <w:position w:val="0"/>
              </w:rPr>
              <w:t>保障资产 安全性的 控制措施</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02" w:lineRule="exact"/>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年度 收益状况</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83" w:lineRule="exact"/>
              <w:ind w:left="0" w:right="0" w:firstLine="0"/>
              <w:jc w:val="center"/>
            </w:pPr>
            <w:r>
              <w:rPr>
                <w:color w:val="000000"/>
                <w:spacing w:val="0"/>
                <w:w w:val="100"/>
                <w:position w:val="0"/>
              </w:rPr>
              <w:t>境外资产 占公司净 资产的比</w:t>
            </w:r>
          </w:p>
          <w:p>
            <w:pPr>
              <w:pStyle w:val="Style28"/>
              <w:keepNext w:val="0"/>
              <w:keepLines w:val="0"/>
              <w:widowControl w:val="0"/>
              <w:shd w:val="clear" w:color="auto" w:fill="auto"/>
              <w:bidi w:val="0"/>
              <w:spacing w:before="0" w:after="0" w:line="283" w:lineRule="exact"/>
              <w:ind w:left="0" w:right="0" w:firstLine="0"/>
              <w:jc w:val="center"/>
            </w:pPr>
            <w:r>
              <w:rPr>
                <w:color w:val="000000"/>
                <w:spacing w:val="0"/>
                <w:w w:val="100"/>
                <w:position w:val="0"/>
              </w:rPr>
              <w:t>重</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83" w:lineRule="exact"/>
              <w:ind w:left="0" w:right="0" w:firstLine="0"/>
              <w:jc w:val="center"/>
            </w:pPr>
            <w:r>
              <w:rPr>
                <w:color w:val="000000"/>
                <w:spacing w:val="0"/>
                <w:w w:val="100"/>
                <w:position w:val="0"/>
              </w:rPr>
              <w:t>是否存在 重大减值 风险</w:t>
            </w:r>
          </w:p>
        </w:tc>
      </w:tr>
      <w:tr>
        <w:trPr>
          <w:trHeight w:val="581"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307" w:lineRule="exact"/>
              <w:ind w:left="0" w:right="0" w:firstLine="0"/>
              <w:jc w:val="left"/>
            </w:pPr>
            <w:r>
              <w:rPr>
                <w:color w:val="000000"/>
                <w:spacing w:val="0"/>
                <w:w w:val="100"/>
                <w:position w:val="0"/>
              </w:rPr>
              <w:t>日本</w:t>
            </w:r>
            <w:r>
              <w:rPr>
                <w:rFonts w:ascii="Times New Roman" w:eastAsia="Times New Roman" w:hAnsi="Times New Roman" w:cs="Times New Roman"/>
                <w:color w:val="000000"/>
                <w:spacing w:val="0"/>
                <w:w w:val="100"/>
                <w:position w:val="0"/>
              </w:rPr>
              <w:t xml:space="preserve">LAOX </w:t>
            </w:r>
            <w:r>
              <w:rPr>
                <w:color w:val="000000"/>
                <w:spacing w:val="0"/>
                <w:w w:val="100"/>
                <w:position w:val="0"/>
              </w:rPr>
              <w:t>株式会社</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收购</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2,774,145</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日本</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连锁零售</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3,560,607</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4.22%</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581"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93" w:lineRule="exact"/>
              <w:ind w:left="0" w:right="0" w:firstLine="0"/>
              <w:jc w:val="left"/>
            </w:pPr>
            <w:r>
              <w:rPr>
                <w:color w:val="000000"/>
                <w:spacing w:val="0"/>
                <w:w w:val="100"/>
                <w:position w:val="0"/>
              </w:rPr>
              <w:t>香港苏宁云 商有限公司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收购</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372,699</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香港</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连锁零售</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4,680,261</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0.57%</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299" w:hRule="exact"/>
        </w:trPr>
        <w:tc>
          <w:tcPr>
            <w:tcBorders>
              <w:top w:val="single" w:sz="4"/>
              <w:left w:val="single" w:sz="4"/>
              <w:bottom w:val="single" w:sz="4"/>
            </w:tcBorders>
            <w:shd w:val="clear" w:color="auto" w:fill="D3D3D3"/>
            <w:vAlign w:val="top"/>
          </w:tcPr>
          <w:p>
            <w:pPr>
              <w:pStyle w:val="Style28"/>
              <w:keepNext w:val="0"/>
              <w:keepLines w:val="0"/>
              <w:widowControl w:val="0"/>
              <w:shd w:val="clear" w:color="auto" w:fill="auto"/>
              <w:bidi w:val="0"/>
              <w:spacing w:before="0" w:after="0" w:line="288" w:lineRule="exact"/>
              <w:ind w:left="0" w:right="0" w:firstLine="0"/>
              <w:jc w:val="left"/>
            </w:pPr>
            <w:r>
              <w:rPr>
                <w:color w:val="000000"/>
                <w:spacing w:val="0"/>
                <w:w w:val="100"/>
                <w:position w:val="0"/>
              </w:rPr>
              <w:t>其他情况说 明</w:t>
            </w:r>
          </w:p>
        </w:tc>
        <w:tc>
          <w:tcPr>
            <w:gridSpan w:val="3"/>
            <w:tcBorders>
              <w:top w:val="single" w:sz="4"/>
              <w:left w:val="single" w:sz="4"/>
              <w:bottom w:val="single" w:sz="4"/>
            </w:tcBorders>
            <w:shd w:val="clear" w:color="auto" w:fill="FFFFFF"/>
            <w:vAlign w:val="top"/>
          </w:tcPr>
          <w:p>
            <w:pPr>
              <w:pStyle w:val="Style28"/>
              <w:keepNext w:val="0"/>
              <w:keepLines w:val="0"/>
              <w:widowControl w:val="0"/>
              <w:shd w:val="clear" w:color="auto" w:fill="auto"/>
              <w:tabs>
                <w:tab w:pos="350" w:val="left"/>
              </w:tabs>
              <w:bidi w:val="0"/>
              <w:spacing w:before="0" w:after="0" w:line="286"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tab/>
              <w:t>日本</w:t>
            </w:r>
            <w:r>
              <w:rPr>
                <w:rFonts w:ascii="Times New Roman" w:eastAsia="Times New Roman" w:hAnsi="Times New Roman" w:cs="Times New Roman"/>
                <w:color w:val="000000"/>
                <w:spacing w:val="0"/>
                <w:w w:val="100"/>
                <w:position w:val="0"/>
              </w:rPr>
              <w:t>LAOX</w:t>
            </w:r>
            <w:r>
              <w:rPr>
                <w:color w:val="000000"/>
                <w:spacing w:val="0"/>
                <w:w w:val="100"/>
                <w:position w:val="0"/>
              </w:rPr>
              <w:t>株式会社为公司 日本地区实现销售收入</w:t>
            </w:r>
            <w:r>
              <w:rPr>
                <w:rFonts w:ascii="Times New Roman" w:eastAsia="Times New Roman" w:hAnsi="Times New Roman" w:cs="Times New Roman"/>
                <w:color w:val="000000"/>
                <w:spacing w:val="0"/>
                <w:w w:val="100"/>
                <w:position w:val="0"/>
              </w:rPr>
              <w:t>35.61</w:t>
            </w:r>
            <w:r>
              <w:rPr>
                <w:color w:val="000000"/>
                <w:spacing w:val="0"/>
                <w:w w:val="100"/>
                <w:position w:val="0"/>
              </w:rPr>
              <w:t>亿</w:t>
            </w:r>
          </w:p>
          <w:p>
            <w:pPr>
              <w:pStyle w:val="Style28"/>
              <w:keepNext w:val="0"/>
              <w:keepLines w:val="0"/>
              <w:widowControl w:val="0"/>
              <w:shd w:val="clear" w:color="auto" w:fill="auto"/>
              <w:tabs>
                <w:tab w:pos="346" w:val="left"/>
              </w:tabs>
              <w:bidi w:val="0"/>
              <w:spacing w:before="0" w:after="0" w:line="286"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tab/>
              <w:t>公司在香港地区、澳门地区 澳地区实现销售收入</w:t>
            </w:r>
            <w:r>
              <w:rPr>
                <w:rFonts w:ascii="Times New Roman" w:eastAsia="Times New Roman" w:hAnsi="Times New Roman" w:cs="Times New Roman"/>
                <w:color w:val="000000"/>
                <w:spacing w:val="0"/>
                <w:w w:val="100"/>
                <w:position w:val="0"/>
              </w:rPr>
              <w:t>46.80</w:t>
            </w:r>
            <w:r>
              <w:rPr>
                <w:color w:val="000000"/>
                <w:spacing w:val="0"/>
                <w:w w:val="100"/>
                <w:position w:val="0"/>
              </w:rPr>
              <w:t>亿元</w:t>
            </w:r>
          </w:p>
          <w:p>
            <w:pPr>
              <w:pStyle w:val="Style28"/>
              <w:keepNext w:val="0"/>
              <w:keepLines w:val="0"/>
              <w:widowControl w:val="0"/>
              <w:shd w:val="clear" w:color="auto" w:fill="auto"/>
              <w:tabs>
                <w:tab w:pos="341" w:val="left"/>
              </w:tabs>
              <w:bidi w:val="0"/>
              <w:spacing w:before="0" w:after="0" w:line="286"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tab/>
              <w:t>公司在美国硅谷设立研究院</w:t>
            </w:r>
          </w:p>
          <w:p>
            <w:pPr>
              <w:pStyle w:val="Style28"/>
              <w:keepNext w:val="0"/>
              <w:keepLines w:val="0"/>
              <w:widowControl w:val="0"/>
              <w:shd w:val="clear" w:color="auto" w:fill="auto"/>
              <w:tabs>
                <w:tab w:pos="346" w:val="left"/>
              </w:tabs>
              <w:bidi w:val="0"/>
              <w:spacing w:before="0" w:after="0" w:line="286" w:lineRule="exact"/>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tab/>
              <w:t xml:space="preserve">公司因开展业务投资、并购 </w:t>
            </w:r>
            <w:r>
              <w:rPr>
                <w:rFonts w:ascii="Times New Roman" w:eastAsia="Times New Roman" w:hAnsi="Times New Roman" w:cs="Times New Roman"/>
                <w:color w:val="000000"/>
                <w:spacing w:val="0"/>
                <w:w w:val="100"/>
                <w:position w:val="0"/>
              </w:rPr>
              <w:t xml:space="preserve">Shiny Lion Limited </w:t>
            </w:r>
            <w:r>
              <w:rPr>
                <w:color w:val="000000"/>
                <w:spacing w:val="0"/>
                <w:w w:val="100"/>
                <w:position w:val="0"/>
              </w:rPr>
              <w:t xml:space="preserve">&gt; </w:t>
            </w:r>
            <w:r>
              <w:rPr>
                <w:rFonts w:ascii="Times New Roman" w:eastAsia="Times New Roman" w:hAnsi="Times New Roman" w:cs="Times New Roman"/>
                <w:color w:val="000000"/>
                <w:spacing w:val="0"/>
                <w:w w:val="100"/>
                <w:position w:val="0"/>
              </w:rPr>
              <w:t xml:space="preserve">Great Univ Limited </w:t>
            </w:r>
            <w:r>
              <w:rPr>
                <w:color w:val="000000"/>
                <w:spacing w:val="0"/>
                <w:w w:val="100"/>
                <w:position w:val="0"/>
              </w:rPr>
              <w:t xml:space="preserve">&gt; </w:t>
            </w:r>
            <w:r>
              <w:rPr>
                <w:rFonts w:ascii="Times New Roman" w:eastAsia="Times New Roman" w:hAnsi="Times New Roman" w:cs="Times New Roman"/>
                <w:color w:val="000000"/>
                <w:spacing w:val="0"/>
                <w:w w:val="100"/>
                <w:position w:val="0"/>
              </w:rPr>
              <w:t>Great Horizon Limited</w:t>
            </w:r>
          </w:p>
        </w:tc>
        <w:tc>
          <w:tcPr>
            <w:gridSpan w:val="2"/>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40" w:line="240" w:lineRule="auto"/>
              <w:ind w:left="0" w:right="0" w:firstLine="0"/>
              <w:jc w:val="left"/>
            </w:pPr>
            <w:r>
              <w:rPr>
                <w:color w:val="000000"/>
                <w:spacing w:val="0"/>
                <w:w w:val="100"/>
                <w:position w:val="0"/>
              </w:rPr>
              <w:t>控股子公司，从事免税</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p>
            <w:pPr>
              <w:pStyle w:val="Style28"/>
              <w:keepNext w:val="0"/>
              <w:keepLines w:val="0"/>
              <w:widowControl w:val="0"/>
              <w:shd w:val="clear" w:color="auto" w:fill="auto"/>
              <w:bidi w:val="0"/>
              <w:spacing w:before="0" w:after="0" w:line="359" w:lineRule="exact"/>
              <w:ind w:left="0" w:right="0" w:firstLine="0"/>
              <w:jc w:val="left"/>
            </w:pPr>
            <w:r>
              <w:rPr>
                <w:color w:val="000000"/>
                <w:spacing w:val="0"/>
                <w:w w:val="100"/>
                <w:position w:val="0"/>
              </w:rPr>
              <w:t>拥有</w:t>
            </w:r>
            <w:r>
              <w:rPr>
                <w:rFonts w:ascii="Times New Roman" w:eastAsia="Times New Roman" w:hAnsi="Times New Roman" w:cs="Times New Roman"/>
                <w:color w:val="000000"/>
                <w:spacing w:val="0"/>
                <w:w w:val="100"/>
                <w:position w:val="0"/>
              </w:rPr>
              <w:t>6</w:t>
            </w:r>
            <w:r>
              <w:rPr>
                <w:color w:val="000000"/>
                <w:spacing w:val="0"/>
                <w:w w:val="100"/>
                <w:position w:val="0"/>
              </w:rPr>
              <w:t>家子公司，从事 ，主要从事云计算、大 ，在开曼群岛设立</w:t>
            </w:r>
            <w:r>
              <w:rPr>
                <w:rFonts w:ascii="Times New Roman" w:eastAsia="Times New Roman" w:hAnsi="Times New Roman" w:cs="Times New Roman"/>
                <w:color w:val="000000"/>
                <w:spacing w:val="0"/>
                <w:w w:val="100"/>
                <w:position w:val="0"/>
              </w:rPr>
              <w:t>/</w:t>
            </w:r>
            <w:r>
              <w:rPr>
                <w:color w:val="000000"/>
                <w:spacing w:val="0"/>
                <w:w w:val="100"/>
                <w:position w:val="0"/>
              </w:rPr>
              <w:t xml:space="preserve">获取 </w:t>
            </w:r>
            <w:r>
              <w:rPr>
                <w:rFonts w:ascii="Times New Roman" w:eastAsia="Times New Roman" w:hAnsi="Times New Roman" w:cs="Times New Roman"/>
                <w:color w:val="000000"/>
                <w:spacing w:val="0"/>
                <w:w w:val="100"/>
                <w:position w:val="0"/>
              </w:rPr>
              <w:t>erse Limited</w:t>
            </w:r>
            <w:r>
              <w:rPr>
                <w:color w:val="000000"/>
                <w:spacing w:val="0"/>
                <w:w w:val="100"/>
                <w:position w:val="0"/>
              </w:rPr>
              <w:t>、</w:t>
            </w:r>
            <w:r>
              <w:rPr>
                <w:rFonts w:ascii="Times New Roman" w:eastAsia="Times New Roman" w:hAnsi="Times New Roman" w:cs="Times New Roman"/>
                <w:color w:val="000000"/>
                <w:spacing w:val="0"/>
                <w:w w:val="100"/>
                <w:position w:val="0"/>
              </w:rPr>
              <w:t xml:space="preserve">City Elite </w:t>
            </w:r>
            <w:r>
              <w:rPr>
                <w:color w:val="000000"/>
                <w:spacing w:val="0"/>
                <w:w w:val="100"/>
                <w:position w:val="0"/>
              </w:rPr>
              <w:t>境外子公司，主要从事</w:t>
            </w:r>
          </w:p>
        </w:tc>
        <w:tc>
          <w:tcPr>
            <w:gridSpan w:val="3"/>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557" w:lineRule="exact"/>
              <w:ind w:left="0" w:right="0" w:firstLine="0"/>
              <w:jc w:val="left"/>
            </w:pPr>
            <w:r>
              <w:rPr>
                <w:color w:val="000000"/>
                <w:spacing w:val="0"/>
                <w:w w:val="100"/>
                <w:position w:val="0"/>
              </w:rPr>
              <w:t>兑商品的连锁零售业务，</w:t>
            </w:r>
            <w:r>
              <w:rPr>
                <w:rFonts w:ascii="Times New Roman" w:eastAsia="Times New Roman" w:hAnsi="Times New Roman" w:cs="Times New Roman"/>
                <w:color w:val="000000"/>
                <w:spacing w:val="0"/>
                <w:w w:val="100"/>
                <w:position w:val="0"/>
              </w:rPr>
              <w:t>2016</w:t>
            </w:r>
            <w:r>
              <w:rPr>
                <w:color w:val="000000"/>
                <w:spacing w:val="0"/>
                <w:w w:val="100"/>
                <w:position w:val="0"/>
              </w:rPr>
              <w:t>年 手家电商品零售业务，</w:t>
            </w:r>
            <w:r>
              <w:rPr>
                <w:rFonts w:ascii="Times New Roman" w:eastAsia="Times New Roman" w:hAnsi="Times New Roman" w:cs="Times New Roman"/>
                <w:color w:val="000000"/>
                <w:spacing w:val="0"/>
                <w:w w:val="100"/>
                <w:position w:val="0"/>
              </w:rPr>
              <w:t>2016</w:t>
            </w:r>
            <w:r>
              <w:rPr>
                <w:color w:val="000000"/>
                <w:spacing w:val="0"/>
                <w:w w:val="100"/>
                <w:position w:val="0"/>
              </w:rPr>
              <w:t>年港 "数据等</w:t>
            </w:r>
            <w:r>
              <w:rPr>
                <w:rFonts w:ascii="Times New Roman" w:eastAsia="Times New Roman" w:hAnsi="Times New Roman" w:cs="Times New Roman"/>
                <w:color w:val="000000"/>
                <w:spacing w:val="0"/>
                <w:w w:val="100"/>
                <w:position w:val="0"/>
              </w:rPr>
              <w:t>IT</w:t>
            </w:r>
            <w:r>
              <w:rPr>
                <w:color w:val="000000"/>
                <w:spacing w:val="0"/>
                <w:w w:val="100"/>
                <w:position w:val="0"/>
              </w:rPr>
              <w:t>研发业务；</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以公司包括 </w:t>
            </w:r>
            <w:r>
              <w:rPr>
                <w:rFonts w:ascii="Times New Roman" w:eastAsia="Times New Roman" w:hAnsi="Times New Roman" w:cs="Times New Roman"/>
                <w:color w:val="000000"/>
                <w:spacing w:val="0"/>
                <w:w w:val="100"/>
                <w:position w:val="0"/>
              </w:rPr>
              <w:t>Great Elite Limited</w:t>
            </w:r>
            <w:r>
              <w:rPr>
                <w:color w:val="000000"/>
                <w:spacing w:val="0"/>
                <w:w w:val="100"/>
                <w:position w:val="0"/>
              </w:rPr>
              <w:t>、</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Limited </w:t>
            </w:r>
            <w:r>
              <w:rPr>
                <w:color w:val="000000"/>
                <w:spacing w:val="0"/>
                <w:w w:val="100"/>
                <w:position w:val="0"/>
              </w:rPr>
              <w:t xml:space="preserve">&gt; </w:t>
            </w:r>
            <w:r>
              <w:rPr>
                <w:rFonts w:ascii="Times New Roman" w:eastAsia="Times New Roman" w:hAnsi="Times New Roman" w:cs="Times New Roman"/>
                <w:color w:val="000000"/>
                <w:spacing w:val="0"/>
                <w:w w:val="100"/>
                <w:position w:val="0"/>
              </w:rPr>
              <w:t>Granda Magic</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留投资业务。</w:t>
            </w:r>
          </w:p>
        </w:tc>
      </w:tr>
    </w:tbl>
    <w:p>
      <w:pPr>
        <w:pStyle w:val="Style25"/>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三、核心竞争力分析</w:t>
      </w:r>
    </w:p>
    <w:p>
      <w:pPr>
        <w:widowControl w:val="0"/>
        <w:spacing w:after="179" w:line="1" w:lineRule="exact"/>
      </w:pPr>
    </w:p>
    <w:p>
      <w:pPr>
        <w:pStyle w:val="Style32"/>
        <w:keepNext w:val="0"/>
        <w:keepLines w:val="0"/>
        <w:widowControl w:val="0"/>
        <w:shd w:val="clear" w:color="auto" w:fill="auto"/>
        <w:bidi w:val="0"/>
        <w:spacing w:before="0" w:after="0" w:line="468" w:lineRule="exact"/>
        <w:ind w:left="0" w:right="0" w:firstLine="840"/>
        <w:jc w:val="left"/>
      </w:pPr>
      <w:r>
        <w:rPr>
          <w:color w:val="000000"/>
          <w:spacing w:val="0"/>
          <w:w w:val="100"/>
          <w:position w:val="0"/>
        </w:rPr>
        <w:t>公司是否需要遵守特殊行业的披露要求</w:t>
      </w:r>
    </w:p>
    <w:p>
      <w:pPr>
        <w:pStyle w:val="Style32"/>
        <w:keepNext w:val="0"/>
        <w:keepLines w:val="0"/>
        <w:widowControl w:val="0"/>
        <w:shd w:val="clear" w:color="auto" w:fill="auto"/>
        <w:bidi w:val="0"/>
        <w:spacing w:before="0" w:after="220" w:line="468" w:lineRule="exact"/>
        <w:ind w:left="0" w:right="0" w:firstLine="840"/>
        <w:jc w:val="left"/>
      </w:pPr>
      <w:r>
        <w:rPr>
          <w:color w:val="000000"/>
          <w:spacing w:val="0"/>
          <w:w w:val="100"/>
          <w:position w:val="0"/>
        </w:rPr>
        <w:t>否</w:t>
      </w:r>
    </w:p>
    <w:p>
      <w:pPr>
        <w:pStyle w:val="Style38"/>
        <w:keepNext/>
        <w:keepLines/>
        <w:widowControl w:val="0"/>
        <w:shd w:val="clear" w:color="auto" w:fill="auto"/>
        <w:bidi w:val="0"/>
        <w:spacing w:before="0" w:after="180" w:line="468" w:lineRule="exact"/>
        <w:ind w:left="0" w:right="0" w:firstLine="840"/>
        <w:jc w:val="left"/>
      </w:pPr>
      <w:bookmarkStart w:id="74" w:name="bookmark74"/>
      <w:bookmarkStart w:id="75" w:name="bookmark75"/>
      <w:bookmarkStart w:id="76" w:name="bookmark76"/>
      <w:bookmarkStart w:id="77" w:name="bookmark77"/>
      <w:r>
        <w:rPr>
          <w:rFonts w:ascii="Times New Roman" w:eastAsia="Times New Roman" w:hAnsi="Times New Roman" w:cs="Times New Roman"/>
          <w:color w:val="000000"/>
          <w:spacing w:val="0"/>
          <w:w w:val="100"/>
          <w:position w:val="0"/>
        </w:rPr>
        <w:t>1</w:t>
      </w:r>
      <w:bookmarkEnd w:id="76"/>
      <w:r>
        <w:rPr>
          <w:color w:val="000000"/>
          <w:spacing w:val="0"/>
          <w:w w:val="100"/>
          <w:position w:val="0"/>
        </w:rPr>
        <w:t>、苏宁拥有最完整的消费生态，能够有效获得忠诚的用户，形成长期发展的持续动力</w:t>
      </w:r>
      <w:bookmarkEnd w:id="74"/>
      <w:bookmarkEnd w:id="75"/>
      <w:bookmarkEnd w:id="77"/>
    </w:p>
    <w:p>
      <w:pPr>
        <w:pStyle w:val="Style32"/>
        <w:keepNext w:val="0"/>
        <w:keepLines w:val="0"/>
        <w:widowControl w:val="0"/>
        <w:shd w:val="clear" w:color="auto" w:fill="auto"/>
        <w:bidi w:val="0"/>
        <w:spacing w:before="0" w:after="0" w:line="468" w:lineRule="exact"/>
        <w:ind w:left="400" w:right="0" w:firstLine="460"/>
        <w:jc w:val="both"/>
      </w:pPr>
      <w:r>
        <w:rPr>
          <w:color w:val="000000"/>
          <w:spacing w:val="0"/>
          <w:w w:val="100"/>
          <w:position w:val="0"/>
        </w:rPr>
        <w:t>企业发展的核心就是要能够获得忠诚的用户，这样企业的壁垒中期难以打破，长期增长的确定 性才会更强。苏宁拥有零售行业中最完整的消费生态，能够形成忠实的粉丝群体。</w:t>
      </w:r>
    </w:p>
    <w:p>
      <w:pPr>
        <w:pStyle w:val="Style32"/>
        <w:keepNext w:val="0"/>
        <w:keepLines w:val="0"/>
        <w:widowControl w:val="0"/>
        <w:shd w:val="clear" w:color="auto" w:fill="auto"/>
        <w:bidi w:val="0"/>
        <w:spacing w:before="0" w:after="200" w:line="468" w:lineRule="exact"/>
        <w:ind w:left="400" w:right="0" w:firstLine="460"/>
        <w:jc w:val="both"/>
      </w:pPr>
      <w:r>
        <w:rPr>
          <w:color w:val="000000"/>
          <w:spacing w:val="0"/>
          <w:w w:val="100"/>
          <w:position w:val="0"/>
        </w:rPr>
        <w:t>线下依托苏宁生活广场、云店、苏宁易购服务站、苏宁小店以及苏宁电器、母婴、超市专业店 面，对消费需求形成全面覆盖，满足各种体验型、便利型的购物需求；线上通过苏宁易购、苏宁易 购天猫旗舰店为用户提供海量商品选择和极致购物体验。依托集团在文化、体育产业方面的资源， 如视频影视、足球俱乐部、赛事转播版权等，与用户达成精神的共鸣、情感的交流。苏宁的消费生 态能够为消费者构筑快乐、健康的品质生活，生活方式的影响和传导能够激发用户选择苏宁、了解 苏宁、喜欢苏宁，从而成为苏宁的忠诚用户，形成苏宁长期发展的持续动力。</w:t>
      </w:r>
    </w:p>
    <w:p>
      <w:pPr>
        <w:pStyle w:val="Style38"/>
        <w:keepNext/>
        <w:keepLines/>
        <w:widowControl w:val="0"/>
        <w:shd w:val="clear" w:color="auto" w:fill="auto"/>
        <w:bidi w:val="0"/>
        <w:spacing w:before="0" w:after="200" w:line="467" w:lineRule="exact"/>
        <w:ind w:left="0" w:right="0" w:firstLine="860"/>
        <w:jc w:val="left"/>
      </w:pPr>
      <w:bookmarkStart w:id="78" w:name="bookmark78"/>
      <w:bookmarkStart w:id="79" w:name="bookmark79"/>
      <w:bookmarkStart w:id="80" w:name="bookmark80"/>
      <w:bookmarkStart w:id="81" w:name="bookmark81"/>
      <w:r>
        <w:rPr>
          <w:rFonts w:ascii="Times New Roman" w:eastAsia="Times New Roman" w:hAnsi="Times New Roman" w:cs="Times New Roman"/>
          <w:color w:val="000000"/>
          <w:spacing w:val="0"/>
          <w:w w:val="100"/>
          <w:position w:val="0"/>
        </w:rPr>
        <w:t>2</w:t>
      </w:r>
      <w:bookmarkEnd w:id="80"/>
      <w:r>
        <w:rPr>
          <w:color w:val="000000"/>
          <w:spacing w:val="0"/>
          <w:w w:val="100"/>
          <w:position w:val="0"/>
        </w:rPr>
        <w:t>、苏宁拥有强大的自营能力，能够有效提升经营附加值，持续增强企业盈利能力</w:t>
      </w:r>
      <w:bookmarkEnd w:id="78"/>
      <w:bookmarkEnd w:id="79"/>
      <w:bookmarkEnd w:id="81"/>
    </w:p>
    <w:p>
      <w:pPr>
        <w:pStyle w:val="Style32"/>
        <w:keepNext w:val="0"/>
        <w:keepLines w:val="0"/>
        <w:widowControl w:val="0"/>
        <w:shd w:val="clear" w:color="auto" w:fill="auto"/>
        <w:bidi w:val="0"/>
        <w:spacing w:before="0" w:after="0" w:line="467" w:lineRule="exact"/>
        <w:ind w:left="420" w:right="0" w:firstLine="440"/>
        <w:jc w:val="both"/>
      </w:pPr>
      <w:r>
        <w:rPr>
          <w:color w:val="000000"/>
          <w:spacing w:val="0"/>
          <w:w w:val="100"/>
          <w:position w:val="0"/>
        </w:rPr>
        <w:t>苏宁是自营能力最强的互联网零售商，坚持在可以产生规模效应的品类和服务方面自营，能够 有效提高经营附加值。</w:t>
      </w:r>
    </w:p>
    <w:p>
      <w:pPr>
        <w:pStyle w:val="Style32"/>
        <w:keepNext w:val="0"/>
        <w:keepLines w:val="0"/>
        <w:widowControl w:val="0"/>
        <w:shd w:val="clear" w:color="auto" w:fill="auto"/>
        <w:bidi w:val="0"/>
        <w:spacing w:before="0" w:after="0" w:line="467" w:lineRule="exact"/>
        <w:ind w:left="420" w:right="0" w:firstLine="440"/>
        <w:jc w:val="both"/>
      </w:pPr>
      <w:r>
        <w:rPr>
          <w:color w:val="000000"/>
          <w:spacing w:val="0"/>
          <w:w w:val="100"/>
          <w:position w:val="0"/>
        </w:rPr>
        <w:t>坚持渠道自营管理，把控服务标准，提高品牌美誉度，保障商品和服务提供的同时，为供应商 提供了获取用户成本最低、品牌溢价最强的服务平台，实现渠道附加值；核心商品自营采购，加强 商品研究，形成对每个品类的商品管理能力、客户研究能力、市场推广能力与服务保障能力；基于 自身专业化的商品经营能力，对外输出，加大差异化采购能力，缩短供应链层级，降低供应链成本 的基础上，保证了产品经营的附加值；核心物流环节自营，不仅有效控制企业运营成本，同时提升 用户体验。通过对外开放，为供应商提供流通效率最高的服务平台，凸显企业物流价值。</w:t>
      </w:r>
    </w:p>
    <w:p>
      <w:pPr>
        <w:pStyle w:val="Style32"/>
        <w:keepNext w:val="0"/>
        <w:keepLines w:val="0"/>
        <w:widowControl w:val="0"/>
        <w:shd w:val="clear" w:color="auto" w:fill="auto"/>
        <w:bidi w:val="0"/>
        <w:spacing w:before="0" w:after="100" w:line="467" w:lineRule="exact"/>
        <w:ind w:left="420" w:right="0" w:firstLine="440"/>
        <w:jc w:val="both"/>
        <w:sectPr>
          <w:footnotePr>
            <w:pos w:val="pageBottom"/>
            <w:numFmt w:val="decimal"/>
            <w:numRestart w:val="continuous"/>
          </w:footnotePr>
          <w:pgSz w:w="11900" w:h="16840"/>
          <w:pgMar w:top="1311" w:right="699" w:bottom="1426" w:left="704" w:header="0" w:footer="3" w:gutter="0"/>
          <w:cols w:space="720"/>
          <w:noEndnote/>
          <w:rtlGutter w:val="0"/>
          <w:docGrid w:linePitch="360"/>
        </w:sectPr>
      </w:pPr>
      <w:r>
        <w:rPr>
          <w:color w:val="000000"/>
          <w:spacing w:val="0"/>
          <w:w w:val="100"/>
          <w:position w:val="0"/>
        </w:rPr>
        <w:t>围绕渠道、商品、物流，不断加大投入，在开放的基础上形成苏宁自身的能力，提升经营附加 值，持续增强企业盈利能力。</w:t>
      </w:r>
    </w:p>
    <w:p>
      <w:pPr>
        <w:pStyle w:val="Style18"/>
        <w:keepNext/>
        <w:keepLines/>
        <w:widowControl w:val="0"/>
        <w:shd w:val="clear" w:color="auto" w:fill="auto"/>
        <w:bidi w:val="0"/>
        <w:spacing w:before="640" w:after="340" w:line="240" w:lineRule="auto"/>
        <w:ind w:left="0" w:right="0" w:firstLine="0"/>
        <w:jc w:val="center"/>
      </w:pPr>
      <w:bookmarkStart w:id="82" w:name="bookmark82"/>
      <w:bookmarkStart w:id="83" w:name="bookmark83"/>
      <w:bookmarkStart w:id="84" w:name="bookmark84"/>
      <w:bookmarkStart w:id="85" w:name="bookmark85"/>
      <w:r>
        <w:rPr>
          <w:color w:val="000000"/>
          <w:spacing w:val="0"/>
          <w:w w:val="100"/>
          <w:position w:val="0"/>
        </w:rPr>
        <w:t>第四节经营情况讨论与分析</w:t>
      </w:r>
      <w:bookmarkEnd w:id="83"/>
      <w:bookmarkEnd w:id="84"/>
      <w:bookmarkEnd w:id="85"/>
      <w:bookmarkEnd w:id="82"/>
    </w:p>
    <w:p>
      <w:pPr>
        <w:pStyle w:val="Style32"/>
        <w:keepNext w:val="0"/>
        <w:keepLines w:val="0"/>
        <w:widowControl w:val="0"/>
        <w:shd w:val="clear" w:color="auto" w:fill="auto"/>
        <w:bidi w:val="0"/>
        <w:spacing w:before="0" w:after="200" w:line="468" w:lineRule="exact"/>
        <w:ind w:left="0" w:right="0" w:firstLine="420"/>
        <w:jc w:val="both"/>
        <w:rPr>
          <w:sz w:val="24"/>
          <w:szCs w:val="24"/>
        </w:rPr>
      </w:pPr>
      <w:bookmarkStart w:id="86" w:name="bookmark86"/>
      <w:r>
        <w:rPr>
          <w:b/>
          <w:bCs/>
          <w:color w:val="000000"/>
          <w:spacing w:val="0"/>
          <w:w w:val="100"/>
          <w:position w:val="0"/>
          <w:sz w:val="24"/>
          <w:szCs w:val="24"/>
        </w:rPr>
        <w:t>一</w:t>
      </w:r>
      <w:bookmarkEnd w:id="86"/>
      <w:r>
        <w:rPr>
          <w:b/>
          <w:bCs/>
          <w:color w:val="000000"/>
          <w:spacing w:val="0"/>
          <w:w w:val="100"/>
          <w:position w:val="0"/>
          <w:sz w:val="24"/>
          <w:szCs w:val="24"/>
        </w:rPr>
        <w:t>、概述</w:t>
      </w:r>
    </w:p>
    <w:p>
      <w:pPr>
        <w:pStyle w:val="Style32"/>
        <w:keepNext w:val="0"/>
        <w:keepLines w:val="0"/>
        <w:widowControl w:val="0"/>
        <w:shd w:val="clear" w:color="auto" w:fill="auto"/>
        <w:bidi w:val="0"/>
        <w:spacing w:before="0" w:after="0" w:line="468" w:lineRule="exact"/>
        <w:ind w:left="420" w:right="0" w:firstLine="440"/>
        <w:jc w:val="both"/>
      </w:pPr>
      <w:r>
        <w:rPr>
          <w:color w:val="000000"/>
          <w:spacing w:val="0"/>
          <w:w w:val="100"/>
          <w:position w:val="0"/>
        </w:rPr>
        <w:t>根据中华全国商业信息中心的监测数据，</w:t>
      </w:r>
      <w:r>
        <w:rPr>
          <w:rFonts w:ascii="Times New Roman" w:eastAsia="Times New Roman" w:hAnsi="Times New Roman" w:cs="Times New Roman"/>
          <w:color w:val="000000"/>
          <w:spacing w:val="0"/>
          <w:w w:val="100"/>
          <w:position w:val="0"/>
        </w:rPr>
        <w:t>2016</w:t>
      </w:r>
      <w:r>
        <w:rPr>
          <w:color w:val="000000"/>
          <w:spacing w:val="0"/>
          <w:w w:val="100"/>
          <w:position w:val="0"/>
        </w:rPr>
        <w:t xml:space="preserve">年全国百家重点大型零售企业零售额同比下降 </w:t>
      </w:r>
      <w:r>
        <w:rPr>
          <w:rFonts w:ascii="Times New Roman" w:eastAsia="Times New Roman" w:hAnsi="Times New Roman" w:cs="Times New Roman"/>
          <w:color w:val="000000"/>
          <w:spacing w:val="0"/>
          <w:w w:val="100"/>
          <w:position w:val="0"/>
        </w:rPr>
        <w:t>0.5%</w:t>
      </w:r>
      <w:r>
        <w:rPr>
          <w:color w:val="000000"/>
          <w:spacing w:val="0"/>
          <w:w w:val="100"/>
          <w:position w:val="0"/>
        </w:rPr>
        <w:t xml:space="preserve">,降幅相比上年扩大了 </w:t>
      </w:r>
      <w:r>
        <w:rPr>
          <w:rFonts w:ascii="Times New Roman" w:eastAsia="Times New Roman" w:hAnsi="Times New Roman" w:cs="Times New Roman"/>
          <w:color w:val="000000"/>
          <w:spacing w:val="0"/>
          <w:w w:val="100"/>
          <w:position w:val="0"/>
        </w:rPr>
        <w:t>0.4</w:t>
      </w:r>
      <w:r>
        <w:rPr>
          <w:color w:val="000000"/>
          <w:spacing w:val="0"/>
          <w:w w:val="100"/>
          <w:position w:val="0"/>
        </w:rPr>
        <w:t>个百分点，行业整体仍保持弱复苏态势。</w:t>
      </w:r>
    </w:p>
    <w:p>
      <w:pPr>
        <w:pStyle w:val="Style32"/>
        <w:keepNext w:val="0"/>
        <w:keepLines w:val="0"/>
        <w:widowControl w:val="0"/>
        <w:shd w:val="clear" w:color="auto" w:fill="auto"/>
        <w:bidi w:val="0"/>
        <w:spacing w:before="0" w:after="0" w:line="468" w:lineRule="exact"/>
        <w:ind w:left="420" w:right="0" w:firstLine="440"/>
        <w:jc w:val="both"/>
      </w:pPr>
      <w:r>
        <w:rPr>
          <w:rFonts w:ascii="Times New Roman" w:eastAsia="Times New Roman" w:hAnsi="Times New Roman" w:cs="Times New Roman"/>
          <w:color w:val="000000"/>
          <w:spacing w:val="0"/>
          <w:w w:val="100"/>
          <w:position w:val="0"/>
        </w:rPr>
        <w:t>2016</w:t>
      </w:r>
      <w:r>
        <w:rPr>
          <w:color w:val="000000"/>
          <w:spacing w:val="0"/>
          <w:w w:val="100"/>
          <w:position w:val="0"/>
        </w:rPr>
        <w:t>年随着互联网零售转型的深入推进，公司零售、物流、金融三大业务单元核心能力凸显， 零售业务规模效应显现，经营效益改善；金融、物流业务在零售主业的带动下，呈现规模快速提升、 利润稳步增长的良性发展势头。尤其在第四季度，公司持续推进的一系列优化举措有了实质性的突 破，若不考虑四季度出售项目公司股权的影响，实现了归属于母公司股东净利润转正，苏宁互联网 零售转型的盈利模式得以实践，企业发展迎来新拐点。</w:t>
      </w:r>
    </w:p>
    <w:p>
      <w:pPr>
        <w:pStyle w:val="Style32"/>
        <w:keepNext w:val="0"/>
        <w:keepLines w:val="0"/>
        <w:widowControl w:val="0"/>
        <w:shd w:val="clear" w:color="auto" w:fill="auto"/>
        <w:bidi w:val="0"/>
        <w:spacing w:before="0" w:after="0" w:line="468" w:lineRule="exact"/>
        <w:ind w:left="420" w:right="0" w:firstLine="440"/>
        <w:jc w:val="both"/>
      </w:pPr>
      <w:r>
        <w:rPr>
          <w:color w:val="000000"/>
          <w:spacing w:val="0"/>
          <w:w w:val="100"/>
          <w:position w:val="0"/>
        </w:rPr>
        <w:t>零售业务，线下优化店面结构，下沉渠道建设，丰富多业态店面布局，形成了覆盖不同市场、 不同消费群体的实体网络平台，通过店面精细化管理，店面经营效益逐季提升；线上聚焦基础运营 能力提升，会员结构显著改善，移动端运营能力持续增强，</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月移动端订单数量占线上整体 比例提升至</w:t>
      </w:r>
      <w:r>
        <w:rPr>
          <w:rFonts w:ascii="Times New Roman" w:eastAsia="Times New Roman" w:hAnsi="Times New Roman" w:cs="Times New Roman"/>
          <w:color w:val="000000"/>
          <w:spacing w:val="0"/>
          <w:w w:val="100"/>
          <w:position w:val="0"/>
        </w:rPr>
        <w:t>83%</w:t>
      </w:r>
      <w:r>
        <w:rPr>
          <w:color w:val="000000"/>
          <w:spacing w:val="0"/>
          <w:w w:val="100"/>
          <w:position w:val="0"/>
        </w:rPr>
        <w:t>。商品经营方面，全品类发展战略凸显，家电品类通过包销定制和渠道差异化策略， 提升商品毛利，围绕品质生活，加强电器新类目产品线建设；母婴、超市、百货等新品类建立专业 化的供应链能力，强化会员、渠道运营能力；结合消费升级、农村电商发展，围绕产品丰富度加强 开放平台建设。</w:t>
      </w:r>
    </w:p>
    <w:p>
      <w:pPr>
        <w:pStyle w:val="Style32"/>
        <w:keepNext w:val="0"/>
        <w:keepLines w:val="0"/>
        <w:widowControl w:val="0"/>
        <w:shd w:val="clear" w:color="auto" w:fill="auto"/>
        <w:bidi w:val="0"/>
        <w:spacing w:before="0" w:after="0" w:line="468" w:lineRule="exact"/>
        <w:ind w:left="420" w:right="0" w:firstLine="440"/>
        <w:jc w:val="both"/>
      </w:pPr>
      <w:r>
        <w:rPr>
          <w:color w:val="000000"/>
          <w:spacing w:val="0"/>
          <w:w w:val="100"/>
          <w:position w:val="0"/>
        </w:rPr>
        <w:t>物流业务，物流基础设施持续巩固，仓储自动化水平进一步提升，大大提升物流作业效率，随 着物流服务能力提升，用户体验持续增强；同时加快物流社会化业务拓展，报告期内实现社会化物 流收入同比增长</w:t>
      </w:r>
      <w:r>
        <w:rPr>
          <w:rFonts w:ascii="Times New Roman" w:eastAsia="Times New Roman" w:hAnsi="Times New Roman" w:cs="Times New Roman"/>
          <w:color w:val="000000"/>
          <w:spacing w:val="0"/>
          <w:w w:val="100"/>
          <w:position w:val="0"/>
        </w:rPr>
        <w:t>320.33%</w:t>
      </w:r>
      <w:r>
        <w:rPr>
          <w:color w:val="000000"/>
          <w:spacing w:val="0"/>
          <w:w w:val="100"/>
          <w:position w:val="0"/>
        </w:rPr>
        <w:t>。</w:t>
      </w:r>
    </w:p>
    <w:p>
      <w:pPr>
        <w:pStyle w:val="Style32"/>
        <w:keepNext w:val="0"/>
        <w:keepLines w:val="0"/>
        <w:widowControl w:val="0"/>
        <w:shd w:val="clear" w:color="auto" w:fill="auto"/>
        <w:bidi w:val="0"/>
        <w:spacing w:before="0" w:after="0" w:line="468" w:lineRule="exact"/>
        <w:ind w:left="420" w:right="0" w:firstLine="440"/>
        <w:jc w:val="both"/>
      </w:pPr>
      <w:r>
        <w:rPr>
          <w:color w:val="000000"/>
          <w:spacing w:val="0"/>
          <w:w w:val="100"/>
          <w:position w:val="0"/>
        </w:rPr>
        <w:t>金融业务，伴随着各项基础设施的布局成熟，苏宁金融生态布局更为完善。围绕苏宁生态圈客 户提升金融服务渗透率，在企业端支付业务和供应链金融业务方面拓展生态圈外客户，此外加大金 融科技研发投入，提升苏宁金融风控水平。报告期内苏宁金融各项产品的规模与效益突显，</w:t>
      </w:r>
      <w:r>
        <w:rPr>
          <w:rFonts w:ascii="Times New Roman" w:eastAsia="Times New Roman" w:hAnsi="Times New Roman" w:cs="Times New Roman"/>
          <w:color w:val="000000"/>
          <w:spacing w:val="0"/>
          <w:w w:val="100"/>
          <w:position w:val="0"/>
        </w:rPr>
        <w:t>2016</w:t>
      </w:r>
      <w:r>
        <w:rPr>
          <w:color w:val="000000"/>
          <w:spacing w:val="0"/>
          <w:w w:val="100"/>
          <w:position w:val="0"/>
        </w:rPr>
        <w:t>年 苏宁金融业务（支付业务、供应链金融等业务）总体交易规模同比增长</w:t>
      </w:r>
      <w:r>
        <w:rPr>
          <w:rFonts w:ascii="Times New Roman" w:eastAsia="Times New Roman" w:hAnsi="Times New Roman" w:cs="Times New Roman"/>
          <w:color w:val="000000"/>
          <w:spacing w:val="0"/>
          <w:w w:val="100"/>
          <w:position w:val="0"/>
        </w:rPr>
        <w:t>157.21%</w:t>
      </w:r>
      <w:r>
        <w:rPr>
          <w:color w:val="000000"/>
          <w:spacing w:val="0"/>
          <w:w w:val="100"/>
          <w:position w:val="0"/>
        </w:rPr>
        <w:t>。</w:t>
      </w:r>
    </w:p>
    <w:p>
      <w:pPr>
        <w:pStyle w:val="Style32"/>
        <w:keepNext w:val="0"/>
        <w:keepLines w:val="0"/>
        <w:widowControl w:val="0"/>
        <w:shd w:val="clear" w:color="auto" w:fill="auto"/>
        <w:bidi w:val="0"/>
        <w:spacing w:before="0" w:after="200" w:line="468" w:lineRule="exact"/>
        <w:ind w:left="420" w:right="0" w:firstLine="440"/>
        <w:jc w:val="both"/>
      </w:pPr>
      <w:r>
        <w:rPr>
          <w:color w:val="000000"/>
          <w:spacing w:val="0"/>
          <w:w w:val="100"/>
          <w:position w:val="0"/>
        </w:rPr>
        <w:t>由此来看，公司在外部环境较弱的情况下，企业实现了快速增长，</w:t>
      </w:r>
      <w:r>
        <w:rPr>
          <w:rFonts w:ascii="Times New Roman" w:eastAsia="Times New Roman" w:hAnsi="Times New Roman" w:cs="Times New Roman"/>
          <w:color w:val="000000"/>
          <w:spacing w:val="0"/>
          <w:w w:val="100"/>
          <w:position w:val="0"/>
        </w:rPr>
        <w:t>2016</w:t>
      </w:r>
      <w:r>
        <w:rPr>
          <w:color w:val="000000"/>
          <w:spacing w:val="0"/>
          <w:w w:val="100"/>
          <w:position w:val="0"/>
        </w:rPr>
        <w:t xml:space="preserve">年，公司实现营业收入 </w:t>
      </w:r>
      <w:r>
        <w:rPr>
          <w:rFonts w:ascii="Times New Roman" w:eastAsia="Times New Roman" w:hAnsi="Times New Roman" w:cs="Times New Roman"/>
          <w:color w:val="000000"/>
          <w:spacing w:val="0"/>
          <w:w w:val="100"/>
          <w:position w:val="0"/>
        </w:rPr>
        <w:t>1,485.85</w:t>
      </w:r>
      <w:r>
        <w:rPr>
          <w:color w:val="000000"/>
          <w:spacing w:val="0"/>
          <w:w w:val="100"/>
          <w:position w:val="0"/>
        </w:rPr>
        <w:t>亿元，同比增长</w:t>
      </w:r>
      <w:r>
        <w:rPr>
          <w:rFonts w:ascii="Times New Roman" w:eastAsia="Times New Roman" w:hAnsi="Times New Roman" w:cs="Times New Roman"/>
          <w:color w:val="000000"/>
          <w:spacing w:val="0"/>
          <w:w w:val="100"/>
          <w:position w:val="0"/>
        </w:rPr>
        <w:t>9.62%</w:t>
      </w:r>
      <w:r>
        <w:rPr>
          <w:color w:val="000000"/>
          <w:spacing w:val="0"/>
          <w:w w:val="100"/>
          <w:position w:val="0"/>
        </w:rPr>
        <w:t>，互联网业务同比增长</w:t>
      </w:r>
      <w:r>
        <w:rPr>
          <w:rFonts w:ascii="Times New Roman" w:eastAsia="Times New Roman" w:hAnsi="Times New Roman" w:cs="Times New Roman"/>
          <w:color w:val="000000"/>
          <w:spacing w:val="0"/>
          <w:w w:val="100"/>
          <w:position w:val="0"/>
        </w:rPr>
        <w:t>60.14%</w:t>
      </w:r>
      <w:r>
        <w:rPr>
          <w:color w:val="000000"/>
          <w:spacing w:val="0"/>
          <w:w w:val="100"/>
          <w:position w:val="0"/>
        </w:rPr>
        <w:t>。整体来看，报告期内公司实现商品 销售规模（含税，区域上涵盖中国大陆、香港、澳门及日本市场，包括线上线下自营及开放平台， 以及提供的售后服务）为</w:t>
      </w:r>
      <w:r>
        <w:rPr>
          <w:rFonts w:ascii="Times New Roman" w:eastAsia="Times New Roman" w:hAnsi="Times New Roman" w:cs="Times New Roman"/>
          <w:color w:val="000000"/>
          <w:spacing w:val="0"/>
          <w:w w:val="100"/>
          <w:position w:val="0"/>
        </w:rPr>
        <w:t>1,884.09</w:t>
      </w:r>
      <w:r>
        <w:rPr>
          <w:color w:val="000000"/>
          <w:spacing w:val="0"/>
          <w:w w:val="100"/>
          <w:position w:val="0"/>
        </w:rPr>
        <w:t>亿元，同比增长</w:t>
      </w:r>
      <w:r>
        <w:rPr>
          <w:rFonts w:ascii="Times New Roman" w:eastAsia="Times New Roman" w:hAnsi="Times New Roman" w:cs="Times New Roman"/>
          <w:color w:val="000000"/>
          <w:spacing w:val="0"/>
          <w:w w:val="100"/>
          <w:position w:val="0"/>
        </w:rPr>
        <w:t>16.03%</w:t>
      </w:r>
      <w:r>
        <w:rPr>
          <w:color w:val="000000"/>
          <w:spacing w:val="0"/>
          <w:w w:val="100"/>
          <w:position w:val="0"/>
        </w:rPr>
        <w:t>。</w:t>
      </w:r>
    </w:p>
    <w:p>
      <w:pPr>
        <w:pStyle w:val="Style32"/>
        <w:keepNext w:val="0"/>
        <w:keepLines w:val="0"/>
        <w:widowControl w:val="0"/>
        <w:shd w:val="clear" w:color="auto" w:fill="auto"/>
        <w:bidi w:val="0"/>
        <w:spacing w:before="0" w:after="0" w:line="469" w:lineRule="exact"/>
        <w:ind w:left="420" w:right="0" w:firstLine="440"/>
        <w:jc w:val="both"/>
      </w:pPr>
      <w:r>
        <w:rPr>
          <w:color w:val="000000"/>
          <w:spacing w:val="0"/>
          <w:w w:val="100"/>
          <w:position w:val="0"/>
        </w:rPr>
        <w:t>公司强化差异化产品运作，加大定制包销产品推广力度，但线上销售占比提升，使得公司主营 业务毛利率同比略有下降；基于不同用户进行区隔化、差异化的运营，公司对销售商品的价格控制 有所提升；此外，企业增值服务能力提升，线上线下平台、金融、物流资源的价值逐步实现，有利 于毛利改善。整体来看，公司综合毛利率水平基本持平。</w:t>
      </w:r>
    </w:p>
    <w:p>
      <w:pPr>
        <w:pStyle w:val="Style32"/>
        <w:keepNext w:val="0"/>
        <w:keepLines w:val="0"/>
        <w:widowControl w:val="0"/>
        <w:shd w:val="clear" w:color="auto" w:fill="auto"/>
        <w:bidi w:val="0"/>
        <w:spacing w:before="0" w:after="0" w:line="469" w:lineRule="exact"/>
        <w:ind w:left="420" w:right="0" w:firstLine="440"/>
        <w:jc w:val="both"/>
      </w:pPr>
      <w:r>
        <w:rPr>
          <w:color w:val="000000"/>
          <w:spacing w:val="0"/>
          <w:w w:val="100"/>
          <w:position w:val="0"/>
        </w:rPr>
        <w:t>费用管控成效显现，三项费用率同比下降</w:t>
      </w:r>
      <w:r>
        <w:rPr>
          <w:rFonts w:ascii="Times New Roman" w:eastAsia="Times New Roman" w:hAnsi="Times New Roman" w:cs="Times New Roman"/>
          <w:color w:val="000000"/>
          <w:spacing w:val="0"/>
          <w:w w:val="100"/>
          <w:position w:val="0"/>
        </w:rPr>
        <w:t>0.83%</w:t>
      </w:r>
      <w:r>
        <w:rPr>
          <w:color w:val="000000"/>
          <w:spacing w:val="0"/>
          <w:w w:val="100"/>
          <w:position w:val="0"/>
        </w:rPr>
        <w:t>，一方面，公司加强绩效考核，持续优化组织 流程，注重投入产出效率，人效提高；另一方面，加强店面结构优化，店内布局优化，且随着可比 店面销售收入的逐步改善，店面相关费用率水平有所下降；由于线上收入规模的提升，运杂费率有 所提升，相信随着物流运营效率的提高，将有所改善。此外受利率下行带来利息收入下降以及公司 计提专项贷款的利息影响，财务费用率同比略有提升。整体来看，公司渠道经营能力增强，规模效 应逐步显现。</w:t>
      </w:r>
    </w:p>
    <w:p>
      <w:pPr>
        <w:pStyle w:val="Style32"/>
        <w:keepNext w:val="0"/>
        <w:keepLines w:val="0"/>
        <w:widowControl w:val="0"/>
        <w:shd w:val="clear" w:color="auto" w:fill="auto"/>
        <w:bidi w:val="0"/>
        <w:spacing w:before="0" w:after="0" w:line="469" w:lineRule="exact"/>
        <w:ind w:left="420" w:right="0" w:firstLine="440"/>
        <w:jc w:val="both"/>
      </w:pPr>
      <w:r>
        <w:rPr>
          <w:color w:val="000000"/>
          <w:spacing w:val="0"/>
          <w:w w:val="100"/>
          <w:position w:val="0"/>
        </w:rPr>
        <w:t>此外，报告期内公司完成以部分仓储物业为标的资产开展的相关创新型资产运作，以及公司子 公司完成北京京朝苏宁电器有限公司</w:t>
      </w:r>
      <w:r>
        <w:rPr>
          <w:rFonts w:ascii="Times New Roman" w:eastAsia="Times New Roman" w:hAnsi="Times New Roman" w:cs="Times New Roman"/>
          <w:color w:val="000000"/>
          <w:spacing w:val="0"/>
          <w:w w:val="100"/>
          <w:position w:val="0"/>
        </w:rPr>
        <w:t>100%</w:t>
      </w:r>
      <w:r>
        <w:rPr>
          <w:color w:val="000000"/>
          <w:spacing w:val="0"/>
          <w:w w:val="100"/>
          <w:position w:val="0"/>
        </w:rPr>
        <w:t>股权转让。</w:t>
      </w:r>
    </w:p>
    <w:p>
      <w:pPr>
        <w:pStyle w:val="Style32"/>
        <w:keepNext w:val="0"/>
        <w:keepLines w:val="0"/>
        <w:widowControl w:val="0"/>
        <w:shd w:val="clear" w:color="auto" w:fill="auto"/>
        <w:bidi w:val="0"/>
        <w:spacing w:before="0" w:after="0" w:line="469" w:lineRule="exact"/>
        <w:ind w:left="420" w:right="0" w:firstLine="440"/>
        <w:jc w:val="both"/>
      </w:pPr>
      <w:r>
        <w:rPr>
          <w:color w:val="000000"/>
          <w:spacing w:val="0"/>
          <w:w w:val="100"/>
          <w:position w:val="0"/>
        </w:rPr>
        <w:t>综上，报告期内公司实现利润总额</w:t>
      </w:r>
      <w:r>
        <w:rPr>
          <w:rFonts w:ascii="Times New Roman" w:eastAsia="Times New Roman" w:hAnsi="Times New Roman" w:cs="Times New Roman"/>
          <w:color w:val="000000"/>
          <w:spacing w:val="0"/>
          <w:w w:val="100"/>
          <w:position w:val="0"/>
        </w:rPr>
        <w:t>9.01</w:t>
      </w:r>
      <w:r>
        <w:rPr>
          <w:color w:val="000000"/>
          <w:spacing w:val="0"/>
          <w:w w:val="100"/>
          <w:position w:val="0"/>
        </w:rPr>
        <w:t>亿元，同比增长</w:t>
      </w:r>
      <w:r>
        <w:rPr>
          <w:rFonts w:ascii="Times New Roman" w:eastAsia="Times New Roman" w:hAnsi="Times New Roman" w:cs="Times New Roman"/>
          <w:color w:val="000000"/>
          <w:spacing w:val="0"/>
          <w:w w:val="100"/>
          <w:position w:val="0"/>
        </w:rPr>
        <w:t>1.34%</w:t>
      </w:r>
      <w:r>
        <w:rPr>
          <w:color w:val="000000"/>
          <w:spacing w:val="0"/>
          <w:w w:val="100"/>
          <w:position w:val="0"/>
        </w:rPr>
        <w:t xml:space="preserve">；归属于上市公司股东的净利润 </w:t>
      </w:r>
      <w:r>
        <w:rPr>
          <w:rFonts w:ascii="Times New Roman" w:eastAsia="Times New Roman" w:hAnsi="Times New Roman" w:cs="Times New Roman"/>
          <w:color w:val="000000"/>
          <w:spacing w:val="0"/>
          <w:w w:val="100"/>
          <w:position w:val="0"/>
        </w:rPr>
        <w:t>7.04</w:t>
      </w:r>
      <w:r>
        <w:rPr>
          <w:color w:val="000000"/>
          <w:spacing w:val="0"/>
          <w:w w:val="100"/>
          <w:position w:val="0"/>
        </w:rPr>
        <w:t>亿元，同比下降</w:t>
      </w:r>
      <w:r>
        <w:rPr>
          <w:rFonts w:ascii="Times New Roman" w:eastAsia="Times New Roman" w:hAnsi="Times New Roman" w:cs="Times New Roman"/>
          <w:color w:val="000000"/>
          <w:spacing w:val="0"/>
          <w:w w:val="100"/>
          <w:position w:val="0"/>
        </w:rPr>
        <w:t>19.27%</w:t>
      </w:r>
      <w:r>
        <w:rPr>
          <w:color w:val="000000"/>
          <w:spacing w:val="0"/>
          <w:w w:val="100"/>
          <w:position w:val="0"/>
        </w:rPr>
        <w:t>。</w:t>
      </w:r>
    </w:p>
    <w:p>
      <w:pPr>
        <w:pStyle w:val="Style32"/>
        <w:keepNext w:val="0"/>
        <w:keepLines w:val="0"/>
        <w:widowControl w:val="0"/>
        <w:shd w:val="clear" w:color="auto" w:fill="auto"/>
        <w:bidi w:val="0"/>
        <w:spacing w:before="0" w:after="220" w:line="469" w:lineRule="exact"/>
        <w:ind w:left="420" w:right="0" w:firstLine="440"/>
        <w:jc w:val="both"/>
      </w:pPr>
      <w:r>
        <w:rPr>
          <w:color w:val="000000"/>
          <w:spacing w:val="0"/>
          <w:w w:val="100"/>
          <w:position w:val="0"/>
        </w:rPr>
        <w:t>综上，公司的盈利结构正按照规划方向发展，即线下稳步提升销售规模，贡献利润；线上获取 用户，规模快速提升；金融、物流作为零售衍生业务致力于获得利润。</w:t>
      </w:r>
      <w:r>
        <w:rPr>
          <w:rFonts w:ascii="Times New Roman" w:eastAsia="Times New Roman" w:hAnsi="Times New Roman" w:cs="Times New Roman"/>
          <w:color w:val="000000"/>
          <w:spacing w:val="0"/>
          <w:w w:val="100"/>
          <w:position w:val="0"/>
        </w:rPr>
        <w:t>2017</w:t>
      </w:r>
      <w:r>
        <w:rPr>
          <w:color w:val="000000"/>
          <w:spacing w:val="0"/>
          <w:w w:val="100"/>
          <w:position w:val="0"/>
        </w:rPr>
        <w:t>年，公司会持续推进， 实现较好的利润。</w:t>
      </w:r>
    </w:p>
    <w:p>
      <w:pPr>
        <w:pStyle w:val="Style32"/>
        <w:keepNext w:val="0"/>
        <w:keepLines w:val="0"/>
        <w:widowControl w:val="0"/>
        <w:shd w:val="clear" w:color="auto" w:fill="auto"/>
        <w:bidi w:val="0"/>
        <w:spacing w:before="0" w:after="320" w:line="469" w:lineRule="exact"/>
        <w:ind w:left="0" w:right="0" w:firstLine="420"/>
        <w:jc w:val="both"/>
        <w:rPr>
          <w:sz w:val="24"/>
          <w:szCs w:val="24"/>
        </w:rPr>
      </w:pPr>
      <w:bookmarkStart w:id="87" w:name="bookmark87"/>
      <w:r>
        <w:rPr>
          <w:b/>
          <w:bCs/>
          <w:color w:val="000000"/>
          <w:spacing w:val="0"/>
          <w:w w:val="100"/>
          <w:position w:val="0"/>
          <w:sz w:val="24"/>
          <w:szCs w:val="24"/>
        </w:rPr>
        <w:t>二</w:t>
      </w:r>
      <w:bookmarkEnd w:id="87"/>
      <w:r>
        <w:rPr>
          <w:b/>
          <w:bCs/>
          <w:color w:val="000000"/>
          <w:spacing w:val="0"/>
          <w:w w:val="100"/>
          <w:position w:val="0"/>
          <w:sz w:val="24"/>
          <w:szCs w:val="24"/>
        </w:rPr>
        <w:t>、主营业务分析</w:t>
      </w:r>
    </w:p>
    <w:p>
      <w:pPr>
        <w:pStyle w:val="Style38"/>
        <w:keepNext/>
        <w:keepLines/>
        <w:widowControl w:val="0"/>
        <w:shd w:val="clear" w:color="auto" w:fill="auto"/>
        <w:bidi w:val="0"/>
        <w:spacing w:before="0" w:after="120" w:line="446" w:lineRule="auto"/>
        <w:ind w:left="0" w:right="0"/>
        <w:jc w:val="both"/>
      </w:pPr>
      <w:bookmarkStart w:id="88" w:name="bookmark88"/>
      <w:bookmarkStart w:id="89" w:name="bookmark89"/>
      <w:bookmarkStart w:id="90" w:name="bookmark90"/>
      <w:bookmarkStart w:id="91" w:name="bookmark91"/>
      <w:r>
        <w:rPr>
          <w:rFonts w:ascii="Times New Roman" w:eastAsia="Times New Roman" w:hAnsi="Times New Roman" w:cs="Times New Roman"/>
          <w:color w:val="000000"/>
          <w:spacing w:val="0"/>
          <w:w w:val="100"/>
          <w:position w:val="0"/>
        </w:rPr>
        <w:t>1</w:t>
      </w:r>
      <w:bookmarkEnd w:id="90"/>
      <w:r>
        <w:rPr>
          <w:color w:val="000000"/>
          <w:spacing w:val="0"/>
          <w:w w:val="100"/>
          <w:position w:val="0"/>
        </w:rPr>
        <w:t>、概述</w:t>
      </w:r>
      <w:bookmarkEnd w:id="88"/>
      <w:bookmarkEnd w:id="89"/>
      <w:bookmarkEnd w:id="91"/>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单位：千元</w:t>
      </w:r>
    </w:p>
    <w:tbl>
      <w:tblPr>
        <w:tblOverlap w:val="never"/>
        <w:jc w:val="center"/>
        <w:tblLayout w:type="fixed"/>
      </w:tblPr>
      <w:tblGrid>
        <w:gridCol w:w="3571"/>
        <w:gridCol w:w="2093"/>
        <w:gridCol w:w="2098"/>
        <w:gridCol w:w="2102"/>
      </w:tblGrid>
      <w:tr>
        <w:trPr>
          <w:trHeight w:val="302"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年度</w:t>
            </w:r>
          </w:p>
        </w:tc>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2015</w:t>
            </w:r>
            <w:r>
              <w:rPr>
                <w:color w:val="000000"/>
                <w:spacing w:val="0"/>
                <w:w w:val="100"/>
                <w:position w:val="0"/>
              </w:rPr>
              <w:t>年度</w:t>
            </w:r>
          </w:p>
        </w:tc>
        <w:tc>
          <w:tcPr>
            <w:tcBorders>
              <w:top w:val="single" w:sz="4"/>
              <w:left w:val="single" w:sz="4"/>
              <w:righ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增减率（</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298"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148,585,331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135,547,633</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9.62%</w:t>
            </w:r>
          </w:p>
        </w:tc>
      </w:tr>
      <w:tr>
        <w:trPr>
          <w:trHeight w:val="298"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127,247,541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115,981,182</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9.71%</w:t>
            </w:r>
          </w:p>
        </w:tc>
      </w:tr>
      <w:tr>
        <w:trPr>
          <w:trHeight w:val="298"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17,451,416</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16,644,676</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4.85%</w:t>
            </w:r>
          </w:p>
        </w:tc>
      </w:tr>
      <w:tr>
        <w:trPr>
          <w:trHeight w:val="298"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3,946,274</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4,291,475</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-8.04%</w:t>
            </w:r>
          </w:p>
        </w:tc>
      </w:tr>
      <w:tr>
        <w:trPr>
          <w:trHeight w:val="298"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415,828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104,282</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298.75%</w:t>
            </w:r>
          </w:p>
        </w:tc>
      </w:tr>
      <w:tr>
        <w:trPr>
          <w:trHeight w:val="302" w:hRule="exact"/>
        </w:trPr>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营业利润</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2,052</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-610,021</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100.34%</w:t>
            </w:r>
          </w:p>
        </w:tc>
      </w:tr>
      <w:tr>
        <w:trPr>
          <w:trHeight w:val="293" w:hRule="exact"/>
        </w:trPr>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900,887</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888,957</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1.34%</w:t>
            </w:r>
          </w:p>
        </w:tc>
      </w:tr>
      <w:tr>
        <w:trPr>
          <w:trHeight w:val="298" w:hRule="exact"/>
        </w:trPr>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493,232</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757,732</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-34.91%</w:t>
            </w:r>
          </w:p>
        </w:tc>
      </w:tr>
      <w:tr>
        <w:trPr>
          <w:trHeight w:val="298" w:hRule="exact"/>
        </w:trPr>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704,414</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872,504</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-19.27%</w:t>
            </w:r>
          </w:p>
        </w:tc>
      </w:tr>
      <w:tr>
        <w:trPr>
          <w:trHeight w:val="298" w:hRule="exact"/>
        </w:trPr>
        <w:tc>
          <w:tcPr>
            <w:tcBorders>
              <w:top w:val="single" w:sz="4"/>
              <w:left w:val="single" w:sz="4"/>
              <w:bottom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3,839,235</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1,733,339</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121.49%</w:t>
            </w:r>
          </w:p>
        </w:tc>
      </w:tr>
    </w:tbl>
    <w:p>
      <w:pPr>
        <w:pStyle w:val="Style38"/>
        <w:keepNext/>
        <w:keepLines/>
        <w:widowControl w:val="0"/>
        <w:numPr>
          <w:ilvl w:val="0"/>
          <w:numId w:val="1"/>
        </w:numPr>
        <w:shd w:val="clear" w:color="auto" w:fill="auto"/>
        <w:tabs>
          <w:tab w:pos="906" w:val="left"/>
        </w:tabs>
        <w:bidi w:val="0"/>
        <w:spacing w:before="0" w:after="100" w:line="469" w:lineRule="exact"/>
        <w:ind w:left="0" w:right="0"/>
        <w:jc w:val="both"/>
      </w:pPr>
      <w:bookmarkStart w:id="92" w:name="bookmark92"/>
      <w:bookmarkStart w:id="93" w:name="bookmark93"/>
      <w:bookmarkStart w:id="94" w:name="bookmark94"/>
      <w:bookmarkStart w:id="95" w:name="bookmark95"/>
      <w:bookmarkEnd w:id="94"/>
      <w:r>
        <w:rPr>
          <w:color w:val="000000"/>
          <w:spacing w:val="0"/>
          <w:w w:val="100"/>
          <w:position w:val="0"/>
        </w:rPr>
        <w:t>营业收入变化情况</w:t>
      </w:r>
      <w:bookmarkEnd w:id="92"/>
      <w:bookmarkEnd w:id="93"/>
      <w:bookmarkEnd w:id="95"/>
    </w:p>
    <w:p>
      <w:pPr>
        <w:pStyle w:val="Style32"/>
        <w:keepNext w:val="0"/>
        <w:keepLines w:val="0"/>
        <w:widowControl w:val="0"/>
        <w:shd w:val="clear" w:color="auto" w:fill="auto"/>
        <w:bidi w:val="0"/>
        <w:spacing w:before="0" w:after="0" w:line="469" w:lineRule="exact"/>
        <w:ind w:left="420" w:right="0" w:firstLine="440"/>
        <w:jc w:val="left"/>
      </w:pPr>
      <w:r>
        <w:rPr>
          <w:color w:val="000000"/>
          <w:spacing w:val="0"/>
          <w:w w:val="100"/>
          <w:position w:val="0"/>
        </w:rPr>
        <w:t>报告期内，公司深耕渠道运营，提升店面经营质量，实施线上线下联动，采取积极的价格政策， 线上业务实现快速增长，同时随着公司在物流、金融业务方面的持续投入，效益也将逐步体现。</w:t>
      </w:r>
    </w:p>
    <w:p>
      <w:pPr>
        <w:pStyle w:val="Style32"/>
        <w:keepNext w:val="0"/>
        <w:keepLines w:val="0"/>
        <w:widowControl w:val="0"/>
        <w:shd w:val="clear" w:color="auto" w:fill="auto"/>
        <w:bidi w:val="0"/>
        <w:spacing w:before="0" w:after="100" w:line="469" w:lineRule="exact"/>
        <w:ind w:left="420" w:right="0" w:firstLine="440"/>
        <w:jc w:val="left"/>
      </w:pPr>
      <w:r>
        <w:rPr>
          <w:rFonts w:ascii="Times New Roman" w:eastAsia="Times New Roman" w:hAnsi="Times New Roman" w:cs="Times New Roman"/>
          <w:color w:val="000000"/>
          <w:spacing w:val="0"/>
          <w:w w:val="100"/>
          <w:position w:val="0"/>
        </w:rPr>
        <w:t>2016</w:t>
      </w:r>
      <w:r>
        <w:rPr>
          <w:color w:val="000000"/>
          <w:spacing w:val="0"/>
          <w:w w:val="100"/>
          <w:position w:val="0"/>
        </w:rPr>
        <w:t>年，公司实现营业收入</w:t>
      </w:r>
      <w:r>
        <w:rPr>
          <w:rFonts w:ascii="Times New Roman" w:eastAsia="Times New Roman" w:hAnsi="Times New Roman" w:cs="Times New Roman"/>
          <w:color w:val="000000"/>
          <w:spacing w:val="0"/>
          <w:w w:val="100"/>
          <w:position w:val="0"/>
        </w:rPr>
        <w:t>1,485.85</w:t>
      </w:r>
      <w:r>
        <w:rPr>
          <w:color w:val="000000"/>
          <w:spacing w:val="0"/>
          <w:w w:val="100"/>
          <w:position w:val="0"/>
        </w:rPr>
        <w:t>亿元，同比增长</w:t>
      </w:r>
      <w:r>
        <w:rPr>
          <w:rFonts w:ascii="Times New Roman" w:eastAsia="Times New Roman" w:hAnsi="Times New Roman" w:cs="Times New Roman"/>
          <w:color w:val="000000"/>
          <w:spacing w:val="0"/>
          <w:w w:val="100"/>
          <w:position w:val="0"/>
        </w:rPr>
        <w:t>9.62%</w:t>
      </w:r>
      <w:r>
        <w:rPr>
          <w:color w:val="000000"/>
          <w:spacing w:val="0"/>
          <w:w w:val="100"/>
          <w:position w:val="0"/>
        </w:rPr>
        <w:t>，由于</w:t>
      </w:r>
      <w:r>
        <w:rPr>
          <w:rFonts w:ascii="Times New Roman" w:eastAsia="Times New Roman" w:hAnsi="Times New Roman" w:cs="Times New Roman"/>
          <w:color w:val="000000"/>
          <w:spacing w:val="0"/>
          <w:w w:val="100"/>
          <w:position w:val="0"/>
        </w:rPr>
        <w:t>2015</w:t>
      </w:r>
      <w:r>
        <w:rPr>
          <w:color w:val="000000"/>
          <w:spacing w:val="0"/>
          <w:w w:val="100"/>
          <w:position w:val="0"/>
        </w:rPr>
        <w:t>年公司确认了部分自建 配套物业的销售收入，尤其在</w:t>
      </w:r>
      <w:r>
        <w:rPr>
          <w:rFonts w:ascii="Times New Roman" w:eastAsia="Times New Roman" w:hAnsi="Times New Roman" w:cs="Times New Roman"/>
          <w:color w:val="000000"/>
          <w:spacing w:val="0"/>
          <w:w w:val="100"/>
          <w:position w:val="0"/>
        </w:rPr>
        <w:t>2015</w:t>
      </w:r>
      <w:r>
        <w:rPr>
          <w:color w:val="000000"/>
          <w:spacing w:val="0"/>
          <w:w w:val="100"/>
          <w:position w:val="0"/>
        </w:rPr>
        <w:t>年四季度确认较多，若剔除配套物业销售收入影响，</w:t>
      </w:r>
      <w:r>
        <w:rPr>
          <w:rFonts w:ascii="Times New Roman" w:eastAsia="Times New Roman" w:hAnsi="Times New Roman" w:cs="Times New Roman"/>
          <w:color w:val="000000"/>
          <w:spacing w:val="0"/>
          <w:w w:val="100"/>
          <w:position w:val="0"/>
        </w:rPr>
        <w:t>2016</w:t>
      </w:r>
      <w:r>
        <w:rPr>
          <w:color w:val="000000"/>
          <w:spacing w:val="0"/>
          <w:w w:val="100"/>
          <w:position w:val="0"/>
        </w:rPr>
        <w:t>年公司 营业收入同比增长</w:t>
      </w:r>
      <w:r>
        <w:rPr>
          <w:rFonts w:ascii="Times New Roman" w:eastAsia="Times New Roman" w:hAnsi="Times New Roman" w:cs="Times New Roman"/>
          <w:color w:val="000000"/>
          <w:spacing w:val="0"/>
          <w:w w:val="100"/>
          <w:position w:val="0"/>
        </w:rPr>
        <w:t>10.74%</w:t>
      </w:r>
      <w:r>
        <w:rPr>
          <w:color w:val="000000"/>
          <w:spacing w:val="0"/>
          <w:w w:val="100"/>
          <w:position w:val="0"/>
        </w:rPr>
        <w:t>，</w:t>
      </w:r>
      <w:r>
        <w:rPr>
          <w:rFonts w:ascii="Times New Roman" w:eastAsia="Times New Roman" w:hAnsi="Times New Roman" w:cs="Times New Roman"/>
          <w:color w:val="000000"/>
          <w:spacing w:val="0"/>
          <w:w w:val="100"/>
          <w:position w:val="0"/>
        </w:rPr>
        <w:t>2016</w:t>
      </w:r>
      <w:r>
        <w:rPr>
          <w:color w:val="000000"/>
          <w:spacing w:val="0"/>
          <w:w w:val="100"/>
          <w:position w:val="0"/>
        </w:rPr>
        <w:t>年四季度营业收入同比增长</w:t>
      </w:r>
      <w:r>
        <w:rPr>
          <w:rFonts w:ascii="Times New Roman" w:eastAsia="Times New Roman" w:hAnsi="Times New Roman" w:cs="Times New Roman"/>
          <w:color w:val="000000"/>
          <w:spacing w:val="0"/>
          <w:w w:val="100"/>
          <w:position w:val="0"/>
        </w:rPr>
        <w:t>10.14%</w:t>
      </w:r>
      <w:r>
        <w:rPr>
          <w:color w:val="000000"/>
          <w:spacing w:val="0"/>
          <w:w w:val="100"/>
          <w:position w:val="0"/>
        </w:rPr>
        <w:t>。</w:t>
      </w:r>
    </w:p>
    <w:p>
      <w:pPr>
        <w:pStyle w:val="Style38"/>
        <w:keepNext/>
        <w:keepLines/>
        <w:widowControl w:val="0"/>
        <w:numPr>
          <w:ilvl w:val="0"/>
          <w:numId w:val="1"/>
        </w:numPr>
        <w:shd w:val="clear" w:color="auto" w:fill="auto"/>
        <w:tabs>
          <w:tab w:pos="906" w:val="left"/>
        </w:tabs>
        <w:bidi w:val="0"/>
        <w:spacing w:before="0" w:after="220" w:line="469" w:lineRule="exact"/>
        <w:ind w:left="0" w:right="0"/>
        <w:jc w:val="left"/>
      </w:pPr>
      <w:bookmarkStart w:id="96" w:name="bookmark96"/>
      <w:bookmarkStart w:id="97" w:name="bookmark97"/>
      <w:bookmarkStart w:id="98" w:name="bookmark98"/>
      <w:bookmarkStart w:id="99" w:name="bookmark99"/>
      <w:bookmarkEnd w:id="98"/>
      <w:r>
        <w:rPr>
          <w:color w:val="000000"/>
          <w:spacing w:val="0"/>
          <w:w w:val="100"/>
          <w:position w:val="0"/>
        </w:rPr>
        <w:t>毛利率变化情况</w:t>
      </w:r>
      <w:bookmarkEnd w:id="96"/>
      <w:bookmarkEnd w:id="97"/>
      <w:bookmarkEnd w:id="99"/>
    </w:p>
    <w:tbl>
      <w:tblPr>
        <w:tblOverlap w:val="never"/>
        <w:jc w:val="center"/>
        <w:tblLayout w:type="fixed"/>
      </w:tblPr>
      <w:tblGrid>
        <w:gridCol w:w="3744"/>
        <w:gridCol w:w="2194"/>
        <w:gridCol w:w="2189"/>
        <w:gridCol w:w="1738"/>
      </w:tblGrid>
      <w:tr>
        <w:trPr>
          <w:trHeight w:val="298" w:hRule="exact"/>
        </w:trPr>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年度</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2015</w:t>
            </w:r>
            <w:r>
              <w:rPr>
                <w:color w:val="000000"/>
                <w:spacing w:val="0"/>
                <w:w w:val="100"/>
                <w:position w:val="0"/>
              </w:rPr>
              <w:t>年度</w:t>
            </w:r>
          </w:p>
        </w:tc>
        <w:tc>
          <w:tcPr>
            <w:tcBorders>
              <w:top w:val="single" w:sz="4"/>
              <w:left w:val="single" w:sz="4"/>
              <w:righ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rPr>
              <w:t>增减变化</w:t>
            </w:r>
          </w:p>
        </w:tc>
      </w:tr>
      <w:tr>
        <w:trPr>
          <w:trHeight w:val="298" w:hRule="exact"/>
        </w:trPr>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主营业务毛利率</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13.39%</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13.70%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-0.31%</w:t>
            </w:r>
          </w:p>
        </w:tc>
      </w:tr>
      <w:tr>
        <w:trPr>
          <w:trHeight w:val="293" w:hRule="exact"/>
        </w:trPr>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其他业务毛利率</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1.18%</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0.91%</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0.27%</w:t>
            </w:r>
          </w:p>
        </w:tc>
      </w:tr>
      <w:tr>
        <w:trPr>
          <w:trHeight w:val="302" w:hRule="exact"/>
        </w:trPr>
        <w:tc>
          <w:tcPr>
            <w:tcBorders>
              <w:top w:val="single" w:sz="4"/>
              <w:left w:val="single" w:sz="4"/>
              <w:bottom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综合毛利率</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14.57%</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14.61%</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-0.04%</w:t>
            </w:r>
          </w:p>
        </w:tc>
      </w:tr>
    </w:tbl>
    <w:p>
      <w:pPr>
        <w:pStyle w:val="Style32"/>
        <w:keepNext w:val="0"/>
        <w:keepLines w:val="0"/>
        <w:widowControl w:val="0"/>
        <w:shd w:val="clear" w:color="auto" w:fill="auto"/>
        <w:bidi w:val="0"/>
        <w:spacing w:before="0" w:after="100" w:line="472" w:lineRule="exact"/>
        <w:ind w:left="420" w:right="0" w:firstLine="440"/>
        <w:jc w:val="left"/>
      </w:pPr>
      <w:r>
        <w:rPr>
          <w:color w:val="000000"/>
          <w:spacing w:val="0"/>
          <w:w w:val="100"/>
          <w:position w:val="0"/>
        </w:rPr>
        <w:t>报告期内公司保持积极的市场价格竞争策略，线上业务占比进一步增加，占营业总收入比重由 同期的</w:t>
      </w:r>
      <w:r>
        <w:rPr>
          <w:rFonts w:ascii="Times New Roman" w:eastAsia="Times New Roman" w:hAnsi="Times New Roman" w:cs="Times New Roman"/>
          <w:color w:val="000000"/>
          <w:spacing w:val="0"/>
          <w:w w:val="100"/>
          <w:position w:val="0"/>
        </w:rPr>
        <w:t>25.41%</w:t>
      </w:r>
      <w:r>
        <w:rPr>
          <w:color w:val="000000"/>
          <w:spacing w:val="0"/>
          <w:w w:val="100"/>
          <w:position w:val="0"/>
        </w:rPr>
        <w:t>提升至</w:t>
      </w:r>
      <w:r>
        <w:rPr>
          <w:rFonts w:ascii="Times New Roman" w:eastAsia="Times New Roman" w:hAnsi="Times New Roman" w:cs="Times New Roman"/>
          <w:color w:val="000000"/>
          <w:spacing w:val="0"/>
          <w:w w:val="100"/>
          <w:position w:val="0"/>
        </w:rPr>
        <w:t>35.59%</w:t>
      </w:r>
      <w:r>
        <w:rPr>
          <w:color w:val="000000"/>
          <w:spacing w:val="0"/>
          <w:w w:val="100"/>
          <w:position w:val="0"/>
        </w:rPr>
        <w:t>，主营业务毛利率有所下降；但是随着公司在店面转租、招商运营能力 的提升，以及公司为客户提供金融信息服务、物流增值服务收入增加，对公司毛利率有一定的改善， 总体来看报告期内公司综合毛利率水平保持平稳。</w:t>
      </w:r>
    </w:p>
    <w:p>
      <w:pPr>
        <w:pStyle w:val="Style38"/>
        <w:keepNext/>
        <w:keepLines/>
        <w:widowControl w:val="0"/>
        <w:numPr>
          <w:ilvl w:val="0"/>
          <w:numId w:val="1"/>
        </w:numPr>
        <w:shd w:val="clear" w:color="auto" w:fill="auto"/>
        <w:bidi w:val="0"/>
        <w:spacing w:before="0" w:after="220" w:line="472" w:lineRule="exact"/>
        <w:ind w:left="420" w:right="0" w:firstLine="0"/>
        <w:jc w:val="left"/>
      </w:pPr>
      <w:bookmarkStart w:id="100" w:name="bookmark100"/>
      <w:bookmarkStart w:id="101" w:name="bookmark101"/>
      <w:bookmarkStart w:id="102" w:name="bookmark102"/>
      <w:bookmarkStart w:id="103" w:name="bookmark103"/>
      <w:bookmarkEnd w:id="102"/>
      <w:r>
        <w:rPr>
          <w:color w:val="000000"/>
          <w:spacing w:val="0"/>
          <w:w w:val="100"/>
          <w:position w:val="0"/>
        </w:rPr>
        <w:t>三项费用率变化情况</w:t>
      </w:r>
      <w:bookmarkEnd w:id="100"/>
      <w:bookmarkEnd w:id="101"/>
      <w:bookmarkEnd w:id="103"/>
    </w:p>
    <w:tbl>
      <w:tblPr>
        <w:tblOverlap w:val="never"/>
        <w:jc w:val="center"/>
        <w:tblLayout w:type="fixed"/>
      </w:tblPr>
      <w:tblGrid>
        <w:gridCol w:w="3744"/>
        <w:gridCol w:w="2194"/>
        <w:gridCol w:w="2189"/>
        <w:gridCol w:w="1738"/>
      </w:tblGrid>
      <w:tr>
        <w:trPr>
          <w:trHeight w:val="302" w:hRule="exact"/>
        </w:trPr>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项目(注)</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年度</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2015</w:t>
            </w:r>
            <w:r>
              <w:rPr>
                <w:color w:val="000000"/>
                <w:spacing w:val="0"/>
                <w:w w:val="100"/>
                <w:position w:val="0"/>
              </w:rPr>
              <w:t>年度</w:t>
            </w:r>
          </w:p>
        </w:tc>
        <w:tc>
          <w:tcPr>
            <w:tcBorders>
              <w:top w:val="single" w:sz="4"/>
              <w:left w:val="single" w:sz="4"/>
              <w:righ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rPr>
              <w:t>增减变化</w:t>
            </w:r>
          </w:p>
        </w:tc>
      </w:tr>
      <w:tr>
        <w:trPr>
          <w:trHeight w:val="293" w:hRule="exact"/>
        </w:trPr>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销售费用率</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11.92%</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12.43%</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-0.51%</w:t>
            </w:r>
          </w:p>
        </w:tc>
      </w:tr>
      <w:tr>
        <w:trPr>
          <w:trHeight w:val="298" w:hRule="exact"/>
        </w:trPr>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管理费用率</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2.69%</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3.21%</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-0.52%</w:t>
            </w:r>
          </w:p>
        </w:tc>
      </w:tr>
      <w:tr>
        <w:trPr>
          <w:trHeight w:val="293" w:hRule="exact"/>
        </w:trPr>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财务费用率</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0.28%</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0.08%</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0.20%</w:t>
            </w:r>
          </w:p>
        </w:tc>
      </w:tr>
      <w:tr>
        <w:trPr>
          <w:trHeight w:val="302" w:hRule="exact"/>
        </w:trPr>
        <w:tc>
          <w:tcPr>
            <w:tcBorders>
              <w:top w:val="single" w:sz="4"/>
              <w:left w:val="single" w:sz="4"/>
              <w:bottom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三项费用率</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14.89%</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15.72%</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-0.83%</w:t>
            </w:r>
          </w:p>
        </w:tc>
      </w:tr>
    </w:tbl>
    <w:p>
      <w:pPr>
        <w:pStyle w:val="Style25"/>
        <w:keepNext w:val="0"/>
        <w:keepLines w:val="0"/>
        <w:widowControl w:val="0"/>
        <w:shd w:val="clear" w:color="auto" w:fill="auto"/>
        <w:bidi w:val="0"/>
        <w:spacing w:before="0" w:after="0" w:line="240" w:lineRule="auto"/>
        <w:ind w:left="509" w:right="0" w:firstLine="0"/>
        <w:jc w:val="left"/>
        <w:rPr>
          <w:sz w:val="20"/>
          <w:szCs w:val="20"/>
        </w:rPr>
      </w:pPr>
      <w:r>
        <w:rPr>
          <w:color w:val="000000"/>
          <w:spacing w:val="0"/>
          <w:w w:val="100"/>
          <w:position w:val="0"/>
          <w:sz w:val="20"/>
          <w:szCs w:val="20"/>
        </w:rPr>
        <w:t>注：财政部于</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月颁布了财会</w:t>
      </w:r>
      <w:r>
        <w:rPr>
          <w:rFonts w:ascii="Times New Roman" w:eastAsia="Times New Roman" w:hAnsi="Times New Roman" w:cs="Times New Roman"/>
          <w:color w:val="000000"/>
          <w:spacing w:val="0"/>
          <w:w w:val="100"/>
          <w:position w:val="0"/>
          <w:sz w:val="20"/>
          <w:szCs w:val="20"/>
        </w:rPr>
        <w:t>[2016]22</w:t>
      </w:r>
      <w:r>
        <w:rPr>
          <w:color w:val="000000"/>
          <w:spacing w:val="0"/>
          <w:w w:val="100"/>
          <w:position w:val="0"/>
          <w:sz w:val="20"/>
          <w:szCs w:val="20"/>
        </w:rPr>
        <w:t>号《增值税会计处理规定》，要求自发布之日起施行。</w:t>
      </w:r>
    </w:p>
    <w:p>
      <w:pPr>
        <w:pStyle w:val="Style32"/>
        <w:keepNext w:val="0"/>
        <w:keepLines w:val="0"/>
        <w:widowControl w:val="0"/>
        <w:shd w:val="clear" w:color="auto" w:fill="auto"/>
        <w:bidi w:val="0"/>
        <w:spacing w:before="0" w:after="0" w:line="469" w:lineRule="exact"/>
        <w:ind w:left="420" w:right="0" w:firstLine="0"/>
        <w:jc w:val="left"/>
        <w:rPr>
          <w:sz w:val="20"/>
          <w:szCs w:val="20"/>
        </w:rPr>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日至该规定施行之间发生的交易按该规定调整。按照该规定的相关要求，公司将</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 xml:space="preserve">5 </w:t>
      </w:r>
      <w:r>
        <w:rPr>
          <w:color w:val="000000"/>
          <w:spacing w:val="0"/>
          <w:w w:val="100"/>
          <w:position w:val="0"/>
          <w:sz w:val="20"/>
          <w:szCs w:val="20"/>
        </w:rPr>
        <w:t>月至</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月销售费用、管理费用发生的房产税、土地使用税、印花税、车船使用税等约</w:t>
      </w:r>
      <w:r>
        <w:rPr>
          <w:rFonts w:ascii="Times New Roman" w:eastAsia="Times New Roman" w:hAnsi="Times New Roman" w:cs="Times New Roman"/>
          <w:color w:val="000000"/>
          <w:spacing w:val="0"/>
          <w:w w:val="100"/>
          <w:position w:val="0"/>
          <w:sz w:val="20"/>
          <w:szCs w:val="20"/>
        </w:rPr>
        <w:t>2.67</w:t>
      </w:r>
      <w:r>
        <w:rPr>
          <w:color w:val="000000"/>
          <w:spacing w:val="0"/>
          <w:w w:val="100"/>
          <w:position w:val="0"/>
          <w:sz w:val="20"/>
          <w:szCs w:val="20"/>
        </w:rPr>
        <w:t>亿元列示在税 金及附加项目中，</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月至</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月发生的房产税、土地使用税、印花税、车船使用税等</w:t>
      </w:r>
      <w:r>
        <w:rPr>
          <w:rFonts w:ascii="Times New Roman" w:eastAsia="Times New Roman" w:hAnsi="Times New Roman" w:cs="Times New Roman"/>
          <w:color w:val="000000"/>
          <w:spacing w:val="0"/>
          <w:w w:val="100"/>
          <w:position w:val="0"/>
          <w:sz w:val="20"/>
          <w:szCs w:val="20"/>
        </w:rPr>
        <w:t>7,353</w:t>
      </w:r>
      <w:r>
        <w:rPr>
          <w:color w:val="000000"/>
          <w:spacing w:val="0"/>
          <w:w w:val="100"/>
          <w:position w:val="0"/>
          <w:sz w:val="20"/>
          <w:szCs w:val="20"/>
        </w:rPr>
        <w:t>万元仍然 列示在原费用项目中，</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sz w:val="20"/>
          <w:szCs w:val="20"/>
        </w:rPr>
        <w:t>年的比较数字不追溯调整。</w:t>
      </w:r>
    </w:p>
    <w:p>
      <w:pPr>
        <w:pStyle w:val="Style32"/>
        <w:keepNext w:val="0"/>
        <w:keepLines w:val="0"/>
        <w:widowControl w:val="0"/>
        <w:shd w:val="clear" w:color="auto" w:fill="auto"/>
        <w:bidi w:val="0"/>
        <w:spacing w:before="0" w:after="220" w:line="469" w:lineRule="exact"/>
        <w:ind w:left="420" w:right="0" w:firstLine="440"/>
        <w:jc w:val="both"/>
      </w:pPr>
      <w:r>
        <w:rPr>
          <w:color w:val="000000"/>
          <w:spacing w:val="0"/>
          <w:w w:val="100"/>
          <w:position w:val="0"/>
        </w:rPr>
        <w:t>费用方面，报告期内公司运营费用率同比下降</w:t>
      </w:r>
      <w:r>
        <w:rPr>
          <w:rFonts w:ascii="Times New Roman" w:eastAsia="Times New Roman" w:hAnsi="Times New Roman" w:cs="Times New Roman"/>
          <w:color w:val="000000"/>
          <w:spacing w:val="0"/>
          <w:w w:val="100"/>
          <w:position w:val="0"/>
        </w:rPr>
        <w:t>1.03%</w:t>
      </w:r>
      <w:r>
        <w:rPr>
          <w:color w:val="000000"/>
          <w:spacing w:val="0"/>
          <w:w w:val="100"/>
          <w:position w:val="0"/>
        </w:rPr>
        <w:t>，主要由于公司加强绩效考核，持续优化 组织流程，注重投入产出效率，人效提高；随着可比店面销售收入的逐步改善，店面相关费用率水 平有所下降；由于线上收入规模的提升，运杂费率有所提升，相信随着物流运营效率的提高，将有 所改善。若不考虑上述税金列示的影响，报告期内公司运营费用率同比下降</w:t>
      </w:r>
      <w:r>
        <w:rPr>
          <w:rFonts w:ascii="Times New Roman" w:eastAsia="Times New Roman" w:hAnsi="Times New Roman" w:cs="Times New Roman"/>
          <w:color w:val="000000"/>
          <w:spacing w:val="0"/>
          <w:w w:val="100"/>
          <w:position w:val="0"/>
        </w:rPr>
        <w:t>0.85%</w:t>
      </w:r>
      <w:r>
        <w:rPr>
          <w:color w:val="000000"/>
          <w:spacing w:val="0"/>
          <w:w w:val="100"/>
          <w:position w:val="0"/>
        </w:rPr>
        <w:t>。受利率下行带 来利息收入下降以及公司计提专项贷款的利息影响，财务费用同比提升</w:t>
      </w:r>
      <w:r>
        <w:rPr>
          <w:rFonts w:ascii="Times New Roman" w:eastAsia="Times New Roman" w:hAnsi="Times New Roman" w:cs="Times New Roman"/>
          <w:color w:val="000000"/>
          <w:spacing w:val="0"/>
          <w:w w:val="100"/>
          <w:position w:val="0"/>
        </w:rPr>
        <w:t>0.20%</w:t>
      </w:r>
      <w:r>
        <w:rPr>
          <w:color w:val="000000"/>
          <w:spacing w:val="0"/>
          <w:w w:val="100"/>
          <w:position w:val="0"/>
        </w:rPr>
        <w:t>。</w:t>
      </w:r>
    </w:p>
    <w:p>
      <w:pPr>
        <w:pStyle w:val="Style32"/>
        <w:keepNext w:val="0"/>
        <w:keepLines w:val="0"/>
        <w:widowControl w:val="0"/>
        <w:shd w:val="clear" w:color="auto" w:fill="auto"/>
        <w:bidi w:val="0"/>
        <w:spacing w:before="0" w:after="100" w:line="240" w:lineRule="auto"/>
        <w:ind w:left="0" w:right="0" w:firstLine="860"/>
        <w:jc w:val="left"/>
      </w:pPr>
      <w:r>
        <w:rPr>
          <w:color w:val="000000"/>
          <w:spacing w:val="0"/>
          <w:w w:val="100"/>
          <w:position w:val="0"/>
        </w:rPr>
        <w:t>报告期内，公司三项费用率同比下降</w:t>
      </w:r>
      <w:r>
        <w:rPr>
          <w:rFonts w:ascii="Times New Roman" w:eastAsia="Times New Roman" w:hAnsi="Times New Roman" w:cs="Times New Roman"/>
          <w:color w:val="000000"/>
          <w:spacing w:val="0"/>
          <w:w w:val="100"/>
          <w:position w:val="0"/>
        </w:rPr>
        <w:t>0.83%</w:t>
      </w:r>
      <w:r>
        <w:rPr>
          <w:color w:val="000000"/>
          <w:spacing w:val="0"/>
          <w:w w:val="100"/>
          <w:position w:val="0"/>
        </w:rPr>
        <w:t>。</w:t>
      </w:r>
    </w:p>
    <w:p>
      <w:pPr>
        <w:pStyle w:val="Style38"/>
        <w:keepNext/>
        <w:keepLines/>
        <w:widowControl w:val="0"/>
        <w:shd w:val="clear" w:color="auto" w:fill="auto"/>
        <w:bidi w:val="0"/>
        <w:spacing w:before="0" w:after="100" w:line="466" w:lineRule="exact"/>
        <w:ind w:left="0" w:right="0"/>
        <w:jc w:val="left"/>
      </w:pPr>
      <w:bookmarkStart w:id="104" w:name="bookmark104"/>
      <w:bookmarkStart w:id="105" w:name="bookmark105"/>
      <w:bookmarkStart w:id="106" w:name="bookmark106"/>
      <w:bookmarkStart w:id="107" w:name="bookmark107"/>
      <w:r>
        <w:rPr>
          <w:color w:val="000000"/>
          <w:spacing w:val="0"/>
          <w:w w:val="100"/>
          <w:position w:val="0"/>
        </w:rPr>
        <w:t>（</w:t>
      </w:r>
      <w:bookmarkEnd w:id="106"/>
      <w:r>
        <w:rPr>
          <w:rFonts w:ascii="Times New Roman" w:eastAsia="Times New Roman" w:hAnsi="Times New Roman" w:cs="Times New Roman"/>
          <w:color w:val="000000"/>
          <w:spacing w:val="0"/>
          <w:w w:val="100"/>
          <w:position w:val="0"/>
        </w:rPr>
        <w:t>4</w:t>
      </w:r>
      <w:r>
        <w:rPr>
          <w:color w:val="000000"/>
          <w:spacing w:val="0"/>
          <w:w w:val="100"/>
          <w:position w:val="0"/>
        </w:rPr>
        <w:t>）归属于上市公司股东的净利润变化情况</w:t>
      </w:r>
      <w:bookmarkEnd w:id="104"/>
      <w:bookmarkEnd w:id="105"/>
      <w:bookmarkEnd w:id="107"/>
    </w:p>
    <w:p>
      <w:pPr>
        <w:pStyle w:val="Style32"/>
        <w:keepNext w:val="0"/>
        <w:keepLines w:val="0"/>
        <w:widowControl w:val="0"/>
        <w:shd w:val="clear" w:color="auto" w:fill="auto"/>
        <w:bidi w:val="0"/>
        <w:spacing w:before="0" w:after="0" w:line="466" w:lineRule="exact"/>
        <w:ind w:left="420" w:right="0" w:firstLine="440"/>
        <w:jc w:val="left"/>
      </w:pPr>
      <w:r>
        <w:rPr>
          <w:color w:val="000000"/>
          <w:spacing w:val="0"/>
          <w:w w:val="100"/>
          <w:position w:val="0"/>
        </w:rPr>
        <w:t>报告期内，公司实施完成以部分仓储物业为标的资产开展的相关创新型资产运作模式，该交易 实现税后净利润</w:t>
      </w:r>
      <w:r>
        <w:rPr>
          <w:rFonts w:ascii="Times New Roman" w:eastAsia="Times New Roman" w:hAnsi="Times New Roman" w:cs="Times New Roman"/>
          <w:color w:val="000000"/>
          <w:spacing w:val="0"/>
          <w:w w:val="100"/>
          <w:position w:val="0"/>
        </w:rPr>
        <w:t>3.94</w:t>
      </w:r>
      <w:r>
        <w:rPr>
          <w:color w:val="000000"/>
          <w:spacing w:val="0"/>
          <w:w w:val="100"/>
          <w:position w:val="0"/>
        </w:rPr>
        <w:t>亿元；以及公司子公司向关联方苏宁电器集团有限公司转让北京京朝苏宁电器有 限公司</w:t>
      </w:r>
      <w:r>
        <w:rPr>
          <w:rFonts w:ascii="Times New Roman" w:eastAsia="Times New Roman" w:hAnsi="Times New Roman" w:cs="Times New Roman"/>
          <w:color w:val="000000"/>
          <w:spacing w:val="0"/>
          <w:w w:val="100"/>
          <w:position w:val="0"/>
        </w:rPr>
        <w:t>100%</w:t>
      </w:r>
      <w:r>
        <w:rPr>
          <w:color w:val="000000"/>
          <w:spacing w:val="0"/>
          <w:w w:val="100"/>
          <w:position w:val="0"/>
        </w:rPr>
        <w:t>股权，该交易增加公司净利润</w:t>
      </w:r>
      <w:r>
        <w:rPr>
          <w:rFonts w:ascii="Times New Roman" w:eastAsia="Times New Roman" w:hAnsi="Times New Roman" w:cs="Times New Roman"/>
          <w:color w:val="000000"/>
          <w:spacing w:val="0"/>
          <w:w w:val="100"/>
          <w:position w:val="0"/>
        </w:rPr>
        <w:t>9.88</w:t>
      </w:r>
      <w:r>
        <w:rPr>
          <w:color w:val="000000"/>
          <w:spacing w:val="0"/>
          <w:w w:val="100"/>
          <w:position w:val="0"/>
        </w:rPr>
        <w:t>亿元。</w:t>
      </w:r>
    </w:p>
    <w:p>
      <w:pPr>
        <w:pStyle w:val="Style32"/>
        <w:keepNext w:val="0"/>
        <w:keepLines w:val="0"/>
        <w:widowControl w:val="0"/>
        <w:shd w:val="clear" w:color="auto" w:fill="auto"/>
        <w:bidi w:val="0"/>
        <w:spacing w:before="0" w:after="220" w:line="466" w:lineRule="exact"/>
        <w:ind w:left="420" w:right="0" w:firstLine="440"/>
        <w:jc w:val="left"/>
      </w:pPr>
      <w:r>
        <w:rPr>
          <w:color w:val="000000"/>
          <w:spacing w:val="0"/>
          <w:w w:val="100"/>
          <w:position w:val="0"/>
        </w:rPr>
        <w:t>综上所述，报告期内公司实现利润总额</w:t>
      </w:r>
      <w:r>
        <w:rPr>
          <w:rFonts w:ascii="Times New Roman" w:eastAsia="Times New Roman" w:hAnsi="Times New Roman" w:cs="Times New Roman"/>
          <w:color w:val="000000"/>
          <w:spacing w:val="0"/>
          <w:w w:val="100"/>
          <w:position w:val="0"/>
        </w:rPr>
        <w:t>9</w:t>
      </w:r>
      <w:r>
        <w:rPr>
          <w:rFonts w:ascii="Times New Roman" w:eastAsia="Times New Roman" w:hAnsi="Times New Roman" w:cs="Times New Roman"/>
          <w:color w:val="000000"/>
          <w:spacing w:val="0"/>
          <w:w w:val="100"/>
          <w:position w:val="0"/>
        </w:rPr>
        <w:t>.01</w:t>
      </w:r>
      <w:r>
        <w:rPr>
          <w:color w:val="000000"/>
          <w:spacing w:val="0"/>
          <w:w w:val="100"/>
          <w:position w:val="0"/>
        </w:rPr>
        <w:t>亿元，同比增长</w:t>
      </w:r>
      <w:r>
        <w:rPr>
          <w:rFonts w:ascii="Times New Roman" w:eastAsia="Times New Roman" w:hAnsi="Times New Roman" w:cs="Times New Roman"/>
          <w:color w:val="000000"/>
          <w:spacing w:val="0"/>
          <w:w w:val="100"/>
          <w:position w:val="0"/>
        </w:rPr>
        <w:t>1.34%</w:t>
      </w:r>
      <w:r>
        <w:rPr>
          <w:color w:val="000000"/>
          <w:spacing w:val="0"/>
          <w:w w:val="100"/>
          <w:position w:val="0"/>
        </w:rPr>
        <w:t>；归属于上市公司股东的净利 润</w:t>
      </w:r>
      <w:r>
        <w:rPr>
          <w:rFonts w:ascii="Times New Roman" w:eastAsia="Times New Roman" w:hAnsi="Times New Roman" w:cs="Times New Roman"/>
          <w:color w:val="000000"/>
          <w:spacing w:val="0"/>
          <w:w w:val="100"/>
          <w:position w:val="0"/>
        </w:rPr>
        <w:t>7.04</w:t>
      </w:r>
      <w:r>
        <w:rPr>
          <w:color w:val="000000"/>
          <w:spacing w:val="0"/>
          <w:w w:val="100"/>
          <w:position w:val="0"/>
        </w:rPr>
        <w:t>亿元，同比下降</w:t>
      </w:r>
      <w:r>
        <w:rPr>
          <w:rFonts w:ascii="Times New Roman" w:eastAsia="Times New Roman" w:hAnsi="Times New Roman" w:cs="Times New Roman"/>
          <w:color w:val="000000"/>
          <w:spacing w:val="0"/>
          <w:w w:val="100"/>
          <w:position w:val="0"/>
        </w:rPr>
        <w:t>19.27%</w:t>
      </w:r>
      <w:r>
        <w:rPr>
          <w:color w:val="000000"/>
          <w:spacing w:val="0"/>
          <w:w w:val="100"/>
          <w:position w:val="0"/>
        </w:rPr>
        <w:t>。</w:t>
      </w:r>
    </w:p>
    <w:p>
      <w:pPr>
        <w:pStyle w:val="Style32"/>
        <w:keepNext w:val="0"/>
        <w:keepLines w:val="0"/>
        <w:widowControl w:val="0"/>
        <w:shd w:val="clear" w:color="auto" w:fill="auto"/>
        <w:bidi w:val="0"/>
        <w:spacing w:before="0" w:after="140" w:line="466" w:lineRule="exact"/>
        <w:ind w:left="0" w:right="0" w:firstLine="420"/>
        <w:jc w:val="both"/>
      </w:pPr>
      <w:bookmarkStart w:id="108" w:name="bookmark108"/>
      <w:r>
        <w:rPr>
          <w:rFonts w:ascii="Times New Roman" w:eastAsia="Times New Roman" w:hAnsi="Times New Roman" w:cs="Times New Roman"/>
          <w:b/>
          <w:bCs/>
          <w:color w:val="000000"/>
          <w:spacing w:val="0"/>
          <w:w w:val="100"/>
          <w:position w:val="0"/>
        </w:rPr>
        <w:t>2</w:t>
      </w:r>
      <w:bookmarkEnd w:id="108"/>
      <w:r>
        <w:rPr>
          <w:b/>
          <w:bCs/>
          <w:color w:val="000000"/>
          <w:spacing w:val="0"/>
          <w:w w:val="100"/>
          <w:position w:val="0"/>
        </w:rPr>
        <w:t>、收入与成本</w:t>
      </w:r>
    </w:p>
    <w:p>
      <w:pPr>
        <w:pStyle w:val="Style38"/>
        <w:keepNext/>
        <w:keepLines/>
        <w:widowControl w:val="0"/>
        <w:shd w:val="clear" w:color="auto" w:fill="auto"/>
        <w:bidi w:val="0"/>
        <w:spacing w:before="0" w:after="340" w:line="466" w:lineRule="exact"/>
        <w:ind w:left="0" w:right="0"/>
        <w:jc w:val="both"/>
      </w:pPr>
      <w:bookmarkStart w:id="109" w:name="bookmark109"/>
      <w:bookmarkStart w:id="110" w:name="bookmark110"/>
      <w:bookmarkStart w:id="111" w:name="bookmark111"/>
      <w:bookmarkStart w:id="112" w:name="bookmark112"/>
      <w:r>
        <w:rPr>
          <w:color w:val="000000"/>
          <w:spacing w:val="0"/>
          <w:w w:val="100"/>
          <w:position w:val="0"/>
        </w:rPr>
        <w:t>（</w:t>
      </w:r>
      <w:bookmarkEnd w:id="111"/>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109"/>
      <w:bookmarkEnd w:id="110"/>
      <w:bookmarkEnd w:id="112"/>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单位：千元</w:t>
      </w:r>
    </w:p>
    <w:tbl>
      <w:tblPr>
        <w:tblOverlap w:val="never"/>
        <w:jc w:val="center"/>
        <w:tblLayout w:type="fixed"/>
      </w:tblPr>
      <w:tblGrid>
        <w:gridCol w:w="1848"/>
        <w:gridCol w:w="1416"/>
        <w:gridCol w:w="1704"/>
        <w:gridCol w:w="1411"/>
        <w:gridCol w:w="1709"/>
        <w:gridCol w:w="1704"/>
      </w:tblGrid>
      <w:tr>
        <w:trPr>
          <w:trHeight w:val="29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gridSpan w:val="2"/>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298"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480"/>
              <w:jc w:val="left"/>
            </w:pPr>
            <w:r>
              <w:rPr>
                <w:color w:val="000000"/>
                <w:spacing w:val="0"/>
                <w:w w:val="100"/>
                <w:position w:val="0"/>
              </w:rPr>
              <w:t>金额</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占营业收入比重</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480"/>
              <w:jc w:val="left"/>
            </w:pPr>
            <w:r>
              <w:rPr>
                <w:color w:val="000000"/>
                <w:spacing w:val="0"/>
                <w:w w:val="100"/>
                <w:position w:val="0"/>
              </w:rPr>
              <w:t>金额</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29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营业收入合计</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148,585,331</w:t>
            </w:r>
          </w:p>
        </w:tc>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135,547,633</w:t>
            </w:r>
          </w:p>
        </w:tc>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9.62%</w:t>
            </w:r>
          </w:p>
        </w:tc>
      </w:tr>
      <w:tr>
        <w:trPr>
          <w:trHeight w:val="298"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主营业务收入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146,452,656</w:t>
            </w:r>
          </w:p>
        </w:tc>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98.56%</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133,894,034</w:t>
            </w:r>
          </w:p>
        </w:tc>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98.78%</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9.38%</w:t>
            </w:r>
          </w:p>
        </w:tc>
      </w:tr>
      <w:tr>
        <w:trPr>
          <w:trHeight w:val="29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其他业务收入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2,132,675</w:t>
            </w:r>
          </w:p>
        </w:tc>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1.44%</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1,653,599</w:t>
            </w:r>
          </w:p>
        </w:tc>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1.22%</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28.97%</w:t>
            </w:r>
          </w:p>
        </w:tc>
      </w:tr>
      <w:tr>
        <w:trPr>
          <w:trHeight w:val="298" w:hRule="exact"/>
        </w:trPr>
        <w:tc>
          <w:tcPr>
            <w:gridSpan w:val="6"/>
            <w:tcBorders>
              <w:top w:val="single" w:sz="4"/>
              <w:left w:val="single" w:sz="4"/>
              <w:righ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分行业</w:t>
            </w:r>
          </w:p>
        </w:tc>
      </w:tr>
      <w:tr>
        <w:trPr>
          <w:trHeight w:val="29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零售业（注</w:t>
            </w:r>
            <w:r>
              <w:rPr>
                <w:rFonts w:ascii="Times New Roman" w:eastAsia="Times New Roman" w:hAnsi="Times New Roman" w:cs="Times New Roman"/>
                <w:color w:val="000000"/>
                <w:spacing w:val="0"/>
                <w:w w:val="100"/>
                <w:position w:val="0"/>
              </w:rPr>
              <w:t>1</w:t>
            </w:r>
            <w:r>
              <w:rPr>
                <w:color w:val="000000"/>
                <w:spacing w:val="0"/>
                <w:w w:val="100"/>
                <w:position w:val="0"/>
              </w:rPr>
              <w:t>）</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146,452,656</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98.56%</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133,894,034</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98.78%</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9.38%</w:t>
            </w:r>
          </w:p>
        </w:tc>
      </w:tr>
      <w:tr>
        <w:trPr>
          <w:trHeight w:val="298" w:hRule="exact"/>
        </w:trPr>
        <w:tc>
          <w:tcPr>
            <w:gridSpan w:val="6"/>
            <w:tcBorders>
              <w:top w:val="single" w:sz="4"/>
              <w:left w:val="single" w:sz="4"/>
              <w:righ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分产品</w:t>
            </w:r>
          </w:p>
        </w:tc>
      </w:tr>
      <w:tr>
        <w:trPr>
          <w:trHeight w:val="29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通讯产品</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34,215,054</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23.03%</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27,042,125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19.95%</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26.53%</w:t>
            </w:r>
          </w:p>
        </w:tc>
      </w:tr>
      <w:tr>
        <w:trPr>
          <w:trHeight w:val="58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小家电产品（注</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25,682,282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17.28%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22,929,723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16.92%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12.00%</w:t>
            </w:r>
          </w:p>
        </w:tc>
      </w:tr>
      <w:tr>
        <w:trPr>
          <w:trHeight w:val="2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数码及</w:t>
            </w:r>
            <w:r>
              <w:rPr>
                <w:rFonts w:ascii="Times New Roman" w:eastAsia="Times New Roman" w:hAnsi="Times New Roman" w:cs="Times New Roman"/>
                <w:color w:val="000000"/>
                <w:spacing w:val="0"/>
                <w:w w:val="100"/>
                <w:position w:val="0"/>
              </w:rPr>
              <w:t>IT</w:t>
            </w:r>
            <w:r>
              <w:rPr>
                <w:color w:val="000000"/>
                <w:spacing w:val="0"/>
                <w:w w:val="100"/>
                <w:position w:val="0"/>
              </w:rPr>
              <w:t>产品</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24,137,879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16.24%</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22,083,433</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16.29%</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9.30%</w:t>
            </w:r>
          </w:p>
        </w:tc>
      </w:tr>
      <w:tr>
        <w:trPr>
          <w:trHeight w:val="29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冰箱、洗衣机</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22,209,541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14.95%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21,651,400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15.97%</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2.58%</w:t>
            </w:r>
          </w:p>
        </w:tc>
      </w:tr>
      <w:tr>
        <w:trPr>
          <w:trHeight w:val="29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彩电、音像、碟机</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21,480,391</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14.46%</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23,195,013</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17.11%</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-7.39%</w:t>
            </w:r>
          </w:p>
        </w:tc>
      </w:tr>
      <w:tr>
        <w:trPr>
          <w:trHeight w:val="29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空调器产品</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15,898,866</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10.70%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13,033,272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9.62%</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21.99%</w:t>
            </w:r>
          </w:p>
        </w:tc>
      </w:tr>
      <w:tr>
        <w:trPr>
          <w:trHeight w:val="2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安装维修业务</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1,045,118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0.70%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1,127,063</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0.83%</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-7.27%</w:t>
            </w:r>
          </w:p>
        </w:tc>
      </w:tr>
      <w:tr>
        <w:trPr>
          <w:trHeight w:val="29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其他产品（注</w:t>
            </w:r>
            <w:r>
              <w:rPr>
                <w:rFonts w:ascii="Times New Roman" w:eastAsia="Times New Roman" w:hAnsi="Times New Roman" w:cs="Times New Roman"/>
                <w:color w:val="000000"/>
                <w:spacing w:val="0"/>
                <w:w w:val="100"/>
                <w:position w:val="0"/>
              </w:rPr>
              <w:t>3</w:t>
            </w:r>
            <w:r>
              <w:rPr>
                <w:color w:val="000000"/>
                <w:spacing w:val="0"/>
                <w:w w:val="100"/>
                <w:position w:val="0"/>
              </w:rPr>
              <w:t>）</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1,783,525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1.20%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2,832,005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2.09%</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-37.02%</w:t>
            </w:r>
          </w:p>
        </w:tc>
      </w:tr>
      <w:tr>
        <w:trPr>
          <w:trHeight w:val="298" w:hRule="exact"/>
        </w:trPr>
        <w:tc>
          <w:tcPr>
            <w:gridSpan w:val="6"/>
            <w:tcBorders>
              <w:top w:val="single" w:sz="4"/>
              <w:left w:val="single" w:sz="4"/>
              <w:righ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分地区</w:t>
            </w:r>
          </w:p>
        </w:tc>
      </w:tr>
      <w:tr>
        <w:trPr>
          <w:trHeight w:val="29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华东一区</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38,366,076</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25.82%</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29,800,235</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21.98%</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28.74%</w:t>
            </w:r>
          </w:p>
        </w:tc>
      </w:tr>
      <w:tr>
        <w:trPr>
          <w:trHeight w:val="29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华北地区</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23,823,162</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16.03%</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21,223,722</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15.66%</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12.25%</w:t>
            </w:r>
          </w:p>
        </w:tc>
      </w:tr>
      <w:tr>
        <w:trPr>
          <w:trHeight w:val="29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华东二区</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22,201,155</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14.94%</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21,220,515</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15.66%</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4.62%</w:t>
            </w:r>
          </w:p>
        </w:tc>
      </w:tr>
      <w:tr>
        <w:trPr>
          <w:trHeight w:val="29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华南地区</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16,257,643</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10.94%</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15,185,492</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11.20%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7.06%</w:t>
            </w:r>
          </w:p>
        </w:tc>
      </w:tr>
      <w:tr>
        <w:trPr>
          <w:trHeight w:val="29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西南地区</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14,613,458</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9.84%</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13,406,645</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9.89%</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9.00%</w:t>
            </w:r>
          </w:p>
        </w:tc>
      </w:tr>
      <w:tr>
        <w:trPr>
          <w:trHeight w:val="29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华中地区</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9,382,746</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6.31%</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8,433,372</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6.22%</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11.26%</w:t>
            </w:r>
          </w:p>
        </w:tc>
      </w:tr>
      <w:tr>
        <w:trPr>
          <w:trHeight w:val="29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西北地区</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7,115,356</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4.79%</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6,313,865</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4.66%</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12.69%</w:t>
            </w:r>
          </w:p>
        </w:tc>
      </w:tr>
      <w:tr>
        <w:trPr>
          <w:trHeight w:val="29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东北地区</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6,575,348</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4.43%</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6,488,679</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4.79%</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w:t>
            </w:r>
          </w:p>
        </w:tc>
      </w:tr>
      <w:tr>
        <w:trPr>
          <w:trHeight w:val="29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香港地区</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4,680,261</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3.15%</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7,337,512</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5.41%</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-36.21%</w:t>
            </w:r>
          </w:p>
        </w:tc>
      </w:tr>
      <w:tr>
        <w:trPr>
          <w:trHeight w:val="302"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日本地区</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3,437,451</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2.31%</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4,483,997</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3.31%</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-23.34%</w:t>
            </w:r>
          </w:p>
        </w:tc>
      </w:tr>
    </w:tbl>
    <w:p>
      <w:pPr>
        <w:pStyle w:val="Style32"/>
        <w:keepNext w:val="0"/>
        <w:keepLines w:val="0"/>
        <w:widowControl w:val="0"/>
        <w:shd w:val="clear" w:color="auto" w:fill="auto"/>
        <w:bidi w:val="0"/>
        <w:spacing w:before="0" w:after="0" w:line="469" w:lineRule="exact"/>
        <w:ind w:left="420" w:right="0" w:firstLine="440"/>
        <w:jc w:val="both"/>
        <w:rPr>
          <w:sz w:val="20"/>
          <w:szCs w:val="20"/>
        </w:rPr>
      </w:pPr>
      <w:r>
        <w:rPr>
          <w:color w:val="000000"/>
          <w:spacing w:val="0"/>
          <w:w w:val="100"/>
          <w:position w:val="0"/>
          <w:sz w:val="20"/>
          <w:szCs w:val="20"/>
        </w:rPr>
        <w:t>注</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：报告期内公司向关联方苏宁控股集团有限公司及子公司、苏宁置业集团有限公司及子公司等销 售商品及提供售后服务，实现营业收入</w:t>
      </w:r>
      <w:r>
        <w:rPr>
          <w:rFonts w:ascii="Times New Roman" w:eastAsia="Times New Roman" w:hAnsi="Times New Roman" w:cs="Times New Roman"/>
          <w:color w:val="000000"/>
          <w:spacing w:val="0"/>
          <w:w w:val="100"/>
          <w:position w:val="0"/>
          <w:sz w:val="20"/>
          <w:szCs w:val="20"/>
        </w:rPr>
        <w:t>92,338</w:t>
      </w:r>
      <w:r>
        <w:rPr>
          <w:color w:val="000000"/>
          <w:spacing w:val="0"/>
          <w:w w:val="100"/>
          <w:position w:val="0"/>
          <w:sz w:val="20"/>
          <w:szCs w:val="20"/>
        </w:rPr>
        <w:t>千元，公司与关联方其他收入内容详见“第十一节八关 联方关系及其交易”。</w:t>
      </w:r>
    </w:p>
    <w:p>
      <w:pPr>
        <w:pStyle w:val="Style32"/>
        <w:keepNext w:val="0"/>
        <w:keepLines w:val="0"/>
        <w:widowControl w:val="0"/>
        <w:shd w:val="clear" w:color="auto" w:fill="auto"/>
        <w:bidi w:val="0"/>
        <w:spacing w:before="0" w:after="0" w:line="469" w:lineRule="exact"/>
        <w:ind w:left="0" w:right="0" w:firstLine="840"/>
        <w:jc w:val="both"/>
        <w:rPr>
          <w:sz w:val="20"/>
          <w:szCs w:val="20"/>
        </w:rPr>
      </w:pPr>
      <w:r>
        <w:rPr>
          <w:color w:val="000000"/>
          <w:spacing w:val="0"/>
          <w:w w:val="100"/>
          <w:position w:val="0"/>
          <w:sz w:val="20"/>
          <w:szCs w:val="20"/>
        </w:rPr>
        <w:t>注</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：小家电产品包括厨卫、生活电器以及母婴、百货、日用等品类。</w:t>
      </w:r>
    </w:p>
    <w:p>
      <w:pPr>
        <w:pStyle w:val="Style32"/>
        <w:keepNext w:val="0"/>
        <w:keepLines w:val="0"/>
        <w:widowControl w:val="0"/>
        <w:shd w:val="clear" w:color="auto" w:fill="auto"/>
        <w:bidi w:val="0"/>
        <w:spacing w:before="0" w:after="0" w:line="469" w:lineRule="exact"/>
        <w:ind w:left="420" w:right="0" w:firstLine="440"/>
        <w:jc w:val="both"/>
        <w:rPr>
          <w:sz w:val="20"/>
          <w:szCs w:val="20"/>
        </w:rPr>
      </w:pPr>
      <w:r>
        <w:rPr>
          <w:color w:val="000000"/>
          <w:spacing w:val="0"/>
          <w:w w:val="100"/>
          <w:position w:val="0"/>
          <w:sz w:val="20"/>
          <w:szCs w:val="20"/>
        </w:rPr>
        <w:t>注</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：其他产品收入主要包括开放平台佣金收入以及广告收入、苏宁金融服务业务相关收入、苏宁物 流社会化收入以及商业物业销售收入。</w:t>
      </w:r>
    </w:p>
    <w:p>
      <w:pPr>
        <w:pStyle w:val="Style32"/>
        <w:keepNext w:val="0"/>
        <w:keepLines w:val="0"/>
        <w:widowControl w:val="0"/>
        <w:shd w:val="clear" w:color="auto" w:fill="auto"/>
        <w:bidi w:val="0"/>
        <w:spacing w:before="0" w:after="180" w:line="469" w:lineRule="exact"/>
        <w:ind w:left="0" w:right="0" w:firstLine="840"/>
        <w:jc w:val="both"/>
      </w:pPr>
      <w:r>
        <w:rPr>
          <w:rFonts w:ascii="Arial" w:eastAsia="Arial" w:hAnsi="Arial" w:cs="Arial"/>
          <w:color w:val="000000"/>
          <w:spacing w:val="0"/>
          <w:w w:val="100"/>
          <w:position w:val="0"/>
        </w:rPr>
        <w:t>■</w:t>
      </w:r>
      <w:r>
        <w:rPr>
          <w:color w:val="000000"/>
          <w:spacing w:val="0"/>
          <w:w w:val="100"/>
          <w:position w:val="0"/>
        </w:rPr>
        <w:t>分产品来看</w:t>
      </w:r>
    </w:p>
    <w:p>
      <w:pPr>
        <w:pStyle w:val="Style32"/>
        <w:keepNext w:val="0"/>
        <w:keepLines w:val="0"/>
        <w:widowControl w:val="0"/>
        <w:shd w:val="clear" w:color="auto" w:fill="auto"/>
        <w:bidi w:val="0"/>
        <w:spacing w:before="0" w:after="0" w:line="444" w:lineRule="auto"/>
        <w:ind w:left="0" w:right="0" w:firstLine="840"/>
        <w:jc w:val="both"/>
      </w:pPr>
      <w:r>
        <w:rPr>
          <w:rFonts w:ascii="Arial" w:eastAsia="Arial" w:hAnsi="Arial" w:cs="Arial"/>
          <w:color w:val="000000"/>
          <w:spacing w:val="0"/>
          <w:w w:val="100"/>
          <w:position w:val="0"/>
        </w:rPr>
        <w:t xml:space="preserve">＞ </w:t>
      </w:r>
      <w:r>
        <w:rPr>
          <w:rFonts w:ascii="Times New Roman" w:eastAsia="Times New Roman" w:hAnsi="Times New Roman" w:cs="Times New Roman"/>
          <w:color w:val="000000"/>
          <w:spacing w:val="0"/>
          <w:w w:val="100"/>
          <w:position w:val="0"/>
        </w:rPr>
        <w:t>3C</w:t>
      </w:r>
      <w:r>
        <w:rPr>
          <w:color w:val="000000"/>
          <w:spacing w:val="0"/>
          <w:w w:val="100"/>
          <w:position w:val="0"/>
        </w:rPr>
        <w:t>产品</w:t>
      </w:r>
    </w:p>
    <w:p>
      <w:pPr>
        <w:pStyle w:val="Style32"/>
        <w:keepNext w:val="0"/>
        <w:keepLines w:val="0"/>
        <w:widowControl w:val="0"/>
        <w:shd w:val="clear" w:color="auto" w:fill="auto"/>
        <w:bidi w:val="0"/>
        <w:spacing w:before="0" w:after="0" w:line="469" w:lineRule="exact"/>
        <w:ind w:left="420" w:right="0" w:firstLine="440"/>
        <w:jc w:val="both"/>
      </w:pPr>
      <w:r>
        <w:rPr>
          <w:color w:val="000000"/>
          <w:spacing w:val="0"/>
          <w:w w:val="100"/>
          <w:position w:val="0"/>
        </w:rPr>
        <w:t>通讯、电脑品类标准化程度较高，消费者价格敏感度较高，具有较强的引流效果。公司对标行 业，持续保持在通讯、电脑品类上的较强的市场竞争力，开展新品首销、单品包销、爆款打造等商 品运营方式；突出苏宁</w:t>
      </w:r>
      <w:r>
        <w:rPr>
          <w:rFonts w:ascii="Times New Roman" w:eastAsia="Times New Roman" w:hAnsi="Times New Roman" w:cs="Times New Roman"/>
          <w:color w:val="000000"/>
          <w:spacing w:val="0"/>
          <w:w w:val="100"/>
          <w:position w:val="0"/>
        </w:rPr>
        <w:t>020</w:t>
      </w:r>
      <w:r>
        <w:rPr>
          <w:color w:val="000000"/>
          <w:spacing w:val="0"/>
          <w:w w:val="100"/>
          <w:position w:val="0"/>
        </w:rPr>
        <w:t>渠道优势，实施手机</w:t>
      </w:r>
      <w:r>
        <w:rPr>
          <w:rFonts w:ascii="Times New Roman" w:eastAsia="Times New Roman" w:hAnsi="Times New Roman" w:cs="Times New Roman"/>
          <w:color w:val="000000"/>
          <w:spacing w:val="0"/>
          <w:w w:val="100"/>
          <w:position w:val="0"/>
        </w:rPr>
        <w:t>“</w:t>
      </w:r>
      <w:r>
        <w:rPr>
          <w:color w:val="000000"/>
          <w:spacing w:val="0"/>
          <w:w w:val="100"/>
          <w:position w:val="0"/>
        </w:rPr>
        <w:t>以旧换新</w:t>
      </w:r>
      <w:r>
        <w:rPr>
          <w:rFonts w:ascii="Times New Roman" w:eastAsia="Times New Roman" w:hAnsi="Times New Roman" w:cs="Times New Roman"/>
          <w:color w:val="000000"/>
          <w:spacing w:val="0"/>
          <w:w w:val="100"/>
          <w:position w:val="0"/>
        </w:rPr>
        <w:t>”</w:t>
      </w:r>
      <w:r>
        <w:rPr>
          <w:color w:val="000000"/>
          <w:spacing w:val="0"/>
          <w:w w:val="100"/>
          <w:position w:val="0"/>
        </w:rPr>
        <w:t>业务提升消费体验；抓住促销旺季开展 积极的价格竞争，销售实现较快增长，但毛利水平有所下降。公司继续保持线上渠道的竞争优势， 同时加快线下渠道的建设，推进互联网品牌线下发展，尤其是在三四级市场的发展，保持通讯品类 较快的增长；与此同时，将注重高毛利单品的运营，以提升毛利水平。</w:t>
      </w:r>
    </w:p>
    <w:p>
      <w:pPr>
        <w:pStyle w:val="Style32"/>
        <w:keepNext w:val="0"/>
        <w:keepLines w:val="0"/>
        <w:widowControl w:val="0"/>
        <w:shd w:val="clear" w:color="auto" w:fill="auto"/>
        <w:bidi w:val="0"/>
        <w:spacing w:before="0" w:after="0" w:line="469" w:lineRule="exact"/>
        <w:ind w:left="0" w:right="0" w:firstLine="840"/>
        <w:jc w:val="both"/>
      </w:pPr>
      <w:r>
        <w:rPr>
          <w:rFonts w:ascii="Arial" w:eastAsia="Arial" w:hAnsi="Arial" w:cs="Arial"/>
          <w:color w:val="000000"/>
          <w:spacing w:val="0"/>
          <w:w w:val="100"/>
          <w:position w:val="0"/>
        </w:rPr>
        <w:t>＞</w:t>
      </w:r>
      <w:r>
        <w:rPr>
          <w:color w:val="000000"/>
          <w:spacing w:val="0"/>
          <w:w w:val="100"/>
          <w:position w:val="0"/>
        </w:rPr>
        <w:t>传统家电</w:t>
      </w:r>
    </w:p>
    <w:p>
      <w:pPr>
        <w:pStyle w:val="Style32"/>
        <w:keepNext w:val="0"/>
        <w:keepLines w:val="0"/>
        <w:widowControl w:val="0"/>
        <w:shd w:val="clear" w:color="auto" w:fill="auto"/>
        <w:bidi w:val="0"/>
        <w:spacing w:before="0" w:after="0" w:line="469" w:lineRule="exact"/>
        <w:ind w:left="420" w:right="0" w:firstLine="440"/>
        <w:jc w:val="both"/>
      </w:pPr>
      <w:r>
        <w:rPr>
          <w:color w:val="000000"/>
          <w:spacing w:val="0"/>
          <w:w w:val="100"/>
          <w:position w:val="0"/>
        </w:rPr>
        <w:t>受外部经济影响，家电行业增长动力不足，彩电行业受影响较大，冰洗产品微增，空调产品上 公司加大中央空调的推广力度，并与格力电器开展全面合作，销售实现较快增长。家电产品已经进 入升级换代的时期，智能化、时尚化、健康化产品成为发展趋势。公司将发挥线上线下渠道优势， 有效把握产品升级趋势，加强智能、绿色、品质商品的供应链建设，注重差异化运营，促进家电产 品销售提升毛利改善。</w:t>
      </w:r>
    </w:p>
    <w:p>
      <w:pPr>
        <w:pStyle w:val="Style32"/>
        <w:keepNext w:val="0"/>
        <w:keepLines w:val="0"/>
        <w:widowControl w:val="0"/>
        <w:shd w:val="clear" w:color="auto" w:fill="auto"/>
        <w:bidi w:val="0"/>
        <w:spacing w:before="0" w:after="0" w:line="469" w:lineRule="exact"/>
        <w:ind w:left="0" w:right="0" w:firstLine="840"/>
        <w:jc w:val="both"/>
      </w:pPr>
      <w:r>
        <w:rPr>
          <w:rFonts w:ascii="Arial" w:eastAsia="Arial" w:hAnsi="Arial" w:cs="Arial"/>
          <w:color w:val="000000"/>
          <w:spacing w:val="0"/>
          <w:w w:val="100"/>
          <w:position w:val="0"/>
        </w:rPr>
        <w:t>＞</w:t>
      </w:r>
      <w:r>
        <w:rPr>
          <w:color w:val="000000"/>
          <w:spacing w:val="0"/>
          <w:w w:val="100"/>
          <w:position w:val="0"/>
        </w:rPr>
        <w:t>生活、母婴、百货日用产品</w:t>
      </w:r>
    </w:p>
    <w:p>
      <w:pPr>
        <w:pStyle w:val="Style32"/>
        <w:keepNext w:val="0"/>
        <w:keepLines w:val="0"/>
        <w:widowControl w:val="0"/>
        <w:shd w:val="clear" w:color="auto" w:fill="auto"/>
        <w:bidi w:val="0"/>
        <w:spacing w:before="0" w:after="0" w:line="469" w:lineRule="exact"/>
        <w:ind w:left="420" w:right="0" w:firstLine="440"/>
        <w:jc w:val="both"/>
      </w:pPr>
      <w:r>
        <w:rPr>
          <w:color w:val="000000"/>
          <w:spacing w:val="0"/>
          <w:w w:val="100"/>
          <w:position w:val="0"/>
        </w:rPr>
        <w:t>收入提升带来消费者对健康类、功能型的商品需求增加，报告期内，公司强化小家电品类线下 体验专区的设立，增加新奇特产品的引进，拉动销售。母婴、超市品类公司致力于完善供应链，强 化线上线下专业运营，保持较强的价格竞争力，实现增长。百货日用类商品，公司加强了类目梳理， 采用平台模式运营，自营销售受一定影响，但带来类目运营效率的提升。</w:t>
      </w:r>
    </w:p>
    <w:p>
      <w:pPr>
        <w:pStyle w:val="Style32"/>
        <w:keepNext w:val="0"/>
        <w:keepLines w:val="0"/>
        <w:widowControl w:val="0"/>
        <w:shd w:val="clear" w:color="auto" w:fill="auto"/>
        <w:bidi w:val="0"/>
        <w:spacing w:before="0" w:after="0" w:line="469" w:lineRule="exact"/>
        <w:ind w:left="420" w:right="0" w:firstLine="440"/>
        <w:jc w:val="both"/>
      </w:pPr>
      <w:r>
        <w:rPr>
          <w:color w:val="000000"/>
          <w:spacing w:val="0"/>
          <w:w w:val="100"/>
          <w:position w:val="0"/>
        </w:rPr>
        <w:t>该类产品具有复购率高的特点，公司予以重点培育和发展，建立起专业的供应链管理以及商品 运营能力，是公司保持销售较快增长的动力。</w:t>
      </w:r>
    </w:p>
    <w:p>
      <w:pPr>
        <w:pStyle w:val="Style32"/>
        <w:keepNext w:val="0"/>
        <w:keepLines w:val="0"/>
        <w:widowControl w:val="0"/>
        <w:shd w:val="clear" w:color="auto" w:fill="auto"/>
        <w:bidi w:val="0"/>
        <w:spacing w:before="0" w:after="0" w:line="469" w:lineRule="exact"/>
        <w:ind w:left="0" w:right="0" w:firstLine="840"/>
        <w:jc w:val="both"/>
      </w:pPr>
      <w:r>
        <w:rPr>
          <w:rFonts w:ascii="Arial" w:eastAsia="Arial" w:hAnsi="Arial" w:cs="Arial"/>
          <w:color w:val="000000"/>
          <w:spacing w:val="0"/>
          <w:w w:val="100"/>
          <w:position w:val="0"/>
        </w:rPr>
        <w:t>＞</w:t>
      </w:r>
      <w:r>
        <w:rPr>
          <w:color w:val="000000"/>
          <w:spacing w:val="0"/>
          <w:w w:val="100"/>
          <w:position w:val="0"/>
        </w:rPr>
        <w:t>其他产品</w:t>
      </w:r>
    </w:p>
    <w:p>
      <w:pPr>
        <w:pStyle w:val="Style32"/>
        <w:keepNext w:val="0"/>
        <w:keepLines w:val="0"/>
        <w:widowControl w:val="0"/>
        <w:shd w:val="clear" w:color="auto" w:fill="auto"/>
        <w:bidi w:val="0"/>
        <w:spacing w:before="0" w:after="0" w:line="469" w:lineRule="exact"/>
        <w:ind w:left="420" w:right="0" w:firstLine="440"/>
        <w:jc w:val="both"/>
      </w:pPr>
      <w:r>
        <w:rPr>
          <w:color w:val="000000"/>
          <w:spacing w:val="0"/>
          <w:w w:val="100"/>
          <w:position w:val="0"/>
        </w:rPr>
        <w:t>由于</w:t>
      </w:r>
      <w:r>
        <w:rPr>
          <w:rFonts w:ascii="Times New Roman" w:eastAsia="Times New Roman" w:hAnsi="Times New Roman" w:cs="Times New Roman"/>
          <w:color w:val="000000"/>
          <w:spacing w:val="0"/>
          <w:w w:val="100"/>
          <w:position w:val="0"/>
        </w:rPr>
        <w:t>2015</w:t>
      </w:r>
      <w:r>
        <w:rPr>
          <w:color w:val="000000"/>
          <w:spacing w:val="0"/>
          <w:w w:val="100"/>
          <w:position w:val="0"/>
        </w:rPr>
        <w:t>年公司确认了部分较多自建配套物业的销售收入，以及剥离</w:t>
      </w:r>
      <w:r>
        <w:rPr>
          <w:rFonts w:ascii="Times New Roman" w:eastAsia="Times New Roman" w:hAnsi="Times New Roman" w:cs="Times New Roman"/>
          <w:color w:val="000000"/>
          <w:spacing w:val="0"/>
          <w:w w:val="100"/>
          <w:position w:val="0"/>
        </w:rPr>
        <w:t>PPTV</w:t>
      </w:r>
      <w:r>
        <w:rPr>
          <w:color w:val="000000"/>
          <w:spacing w:val="0"/>
          <w:w w:val="100"/>
          <w:position w:val="0"/>
        </w:rPr>
        <w:t xml:space="preserve">的影响，使得公司 其他产品收入较去年同期有所下降。但与此同时，报告期内，公司苏宁易购开放平台商户规模增加， </w:t>
      </w:r>
      <w:r>
        <w:rPr>
          <w:color w:val="000000"/>
          <w:spacing w:val="0"/>
          <w:w w:val="100"/>
          <w:position w:val="0"/>
        </w:rPr>
        <w:t>平台运营能力增强，佣金收入以及广告收入增加；公司金融、物流业务发展迅速，带来供应链融资 业务、理财业务等金融服务业务收入以及物流社会化运作收入相应增加。报告期内，苏宁易购开放 平台相关收入、金融业务收入以及物流社会化收入合计较去年同比增长</w:t>
      </w:r>
      <w:r>
        <w:rPr>
          <w:rFonts w:ascii="Times New Roman" w:eastAsia="Times New Roman" w:hAnsi="Times New Roman" w:cs="Times New Roman"/>
          <w:color w:val="000000"/>
          <w:spacing w:val="0"/>
          <w:w w:val="100"/>
          <w:position w:val="0"/>
        </w:rPr>
        <w:t>109.97%</w:t>
      </w:r>
      <w:r>
        <w:rPr>
          <w:color w:val="000000"/>
          <w:spacing w:val="0"/>
          <w:w w:val="100"/>
          <w:position w:val="0"/>
        </w:rPr>
        <w:t>。</w:t>
      </w:r>
    </w:p>
    <w:p>
      <w:pPr>
        <w:pStyle w:val="Style32"/>
        <w:keepNext w:val="0"/>
        <w:keepLines w:val="0"/>
        <w:widowControl w:val="0"/>
        <w:shd w:val="clear" w:color="auto" w:fill="auto"/>
        <w:bidi w:val="0"/>
        <w:spacing w:before="0" w:after="220" w:line="469" w:lineRule="exact"/>
        <w:ind w:left="420" w:right="0" w:firstLine="440"/>
        <w:jc w:val="left"/>
      </w:pPr>
      <w:r>
        <w:rPr>
          <w:color w:val="000000"/>
          <w:spacing w:val="0"/>
          <w:w w:val="100"/>
          <w:position w:val="0"/>
        </w:rPr>
        <w:t>公司在平台建设、金融、物流方面一直在进行持续的投入，随着平台规模以及运营能力的提升, 企业核心资源逐步对外开放，有效实现货币化，成为公司利润的主要增长点。</w:t>
      </w:r>
    </w:p>
    <w:p>
      <w:pPr>
        <w:pStyle w:val="Style32"/>
        <w:keepNext w:val="0"/>
        <w:keepLines w:val="0"/>
        <w:widowControl w:val="0"/>
        <w:shd w:val="clear" w:color="auto" w:fill="auto"/>
        <w:bidi w:val="0"/>
        <w:spacing w:before="0" w:after="0"/>
        <w:ind w:left="0" w:right="0" w:firstLine="860"/>
        <w:jc w:val="left"/>
      </w:pPr>
      <w:r>
        <w:rPr>
          <w:rFonts w:ascii="Arial" w:eastAsia="Arial" w:hAnsi="Arial" w:cs="Arial"/>
          <w:color w:val="000000"/>
          <w:spacing w:val="0"/>
          <w:w w:val="100"/>
          <w:position w:val="0"/>
        </w:rPr>
        <w:t>■</w:t>
      </w:r>
      <w:r>
        <w:rPr>
          <w:color w:val="000000"/>
          <w:spacing w:val="0"/>
          <w:w w:val="100"/>
          <w:position w:val="0"/>
        </w:rPr>
        <w:t>分地区来看</w:t>
      </w:r>
    </w:p>
    <w:p>
      <w:pPr>
        <w:pStyle w:val="Style32"/>
        <w:keepNext w:val="0"/>
        <w:keepLines w:val="0"/>
        <w:widowControl w:val="0"/>
        <w:shd w:val="clear" w:color="auto" w:fill="auto"/>
        <w:bidi w:val="0"/>
        <w:spacing w:before="0" w:after="0" w:line="469" w:lineRule="exact"/>
        <w:ind w:left="420" w:right="0" w:firstLine="440"/>
        <w:jc w:val="both"/>
      </w:pPr>
      <w:r>
        <w:rPr>
          <w:color w:val="000000"/>
          <w:spacing w:val="0"/>
          <w:w w:val="100"/>
          <w:position w:val="0"/>
        </w:rPr>
        <w:t>公司在香港地区零售连锁业务实现稳定发展，由于报告期公司苹果产品代理批发业务下降，带 来报告期内香港地区销售出现下滑，公司将积极拓展其他业务促进销售增长。</w:t>
      </w:r>
    </w:p>
    <w:p>
      <w:pPr>
        <w:pStyle w:val="Style32"/>
        <w:keepNext w:val="0"/>
        <w:keepLines w:val="0"/>
        <w:widowControl w:val="0"/>
        <w:shd w:val="clear" w:color="auto" w:fill="auto"/>
        <w:bidi w:val="0"/>
        <w:spacing w:before="0" w:after="0" w:line="469" w:lineRule="exact"/>
        <w:ind w:left="420" w:right="0" w:firstLine="440"/>
        <w:jc w:val="both"/>
      </w:pPr>
      <w:r>
        <w:rPr>
          <w:color w:val="000000"/>
          <w:spacing w:val="0"/>
          <w:w w:val="100"/>
          <w:position w:val="0"/>
        </w:rPr>
        <w:t>日本地区由于报告期内受日元汇率升值影响，访日游客购买意愿有一定下降。消费者需求从高 单价电器产品转向药妆、食品、家居生活类等较低单价产品，产品结构发生变化，虽然商品销售数 量增长较快，但销售同比有一定下滑。公司将调整优化商品结构以更加符合用户购买需求，随着该 类商品销售进一步提升，对销售应有提升。</w:t>
      </w:r>
    </w:p>
    <w:p>
      <w:pPr>
        <w:pStyle w:val="Style32"/>
        <w:keepNext w:val="0"/>
        <w:keepLines w:val="0"/>
        <w:widowControl w:val="0"/>
        <w:shd w:val="clear" w:color="auto" w:fill="auto"/>
        <w:bidi w:val="0"/>
        <w:spacing w:before="0" w:after="220" w:line="469" w:lineRule="exact"/>
        <w:ind w:left="420" w:right="0" w:firstLine="440"/>
        <w:jc w:val="both"/>
      </w:pPr>
      <w:r>
        <w:rPr>
          <w:color w:val="000000"/>
          <w:spacing w:val="0"/>
          <w:w w:val="100"/>
          <w:position w:val="0"/>
        </w:rPr>
        <w:t>此外，</w:t>
      </w:r>
      <w:r>
        <w:rPr>
          <w:rFonts w:ascii="Times New Roman" w:eastAsia="Times New Roman" w:hAnsi="Times New Roman" w:cs="Times New Roman"/>
          <w:color w:val="000000"/>
          <w:spacing w:val="0"/>
          <w:w w:val="100"/>
          <w:position w:val="0"/>
        </w:rPr>
        <w:t>2016</w:t>
      </w:r>
      <w:r>
        <w:rPr>
          <w:color w:val="000000"/>
          <w:spacing w:val="0"/>
          <w:w w:val="100"/>
          <w:position w:val="0"/>
        </w:rPr>
        <w:t>年公司成立苏宁国际总部，整合公司海外渠道资源，完善海外商品供应链、物流体 系的建设，为消费者提供海量优质商品选择以及便捷服务。</w:t>
      </w:r>
    </w:p>
    <w:p>
      <w:pPr>
        <w:pStyle w:val="Style38"/>
        <w:keepNext/>
        <w:keepLines/>
        <w:widowControl w:val="0"/>
        <w:shd w:val="clear" w:color="auto" w:fill="auto"/>
        <w:bidi w:val="0"/>
        <w:spacing w:before="0" w:after="220" w:line="469" w:lineRule="exact"/>
        <w:ind w:left="0" w:right="0"/>
        <w:jc w:val="left"/>
      </w:pPr>
      <w:bookmarkStart w:id="113" w:name="bookmark113"/>
      <w:bookmarkStart w:id="114" w:name="bookmark114"/>
      <w:bookmarkStart w:id="115" w:name="bookmark115"/>
      <w:bookmarkStart w:id="116" w:name="bookmark116"/>
      <w:r>
        <w:rPr>
          <w:color w:val="000000"/>
          <w:spacing w:val="0"/>
          <w:w w:val="100"/>
          <w:position w:val="0"/>
        </w:rPr>
        <w:t>（</w:t>
      </w:r>
      <w:bookmarkEnd w:id="115"/>
      <w:r>
        <w:rPr>
          <w:rFonts w:ascii="Times New Roman" w:eastAsia="Times New Roman" w:hAnsi="Times New Roman" w:cs="Times New Roman"/>
          <w:color w:val="000000"/>
          <w:spacing w:val="0"/>
          <w:w w:val="100"/>
          <w:position w:val="0"/>
        </w:rPr>
        <w:t>2</w:t>
      </w:r>
      <w:r>
        <w:rPr>
          <w:color w:val="000000"/>
          <w:spacing w:val="0"/>
          <w:w w:val="100"/>
          <w:position w:val="0"/>
        </w:rPr>
        <w:t>）占公司营业收入</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以上的行业、产品或地区情况</w:t>
      </w:r>
      <w:bookmarkEnd w:id="113"/>
      <w:bookmarkEnd w:id="114"/>
      <w:bookmarkEnd w:id="116"/>
    </w:p>
    <w:p>
      <w:pPr>
        <w:pStyle w:val="Style32"/>
        <w:keepNext w:val="0"/>
        <w:keepLines w:val="0"/>
        <w:widowControl w:val="0"/>
        <w:shd w:val="clear" w:color="auto" w:fill="auto"/>
        <w:bidi w:val="0"/>
        <w:spacing w:before="0" w:after="0" w:line="469" w:lineRule="exact"/>
        <w:ind w:left="0" w:right="0" w:firstLine="860"/>
        <w:jc w:val="left"/>
      </w:pPr>
      <w:r>
        <w:rPr>
          <w:color w:val="000000"/>
          <w:spacing w:val="0"/>
          <w:w w:val="100"/>
          <w:position w:val="0"/>
        </w:rPr>
        <w:t>公司是否需要遵守特殊行业的披露要求</w:t>
      </w:r>
    </w:p>
    <w:p>
      <w:pPr>
        <w:pStyle w:val="Style32"/>
        <w:keepNext w:val="0"/>
        <w:keepLines w:val="0"/>
        <w:widowControl w:val="0"/>
        <w:shd w:val="clear" w:color="auto" w:fill="auto"/>
        <w:bidi w:val="0"/>
        <w:spacing w:before="0" w:after="120" w:line="469" w:lineRule="exact"/>
        <w:ind w:left="0" w:right="0" w:firstLine="860"/>
        <w:jc w:val="left"/>
      </w:pPr>
      <w:r>
        <w:rPr>
          <w:color w:val="000000"/>
          <w:spacing w:val="0"/>
          <w:w w:val="100"/>
          <w:position w:val="0"/>
        </w:rPr>
        <w:t>否</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单位：千元</w:t>
      </w:r>
    </w:p>
    <w:tbl>
      <w:tblPr>
        <w:tblOverlap w:val="never"/>
        <w:jc w:val="center"/>
        <w:tblLayout w:type="fixed"/>
      </w:tblPr>
      <w:tblGrid>
        <w:gridCol w:w="1848"/>
        <w:gridCol w:w="1277"/>
        <w:gridCol w:w="1277"/>
        <w:gridCol w:w="850"/>
        <w:gridCol w:w="1416"/>
        <w:gridCol w:w="1541"/>
        <w:gridCol w:w="1373"/>
      </w:tblGrid>
      <w:tr>
        <w:trPr>
          <w:trHeight w:val="586"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毛利率</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98" w:lineRule="exact"/>
              <w:ind w:left="0" w:right="0" w:firstLine="0"/>
              <w:jc w:val="center"/>
            </w:pPr>
            <w:r>
              <w:rPr>
                <w:color w:val="000000"/>
                <w:spacing w:val="0"/>
                <w:w w:val="100"/>
                <w:position w:val="0"/>
              </w:rPr>
              <w:t>营业收入比上 年同期增减</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93" w:lineRule="exact"/>
              <w:ind w:left="0" w:right="0" w:firstLine="0"/>
              <w:jc w:val="center"/>
            </w:pPr>
            <w:r>
              <w:rPr>
                <w:color w:val="000000"/>
                <w:spacing w:val="0"/>
                <w:w w:val="100"/>
                <w:position w:val="0"/>
              </w:rPr>
              <w:t>营业成本比上 年同期增减</w:t>
            </w:r>
          </w:p>
        </w:tc>
        <w:tc>
          <w:tcPr>
            <w:tcBorders>
              <w:top w:val="single" w:sz="4"/>
              <w:left w:val="single" w:sz="4"/>
              <w:right w:val="single" w:sz="4"/>
            </w:tcBorders>
            <w:shd w:val="clear" w:color="auto" w:fill="D3D3D3"/>
            <w:vAlign w:val="top"/>
          </w:tcPr>
          <w:p>
            <w:pPr>
              <w:pStyle w:val="Style28"/>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毛利率比上 年同期增减</w:t>
            </w:r>
          </w:p>
        </w:tc>
      </w:tr>
      <w:tr>
        <w:trPr>
          <w:trHeight w:val="298" w:hRule="exact"/>
        </w:trPr>
        <w:tc>
          <w:tcPr>
            <w:gridSpan w:val="7"/>
            <w:tcBorders>
              <w:top w:val="single" w:sz="4"/>
              <w:left w:val="single" w:sz="4"/>
              <w:righ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29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零售业</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146,452,656</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126,844,733</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13.39%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9.78%</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-0.31%</w:t>
            </w:r>
          </w:p>
        </w:tc>
      </w:tr>
      <w:tr>
        <w:trPr>
          <w:trHeight w:val="298" w:hRule="exact"/>
        </w:trPr>
        <w:tc>
          <w:tcPr>
            <w:gridSpan w:val="7"/>
            <w:tcBorders>
              <w:top w:val="single" w:sz="4"/>
              <w:left w:val="single" w:sz="4"/>
              <w:righ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29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通讯产品</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34,215,054</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31,806,849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7.04%</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26.53%</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27.70%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-0.85%</w:t>
            </w:r>
          </w:p>
        </w:tc>
      </w:tr>
      <w:tr>
        <w:trPr>
          <w:trHeight w:val="2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小家电产品</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25,682,282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21,002,160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18.22%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12.00%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12.36%</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-0.26%</w:t>
            </w:r>
          </w:p>
        </w:tc>
      </w:tr>
      <w:tr>
        <w:trPr>
          <w:trHeight w:val="29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数码及</w:t>
            </w:r>
            <w:r>
              <w:rPr>
                <w:rFonts w:ascii="Times New Roman" w:eastAsia="Times New Roman" w:hAnsi="Times New Roman" w:cs="Times New Roman"/>
                <w:color w:val="000000"/>
                <w:spacing w:val="0"/>
                <w:w w:val="100"/>
                <w:position w:val="0"/>
              </w:rPr>
              <w:t>IT</w:t>
            </w:r>
            <w:r>
              <w:rPr>
                <w:color w:val="000000"/>
                <w:spacing w:val="0"/>
                <w:w w:val="100"/>
                <w:position w:val="0"/>
              </w:rPr>
              <w:t>产品</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24,137,879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23,179,304</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3.97%</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10.16%</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-0.75%</w:t>
            </w:r>
          </w:p>
        </w:tc>
      </w:tr>
      <w:tr>
        <w:trPr>
          <w:trHeight w:val="2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冰箱、洗衣机</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22,209,541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18,273,256</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17.72%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2.84%</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-0.21%</w:t>
            </w:r>
          </w:p>
        </w:tc>
      </w:tr>
      <w:tr>
        <w:trPr>
          <w:trHeight w:val="29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彩电、音像、碟机</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21,480,391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17,848,667</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16.91%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-6.45%</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-0.83%</w:t>
            </w:r>
          </w:p>
        </w:tc>
      </w:tr>
      <w:tr>
        <w:trPr>
          <w:trHeight w:val="2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空调器产品</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15,898,866</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13,357,544</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15.98%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21.99%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22.57%</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-0.41%</w:t>
            </w:r>
          </w:p>
        </w:tc>
      </w:tr>
      <w:tr>
        <w:trPr>
          <w:trHeight w:val="293" w:hRule="exact"/>
        </w:trPr>
        <w:tc>
          <w:tcPr>
            <w:gridSpan w:val="7"/>
            <w:tcBorders>
              <w:top w:val="single" w:sz="4"/>
              <w:left w:val="single" w:sz="4"/>
              <w:righ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29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华东一区</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38,366,076</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33,428,261</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12.87%</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28.74%</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29.22%</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-0.32%</w:t>
            </w:r>
          </w:p>
        </w:tc>
      </w:tr>
      <w:tr>
        <w:trPr>
          <w:trHeight w:val="29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华北地区</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23,823,162</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21,191,482</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11.05%</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12.25%</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14.08%</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-1.43%</w:t>
            </w:r>
          </w:p>
        </w:tc>
      </w:tr>
      <w:tr>
        <w:trPr>
          <w:trHeight w:val="29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华东二区</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22,201,155</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19,428,188</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12.49%</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4.62%</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4.38%</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0.20%</w:t>
            </w:r>
          </w:p>
        </w:tc>
      </w:tr>
      <w:tr>
        <w:trPr>
          <w:trHeight w:val="298"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华南地区</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16,257,643</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14,055,002</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13.55%</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7.06%</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8.31%</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-0.99%</w:t>
            </w:r>
          </w:p>
        </w:tc>
      </w:tr>
    </w:tbl>
    <w:p>
      <w:pPr>
        <w:spacing w:lineRule="exact" w:line="1"/>
        <w:rPr>
          <w:sz w:val="2"/>
          <w:szCs w:val="2"/>
        </w:rPr>
      </w:pPr>
      <w:r>
        <w:br w:type="page"/>
      </w:r>
    </w:p>
    <w:p>
      <w:pPr>
        <w:pStyle w:val="Style32"/>
        <w:keepNext w:val="0"/>
        <w:keepLines w:val="0"/>
        <w:widowControl w:val="0"/>
        <w:shd w:val="clear" w:color="auto" w:fill="auto"/>
        <w:bidi w:val="0"/>
        <w:spacing w:before="0" w:after="180" w:line="240" w:lineRule="auto"/>
        <w:ind w:left="0" w:right="0" w:firstLine="86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rPr>
        <w:t>1</w:t>
      </w:r>
      <w:r>
        <w:rPr>
          <w:color w:val="000000"/>
          <w:spacing w:val="0"/>
          <w:w w:val="100"/>
          <w:position w:val="0"/>
        </w:rPr>
        <w:t>年按报告期末口径调整后</w:t>
      </w:r>
    </w:p>
    <w:p>
      <w:pPr>
        <w:pStyle w:val="Style32"/>
        <w:keepNext w:val="0"/>
        <w:keepLines w:val="0"/>
        <w:widowControl w:val="0"/>
        <w:shd w:val="clear" w:color="auto" w:fill="auto"/>
        <w:bidi w:val="0"/>
        <w:spacing w:before="0" w:after="180" w:line="240" w:lineRule="auto"/>
        <w:ind w:left="0" w:right="0" w:firstLine="420"/>
        <w:jc w:val="left"/>
      </w:pPr>
      <w:r>
        <w:rPr>
          <w:color w:val="000000"/>
          <w:spacing w:val="0"/>
          <w:w w:val="100"/>
          <w:position w:val="0"/>
        </w:rPr>
        <w:t>的主营业务数据</w:t>
      </w:r>
    </w:p>
    <w:p>
      <w:pPr>
        <w:pStyle w:val="Style32"/>
        <w:keepNext w:val="0"/>
        <w:keepLines w:val="0"/>
        <w:widowControl w:val="0"/>
        <w:shd w:val="clear" w:color="auto" w:fill="auto"/>
        <w:bidi w:val="0"/>
        <w:spacing w:before="0" w:after="400" w:line="240" w:lineRule="auto"/>
        <w:ind w:left="0" w:right="0" w:firstLine="86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5"/>
        <w:keepNext w:val="0"/>
        <w:keepLines w:val="0"/>
        <w:widowControl w:val="0"/>
        <w:shd w:val="clear" w:color="auto" w:fill="auto"/>
        <w:bidi w:val="0"/>
        <w:spacing w:before="0" w:after="0" w:line="240" w:lineRule="auto"/>
        <w:ind w:left="101" w:right="0" w:firstLine="0"/>
        <w:jc w:val="left"/>
      </w:pPr>
      <w:r>
        <w:rPr>
          <w:rFonts w:ascii="Times New Roman" w:eastAsia="Times New Roman" w:hAnsi="Times New Roman" w:cs="Times New Roman"/>
          <w:b/>
          <w:bCs/>
          <w:color w:val="000000"/>
          <w:spacing w:val="0"/>
          <w:w w:val="100"/>
          <w:position w:val="0"/>
        </w:rPr>
        <w:t>(3</w:t>
      </w:r>
      <w:r>
        <w:rPr>
          <w:b/>
          <w:bCs/>
          <w:color w:val="000000"/>
          <w:spacing w:val="0"/>
          <w:w w:val="100"/>
          <w:position w:val="0"/>
        </w:rPr>
        <w:t>)公司实物销售收入是否大于劳务收入</w:t>
      </w:r>
    </w:p>
    <w:tbl>
      <w:tblPr>
        <w:tblOverlap w:val="never"/>
        <w:jc w:val="center"/>
        <w:tblLayout w:type="fixed"/>
      </w:tblPr>
      <w:tblGrid>
        <w:gridCol w:w="1603"/>
        <w:gridCol w:w="1594"/>
        <w:gridCol w:w="1594"/>
        <w:gridCol w:w="1594"/>
        <w:gridCol w:w="1594"/>
        <w:gridCol w:w="1598"/>
      </w:tblGrid>
      <w:tr>
        <w:trPr>
          <w:trHeight w:val="298"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行业分类</w:t>
            </w:r>
          </w:p>
        </w:tc>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p>
        </w:tc>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p>
        </w:tc>
        <w:tc>
          <w:tcPr>
            <w:tcBorders>
              <w:top w:val="single" w:sz="4"/>
              <w:left w:val="single" w:sz="4"/>
              <w:righ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340"/>
              <w:jc w:val="left"/>
            </w:pPr>
            <w:r>
              <w:rPr>
                <w:color w:val="000000"/>
                <w:spacing w:val="0"/>
                <w:w w:val="100"/>
                <w:position w:val="0"/>
              </w:rPr>
              <w:t>同比增减</w:t>
            </w:r>
          </w:p>
        </w:tc>
      </w:tr>
      <w:tr>
        <w:trPr>
          <w:trHeight w:val="302" w:hRule="exact"/>
        </w:trPr>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零售业</w:t>
            </w:r>
          </w:p>
        </w:tc>
        <w:tc>
          <w:tcPr>
            <w:tcBorders>
              <w:top w:val="single" w:sz="4"/>
              <w:left w:val="single" w:sz="4"/>
              <w:bottom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销售量</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千元</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146,452,656</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133,894,034</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9.38%</w:t>
            </w:r>
          </w:p>
        </w:tc>
      </w:tr>
    </w:tbl>
    <w:p>
      <w:pPr>
        <w:widowControl w:val="0"/>
        <w:spacing w:after="239" w:line="1" w:lineRule="exact"/>
      </w:pPr>
    </w:p>
    <w:p>
      <w:pPr>
        <w:pStyle w:val="Style32"/>
        <w:keepNext w:val="0"/>
        <w:keepLines w:val="0"/>
        <w:widowControl w:val="0"/>
        <w:shd w:val="clear" w:color="auto" w:fill="auto"/>
        <w:bidi w:val="0"/>
        <w:spacing w:before="0" w:after="180" w:line="240" w:lineRule="auto"/>
        <w:ind w:left="0" w:right="0" w:firstLine="860"/>
        <w:jc w:val="left"/>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rPr>
        <w:t>30%</w:t>
      </w:r>
      <w:r>
        <w:rPr>
          <w:color w:val="000000"/>
          <w:spacing w:val="0"/>
          <w:w w:val="100"/>
          <w:position w:val="0"/>
        </w:rPr>
        <w:t>以上的原因说明</w:t>
      </w:r>
    </w:p>
    <w:p>
      <w:pPr>
        <w:pStyle w:val="Style32"/>
        <w:keepNext w:val="0"/>
        <w:keepLines w:val="0"/>
        <w:widowControl w:val="0"/>
        <w:shd w:val="clear" w:color="auto" w:fill="auto"/>
        <w:bidi w:val="0"/>
        <w:spacing w:before="0" w:after="400" w:line="240" w:lineRule="auto"/>
        <w:ind w:left="0" w:right="0" w:firstLine="86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8"/>
        <w:keepNext/>
        <w:keepLines/>
        <w:widowControl w:val="0"/>
        <w:numPr>
          <w:ilvl w:val="0"/>
          <w:numId w:val="1"/>
        </w:numPr>
        <w:shd w:val="clear" w:color="auto" w:fill="auto"/>
        <w:tabs>
          <w:tab w:pos="1042" w:val="left"/>
        </w:tabs>
        <w:bidi w:val="0"/>
        <w:spacing w:before="0" w:after="400" w:line="240" w:lineRule="auto"/>
        <w:ind w:left="0" w:right="0" w:firstLine="540"/>
        <w:jc w:val="left"/>
      </w:pPr>
      <w:bookmarkStart w:id="117" w:name="bookmark117"/>
      <w:bookmarkStart w:id="118" w:name="bookmark118"/>
      <w:bookmarkStart w:id="119" w:name="bookmark119"/>
      <w:bookmarkStart w:id="120" w:name="bookmark120"/>
      <w:bookmarkEnd w:id="119"/>
      <w:r>
        <w:rPr>
          <w:color w:val="000000"/>
          <w:spacing w:val="0"/>
          <w:w w:val="100"/>
          <w:position w:val="0"/>
        </w:rPr>
        <w:t>公司已签订的重大销售合同截至本报告期的履行情况</w:t>
      </w:r>
      <w:bookmarkEnd w:id="117"/>
      <w:bookmarkEnd w:id="118"/>
      <w:bookmarkEnd w:id="120"/>
    </w:p>
    <w:p>
      <w:pPr>
        <w:pStyle w:val="Style32"/>
        <w:keepNext w:val="0"/>
        <w:keepLines w:val="0"/>
        <w:widowControl w:val="0"/>
        <w:shd w:val="clear" w:color="auto" w:fill="auto"/>
        <w:bidi w:val="0"/>
        <w:spacing w:before="0" w:after="400" w:line="240" w:lineRule="auto"/>
        <w:ind w:left="0" w:right="0" w:firstLine="86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8"/>
        <w:keepNext/>
        <w:keepLines/>
        <w:widowControl w:val="0"/>
        <w:numPr>
          <w:ilvl w:val="0"/>
          <w:numId w:val="1"/>
        </w:numPr>
        <w:shd w:val="clear" w:color="auto" w:fill="auto"/>
        <w:tabs>
          <w:tab w:pos="1042" w:val="left"/>
        </w:tabs>
        <w:bidi w:val="0"/>
        <w:spacing w:before="0" w:after="400" w:line="240" w:lineRule="auto"/>
        <w:ind w:left="0" w:right="0" w:firstLine="540"/>
        <w:jc w:val="left"/>
      </w:pPr>
      <w:bookmarkStart w:id="121" w:name="bookmark121"/>
      <w:bookmarkStart w:id="122" w:name="bookmark122"/>
      <w:bookmarkStart w:id="123" w:name="bookmark123"/>
      <w:bookmarkStart w:id="124" w:name="bookmark124"/>
      <w:bookmarkEnd w:id="123"/>
      <w:r>
        <w:rPr>
          <w:color w:val="000000"/>
          <w:spacing w:val="0"/>
          <w:w w:val="100"/>
          <w:position w:val="0"/>
        </w:rPr>
        <w:t>营业成本构成</w:t>
      </w:r>
      <w:bookmarkEnd w:id="121"/>
      <w:bookmarkEnd w:id="122"/>
      <w:bookmarkEnd w:id="124"/>
    </w:p>
    <w:p>
      <w:pPr>
        <w:pStyle w:val="Style32"/>
        <w:keepNext w:val="0"/>
        <w:keepLines w:val="0"/>
        <w:widowControl w:val="0"/>
        <w:shd w:val="clear" w:color="auto" w:fill="auto"/>
        <w:bidi w:val="0"/>
        <w:spacing w:before="0" w:after="120" w:line="240" w:lineRule="auto"/>
        <w:ind w:left="0" w:right="0" w:firstLine="860"/>
        <w:jc w:val="left"/>
      </w:pPr>
      <w:r>
        <w:rPr>
          <w:color w:val="000000"/>
          <w:spacing w:val="0"/>
          <w:w w:val="100"/>
          <w:position w:val="0"/>
        </w:rPr>
        <w:t>行业和产品分类</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单位：千元</w:t>
      </w:r>
    </w:p>
    <w:tbl>
      <w:tblPr>
        <w:tblOverlap w:val="never"/>
        <w:jc w:val="center"/>
        <w:tblLayout w:type="fixed"/>
      </w:tblPr>
      <w:tblGrid>
        <w:gridCol w:w="1992"/>
        <w:gridCol w:w="566"/>
        <w:gridCol w:w="1277"/>
        <w:gridCol w:w="1843"/>
        <w:gridCol w:w="1272"/>
        <w:gridCol w:w="1699"/>
        <w:gridCol w:w="931"/>
      </w:tblGrid>
      <w:tr>
        <w:trPr>
          <w:trHeight w:val="302" w:hRule="exact"/>
        </w:trPr>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540"/>
              <w:jc w:val="left"/>
            </w:pPr>
            <w:r>
              <w:rPr>
                <w:color w:val="000000"/>
                <w:spacing w:val="0"/>
                <w:w w:val="100"/>
                <w:position w:val="0"/>
              </w:rPr>
              <w:t>行业分类</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gridSpan w:val="2"/>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gridSpan w:val="2"/>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p>
        </w:tc>
        <w:tc>
          <w:tcPr>
            <w:vMerge w:val="restart"/>
            <w:tcBorders>
              <w:top w:val="single" w:sz="4"/>
              <w:left w:val="single" w:sz="4"/>
              <w:right w:val="single" w:sz="4"/>
            </w:tcBorders>
            <w:shd w:val="clear" w:color="auto" w:fill="D3D3D3"/>
            <w:vAlign w:val="bottom"/>
          </w:tcPr>
          <w:p>
            <w:pPr>
              <w:pStyle w:val="Style28"/>
              <w:keepNext w:val="0"/>
              <w:keepLines w:val="0"/>
              <w:widowControl w:val="0"/>
              <w:shd w:val="clear" w:color="auto" w:fill="auto"/>
              <w:bidi w:val="0"/>
              <w:spacing w:before="0" w:after="0" w:line="288" w:lineRule="exact"/>
              <w:ind w:left="0" w:right="0" w:firstLine="0"/>
              <w:jc w:val="center"/>
            </w:pPr>
            <w:r>
              <w:rPr>
                <w:color w:val="000000"/>
                <w:spacing w:val="0"/>
                <w:w w:val="100"/>
                <w:position w:val="0"/>
              </w:rPr>
              <w:t>同比 增减</w:t>
            </w:r>
          </w:p>
        </w:tc>
      </w:tr>
      <w:tr>
        <w:trPr>
          <w:trHeight w:val="29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140" w:firstLine="0"/>
              <w:jc w:val="right"/>
            </w:pPr>
            <w:r>
              <w:rPr>
                <w:color w:val="000000"/>
                <w:spacing w:val="0"/>
                <w:w w:val="100"/>
                <w:position w:val="0"/>
              </w:rPr>
              <w:t>占营业成本比重</w:t>
            </w:r>
          </w:p>
        </w:tc>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vMerge/>
            <w:tcBorders>
              <w:left w:val="single" w:sz="4"/>
              <w:right w:val="single" w:sz="4"/>
            </w:tcBorders>
            <w:shd w:val="clear" w:color="auto" w:fill="D3D3D3"/>
            <w:vAlign w:val="bottom"/>
          </w:tcPr>
          <w:p>
            <w:pPr/>
          </w:p>
        </w:tc>
      </w:tr>
      <w:tr>
        <w:trPr>
          <w:trHeight w:val="2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零售业</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126,844,733</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99.68%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115,548,378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99.63%</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9.78%</w:t>
            </w:r>
          </w:p>
        </w:tc>
      </w:tr>
      <w:tr>
        <w:trPr>
          <w:trHeight w:val="298"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其他业务成本</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402,808</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0.32%</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432,804</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0.37%</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-6.93%</w:t>
            </w:r>
          </w:p>
        </w:tc>
      </w:tr>
    </w:tbl>
    <w:p>
      <w:pPr>
        <w:widowControl w:val="0"/>
        <w:spacing w:after="319" w:line="1" w:lineRule="exact"/>
      </w:pP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单位：千元</w:t>
      </w:r>
    </w:p>
    <w:tbl>
      <w:tblPr>
        <w:tblOverlap w:val="never"/>
        <w:jc w:val="center"/>
        <w:tblLayout w:type="fixed"/>
      </w:tblPr>
      <w:tblGrid>
        <w:gridCol w:w="1992"/>
        <w:gridCol w:w="566"/>
        <w:gridCol w:w="1277"/>
        <w:gridCol w:w="1843"/>
        <w:gridCol w:w="1272"/>
        <w:gridCol w:w="1699"/>
        <w:gridCol w:w="936"/>
      </w:tblGrid>
      <w:tr>
        <w:trPr>
          <w:trHeight w:val="302" w:hRule="exact"/>
        </w:trPr>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540"/>
              <w:jc w:val="left"/>
            </w:pPr>
            <w:r>
              <w:rPr>
                <w:color w:val="000000"/>
                <w:spacing w:val="0"/>
                <w:w w:val="100"/>
                <w:position w:val="0"/>
              </w:rPr>
              <w:t>产品分类</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gridSpan w:val="2"/>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gridSpan w:val="2"/>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p>
        </w:tc>
        <w:tc>
          <w:tcPr>
            <w:vMerge w:val="restart"/>
            <w:tcBorders>
              <w:top w:val="single" w:sz="4"/>
              <w:left w:val="single" w:sz="4"/>
              <w:right w:val="single" w:sz="4"/>
            </w:tcBorders>
            <w:shd w:val="clear" w:color="auto" w:fill="D3D3D3"/>
            <w:vAlign w:val="bottom"/>
          </w:tcPr>
          <w:p>
            <w:pPr>
              <w:pStyle w:val="Style28"/>
              <w:keepNext w:val="0"/>
              <w:keepLines w:val="0"/>
              <w:widowControl w:val="0"/>
              <w:shd w:val="clear" w:color="auto" w:fill="auto"/>
              <w:bidi w:val="0"/>
              <w:spacing w:before="0" w:after="0" w:line="288" w:lineRule="exact"/>
              <w:ind w:left="0" w:right="0" w:firstLine="0"/>
              <w:jc w:val="center"/>
            </w:pPr>
            <w:r>
              <w:rPr>
                <w:color w:val="000000"/>
                <w:spacing w:val="0"/>
                <w:w w:val="100"/>
                <w:position w:val="0"/>
              </w:rPr>
              <w:t>同比 增减</w:t>
            </w:r>
          </w:p>
        </w:tc>
      </w:tr>
      <w:tr>
        <w:trPr>
          <w:trHeight w:val="29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140" w:firstLine="0"/>
              <w:jc w:val="right"/>
            </w:pPr>
            <w:r>
              <w:rPr>
                <w:color w:val="000000"/>
                <w:spacing w:val="0"/>
                <w:w w:val="100"/>
                <w:position w:val="0"/>
              </w:rPr>
              <w:t>占营业成本比重</w:t>
            </w:r>
          </w:p>
        </w:tc>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vMerge/>
            <w:tcBorders>
              <w:left w:val="single" w:sz="4"/>
              <w:right w:val="single" w:sz="4"/>
            </w:tcBorders>
            <w:shd w:val="clear" w:color="auto" w:fill="D3D3D3"/>
            <w:vAlign w:val="bottom"/>
          </w:tcPr>
          <w:p>
            <w:pPr/>
          </w:p>
        </w:tc>
      </w:tr>
      <w:tr>
        <w:trPr>
          <w:trHeight w:val="29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通讯产品</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31,806,849</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25.00%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24,907,969</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21.47%</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27.70%</w:t>
            </w:r>
          </w:p>
        </w:tc>
      </w:tr>
      <w:tr>
        <w:trPr>
          <w:trHeight w:val="29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数码及</w:t>
            </w:r>
            <w:r>
              <w:rPr>
                <w:rFonts w:ascii="Times New Roman" w:eastAsia="Times New Roman" w:hAnsi="Times New Roman" w:cs="Times New Roman"/>
                <w:color w:val="000000"/>
                <w:spacing w:val="0"/>
                <w:w w:val="100"/>
                <w:position w:val="0"/>
              </w:rPr>
              <w:t>IT</w:t>
            </w:r>
            <w:r>
              <w:rPr>
                <w:color w:val="000000"/>
                <w:spacing w:val="0"/>
                <w:w w:val="100"/>
                <w:position w:val="0"/>
              </w:rPr>
              <w:t>产品</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23,179,304</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18.22%</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21,041,058</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18.14%</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10.16%</w:t>
            </w:r>
          </w:p>
        </w:tc>
      </w:tr>
      <w:tr>
        <w:trPr>
          <w:trHeight w:val="29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小家电产品</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21,002,160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16.50%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18,691,468</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16.12%</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12.36%</w:t>
            </w:r>
          </w:p>
        </w:tc>
      </w:tr>
      <w:tr>
        <w:trPr>
          <w:trHeight w:val="29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冰箱、洗衣机</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18,273,256</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14.36%</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17,768,898</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15.32%</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2.84%</w:t>
            </w:r>
          </w:p>
        </w:tc>
      </w:tr>
      <w:tr>
        <w:trPr>
          <w:trHeight w:val="29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彩电、音像、碟机</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17,848,667</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14.02%</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19,080,138</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16.45%</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-6.45%</w:t>
            </w:r>
          </w:p>
        </w:tc>
      </w:tr>
      <w:tr>
        <w:trPr>
          <w:trHeight w:val="29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空调器产品</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13,357,544</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10.50%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10,897,560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9.40%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22.57%</w:t>
            </w:r>
          </w:p>
        </w:tc>
      </w:tr>
      <w:tr>
        <w:trPr>
          <w:trHeight w:val="29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安装维修业务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891,288</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900,056</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0.78%</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-0.97%</w:t>
            </w:r>
          </w:p>
        </w:tc>
      </w:tr>
      <w:tr>
        <w:trPr>
          <w:trHeight w:val="29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其他产品</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485,665</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0.38%</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2,261,231</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1.95%</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-78.52%</w:t>
            </w:r>
          </w:p>
        </w:tc>
      </w:tr>
      <w:tr>
        <w:trPr>
          <w:trHeight w:val="298"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126,844,733</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99.68%</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115,548,378</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99.63%</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9.78%</w:t>
            </w:r>
          </w:p>
        </w:tc>
      </w:tr>
    </w:tbl>
    <w:p>
      <w:pPr>
        <w:pStyle w:val="Style38"/>
        <w:keepNext/>
        <w:keepLines/>
        <w:widowControl w:val="0"/>
        <w:shd w:val="clear" w:color="auto" w:fill="auto"/>
        <w:bidi w:val="0"/>
        <w:spacing w:before="0" w:after="200" w:line="240" w:lineRule="auto"/>
        <w:ind w:left="0" w:right="0" w:firstLine="540"/>
        <w:jc w:val="left"/>
      </w:pPr>
      <w:bookmarkStart w:id="125" w:name="bookmark125"/>
      <w:bookmarkStart w:id="126" w:name="bookmark126"/>
      <w:bookmarkStart w:id="127" w:name="bookmark127"/>
      <w:bookmarkStart w:id="128" w:name="bookmark128"/>
      <w:r>
        <w:rPr>
          <w:rFonts w:ascii="Times New Roman" w:eastAsia="Times New Roman" w:hAnsi="Times New Roman" w:cs="Times New Roman"/>
          <w:color w:val="000000"/>
          <w:spacing w:val="0"/>
          <w:w w:val="100"/>
          <w:position w:val="0"/>
        </w:rPr>
        <w:t>（</w:t>
      </w:r>
      <w:bookmarkEnd w:id="127"/>
      <w:r>
        <w:rPr>
          <w:rFonts w:ascii="Times New Roman" w:eastAsia="Times New Roman" w:hAnsi="Times New Roman" w:cs="Times New Roman"/>
          <w:color w:val="000000"/>
          <w:spacing w:val="0"/>
          <w:w w:val="100"/>
          <w:position w:val="0"/>
        </w:rPr>
        <w:t>6</w:t>
      </w:r>
      <w:r>
        <w:rPr>
          <w:color w:val="000000"/>
          <w:spacing w:val="0"/>
          <w:w w:val="100"/>
          <w:position w:val="0"/>
        </w:rPr>
        <w:t>）报告期内合并范围是否发生变动</w:t>
      </w:r>
      <w:bookmarkEnd w:id="125"/>
      <w:bookmarkEnd w:id="126"/>
      <w:bookmarkEnd w:id="128"/>
    </w:p>
    <w:p>
      <w:pPr>
        <w:pStyle w:val="Style32"/>
        <w:keepNext w:val="0"/>
        <w:keepLines w:val="0"/>
        <w:widowControl w:val="0"/>
        <w:shd w:val="clear" w:color="auto" w:fill="auto"/>
        <w:bidi w:val="0"/>
        <w:spacing w:before="0" w:after="0" w:line="475" w:lineRule="exact"/>
        <w:ind w:left="420" w:right="0" w:firstLine="440"/>
        <w:jc w:val="left"/>
      </w:pPr>
      <w:r>
        <w:rPr>
          <w:color w:val="000000"/>
          <w:spacing w:val="0"/>
          <w:w w:val="100"/>
          <w:position w:val="0"/>
        </w:rPr>
        <w:t>报告期内，公司新纳入合并范围为新设立子公司</w:t>
      </w:r>
      <w:r>
        <w:rPr>
          <w:rFonts w:ascii="Times New Roman" w:eastAsia="Times New Roman" w:hAnsi="Times New Roman" w:cs="Times New Roman"/>
          <w:color w:val="000000"/>
          <w:spacing w:val="0"/>
          <w:w w:val="100"/>
          <w:position w:val="0"/>
        </w:rPr>
        <w:t>30</w:t>
      </w:r>
      <w:r>
        <w:rPr>
          <w:color w:val="000000"/>
          <w:spacing w:val="0"/>
          <w:w w:val="100"/>
          <w:position w:val="0"/>
        </w:rPr>
        <w:t>家、日本</w:t>
      </w:r>
      <w:r>
        <w:rPr>
          <w:rFonts w:ascii="Times New Roman" w:eastAsia="Times New Roman" w:hAnsi="Times New Roman" w:cs="Times New Roman"/>
          <w:color w:val="000000"/>
          <w:spacing w:val="0"/>
          <w:w w:val="100"/>
          <w:position w:val="0"/>
        </w:rPr>
        <w:t>LAOX</w:t>
      </w:r>
      <w:r>
        <w:rPr>
          <w:color w:val="000000"/>
          <w:spacing w:val="0"/>
          <w:w w:val="100"/>
          <w:position w:val="0"/>
        </w:rPr>
        <w:t>新设子公司</w:t>
      </w:r>
      <w:r>
        <w:rPr>
          <w:rFonts w:ascii="Times New Roman" w:eastAsia="Times New Roman" w:hAnsi="Times New Roman" w:cs="Times New Roman"/>
          <w:color w:val="000000"/>
          <w:spacing w:val="0"/>
          <w:w w:val="100"/>
          <w:position w:val="0"/>
        </w:rPr>
        <w:t>2</w:t>
      </w:r>
      <w:r>
        <w:rPr>
          <w:color w:val="000000"/>
          <w:spacing w:val="0"/>
          <w:w w:val="100"/>
          <w:position w:val="0"/>
        </w:rPr>
        <w:t>家、投资取得 子公司</w:t>
      </w:r>
      <w:r>
        <w:rPr>
          <w:rFonts w:ascii="Times New Roman" w:eastAsia="Times New Roman" w:hAnsi="Times New Roman" w:cs="Times New Roman"/>
          <w:color w:val="000000"/>
          <w:spacing w:val="0"/>
          <w:w w:val="100"/>
          <w:position w:val="0"/>
        </w:rPr>
        <w:t>2</w:t>
      </w:r>
      <w:r>
        <w:rPr>
          <w:color w:val="000000"/>
          <w:spacing w:val="0"/>
          <w:w w:val="100"/>
          <w:position w:val="0"/>
        </w:rPr>
        <w:t>家；注销子公司</w:t>
      </w:r>
      <w:r>
        <w:rPr>
          <w:rFonts w:ascii="Times New Roman" w:eastAsia="Times New Roman" w:hAnsi="Times New Roman" w:cs="Times New Roman"/>
          <w:color w:val="000000"/>
          <w:spacing w:val="0"/>
          <w:w w:val="100"/>
          <w:position w:val="0"/>
        </w:rPr>
        <w:t>10</w:t>
      </w:r>
      <w:r>
        <w:rPr>
          <w:color w:val="000000"/>
          <w:spacing w:val="0"/>
          <w:w w:val="100"/>
          <w:position w:val="0"/>
        </w:rPr>
        <w:t>家，以及报告期内公司处置北京京朝苏宁电器有限公司股权，使得北京 京朝苏宁电器有限公司不再纳入公司合并报表范围。</w:t>
      </w:r>
    </w:p>
    <w:p>
      <w:pPr>
        <w:pStyle w:val="Style32"/>
        <w:keepNext w:val="0"/>
        <w:keepLines w:val="0"/>
        <w:widowControl w:val="0"/>
        <w:shd w:val="clear" w:color="auto" w:fill="auto"/>
        <w:bidi w:val="0"/>
        <w:spacing w:before="0" w:after="200" w:line="478" w:lineRule="exact"/>
        <w:ind w:left="420" w:right="0" w:firstLine="440"/>
        <w:jc w:val="left"/>
      </w:pPr>
      <w:r>
        <w:rPr>
          <w:rFonts w:ascii="Times New Roman" w:eastAsia="Times New Roman" w:hAnsi="Times New Roman" w:cs="Times New Roman"/>
          <w:color w:val="000000"/>
          <w:spacing w:val="0"/>
          <w:w w:val="100"/>
          <w:position w:val="0"/>
        </w:rPr>
        <w:t>2015</w:t>
      </w:r>
      <w:r>
        <w:rPr>
          <w:color w:val="000000"/>
          <w:spacing w:val="0"/>
          <w:w w:val="100"/>
          <w:position w:val="0"/>
        </w:rPr>
        <w:t>年度，公司新纳入合并范围为新设子公司</w:t>
      </w:r>
      <w:r>
        <w:rPr>
          <w:rFonts w:ascii="Times New Roman" w:eastAsia="Times New Roman" w:hAnsi="Times New Roman" w:cs="Times New Roman"/>
          <w:color w:val="000000"/>
          <w:spacing w:val="0"/>
          <w:w w:val="100"/>
          <w:position w:val="0"/>
        </w:rPr>
        <w:t>26</w:t>
      </w:r>
      <w:r>
        <w:rPr>
          <w:color w:val="000000"/>
          <w:spacing w:val="0"/>
          <w:w w:val="100"/>
          <w:position w:val="0"/>
        </w:rPr>
        <w:t>家，日本</w:t>
      </w:r>
      <w:r>
        <w:rPr>
          <w:rFonts w:ascii="Times New Roman" w:eastAsia="Times New Roman" w:hAnsi="Times New Roman" w:cs="Times New Roman"/>
          <w:color w:val="000000"/>
          <w:spacing w:val="0"/>
          <w:w w:val="100"/>
          <w:position w:val="0"/>
        </w:rPr>
        <w:t>LAOX</w:t>
      </w:r>
      <w:r>
        <w:rPr>
          <w:color w:val="000000"/>
          <w:spacing w:val="0"/>
          <w:w w:val="100"/>
          <w:position w:val="0"/>
        </w:rPr>
        <w:t>投资取得子公司</w:t>
      </w:r>
      <w:r>
        <w:rPr>
          <w:rFonts w:ascii="Times New Roman" w:eastAsia="Times New Roman" w:hAnsi="Times New Roman" w:cs="Times New Roman"/>
          <w:color w:val="000000"/>
          <w:spacing w:val="0"/>
          <w:w w:val="100"/>
          <w:position w:val="0"/>
        </w:rPr>
        <w:t>1</w:t>
      </w:r>
      <w:r>
        <w:rPr>
          <w:color w:val="000000"/>
          <w:spacing w:val="0"/>
          <w:w w:val="100"/>
          <w:position w:val="0"/>
        </w:rPr>
        <w:t>家，同时 投资</w:t>
      </w:r>
      <w:r>
        <w:rPr>
          <w:rFonts w:ascii="Times New Roman" w:eastAsia="Times New Roman" w:hAnsi="Times New Roman" w:cs="Times New Roman"/>
          <w:color w:val="000000"/>
          <w:spacing w:val="0"/>
          <w:w w:val="100"/>
          <w:position w:val="0"/>
        </w:rPr>
        <w:t>PPTV</w:t>
      </w:r>
      <w:r>
        <w:rPr>
          <w:color w:val="000000"/>
          <w:spacing w:val="0"/>
          <w:w w:val="100"/>
          <w:position w:val="0"/>
        </w:rPr>
        <w:t>取得子公司；注销子公司</w:t>
      </w:r>
      <w:r>
        <w:rPr>
          <w:rFonts w:ascii="Times New Roman" w:eastAsia="Times New Roman" w:hAnsi="Times New Roman" w:cs="Times New Roman"/>
          <w:color w:val="000000"/>
          <w:spacing w:val="0"/>
          <w:w w:val="100"/>
          <w:position w:val="0"/>
        </w:rPr>
        <w:t>13</w:t>
      </w:r>
      <w:r>
        <w:rPr>
          <w:color w:val="000000"/>
          <w:spacing w:val="0"/>
          <w:w w:val="100"/>
          <w:position w:val="0"/>
        </w:rPr>
        <w:t>家，以及报告期内公司处置</w:t>
      </w:r>
      <w:r>
        <w:rPr>
          <w:rFonts w:ascii="Times New Roman" w:eastAsia="Times New Roman" w:hAnsi="Times New Roman" w:cs="Times New Roman"/>
          <w:color w:val="000000"/>
          <w:spacing w:val="0"/>
          <w:w w:val="100"/>
          <w:position w:val="0"/>
        </w:rPr>
        <w:t>PPTV</w:t>
      </w:r>
      <w:r>
        <w:rPr>
          <w:color w:val="000000"/>
          <w:spacing w:val="0"/>
          <w:w w:val="100"/>
          <w:position w:val="0"/>
        </w:rPr>
        <w:t>股权，使得</w:t>
      </w:r>
      <w:r>
        <w:rPr>
          <w:rFonts w:ascii="Times New Roman" w:eastAsia="Times New Roman" w:hAnsi="Times New Roman" w:cs="Times New Roman"/>
          <w:color w:val="000000"/>
          <w:spacing w:val="0"/>
          <w:w w:val="100"/>
          <w:position w:val="0"/>
        </w:rPr>
        <w:t>PPTV</w:t>
      </w:r>
      <w:r>
        <w:rPr>
          <w:color w:val="000000"/>
          <w:spacing w:val="0"/>
          <w:w w:val="100"/>
          <w:position w:val="0"/>
        </w:rPr>
        <w:t>及其子 公司不再纳入公司合并报表范围。</w:t>
      </w:r>
    </w:p>
    <w:p>
      <w:pPr>
        <w:pStyle w:val="Style38"/>
        <w:keepNext/>
        <w:keepLines/>
        <w:widowControl w:val="0"/>
        <w:shd w:val="clear" w:color="auto" w:fill="auto"/>
        <w:tabs>
          <w:tab w:pos="922" w:val="left"/>
        </w:tabs>
        <w:bidi w:val="0"/>
        <w:spacing w:before="0" w:after="420" w:line="476" w:lineRule="exact"/>
        <w:ind w:left="0" w:right="0"/>
        <w:jc w:val="left"/>
      </w:pPr>
      <w:bookmarkStart w:id="129" w:name="bookmark129"/>
      <w:bookmarkStart w:id="130" w:name="bookmark130"/>
      <w:bookmarkStart w:id="131" w:name="bookmark131"/>
      <w:bookmarkStart w:id="132" w:name="bookmark132"/>
      <w:r>
        <w:rPr>
          <w:color w:val="000000"/>
          <w:spacing w:val="0"/>
          <w:w w:val="100"/>
          <w:position w:val="0"/>
        </w:rPr>
        <w:t>（</w:t>
      </w:r>
      <w:bookmarkEnd w:id="131"/>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29"/>
      <w:bookmarkEnd w:id="130"/>
      <w:bookmarkEnd w:id="132"/>
    </w:p>
    <w:p>
      <w:pPr>
        <w:pStyle w:val="Style32"/>
        <w:keepNext w:val="0"/>
        <w:keepLines w:val="0"/>
        <w:widowControl w:val="0"/>
        <w:shd w:val="clear" w:color="auto" w:fill="auto"/>
        <w:bidi w:val="0"/>
        <w:spacing w:before="0" w:after="0" w:line="454" w:lineRule="auto"/>
        <w:ind w:left="0" w:right="0" w:firstLine="86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8"/>
        <w:keepNext/>
        <w:keepLines/>
        <w:widowControl w:val="0"/>
        <w:shd w:val="clear" w:color="auto" w:fill="auto"/>
        <w:tabs>
          <w:tab w:pos="922" w:val="left"/>
        </w:tabs>
        <w:bidi w:val="0"/>
        <w:spacing w:before="0" w:after="420" w:line="476" w:lineRule="exact"/>
        <w:ind w:left="0" w:right="0"/>
        <w:jc w:val="left"/>
      </w:pPr>
      <w:bookmarkStart w:id="133" w:name="bookmark133"/>
      <w:bookmarkStart w:id="134" w:name="bookmark134"/>
      <w:bookmarkStart w:id="135" w:name="bookmark135"/>
      <w:bookmarkStart w:id="136" w:name="bookmark136"/>
      <w:r>
        <w:rPr>
          <w:color w:val="000000"/>
          <w:spacing w:val="0"/>
          <w:w w:val="100"/>
          <w:position w:val="0"/>
        </w:rPr>
        <w:t>（</w:t>
      </w:r>
      <w:bookmarkEnd w:id="135"/>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33"/>
      <w:bookmarkEnd w:id="134"/>
      <w:bookmarkEnd w:id="136"/>
    </w:p>
    <w:p>
      <w:pPr>
        <w:pStyle w:val="Style25"/>
        <w:keepNext w:val="0"/>
        <w:keepLines w:val="0"/>
        <w:widowControl w:val="0"/>
        <w:shd w:val="clear" w:color="auto" w:fill="auto"/>
        <w:bidi w:val="0"/>
        <w:spacing w:before="0" w:after="0" w:line="240" w:lineRule="auto"/>
        <w:ind w:left="542" w:right="0" w:firstLine="0"/>
        <w:jc w:val="left"/>
      </w:pPr>
      <w:r>
        <w:rPr>
          <w:color w:val="000000"/>
          <w:spacing w:val="0"/>
          <w:w w:val="100"/>
          <w:position w:val="0"/>
        </w:rPr>
        <w:t>公司主要销售客户情况</w:t>
      </w:r>
    </w:p>
    <w:tbl>
      <w:tblPr>
        <w:tblOverlap w:val="never"/>
        <w:jc w:val="center"/>
        <w:tblLayout w:type="fixed"/>
      </w:tblPr>
      <w:tblGrid>
        <w:gridCol w:w="6523"/>
        <w:gridCol w:w="3053"/>
      </w:tblGrid>
      <w:tr>
        <w:trPr>
          <w:trHeight w:val="298"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前五名客户合计销售金额（千元）</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172,154</w:t>
            </w:r>
          </w:p>
        </w:tc>
      </w:tr>
      <w:tr>
        <w:trPr>
          <w:trHeight w:val="298" w:hRule="exact"/>
        </w:trPr>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0.12%</w:t>
            </w:r>
          </w:p>
        </w:tc>
      </w:tr>
      <w:tr>
        <w:trPr>
          <w:trHeight w:val="298" w:hRule="exact"/>
        </w:trPr>
        <w:tc>
          <w:tcPr>
            <w:tcBorders>
              <w:top w:val="single" w:sz="4"/>
              <w:left w:val="single" w:sz="4"/>
              <w:bottom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前五名客户销售额中关联方销售额占年度销售总额比例</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bl>
    <w:p>
      <w:pPr>
        <w:pStyle w:val="Style25"/>
        <w:keepNext w:val="0"/>
        <w:keepLines w:val="0"/>
        <w:widowControl w:val="0"/>
        <w:shd w:val="clear" w:color="auto" w:fill="auto"/>
        <w:bidi w:val="0"/>
        <w:spacing w:before="0" w:after="0" w:line="240" w:lineRule="auto"/>
        <w:ind w:left="542"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大客户资料</w:t>
      </w:r>
    </w:p>
    <w:p>
      <w:pPr>
        <w:widowControl w:val="0"/>
        <w:spacing w:after="79" w:line="1" w:lineRule="exact"/>
      </w:pP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单位：千元</w:t>
      </w:r>
    </w:p>
    <w:tbl>
      <w:tblPr>
        <w:tblOverlap w:val="never"/>
        <w:jc w:val="center"/>
        <w:tblLayout w:type="fixed"/>
      </w:tblPr>
      <w:tblGrid>
        <w:gridCol w:w="806"/>
        <w:gridCol w:w="3302"/>
        <w:gridCol w:w="2323"/>
        <w:gridCol w:w="3149"/>
      </w:tblGrid>
      <w:tr>
        <w:trPr>
          <w:trHeight w:val="298"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180"/>
              <w:jc w:val="left"/>
            </w:pPr>
            <w:r>
              <w:rPr>
                <w:color w:val="000000"/>
                <w:spacing w:val="0"/>
                <w:w w:val="100"/>
                <w:position w:val="0"/>
              </w:rPr>
              <w:t>序号</w:t>
            </w:r>
          </w:p>
        </w:tc>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w:t>
            </w:r>
          </w:p>
        </w:tc>
        <w:tc>
          <w:tcPr>
            <w:tcBorders>
              <w:top w:val="single" w:sz="4"/>
              <w:left w:val="single" w:sz="4"/>
              <w:righ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p>
        </w:tc>
      </w:tr>
      <w:tr>
        <w:trPr>
          <w:trHeight w:val="298" w:hRule="exact"/>
        </w:trPr>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40,491</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2540" w:right="0" w:firstLine="0"/>
              <w:jc w:val="both"/>
            </w:pPr>
            <w:r>
              <w:rPr>
                <w:rFonts w:ascii="Times New Roman" w:eastAsia="Times New Roman" w:hAnsi="Times New Roman" w:cs="Times New Roman"/>
                <w:color w:val="000000"/>
                <w:spacing w:val="0"/>
                <w:w w:val="100"/>
                <w:position w:val="0"/>
              </w:rPr>
              <w:t>0.03%</w:t>
            </w:r>
          </w:p>
        </w:tc>
      </w:tr>
      <w:tr>
        <w:trPr>
          <w:trHeight w:val="293" w:hRule="exact"/>
        </w:trPr>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42,743</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2540" w:right="0" w:firstLine="0"/>
              <w:jc w:val="both"/>
            </w:pPr>
            <w:r>
              <w:rPr>
                <w:rFonts w:ascii="Times New Roman" w:eastAsia="Times New Roman" w:hAnsi="Times New Roman" w:cs="Times New Roman"/>
                <w:color w:val="000000"/>
                <w:spacing w:val="0"/>
                <w:w w:val="100"/>
                <w:position w:val="0"/>
              </w:rPr>
              <w:t>0.03%</w:t>
            </w:r>
          </w:p>
        </w:tc>
      </w:tr>
      <w:tr>
        <w:trPr>
          <w:trHeight w:val="298" w:hRule="exact"/>
        </w:trPr>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34,601</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2540" w:right="0" w:firstLine="0"/>
              <w:jc w:val="both"/>
            </w:pPr>
            <w:r>
              <w:rPr>
                <w:rFonts w:ascii="Times New Roman" w:eastAsia="Times New Roman" w:hAnsi="Times New Roman" w:cs="Times New Roman"/>
                <w:color w:val="000000"/>
                <w:spacing w:val="0"/>
                <w:w w:val="100"/>
                <w:position w:val="0"/>
              </w:rPr>
              <w:t>0.02%</w:t>
            </w:r>
          </w:p>
        </w:tc>
      </w:tr>
      <w:tr>
        <w:trPr>
          <w:trHeight w:val="29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27,368</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2540" w:right="0" w:firstLine="0"/>
              <w:jc w:val="both"/>
            </w:pPr>
            <w:r>
              <w:rPr>
                <w:rFonts w:ascii="Times New Roman" w:eastAsia="Times New Roman" w:hAnsi="Times New Roman" w:cs="Times New Roman"/>
                <w:color w:val="000000"/>
                <w:spacing w:val="0"/>
                <w:w w:val="100"/>
                <w:position w:val="0"/>
              </w:rPr>
              <w:t>0.02%</w:t>
            </w:r>
          </w:p>
        </w:tc>
      </w:tr>
      <w:tr>
        <w:trPr>
          <w:trHeight w:val="298" w:hRule="exact"/>
        </w:trPr>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26,951</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2540" w:right="0" w:firstLine="0"/>
              <w:jc w:val="both"/>
            </w:pPr>
            <w:r>
              <w:rPr>
                <w:rFonts w:ascii="Times New Roman" w:eastAsia="Times New Roman" w:hAnsi="Times New Roman" w:cs="Times New Roman"/>
                <w:color w:val="000000"/>
                <w:spacing w:val="0"/>
                <w:w w:val="100"/>
                <w:position w:val="0"/>
              </w:rPr>
              <w:t>0.02%</w:t>
            </w:r>
          </w:p>
        </w:tc>
      </w:tr>
      <w:tr>
        <w:trPr>
          <w:trHeight w:val="298" w:hRule="exact"/>
        </w:trPr>
        <w:tc>
          <w:tcPr>
            <w:tcBorders>
              <w:top w:val="single" w:sz="4"/>
              <w:left w:val="single" w:sz="4"/>
              <w:bottom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172,154</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2540" w:right="0" w:firstLine="0"/>
              <w:jc w:val="both"/>
            </w:pPr>
            <w:r>
              <w:rPr>
                <w:rFonts w:ascii="Times New Roman" w:eastAsia="Times New Roman" w:hAnsi="Times New Roman" w:cs="Times New Roman"/>
                <w:color w:val="000000"/>
                <w:spacing w:val="0"/>
                <w:w w:val="100"/>
                <w:position w:val="0"/>
              </w:rPr>
              <w:t>0.12%</w:t>
            </w:r>
          </w:p>
        </w:tc>
      </w:tr>
    </w:tbl>
    <w:p>
      <w:pPr>
        <w:widowControl w:val="0"/>
        <w:spacing w:after="259" w:line="1" w:lineRule="exact"/>
      </w:pPr>
    </w:p>
    <w:p>
      <w:pPr>
        <w:pStyle w:val="Style32"/>
        <w:keepNext w:val="0"/>
        <w:keepLines w:val="0"/>
        <w:widowControl w:val="0"/>
        <w:shd w:val="clear" w:color="auto" w:fill="auto"/>
        <w:bidi w:val="0"/>
        <w:spacing w:before="0" w:after="200" w:line="240" w:lineRule="auto"/>
        <w:ind w:left="0" w:right="0" w:firstLine="860"/>
        <w:jc w:val="left"/>
      </w:pPr>
      <w:r>
        <w:rPr>
          <w:color w:val="000000"/>
          <w:spacing w:val="0"/>
          <w:w w:val="100"/>
          <w:position w:val="0"/>
        </w:rPr>
        <w:t>主要客户其他情况说明</w:t>
      </w:r>
    </w:p>
    <w:p>
      <w:pPr>
        <w:pStyle w:val="Style32"/>
        <w:keepNext w:val="0"/>
        <w:keepLines w:val="0"/>
        <w:widowControl w:val="0"/>
        <w:shd w:val="clear" w:color="auto" w:fill="auto"/>
        <w:bidi w:val="0"/>
        <w:spacing w:before="0" w:after="660" w:line="240" w:lineRule="auto"/>
        <w:ind w:left="0" w:right="0" w:firstLine="86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5"/>
        <w:keepNext w:val="0"/>
        <w:keepLines w:val="0"/>
        <w:widowControl w:val="0"/>
        <w:shd w:val="clear" w:color="auto" w:fill="auto"/>
        <w:bidi w:val="0"/>
        <w:spacing w:before="0" w:after="0" w:line="240" w:lineRule="auto"/>
        <w:ind w:left="542" w:right="0" w:firstLine="0"/>
        <w:jc w:val="left"/>
      </w:pPr>
      <w:r>
        <w:rPr>
          <w:color w:val="000000"/>
          <w:spacing w:val="0"/>
          <w:w w:val="100"/>
          <w:position w:val="0"/>
        </w:rPr>
        <w:t>公司主要供应商情况</w:t>
      </w:r>
    </w:p>
    <w:tbl>
      <w:tblPr>
        <w:tblOverlap w:val="never"/>
        <w:jc w:val="center"/>
        <w:tblLayout w:type="fixed"/>
      </w:tblPr>
      <w:tblGrid>
        <w:gridCol w:w="6384"/>
        <w:gridCol w:w="3192"/>
      </w:tblGrid>
      <w:tr>
        <w:trPr>
          <w:trHeight w:val="298"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前五名供应商合计采购金额（千元）</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32,458,063</w:t>
            </w:r>
          </w:p>
        </w:tc>
      </w:tr>
      <w:tr>
        <w:trPr>
          <w:trHeight w:val="298" w:hRule="exact"/>
        </w:trPr>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27.37%</w:t>
            </w:r>
          </w:p>
        </w:tc>
      </w:tr>
      <w:tr>
        <w:trPr>
          <w:trHeight w:val="298" w:hRule="exact"/>
        </w:trPr>
        <w:tc>
          <w:tcPr>
            <w:tcBorders>
              <w:top w:val="single" w:sz="4"/>
              <w:left w:val="single" w:sz="4"/>
              <w:bottom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前五名供应商采购额中关联方采购额占年度采购总额比例</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bl>
    <w:p>
      <w:pPr>
        <w:spacing w:lineRule="exact" w:line="1"/>
        <w:rPr>
          <w:sz w:val="2"/>
          <w:szCs w:val="2"/>
        </w:rPr>
      </w:pPr>
      <w:r>
        <w:br w:type="page"/>
      </w:r>
    </w:p>
    <w:p>
      <w:pPr>
        <w:pStyle w:val="Style32"/>
        <w:keepNext w:val="0"/>
        <w:keepLines w:val="0"/>
        <w:widowControl w:val="0"/>
        <w:shd w:val="clear" w:color="auto" w:fill="auto"/>
        <w:bidi w:val="0"/>
        <w:spacing w:before="0" w:after="120" w:line="240" w:lineRule="auto"/>
        <w:ind w:left="0" w:right="0" w:firstLine="86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名供应商资料</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单位：千元</w:t>
      </w:r>
    </w:p>
    <w:tbl>
      <w:tblPr>
        <w:tblOverlap w:val="never"/>
        <w:jc w:val="center"/>
        <w:tblLayout w:type="fixed"/>
      </w:tblPr>
      <w:tblGrid>
        <w:gridCol w:w="941"/>
        <w:gridCol w:w="3168"/>
        <w:gridCol w:w="2323"/>
        <w:gridCol w:w="3149"/>
      </w:tblGrid>
      <w:tr>
        <w:trPr>
          <w:trHeight w:val="298" w:hRule="exact"/>
        </w:trPr>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序号</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w:t>
            </w:r>
          </w:p>
        </w:tc>
        <w:tc>
          <w:tcPr>
            <w:tcBorders>
              <w:top w:val="single" w:sz="4"/>
              <w:left w:val="single" w:sz="4"/>
              <w:righ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p>
        </w:tc>
      </w:tr>
      <w:tr>
        <w:trPr>
          <w:trHeight w:val="298" w:hRule="exact"/>
        </w:trPr>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品牌</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12,678,559</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10.69%</w:t>
            </w:r>
          </w:p>
        </w:tc>
      </w:tr>
      <w:tr>
        <w:trPr>
          <w:trHeight w:val="293" w:hRule="exact"/>
        </w:trPr>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品牌</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5,984,568</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2540" w:right="0" w:firstLine="0"/>
              <w:jc w:val="both"/>
            </w:pPr>
            <w:r>
              <w:rPr>
                <w:rFonts w:ascii="Times New Roman" w:eastAsia="Times New Roman" w:hAnsi="Times New Roman" w:cs="Times New Roman"/>
                <w:color w:val="000000"/>
                <w:spacing w:val="0"/>
                <w:w w:val="100"/>
                <w:position w:val="0"/>
              </w:rPr>
              <w:t>5.05%</w:t>
            </w:r>
          </w:p>
        </w:tc>
      </w:tr>
      <w:tr>
        <w:trPr>
          <w:trHeight w:val="298" w:hRule="exact"/>
        </w:trPr>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品牌</w:t>
            </w: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4,753,244</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2540" w:right="0" w:firstLine="0"/>
              <w:jc w:val="both"/>
            </w:pPr>
            <w:r>
              <w:rPr>
                <w:rFonts w:ascii="Times New Roman" w:eastAsia="Times New Roman" w:hAnsi="Times New Roman" w:cs="Times New Roman"/>
                <w:color w:val="000000"/>
                <w:spacing w:val="0"/>
                <w:w w:val="100"/>
                <w:position w:val="0"/>
              </w:rPr>
              <w:t>4.01%</w:t>
            </w:r>
          </w:p>
        </w:tc>
      </w:tr>
      <w:tr>
        <w:trPr>
          <w:trHeight w:val="293" w:hRule="exact"/>
        </w:trPr>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品牌</w:t>
            </w: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4,745,347</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2540" w:right="0" w:firstLine="0"/>
              <w:jc w:val="both"/>
            </w:pPr>
            <w:r>
              <w:rPr>
                <w:rFonts w:ascii="Times New Roman" w:eastAsia="Times New Roman" w:hAnsi="Times New Roman" w:cs="Times New Roman"/>
                <w:color w:val="000000"/>
                <w:spacing w:val="0"/>
                <w:w w:val="100"/>
                <w:position w:val="0"/>
              </w:rPr>
              <w:t>4.00%</w:t>
            </w:r>
          </w:p>
        </w:tc>
      </w:tr>
      <w:tr>
        <w:trPr>
          <w:trHeight w:val="298" w:hRule="exact"/>
        </w:trPr>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品牌</w:t>
            </w: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4,296,345</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2540" w:right="0" w:firstLine="0"/>
              <w:jc w:val="both"/>
            </w:pPr>
            <w:r>
              <w:rPr>
                <w:rFonts w:ascii="Times New Roman" w:eastAsia="Times New Roman" w:hAnsi="Times New Roman" w:cs="Times New Roman"/>
                <w:color w:val="000000"/>
                <w:spacing w:val="0"/>
                <w:w w:val="100"/>
                <w:position w:val="0"/>
              </w:rPr>
              <w:t>3.62%</w:t>
            </w:r>
          </w:p>
        </w:tc>
      </w:tr>
      <w:tr>
        <w:trPr>
          <w:trHeight w:val="298" w:hRule="exact"/>
        </w:trPr>
        <w:tc>
          <w:tcPr>
            <w:tcBorders>
              <w:top w:val="single" w:sz="4"/>
              <w:left w:val="single" w:sz="4"/>
              <w:bottom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32,458,063</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27.37%</w:t>
            </w:r>
          </w:p>
        </w:tc>
      </w:tr>
    </w:tbl>
    <w:p>
      <w:pPr>
        <w:widowControl w:val="0"/>
        <w:spacing w:after="239" w:line="1" w:lineRule="exact"/>
      </w:pPr>
    </w:p>
    <w:p>
      <w:pPr>
        <w:pStyle w:val="Style32"/>
        <w:keepNext w:val="0"/>
        <w:keepLines w:val="0"/>
        <w:widowControl w:val="0"/>
        <w:shd w:val="clear" w:color="auto" w:fill="auto"/>
        <w:bidi w:val="0"/>
        <w:spacing w:before="0" w:after="200" w:line="240" w:lineRule="auto"/>
        <w:ind w:left="0" w:right="0" w:firstLine="860"/>
        <w:jc w:val="left"/>
      </w:pPr>
      <w:r>
        <w:rPr>
          <w:color w:val="000000"/>
          <w:spacing w:val="0"/>
          <w:w w:val="100"/>
          <w:position w:val="0"/>
        </w:rPr>
        <w:t>主要供应商其他情况说明</w:t>
      </w:r>
    </w:p>
    <w:p>
      <w:pPr>
        <w:pStyle w:val="Style32"/>
        <w:keepNext w:val="0"/>
        <w:keepLines w:val="0"/>
        <w:widowControl w:val="0"/>
        <w:shd w:val="clear" w:color="auto" w:fill="auto"/>
        <w:bidi w:val="0"/>
        <w:spacing w:before="0" w:after="380" w:line="240" w:lineRule="auto"/>
        <w:ind w:left="0" w:right="0" w:firstLine="86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8"/>
        <w:keepNext/>
        <w:keepLines/>
        <w:widowControl w:val="0"/>
        <w:shd w:val="clear" w:color="auto" w:fill="auto"/>
        <w:bidi w:val="0"/>
        <w:spacing w:before="0" w:after="320" w:line="240" w:lineRule="auto"/>
        <w:ind w:left="0" w:right="0" w:firstLine="380"/>
        <w:jc w:val="left"/>
      </w:pPr>
      <w:bookmarkStart w:id="137" w:name="bookmark137"/>
      <w:bookmarkStart w:id="138" w:name="bookmark138"/>
      <w:bookmarkStart w:id="139" w:name="bookmark139"/>
      <w:bookmarkStart w:id="140" w:name="bookmark140"/>
      <w:r>
        <w:rPr>
          <w:rFonts w:ascii="Times New Roman" w:eastAsia="Times New Roman" w:hAnsi="Times New Roman" w:cs="Times New Roman"/>
          <w:color w:val="000000"/>
          <w:spacing w:val="0"/>
          <w:w w:val="100"/>
          <w:position w:val="0"/>
        </w:rPr>
        <w:t>3</w:t>
      </w:r>
      <w:bookmarkEnd w:id="139"/>
      <w:r>
        <w:rPr>
          <w:color w:val="000000"/>
          <w:spacing w:val="0"/>
          <w:w w:val="100"/>
          <w:position w:val="0"/>
        </w:rPr>
        <w:t>、费用</w:t>
      </w:r>
      <w:bookmarkEnd w:id="137"/>
      <w:bookmarkEnd w:id="138"/>
      <w:bookmarkEnd w:id="140"/>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单位：千元</w:t>
      </w:r>
    </w:p>
    <w:tbl>
      <w:tblPr>
        <w:tblOverlap w:val="never"/>
        <w:jc w:val="center"/>
        <w:tblLayout w:type="fixed"/>
      </w:tblPr>
      <w:tblGrid>
        <w:gridCol w:w="1675"/>
        <w:gridCol w:w="1406"/>
        <w:gridCol w:w="1488"/>
        <w:gridCol w:w="1344"/>
        <w:gridCol w:w="1493"/>
        <w:gridCol w:w="1042"/>
        <w:gridCol w:w="1258"/>
      </w:tblGrid>
      <w:tr>
        <w:trPr>
          <w:trHeight w:val="29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w:t>
            </w:r>
          </w:p>
        </w:tc>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同比增减</w:t>
            </w:r>
          </w:p>
        </w:tc>
        <w:tc>
          <w:tcPr>
            <w:vMerge w:val="restart"/>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64" w:lineRule="exact"/>
              <w:ind w:left="0" w:right="0" w:firstLine="0"/>
              <w:jc w:val="center"/>
            </w:pPr>
            <w:r>
              <w:rPr>
                <w:color w:val="000000"/>
                <w:spacing w:val="0"/>
                <w:w w:val="100"/>
                <w:position w:val="0"/>
              </w:rPr>
              <w:t>费用占比 同比增减</w:t>
            </w:r>
          </w:p>
        </w:tc>
      </w:tr>
      <w:tr>
        <w:trPr>
          <w:trHeight w:val="581"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80"/>
              <w:jc w:val="left"/>
            </w:pPr>
            <w:r>
              <w:rPr>
                <w:color w:val="000000"/>
                <w:spacing w:val="0"/>
                <w:w w:val="100"/>
                <w:position w:val="0"/>
              </w:rPr>
              <w:t>金额</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占主营业务收 入比例</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rPr>
              <w:t>金额</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占主营业务收 入比例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298" w:hRule="exact"/>
        </w:trPr>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17,451,416</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11.92%</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16,644,676</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12.43%</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4.85%</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-0.51%</w:t>
            </w:r>
          </w:p>
        </w:tc>
      </w:tr>
      <w:tr>
        <w:trPr>
          <w:trHeight w:val="293" w:hRule="exact"/>
        </w:trPr>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3,946,274</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2.69%</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4,291,475</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3.21%</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-8.04%</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-0.52%</w:t>
            </w:r>
          </w:p>
        </w:tc>
      </w:tr>
      <w:tr>
        <w:trPr>
          <w:trHeight w:val="298" w:hRule="exact"/>
        </w:trPr>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415,828</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0.28%</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104,282</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0.08%</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298.75%</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0.20%</w:t>
            </w:r>
          </w:p>
        </w:tc>
      </w:tr>
      <w:tr>
        <w:trPr>
          <w:trHeight w:val="29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销售费用管理费用</w:t>
            </w:r>
          </w:p>
        </w:tc>
        <w:tc>
          <w:tcPr>
            <w:gridSpan w:val="6"/>
            <w:tcBorders>
              <w:top w:val="single" w:sz="4"/>
              <w:left w:val="single" w:sz="4"/>
              <w:righ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目明细</w:t>
            </w:r>
          </w:p>
        </w:tc>
      </w:tr>
      <w:tr>
        <w:trPr>
          <w:trHeight w:val="29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人员费用</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6,341,765</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4.33%</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6,615,983</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4.94%</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-4.14%</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-0.61%</w:t>
            </w:r>
          </w:p>
        </w:tc>
      </w:tr>
      <w:tr>
        <w:trPr>
          <w:trHeight w:val="29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租赁费用</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5,586,184</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3.81%</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5,276,791</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3.94%</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5.86%</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-0.13%</w:t>
            </w:r>
          </w:p>
        </w:tc>
      </w:tr>
      <w:tr>
        <w:trPr>
          <w:trHeight w:val="29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其他费用</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2,942,906</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2.01%</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3,196,723</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2.39%</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-7.94%</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-0.38%</w:t>
            </w:r>
          </w:p>
        </w:tc>
      </w:tr>
      <w:tr>
        <w:trPr>
          <w:trHeight w:val="29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广告促销费</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3,274,012</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2.23%</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2,963,255</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2.21%</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10.49%</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0.02%</w:t>
            </w:r>
          </w:p>
        </w:tc>
      </w:tr>
      <w:tr>
        <w:trPr>
          <w:trHeight w:val="29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运杂费</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1,883,211</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1.29%</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1,467,806</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1.10%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28.30%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0.19%</w:t>
            </w:r>
          </w:p>
        </w:tc>
      </w:tr>
      <w:tr>
        <w:trPr>
          <w:trHeight w:val="29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水电费</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710,352</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0.49%</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756,456</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0.57%</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-6.09%</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-0.08%</w:t>
            </w:r>
          </w:p>
        </w:tc>
      </w:tr>
      <w:tr>
        <w:trPr>
          <w:trHeight w:val="29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装潢费</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659,260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0.45%</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659,137</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0.49%</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0.02%</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-0.04%</w:t>
            </w:r>
          </w:p>
        </w:tc>
      </w:tr>
      <w:tr>
        <w:trPr>
          <w:trHeight w:val="302"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21,397,690</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14.61%</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20,936,151</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15.64%</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2.20%</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w:t>
            </w:r>
          </w:p>
        </w:tc>
      </w:tr>
    </w:tbl>
    <w:p>
      <w:pPr>
        <w:widowControl w:val="0"/>
        <w:spacing w:after="39" w:line="1" w:lineRule="exact"/>
      </w:pPr>
    </w:p>
    <w:p>
      <w:pPr>
        <w:pStyle w:val="Style32"/>
        <w:keepNext w:val="0"/>
        <w:keepLines w:val="0"/>
        <w:widowControl w:val="0"/>
        <w:shd w:val="clear" w:color="auto" w:fill="auto"/>
        <w:bidi w:val="0"/>
        <w:spacing w:before="0" w:after="0" w:line="473" w:lineRule="exact"/>
        <w:ind w:left="380" w:right="0" w:firstLine="4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）报告期内，公司管理费用率和销售费用率较去年同期合计下降</w:t>
      </w:r>
      <w:r>
        <w:rPr>
          <w:rFonts w:ascii="Times New Roman" w:eastAsia="Times New Roman" w:hAnsi="Times New Roman" w:cs="Times New Roman"/>
          <w:color w:val="000000"/>
          <w:spacing w:val="0"/>
          <w:w w:val="100"/>
          <w:position w:val="0"/>
        </w:rPr>
        <w:t>1.03</w:t>
      </w:r>
      <w:r>
        <w:rPr>
          <w:color w:val="000000"/>
          <w:spacing w:val="0"/>
          <w:w w:val="100"/>
          <w:position w:val="0"/>
        </w:rPr>
        <w:t>个百分点。主要费率变 动分析如下：</w:t>
      </w:r>
    </w:p>
    <w:p>
      <w:pPr>
        <w:pStyle w:val="Style32"/>
        <w:keepNext w:val="0"/>
        <w:keepLines w:val="0"/>
        <w:widowControl w:val="0"/>
        <w:numPr>
          <w:ilvl w:val="0"/>
          <w:numId w:val="3"/>
        </w:numPr>
        <w:shd w:val="clear" w:color="auto" w:fill="auto"/>
        <w:tabs>
          <w:tab w:pos="1262" w:val="left"/>
        </w:tabs>
        <w:bidi w:val="0"/>
        <w:spacing w:before="0" w:after="0" w:line="473" w:lineRule="exact"/>
        <w:ind w:left="0" w:right="0" w:firstLine="860"/>
        <w:jc w:val="left"/>
      </w:pPr>
      <w:bookmarkStart w:id="141" w:name="bookmark141"/>
      <w:bookmarkEnd w:id="141"/>
      <w:r>
        <w:rPr>
          <w:color w:val="000000"/>
          <w:spacing w:val="0"/>
          <w:w w:val="100"/>
          <w:position w:val="0"/>
        </w:rPr>
        <w:t>人员费用率变动的主要原因</w:t>
      </w:r>
    </w:p>
    <w:p>
      <w:pPr>
        <w:pStyle w:val="Style32"/>
        <w:keepNext w:val="0"/>
        <w:keepLines w:val="0"/>
        <w:widowControl w:val="0"/>
        <w:shd w:val="clear" w:color="auto" w:fill="auto"/>
        <w:bidi w:val="0"/>
        <w:spacing w:before="0" w:after="0" w:line="473" w:lineRule="exact"/>
        <w:ind w:left="380" w:right="0" w:firstLine="480"/>
        <w:jc w:val="left"/>
      </w:pPr>
      <w:r>
        <w:rPr>
          <w:color w:val="000000"/>
          <w:spacing w:val="0"/>
          <w:w w:val="100"/>
          <w:position w:val="0"/>
        </w:rPr>
        <w:t>报告期内公司推进组织精简、流程优化，加强目标绩效管理，人效水平提升，人员费用率同比 下降。</w:t>
      </w:r>
    </w:p>
    <w:p>
      <w:pPr>
        <w:pStyle w:val="Style32"/>
        <w:keepNext w:val="0"/>
        <w:keepLines w:val="0"/>
        <w:widowControl w:val="0"/>
        <w:numPr>
          <w:ilvl w:val="0"/>
          <w:numId w:val="3"/>
        </w:numPr>
        <w:shd w:val="clear" w:color="auto" w:fill="auto"/>
        <w:tabs>
          <w:tab w:pos="1262" w:val="left"/>
        </w:tabs>
        <w:bidi w:val="0"/>
        <w:spacing w:before="0" w:after="0" w:line="473" w:lineRule="exact"/>
        <w:ind w:left="0" w:right="0" w:firstLine="860"/>
        <w:jc w:val="left"/>
      </w:pPr>
      <w:bookmarkStart w:id="142" w:name="bookmark142"/>
      <w:bookmarkEnd w:id="142"/>
      <w:r>
        <w:rPr>
          <w:color w:val="000000"/>
          <w:spacing w:val="0"/>
          <w:w w:val="100"/>
          <w:position w:val="0"/>
        </w:rPr>
        <w:t>租赁费率变动的主要原因</w:t>
      </w:r>
    </w:p>
    <w:p>
      <w:pPr>
        <w:pStyle w:val="Style32"/>
        <w:keepNext w:val="0"/>
        <w:keepLines w:val="0"/>
        <w:widowControl w:val="0"/>
        <w:shd w:val="clear" w:color="auto" w:fill="auto"/>
        <w:bidi w:val="0"/>
        <w:spacing w:before="0" w:after="220" w:line="473" w:lineRule="exact"/>
        <w:ind w:left="380" w:right="0" w:firstLine="480"/>
        <w:jc w:val="both"/>
      </w:pPr>
      <w:r>
        <w:rPr>
          <w:color w:val="000000"/>
          <w:spacing w:val="0"/>
          <w:w w:val="100"/>
          <w:position w:val="0"/>
        </w:rPr>
        <w:t>报告期内公司加强店面结构优化，加大互联网类型店面云店、苏宁易购服务站等的布局，注重 单店经营质量提升，可比店面收入逐季度改善。门店面积加快调整，积极实施退租、转租，提高店 面坪效，带来租赁费用率同比下降。</w:t>
      </w:r>
    </w:p>
    <w:p>
      <w:pPr>
        <w:pStyle w:val="Style32"/>
        <w:keepNext w:val="0"/>
        <w:keepLines w:val="0"/>
        <w:widowControl w:val="0"/>
        <w:numPr>
          <w:ilvl w:val="0"/>
          <w:numId w:val="3"/>
        </w:numPr>
        <w:shd w:val="clear" w:color="auto" w:fill="auto"/>
        <w:tabs>
          <w:tab w:pos="1262" w:val="left"/>
        </w:tabs>
        <w:bidi w:val="0"/>
        <w:spacing w:before="0" w:after="0" w:line="468" w:lineRule="exact"/>
        <w:ind w:left="0" w:right="0" w:firstLine="860"/>
        <w:jc w:val="left"/>
      </w:pPr>
      <w:bookmarkStart w:id="143" w:name="bookmark143"/>
      <w:bookmarkEnd w:id="143"/>
      <w:r>
        <w:rPr>
          <w:color w:val="000000"/>
          <w:spacing w:val="0"/>
          <w:w w:val="100"/>
          <w:position w:val="0"/>
        </w:rPr>
        <w:t>其他费用率变动的主要原因</w:t>
      </w:r>
    </w:p>
    <w:p>
      <w:pPr>
        <w:pStyle w:val="Style32"/>
        <w:keepNext w:val="0"/>
        <w:keepLines w:val="0"/>
        <w:widowControl w:val="0"/>
        <w:shd w:val="clear" w:color="auto" w:fill="auto"/>
        <w:bidi w:val="0"/>
        <w:spacing w:before="0" w:after="0" w:line="468" w:lineRule="exact"/>
        <w:ind w:left="420" w:right="0" w:firstLine="440"/>
        <w:jc w:val="left"/>
      </w:pPr>
      <w:r>
        <w:rPr>
          <w:color w:val="000000"/>
          <w:spacing w:val="0"/>
          <w:w w:val="100"/>
          <w:position w:val="0"/>
        </w:rPr>
        <w:t>为有效盘活资产，公司对部分核心自有门店、物流仓储资源开展创新型的资产证券化运作，带 来资产的摊销、折旧有所下降，使得其他费用率较去年同期有所下降。</w:t>
      </w:r>
    </w:p>
    <w:p>
      <w:pPr>
        <w:pStyle w:val="Style32"/>
        <w:keepNext w:val="0"/>
        <w:keepLines w:val="0"/>
        <w:widowControl w:val="0"/>
        <w:numPr>
          <w:ilvl w:val="0"/>
          <w:numId w:val="3"/>
        </w:numPr>
        <w:shd w:val="clear" w:color="auto" w:fill="auto"/>
        <w:tabs>
          <w:tab w:pos="1262" w:val="left"/>
        </w:tabs>
        <w:bidi w:val="0"/>
        <w:spacing w:before="0" w:after="0" w:line="468" w:lineRule="exact"/>
        <w:ind w:left="0" w:right="0" w:firstLine="860"/>
        <w:jc w:val="left"/>
      </w:pPr>
      <w:bookmarkStart w:id="144" w:name="bookmark144"/>
      <w:bookmarkEnd w:id="144"/>
      <w:r>
        <w:rPr>
          <w:color w:val="000000"/>
          <w:spacing w:val="0"/>
          <w:w w:val="100"/>
          <w:position w:val="0"/>
        </w:rPr>
        <w:t>广告促销费率变动的主要原因</w:t>
      </w:r>
    </w:p>
    <w:p>
      <w:pPr>
        <w:pStyle w:val="Style32"/>
        <w:keepNext w:val="0"/>
        <w:keepLines w:val="0"/>
        <w:widowControl w:val="0"/>
        <w:shd w:val="clear" w:color="auto" w:fill="auto"/>
        <w:bidi w:val="0"/>
        <w:spacing w:before="0" w:after="0" w:line="468" w:lineRule="exact"/>
        <w:ind w:left="420" w:right="0" w:firstLine="440"/>
        <w:jc w:val="left"/>
      </w:pPr>
      <w:r>
        <w:rPr>
          <w:color w:val="000000"/>
          <w:spacing w:val="0"/>
          <w:w w:val="100"/>
          <w:position w:val="0"/>
        </w:rPr>
        <w:t>报告期内，为拉动销售提升市场份额，公司加强线上线下联合促销力度，广告促销费有所提升， 与此同时公司强化精准营销，提升投放产出效率，广告促销费率同比基本持平。</w:t>
      </w:r>
    </w:p>
    <w:p>
      <w:pPr>
        <w:pStyle w:val="Style32"/>
        <w:keepNext w:val="0"/>
        <w:keepLines w:val="0"/>
        <w:widowControl w:val="0"/>
        <w:numPr>
          <w:ilvl w:val="0"/>
          <w:numId w:val="3"/>
        </w:numPr>
        <w:shd w:val="clear" w:color="auto" w:fill="auto"/>
        <w:tabs>
          <w:tab w:pos="1262" w:val="left"/>
        </w:tabs>
        <w:bidi w:val="0"/>
        <w:spacing w:before="0" w:after="0" w:line="468" w:lineRule="exact"/>
        <w:ind w:left="0" w:right="0" w:firstLine="860"/>
        <w:jc w:val="left"/>
      </w:pPr>
      <w:bookmarkStart w:id="145" w:name="bookmark145"/>
      <w:bookmarkEnd w:id="145"/>
      <w:r>
        <w:rPr>
          <w:color w:val="000000"/>
          <w:spacing w:val="0"/>
          <w:w w:val="100"/>
          <w:position w:val="0"/>
        </w:rPr>
        <w:t>运杂费率变动的主要原因</w:t>
      </w:r>
    </w:p>
    <w:p>
      <w:pPr>
        <w:pStyle w:val="Style32"/>
        <w:keepNext w:val="0"/>
        <w:keepLines w:val="0"/>
        <w:widowControl w:val="0"/>
        <w:shd w:val="clear" w:color="auto" w:fill="auto"/>
        <w:bidi w:val="0"/>
        <w:spacing w:before="0" w:after="0" w:line="468" w:lineRule="exact"/>
        <w:ind w:left="420" w:right="0" w:firstLine="440"/>
        <w:jc w:val="left"/>
      </w:pPr>
      <w:r>
        <w:rPr>
          <w:color w:val="000000"/>
          <w:spacing w:val="0"/>
          <w:w w:val="100"/>
          <w:position w:val="0"/>
        </w:rPr>
        <w:t>随着线上销售规模的增加，以及非电器类如母婴、超市等商品的销售规模提升，带来商品配送 费用增长较快，运杂费率较去年同期增加</w:t>
      </w:r>
      <w:r>
        <w:rPr>
          <w:rFonts w:ascii="Times New Roman" w:eastAsia="Times New Roman" w:hAnsi="Times New Roman" w:cs="Times New Roman"/>
          <w:color w:val="000000"/>
          <w:spacing w:val="0"/>
          <w:w w:val="100"/>
          <w:position w:val="0"/>
        </w:rPr>
        <w:t>0.19%</w:t>
      </w:r>
      <w:r>
        <w:rPr>
          <w:color w:val="000000"/>
          <w:spacing w:val="0"/>
          <w:w w:val="100"/>
          <w:position w:val="0"/>
        </w:rPr>
        <w:t>。公司正在加快针对小件商品的物流仓储部署，同时 加快天天快递的整合，实现双方资源的共享，基于此，公司运杂费率水平应能得到有效控制。</w:t>
      </w:r>
    </w:p>
    <w:p>
      <w:pPr>
        <w:pStyle w:val="Style32"/>
        <w:keepNext w:val="0"/>
        <w:keepLines w:val="0"/>
        <w:widowControl w:val="0"/>
        <w:numPr>
          <w:ilvl w:val="0"/>
          <w:numId w:val="3"/>
        </w:numPr>
        <w:shd w:val="clear" w:color="auto" w:fill="auto"/>
        <w:tabs>
          <w:tab w:pos="1262" w:val="left"/>
        </w:tabs>
        <w:bidi w:val="0"/>
        <w:spacing w:before="0" w:after="0" w:line="468" w:lineRule="exact"/>
        <w:ind w:left="0" w:right="0" w:firstLine="860"/>
        <w:jc w:val="left"/>
      </w:pPr>
      <w:bookmarkStart w:id="146" w:name="bookmark146"/>
      <w:bookmarkEnd w:id="146"/>
      <w:r>
        <w:rPr>
          <w:color w:val="000000"/>
          <w:spacing w:val="0"/>
          <w:w w:val="100"/>
          <w:position w:val="0"/>
        </w:rPr>
        <w:t>装潢费率、水电费率变动的主要原因</w:t>
      </w:r>
    </w:p>
    <w:p>
      <w:pPr>
        <w:pStyle w:val="Style32"/>
        <w:keepNext w:val="0"/>
        <w:keepLines w:val="0"/>
        <w:widowControl w:val="0"/>
        <w:shd w:val="clear" w:color="auto" w:fill="auto"/>
        <w:bidi w:val="0"/>
        <w:spacing w:before="0" w:after="0" w:line="468" w:lineRule="exact"/>
        <w:ind w:left="0" w:right="0" w:firstLine="860"/>
        <w:jc w:val="left"/>
      </w:pPr>
      <w:r>
        <w:rPr>
          <w:color w:val="000000"/>
          <w:spacing w:val="0"/>
          <w:w w:val="100"/>
          <w:position w:val="0"/>
        </w:rPr>
        <w:t>报告期内公司加大对低效门店的关闭，使得装潢费率、水电费率较去年同期有所下降。</w:t>
      </w:r>
    </w:p>
    <w:p>
      <w:pPr>
        <w:pStyle w:val="Style32"/>
        <w:keepNext w:val="0"/>
        <w:keepLines w:val="0"/>
        <w:widowControl w:val="0"/>
        <w:shd w:val="clear" w:color="auto" w:fill="auto"/>
        <w:bidi w:val="0"/>
        <w:spacing w:before="0" w:after="420" w:line="468" w:lineRule="exact"/>
        <w:ind w:left="420" w:right="0" w:firstLine="44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）报告期内，公司财务费用率同比增加</w:t>
      </w:r>
      <w:r>
        <w:rPr>
          <w:rFonts w:ascii="Times New Roman" w:eastAsia="Times New Roman" w:hAnsi="Times New Roman" w:cs="Times New Roman"/>
          <w:color w:val="000000"/>
          <w:spacing w:val="0"/>
          <w:w w:val="100"/>
          <w:position w:val="0"/>
        </w:rPr>
        <w:t>0.20%</w:t>
      </w:r>
      <w:r>
        <w:rPr>
          <w:color w:val="000000"/>
          <w:spacing w:val="0"/>
          <w:w w:val="100"/>
          <w:position w:val="0"/>
        </w:rPr>
        <w:t>,主要由于利率下行带来利息收入下降以及公 司计提专项贷款的利息影响。随着专项贷款的归还，以及公司强化现金管理能力，将有利于提高财 务收入水平。</w:t>
      </w:r>
    </w:p>
    <w:p>
      <w:pPr>
        <w:pStyle w:val="Style38"/>
        <w:keepNext/>
        <w:keepLines/>
        <w:widowControl w:val="0"/>
        <w:shd w:val="clear" w:color="auto" w:fill="auto"/>
        <w:bidi w:val="0"/>
        <w:spacing w:before="0" w:after="0" w:line="444" w:lineRule="auto"/>
        <w:ind w:left="0" w:right="0"/>
        <w:jc w:val="left"/>
      </w:pPr>
      <w:bookmarkStart w:id="147" w:name="bookmark147"/>
      <w:bookmarkStart w:id="148" w:name="bookmark148"/>
      <w:bookmarkStart w:id="149" w:name="bookmark149"/>
      <w:bookmarkStart w:id="150" w:name="bookmark150"/>
      <w:r>
        <w:rPr>
          <w:rFonts w:ascii="Times New Roman" w:eastAsia="Times New Roman" w:hAnsi="Times New Roman" w:cs="Times New Roman"/>
          <w:color w:val="000000"/>
          <w:spacing w:val="0"/>
          <w:w w:val="100"/>
          <w:position w:val="0"/>
        </w:rPr>
        <w:t>4</w:t>
      </w:r>
      <w:bookmarkEnd w:id="149"/>
      <w:r>
        <w:rPr>
          <w:color w:val="000000"/>
          <w:spacing w:val="0"/>
          <w:w w:val="100"/>
          <w:position w:val="0"/>
        </w:rPr>
        <w:t>、研发投入</w:t>
      </w:r>
      <w:bookmarkEnd w:id="147"/>
      <w:bookmarkEnd w:id="148"/>
      <w:bookmarkEnd w:id="150"/>
    </w:p>
    <w:p>
      <w:pPr>
        <w:pStyle w:val="Style32"/>
        <w:keepNext w:val="0"/>
        <w:keepLines w:val="0"/>
        <w:widowControl w:val="0"/>
        <w:shd w:val="clear" w:color="auto" w:fill="auto"/>
        <w:bidi w:val="0"/>
        <w:spacing w:before="0" w:after="240" w:line="468" w:lineRule="exact"/>
        <w:ind w:left="420" w:right="0" w:firstLine="440"/>
        <w:jc w:val="both"/>
      </w:pPr>
      <w:r>
        <w:rPr>
          <w:rFonts w:ascii="Times New Roman" w:eastAsia="Times New Roman" w:hAnsi="Times New Roman" w:cs="Times New Roman"/>
          <w:color w:val="000000"/>
          <w:spacing w:val="0"/>
          <w:w w:val="100"/>
          <w:position w:val="0"/>
        </w:rPr>
        <w:t>IT</w:t>
      </w:r>
      <w:r>
        <w:rPr>
          <w:color w:val="000000"/>
          <w:spacing w:val="0"/>
          <w:w w:val="100"/>
          <w:position w:val="0"/>
        </w:rPr>
        <w:t>是公司发展互联网零售模式的重要支撑，公司已经搭建了完整的互联网研发架构体系。报告 期内公司</w:t>
      </w:r>
      <w:r>
        <w:rPr>
          <w:rFonts w:ascii="Times New Roman" w:eastAsia="Times New Roman" w:hAnsi="Times New Roman" w:cs="Times New Roman"/>
          <w:color w:val="000000"/>
          <w:spacing w:val="0"/>
          <w:w w:val="100"/>
          <w:position w:val="0"/>
        </w:rPr>
        <w:t>IT</w:t>
      </w:r>
      <w:r>
        <w:rPr>
          <w:color w:val="000000"/>
          <w:spacing w:val="0"/>
          <w:w w:val="100"/>
          <w:position w:val="0"/>
        </w:rPr>
        <w:t>资源主要投入硬件系统的稳定升级，做好基础保障；围绕大数据加快各类应用研发，实 现对消费者、商户的服务体验提升，形成差异化竞争优势；打造柔性</w:t>
      </w:r>
      <w:r>
        <w:rPr>
          <w:rFonts w:ascii="Times New Roman" w:eastAsia="Times New Roman" w:hAnsi="Times New Roman" w:cs="Times New Roman"/>
          <w:color w:val="000000"/>
          <w:spacing w:val="0"/>
          <w:w w:val="100"/>
          <w:position w:val="0"/>
        </w:rPr>
        <w:t>IT</w:t>
      </w:r>
      <w:r>
        <w:rPr>
          <w:color w:val="000000"/>
          <w:spacing w:val="0"/>
          <w:w w:val="100"/>
          <w:position w:val="0"/>
        </w:rPr>
        <w:t>系统，为内部管理的不断创 新优化提供有力支撑。与此同时，报告期内公司通过优化</w:t>
      </w:r>
      <w:r>
        <w:rPr>
          <w:rFonts w:ascii="Times New Roman" w:eastAsia="Times New Roman" w:hAnsi="Times New Roman" w:cs="Times New Roman"/>
          <w:color w:val="000000"/>
          <w:spacing w:val="0"/>
          <w:w w:val="100"/>
          <w:position w:val="0"/>
        </w:rPr>
        <w:t>IT</w:t>
      </w:r>
      <w:r>
        <w:rPr>
          <w:color w:val="000000"/>
          <w:spacing w:val="0"/>
          <w:w w:val="100"/>
          <w:position w:val="0"/>
        </w:rPr>
        <w:t>组织架构，加强绩效考核，提升人效。 同时，加大金融</w:t>
      </w:r>
      <w:r>
        <w:rPr>
          <w:rFonts w:ascii="Times New Roman" w:eastAsia="Times New Roman" w:hAnsi="Times New Roman" w:cs="Times New Roman"/>
          <w:color w:val="000000"/>
          <w:spacing w:val="0"/>
          <w:w w:val="100"/>
          <w:position w:val="0"/>
        </w:rPr>
        <w:t>IT</w:t>
      </w:r>
      <w:r>
        <w:rPr>
          <w:color w:val="000000"/>
          <w:spacing w:val="0"/>
          <w:w w:val="100"/>
          <w:position w:val="0"/>
        </w:rPr>
        <w:t>研发人员团队建设，增强金融业务发展能力。</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报告期内，公司研发投入情况如下:</w:t>
      </w:r>
    </w:p>
    <w:tbl>
      <w:tblPr>
        <w:tblOverlap w:val="never"/>
        <w:jc w:val="center"/>
        <w:tblLayout w:type="fixed"/>
      </w:tblPr>
      <w:tblGrid>
        <w:gridCol w:w="3658"/>
        <w:gridCol w:w="1968"/>
        <w:gridCol w:w="1973"/>
        <w:gridCol w:w="1978"/>
      </w:tblGrid>
      <w:tr>
        <w:trPr>
          <w:trHeight w:val="302"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p>
        </w:tc>
        <w:tc>
          <w:tcPr>
            <w:tcBorders>
              <w:top w:val="single" w:sz="4"/>
              <w:left w:val="single" w:sz="4"/>
              <w:righ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变动比例</w:t>
            </w:r>
          </w:p>
        </w:tc>
      </w:tr>
      <w:tr>
        <w:trPr>
          <w:trHeight w:val="298" w:hRule="exact"/>
        </w:trPr>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研发人员数量（人）</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3,754</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4,014</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-6.48%</w:t>
            </w:r>
          </w:p>
        </w:tc>
      </w:tr>
      <w:tr>
        <w:trPr>
          <w:trHeight w:val="293" w:hRule="exact"/>
        </w:trPr>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研发人员数量占比</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6.22%</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6.23%</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-0.01%</w:t>
            </w:r>
          </w:p>
        </w:tc>
      </w:tr>
      <w:tr>
        <w:trPr>
          <w:trHeight w:val="298" w:hRule="exact"/>
        </w:trPr>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研发投入金额（千元）</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1,257,983</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1,007,014</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24.92%</w:t>
            </w:r>
          </w:p>
        </w:tc>
      </w:tr>
      <w:tr>
        <w:trPr>
          <w:trHeight w:val="293" w:hRule="exact"/>
        </w:trPr>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研发投入占营业收入比例</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0.85%</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0.74%</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0.11%</w:t>
            </w:r>
          </w:p>
        </w:tc>
      </w:tr>
      <w:tr>
        <w:trPr>
          <w:trHeight w:val="298" w:hRule="exact"/>
        </w:trPr>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研发投入资本化的金额（千元）</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1,744</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22,778</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-92.34%</w:t>
            </w:r>
          </w:p>
        </w:tc>
      </w:tr>
      <w:tr>
        <w:trPr>
          <w:trHeight w:val="298" w:hRule="exact"/>
        </w:trPr>
        <w:tc>
          <w:tcPr>
            <w:tcBorders>
              <w:top w:val="single" w:sz="4"/>
              <w:left w:val="single" w:sz="4"/>
              <w:bottom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资本化研发投入占研发投入的比例</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0.14%</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2.26%</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-2.12%</w:t>
            </w:r>
          </w:p>
        </w:tc>
      </w:tr>
    </w:tbl>
    <w:p>
      <w:pPr>
        <w:pStyle w:val="Style25"/>
        <w:keepNext w:val="0"/>
        <w:keepLines w:val="0"/>
        <w:widowControl w:val="0"/>
        <w:shd w:val="clear" w:color="auto" w:fill="auto"/>
        <w:bidi w:val="0"/>
        <w:spacing w:before="0" w:after="0" w:line="240" w:lineRule="auto"/>
        <w:ind w:left="101" w:right="0" w:firstLine="0"/>
        <w:jc w:val="left"/>
        <w:rPr>
          <w:sz w:val="20"/>
          <w:szCs w:val="20"/>
        </w:rPr>
      </w:pPr>
      <w:r>
        <w:rPr>
          <w:color w:val="000000"/>
          <w:spacing w:val="0"/>
          <w:w w:val="100"/>
          <w:position w:val="0"/>
          <w:sz w:val="20"/>
          <w:szCs w:val="20"/>
        </w:rPr>
        <w:t>注</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sz w:val="20"/>
          <w:szCs w:val="20"/>
        </w:rPr>
        <w:t>年研发人员不包括</w:t>
      </w:r>
      <w:r>
        <w:rPr>
          <w:rFonts w:ascii="Times New Roman" w:eastAsia="Times New Roman" w:hAnsi="Times New Roman" w:cs="Times New Roman"/>
          <w:color w:val="000000"/>
          <w:spacing w:val="0"/>
          <w:w w:val="100"/>
          <w:position w:val="0"/>
          <w:sz w:val="20"/>
          <w:szCs w:val="20"/>
        </w:rPr>
        <w:t>PPTV</w:t>
      </w:r>
      <w:r>
        <w:rPr>
          <w:color w:val="000000"/>
          <w:spacing w:val="0"/>
          <w:w w:val="100"/>
          <w:position w:val="0"/>
          <w:sz w:val="20"/>
          <w:szCs w:val="20"/>
        </w:rPr>
        <w:t>研发人员（</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月公司完成</w:t>
      </w:r>
      <w:r>
        <w:rPr>
          <w:rFonts w:ascii="Times New Roman" w:eastAsia="Times New Roman" w:hAnsi="Times New Roman" w:cs="Times New Roman"/>
          <w:color w:val="000000"/>
          <w:spacing w:val="0"/>
          <w:w w:val="100"/>
          <w:position w:val="0"/>
          <w:sz w:val="20"/>
          <w:szCs w:val="20"/>
        </w:rPr>
        <w:t>PPTV</w:t>
      </w:r>
      <w:r>
        <w:rPr>
          <w:color w:val="000000"/>
          <w:spacing w:val="0"/>
          <w:w w:val="100"/>
          <w:position w:val="0"/>
          <w:sz w:val="20"/>
          <w:szCs w:val="20"/>
        </w:rPr>
        <w:t>股权转让，</w:t>
      </w:r>
      <w:r>
        <w:rPr>
          <w:rFonts w:ascii="Times New Roman" w:eastAsia="Times New Roman" w:hAnsi="Times New Roman" w:cs="Times New Roman"/>
          <w:color w:val="000000"/>
          <w:spacing w:val="0"/>
          <w:w w:val="100"/>
          <w:position w:val="0"/>
          <w:sz w:val="20"/>
          <w:szCs w:val="20"/>
        </w:rPr>
        <w:t>PPTV</w:t>
      </w:r>
      <w:r>
        <w:rPr>
          <w:color w:val="000000"/>
          <w:spacing w:val="0"/>
          <w:w w:val="100"/>
          <w:position w:val="0"/>
          <w:sz w:val="20"/>
          <w:szCs w:val="20"/>
        </w:rPr>
        <w:t>不再纳入公</w:t>
      </w:r>
    </w:p>
    <w:p>
      <w:pPr>
        <w:widowControl w:val="0"/>
        <w:spacing w:after="239" w:line="1" w:lineRule="exact"/>
      </w:pPr>
    </w:p>
    <w:p>
      <w:pPr>
        <w:pStyle w:val="Style32"/>
        <w:keepNext w:val="0"/>
        <w:keepLines w:val="0"/>
        <w:widowControl w:val="0"/>
        <w:shd w:val="clear" w:color="auto" w:fill="auto"/>
        <w:bidi w:val="0"/>
        <w:spacing w:before="0" w:after="240" w:line="240" w:lineRule="auto"/>
        <w:ind w:left="0" w:right="0" w:firstLine="420"/>
        <w:jc w:val="both"/>
        <w:rPr>
          <w:sz w:val="20"/>
          <w:szCs w:val="20"/>
        </w:rPr>
      </w:pPr>
      <w:r>
        <w:rPr>
          <w:color w:val="000000"/>
          <w:spacing w:val="0"/>
          <w:w w:val="100"/>
          <w:position w:val="0"/>
          <w:sz w:val="20"/>
          <w:szCs w:val="20"/>
        </w:rPr>
        <w:t>司合并报表）。</w:t>
      </w:r>
    </w:p>
    <w:p>
      <w:pPr>
        <w:pStyle w:val="Style32"/>
        <w:keepNext w:val="0"/>
        <w:keepLines w:val="0"/>
        <w:widowControl w:val="0"/>
        <w:shd w:val="clear" w:color="auto" w:fill="auto"/>
        <w:bidi w:val="0"/>
        <w:spacing w:before="0" w:after="680" w:line="240" w:lineRule="auto"/>
        <w:ind w:left="0" w:right="0" w:firstLine="840"/>
        <w:jc w:val="left"/>
        <w:rPr>
          <w:sz w:val="20"/>
          <w:szCs w:val="20"/>
        </w:rPr>
      </w:pPr>
      <w:r>
        <w:rPr>
          <w:color w:val="000000"/>
          <w:spacing w:val="0"/>
          <w:w w:val="100"/>
          <w:position w:val="0"/>
          <w:sz w:val="20"/>
          <w:szCs w:val="20"/>
        </w:rPr>
        <w:t>注</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：研发投入统计范围主要为公司</w:t>
      </w:r>
      <w:r>
        <w:rPr>
          <w:rFonts w:ascii="Times New Roman" w:eastAsia="Times New Roman" w:hAnsi="Times New Roman" w:cs="Times New Roman"/>
          <w:color w:val="000000"/>
          <w:spacing w:val="0"/>
          <w:w w:val="100"/>
          <w:position w:val="0"/>
          <w:sz w:val="20"/>
          <w:szCs w:val="20"/>
        </w:rPr>
        <w:t>IT</w:t>
      </w:r>
      <w:r>
        <w:rPr>
          <w:color w:val="000000"/>
          <w:spacing w:val="0"/>
          <w:w w:val="100"/>
          <w:position w:val="0"/>
          <w:sz w:val="20"/>
          <w:szCs w:val="20"/>
        </w:rPr>
        <w:t>人员薪资以及</w:t>
      </w:r>
      <w:r>
        <w:rPr>
          <w:rFonts w:ascii="Times New Roman" w:eastAsia="Times New Roman" w:hAnsi="Times New Roman" w:cs="Times New Roman"/>
          <w:color w:val="000000"/>
          <w:spacing w:val="0"/>
          <w:w w:val="100"/>
          <w:position w:val="0"/>
          <w:sz w:val="20"/>
          <w:szCs w:val="20"/>
        </w:rPr>
        <w:t>IT</w:t>
      </w:r>
      <w:r>
        <w:rPr>
          <w:color w:val="000000"/>
          <w:spacing w:val="0"/>
          <w:w w:val="100"/>
          <w:position w:val="0"/>
          <w:sz w:val="20"/>
          <w:szCs w:val="20"/>
        </w:rPr>
        <w:t>相关硬件投入等。</w:t>
      </w:r>
    </w:p>
    <w:p>
      <w:pPr>
        <w:pStyle w:val="Style32"/>
        <w:keepNext w:val="0"/>
        <w:keepLines w:val="0"/>
        <w:widowControl w:val="0"/>
        <w:shd w:val="clear" w:color="auto" w:fill="auto"/>
        <w:bidi w:val="0"/>
        <w:spacing w:before="0" w:after="200" w:line="240" w:lineRule="auto"/>
        <w:ind w:left="0" w:right="0" w:firstLine="840"/>
        <w:jc w:val="left"/>
      </w:pPr>
      <w:r>
        <w:rPr>
          <w:color w:val="000000"/>
          <w:spacing w:val="0"/>
          <w:w w:val="100"/>
          <w:position w:val="0"/>
        </w:rPr>
        <w:t>研发投入总额占营业收入的比重较上年发生显著变化的原因</w:t>
      </w:r>
    </w:p>
    <w:p>
      <w:pPr>
        <w:pStyle w:val="Style32"/>
        <w:keepNext w:val="0"/>
        <w:keepLines w:val="0"/>
        <w:widowControl w:val="0"/>
        <w:shd w:val="clear" w:color="auto" w:fill="auto"/>
        <w:bidi w:val="0"/>
        <w:spacing w:before="0" w:after="680" w:line="240" w:lineRule="auto"/>
        <w:ind w:left="0" w:right="0" w:firstLine="84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2"/>
        <w:keepNext w:val="0"/>
        <w:keepLines w:val="0"/>
        <w:widowControl w:val="0"/>
        <w:shd w:val="clear" w:color="auto" w:fill="auto"/>
        <w:bidi w:val="0"/>
        <w:spacing w:before="0" w:after="200" w:line="240" w:lineRule="auto"/>
        <w:ind w:left="0" w:right="0" w:firstLine="840"/>
        <w:jc w:val="left"/>
      </w:pPr>
      <w:r>
        <w:rPr>
          <w:color w:val="000000"/>
          <w:spacing w:val="0"/>
          <w:w w:val="100"/>
          <w:position w:val="0"/>
        </w:rPr>
        <w:t>研发投入资本化率大幅变动的原因及其合理性说明</w:t>
      </w:r>
    </w:p>
    <w:p>
      <w:pPr>
        <w:pStyle w:val="Style32"/>
        <w:keepNext w:val="0"/>
        <w:keepLines w:val="0"/>
        <w:widowControl w:val="0"/>
        <w:shd w:val="clear" w:color="auto" w:fill="auto"/>
        <w:bidi w:val="0"/>
        <w:spacing w:before="0" w:after="200" w:line="240" w:lineRule="auto"/>
        <w:ind w:left="0" w:right="0" w:firstLine="84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2"/>
        <w:keepNext w:val="0"/>
        <w:keepLines w:val="0"/>
        <w:widowControl w:val="0"/>
        <w:shd w:val="clear" w:color="auto" w:fill="auto"/>
        <w:bidi w:val="0"/>
        <w:spacing w:before="0" w:after="400" w:line="240" w:lineRule="auto"/>
        <w:ind w:left="0" w:right="0" w:firstLine="840"/>
        <w:jc w:val="left"/>
      </w:pPr>
      <w:r>
        <w:rPr>
          <w:color w:val="000000"/>
          <w:spacing w:val="0"/>
          <w:w w:val="100"/>
          <w:position w:val="0"/>
        </w:rPr>
        <w:t>报告期内研发投入确认费用化金额有所增加，研发投入资本化金额较去年同期减少。</w:t>
      </w:r>
    </w:p>
    <w:p>
      <w:pPr>
        <w:pStyle w:val="Style38"/>
        <w:keepNext/>
        <w:keepLines/>
        <w:widowControl w:val="0"/>
        <w:shd w:val="clear" w:color="auto" w:fill="auto"/>
        <w:bidi w:val="0"/>
        <w:spacing w:before="0" w:after="320" w:line="240" w:lineRule="auto"/>
        <w:ind w:left="0" w:right="0"/>
        <w:jc w:val="left"/>
      </w:pPr>
      <w:bookmarkStart w:id="151" w:name="bookmark151"/>
      <w:bookmarkStart w:id="152" w:name="bookmark152"/>
      <w:bookmarkStart w:id="153" w:name="bookmark153"/>
      <w:bookmarkStart w:id="154" w:name="bookmark154"/>
      <w:r>
        <w:rPr>
          <w:rFonts w:ascii="Times New Roman" w:eastAsia="Times New Roman" w:hAnsi="Times New Roman" w:cs="Times New Roman"/>
          <w:color w:val="000000"/>
          <w:spacing w:val="0"/>
          <w:w w:val="100"/>
          <w:position w:val="0"/>
        </w:rPr>
        <w:t>5</w:t>
      </w:r>
      <w:bookmarkEnd w:id="153"/>
      <w:r>
        <w:rPr>
          <w:color w:val="000000"/>
          <w:spacing w:val="0"/>
          <w:w w:val="100"/>
          <w:position w:val="0"/>
        </w:rPr>
        <w:t>、现金流</w:t>
      </w:r>
      <w:bookmarkEnd w:id="151"/>
      <w:bookmarkEnd w:id="152"/>
      <w:bookmarkEnd w:id="154"/>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单位：千元</w:t>
      </w:r>
    </w:p>
    <w:tbl>
      <w:tblPr>
        <w:tblOverlap w:val="never"/>
        <w:jc w:val="center"/>
        <w:tblLayout w:type="fixed"/>
      </w:tblPr>
      <w:tblGrid>
        <w:gridCol w:w="3125"/>
        <w:gridCol w:w="2146"/>
        <w:gridCol w:w="2150"/>
        <w:gridCol w:w="2155"/>
      </w:tblGrid>
      <w:tr>
        <w:trPr>
          <w:trHeight w:val="298"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p>
        </w:tc>
        <w:tc>
          <w:tcPr>
            <w:tcBorders>
              <w:top w:val="single" w:sz="4"/>
              <w:left w:val="single" w:sz="4"/>
              <w:righ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298" w:hRule="exact"/>
        </w:trPr>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177,256,248</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159,960,798</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10.81%</w:t>
            </w:r>
          </w:p>
        </w:tc>
      </w:tr>
      <w:tr>
        <w:trPr>
          <w:trHeight w:val="298" w:hRule="exact"/>
        </w:trPr>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173,417,013</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158,227,459</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9.60%</w:t>
            </w:r>
          </w:p>
        </w:tc>
      </w:tr>
      <w:tr>
        <w:trPr>
          <w:trHeight w:val="293" w:hRule="exact"/>
        </w:trPr>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3,839,235</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1,733,339</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121.49%</w:t>
            </w:r>
          </w:p>
        </w:tc>
      </w:tr>
      <w:tr>
        <w:trPr>
          <w:trHeight w:val="298" w:hRule="exact"/>
        </w:trPr>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125,956,968</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71,225,628</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76.84%</w:t>
            </w:r>
          </w:p>
        </w:tc>
      </w:tr>
      <w:tr>
        <w:trPr>
          <w:trHeight w:val="293" w:hRule="exact"/>
        </w:trPr>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165,569,492</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71,511,813</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131.53%</w:t>
            </w:r>
          </w:p>
        </w:tc>
      </w:tr>
      <w:tr>
        <w:trPr>
          <w:trHeight w:val="298" w:hRule="exact"/>
        </w:trPr>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-39,612,524</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-286,185</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13741.58%</w:t>
            </w:r>
          </w:p>
        </w:tc>
      </w:tr>
      <w:tr>
        <w:trPr>
          <w:trHeight w:val="293" w:hRule="exact"/>
        </w:trPr>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48,893,108</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6,421,291</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661.42%</w:t>
            </w:r>
          </w:p>
        </w:tc>
      </w:tr>
      <w:tr>
        <w:trPr>
          <w:trHeight w:val="298" w:hRule="exact"/>
        </w:trPr>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12,135,044</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3,524,916</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244.26%</w:t>
            </w:r>
          </w:p>
        </w:tc>
      </w:tr>
      <w:tr>
        <w:trPr>
          <w:trHeight w:val="293" w:hRule="exact"/>
        </w:trPr>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36,758,064</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2,896,375</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1169.11%</w:t>
            </w:r>
          </w:p>
        </w:tc>
      </w:tr>
      <w:tr>
        <w:trPr>
          <w:trHeight w:val="302" w:hRule="exact"/>
        </w:trPr>
        <w:tc>
          <w:tcPr>
            <w:tcBorders>
              <w:top w:val="single" w:sz="4"/>
              <w:left w:val="single" w:sz="4"/>
              <w:bottom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1,083,541</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4,520,594</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-76.03%</w:t>
            </w:r>
          </w:p>
        </w:tc>
      </w:tr>
    </w:tbl>
    <w:p>
      <w:pPr>
        <w:widowControl w:val="0"/>
        <w:spacing w:after="39" w:line="1" w:lineRule="exact"/>
      </w:pPr>
    </w:p>
    <w:p>
      <w:pPr>
        <w:pStyle w:val="Style32"/>
        <w:keepNext w:val="0"/>
        <w:keepLines w:val="0"/>
        <w:widowControl w:val="0"/>
        <w:shd w:val="clear" w:color="auto" w:fill="auto"/>
        <w:bidi w:val="0"/>
        <w:spacing w:before="0" w:after="0" w:line="471" w:lineRule="exact"/>
        <w:ind w:left="0" w:right="0" w:firstLine="840"/>
        <w:jc w:val="left"/>
      </w:pPr>
      <w:r>
        <w:rPr>
          <w:color w:val="000000"/>
          <w:spacing w:val="0"/>
          <w:w w:val="100"/>
          <w:position w:val="0"/>
        </w:rPr>
        <w:t>相关数据同比发生重大变动的主要影响因素说明</w:t>
      </w:r>
    </w:p>
    <w:p>
      <w:pPr>
        <w:pStyle w:val="Style32"/>
        <w:keepNext w:val="0"/>
        <w:keepLines w:val="0"/>
        <w:widowControl w:val="0"/>
        <w:shd w:val="clear" w:color="auto" w:fill="auto"/>
        <w:bidi w:val="0"/>
        <w:spacing w:before="0" w:after="0" w:line="471" w:lineRule="exact"/>
        <w:ind w:left="420" w:right="0" w:firstLine="440"/>
        <w:jc w:val="left"/>
      </w:pPr>
      <w:r>
        <w:rPr>
          <w:color w:val="000000"/>
          <w:spacing w:val="0"/>
          <w:w w:val="100"/>
          <w:position w:val="0"/>
        </w:rPr>
        <w:t>报告期内公司经营活动产生的现金流量净额较同期增加</w:t>
      </w:r>
      <w:r>
        <w:rPr>
          <w:rFonts w:ascii="Times New Roman" w:eastAsia="Times New Roman" w:hAnsi="Times New Roman" w:cs="Times New Roman"/>
          <w:color w:val="000000"/>
          <w:spacing w:val="0"/>
          <w:w w:val="100"/>
          <w:position w:val="0"/>
        </w:rPr>
        <w:t>121.49%</w:t>
      </w:r>
      <w:r>
        <w:rPr>
          <w:color w:val="000000"/>
          <w:spacing w:val="0"/>
          <w:w w:val="100"/>
          <w:position w:val="0"/>
        </w:rPr>
        <w:t>,主要由于报告期内公司加强商 品供应链管理，存货周转率提高，此外收到北京京朝苏宁归还的往来款。</w:t>
      </w:r>
    </w:p>
    <w:p>
      <w:pPr>
        <w:pStyle w:val="Style32"/>
        <w:keepNext w:val="0"/>
        <w:keepLines w:val="0"/>
        <w:widowControl w:val="0"/>
        <w:shd w:val="clear" w:color="auto" w:fill="auto"/>
        <w:bidi w:val="0"/>
        <w:spacing w:before="0" w:after="0" w:line="471" w:lineRule="exact"/>
        <w:ind w:left="420" w:right="0" w:firstLine="440"/>
        <w:jc w:val="left"/>
      </w:pPr>
      <w:r>
        <w:rPr>
          <w:color w:val="000000"/>
          <w:spacing w:val="0"/>
          <w:w w:val="100"/>
          <w:position w:val="0"/>
        </w:rPr>
        <w:t xml:space="preserve">报告期内投资活动产生的现金流量净流出额较大，主要由于一方面报告期内公司出资人民币约 </w:t>
      </w:r>
      <w:r>
        <w:rPr>
          <w:rFonts w:ascii="Times New Roman" w:eastAsia="Times New Roman" w:hAnsi="Times New Roman" w:cs="Times New Roman"/>
          <w:color w:val="000000"/>
          <w:spacing w:val="0"/>
          <w:w w:val="100"/>
          <w:position w:val="0"/>
        </w:rPr>
        <w:t>140</w:t>
      </w:r>
      <w:r>
        <w:rPr>
          <w:color w:val="000000"/>
          <w:spacing w:val="0"/>
          <w:w w:val="100"/>
          <w:position w:val="0"/>
        </w:rPr>
        <w:t>亿元认购阿里巴巴集团发行普通股份，另一方面报告期内公司合理规划，增加购买理财产品，提 高资金使用效率，带来投资活动现金净流出。</w:t>
      </w:r>
    </w:p>
    <w:p>
      <w:pPr>
        <w:pStyle w:val="Style32"/>
        <w:keepNext w:val="0"/>
        <w:keepLines w:val="0"/>
        <w:widowControl w:val="0"/>
        <w:shd w:val="clear" w:color="auto" w:fill="auto"/>
        <w:bidi w:val="0"/>
        <w:spacing w:before="0" w:after="0" w:line="471" w:lineRule="exact"/>
        <w:ind w:left="420" w:right="0" w:firstLine="440"/>
        <w:jc w:val="left"/>
      </w:pPr>
      <w:r>
        <w:rPr>
          <w:color w:val="000000"/>
          <w:spacing w:val="0"/>
          <w:w w:val="100"/>
          <w:position w:val="0"/>
        </w:rPr>
        <w:t>报告期内公司筹资活动产生的现金流量净额较同期增加</w:t>
      </w:r>
      <w:r>
        <w:rPr>
          <w:rFonts w:ascii="Times New Roman" w:eastAsia="Times New Roman" w:hAnsi="Times New Roman" w:cs="Times New Roman"/>
          <w:color w:val="000000"/>
          <w:spacing w:val="0"/>
          <w:w w:val="100"/>
          <w:position w:val="0"/>
        </w:rPr>
        <w:t>1169.11%</w:t>
      </w:r>
      <w:r>
        <w:rPr>
          <w:color w:val="000000"/>
          <w:spacing w:val="0"/>
          <w:w w:val="100"/>
          <w:position w:val="0"/>
        </w:rPr>
        <w:t>,主要原因是报告期内公司实 施完成非公开发行普通股股份，募集资金净额</w:t>
      </w:r>
      <w:r>
        <w:rPr>
          <w:rFonts w:ascii="Times New Roman" w:eastAsia="Times New Roman" w:hAnsi="Times New Roman" w:cs="Times New Roman"/>
          <w:color w:val="000000"/>
          <w:spacing w:val="0"/>
          <w:w w:val="100"/>
          <w:position w:val="0"/>
        </w:rPr>
        <w:t>290.85</w:t>
      </w:r>
      <w:r>
        <w:rPr>
          <w:color w:val="000000"/>
          <w:spacing w:val="0"/>
          <w:w w:val="100"/>
          <w:position w:val="0"/>
        </w:rPr>
        <w:t>亿元，以及公司子公司苏宁金服完成</w:t>
      </w:r>
      <w:r>
        <w:rPr>
          <w:rFonts w:ascii="Times New Roman" w:eastAsia="Times New Roman" w:hAnsi="Times New Roman" w:cs="Times New Roman"/>
          <w:color w:val="000000"/>
          <w:spacing w:val="0"/>
          <w:w w:val="100"/>
          <w:position w:val="0"/>
        </w:rPr>
        <w:t>58.33</w:t>
      </w:r>
      <w:r>
        <w:rPr>
          <w:color w:val="000000"/>
          <w:spacing w:val="0"/>
          <w:w w:val="100"/>
          <w:position w:val="0"/>
        </w:rPr>
        <w:t>亿元 股权融资，此外申请银行专项贷款用于认购阿里巴巴股份。</w:t>
      </w:r>
    </w:p>
    <w:p>
      <w:pPr>
        <w:pStyle w:val="Style32"/>
        <w:keepNext w:val="0"/>
        <w:keepLines w:val="0"/>
        <w:widowControl w:val="0"/>
        <w:shd w:val="clear" w:color="auto" w:fill="auto"/>
        <w:bidi w:val="0"/>
        <w:spacing w:before="0" w:after="260" w:line="471" w:lineRule="exact"/>
        <w:ind w:left="0" w:right="0" w:firstLine="840"/>
        <w:jc w:val="left"/>
      </w:pPr>
      <w:r>
        <w:rPr>
          <w:color w:val="000000"/>
          <w:spacing w:val="0"/>
          <w:w w:val="100"/>
          <w:position w:val="0"/>
        </w:rPr>
        <w:t>综上，报告期内现金及现金等价物净增加额</w:t>
      </w:r>
      <w:r>
        <w:rPr>
          <w:rFonts w:ascii="Times New Roman" w:eastAsia="Times New Roman" w:hAnsi="Times New Roman" w:cs="Times New Roman"/>
          <w:color w:val="000000"/>
          <w:spacing w:val="0"/>
          <w:w w:val="100"/>
          <w:position w:val="0"/>
        </w:rPr>
        <w:t>10.84</w:t>
      </w:r>
      <w:r>
        <w:rPr>
          <w:color w:val="000000"/>
          <w:spacing w:val="0"/>
          <w:w w:val="100"/>
          <w:position w:val="0"/>
        </w:rPr>
        <w:t>亿元。</w:t>
      </w:r>
      <w:r>
        <w:br w:type="page"/>
      </w:r>
    </w:p>
    <w:p>
      <w:pPr>
        <w:pStyle w:val="Style32"/>
        <w:keepNext w:val="0"/>
        <w:keepLines w:val="0"/>
        <w:widowControl w:val="0"/>
        <w:shd w:val="clear" w:color="auto" w:fill="auto"/>
        <w:bidi w:val="0"/>
        <w:spacing w:before="0" w:after="200" w:line="240" w:lineRule="auto"/>
        <w:ind w:left="0" w:right="0" w:firstLine="860"/>
        <w:jc w:val="left"/>
      </w:pPr>
      <w:r>
        <w:rPr>
          <w:color w:val="000000"/>
          <w:spacing w:val="0"/>
          <w:w w:val="100"/>
          <w:position w:val="0"/>
        </w:rPr>
        <w:t>报告期内公司经营活动产生的现金净流量与本年度净利润存在重大差异的原因说明</w:t>
      </w:r>
    </w:p>
    <w:p>
      <w:pPr>
        <w:pStyle w:val="Style32"/>
        <w:keepNext w:val="0"/>
        <w:keepLines w:val="0"/>
        <w:widowControl w:val="0"/>
        <w:shd w:val="clear" w:color="auto" w:fill="auto"/>
        <w:bidi w:val="0"/>
        <w:spacing w:before="0" w:after="200" w:line="240" w:lineRule="auto"/>
        <w:ind w:left="0" w:right="0" w:firstLine="860"/>
        <w:jc w:val="left"/>
      </w:pPr>
      <w:r>
        <w:rPr>
          <w:color w:val="000000"/>
          <w:spacing w:val="0"/>
          <w:w w:val="100"/>
          <w:position w:val="0"/>
        </w:rPr>
        <w:t>主要由于报告期内公司加强商品供应链管理，存货周转率提升，同时公司较多地采用银行承兑</w:t>
      </w:r>
    </w:p>
    <w:p>
      <w:pPr>
        <w:pStyle w:val="Style32"/>
        <w:keepNext w:val="0"/>
        <w:keepLines w:val="0"/>
        <w:widowControl w:val="0"/>
        <w:shd w:val="clear" w:color="auto" w:fill="auto"/>
        <w:bidi w:val="0"/>
        <w:spacing w:before="0" w:after="900" w:line="240" w:lineRule="auto"/>
        <w:ind w:left="0" w:right="0" w:firstLine="420"/>
        <w:jc w:val="left"/>
      </w:pPr>
      <w:r>
        <w:rPr>
          <w:color w:val="000000"/>
          <w:spacing w:val="0"/>
          <w:w w:val="100"/>
          <w:position w:val="0"/>
        </w:rPr>
        <w:t>汇票方式支付货款。</w:t>
      </w:r>
    </w:p>
    <w:p>
      <w:pPr>
        <w:pStyle w:val="Style32"/>
        <w:keepNext w:val="0"/>
        <w:keepLines w:val="0"/>
        <w:widowControl w:val="0"/>
        <w:shd w:val="clear" w:color="auto" w:fill="auto"/>
        <w:bidi w:val="0"/>
        <w:spacing w:before="0" w:after="340" w:line="240" w:lineRule="auto"/>
        <w:ind w:left="0" w:right="0" w:firstLine="420"/>
        <w:jc w:val="left"/>
        <w:rPr>
          <w:sz w:val="24"/>
          <w:szCs w:val="24"/>
        </w:rPr>
      </w:pPr>
      <w:bookmarkStart w:id="155" w:name="bookmark155"/>
      <w:r>
        <w:rPr>
          <w:b/>
          <w:bCs/>
          <w:color w:val="000000"/>
          <w:spacing w:val="0"/>
          <w:w w:val="100"/>
          <w:position w:val="0"/>
          <w:sz w:val="24"/>
          <w:szCs w:val="24"/>
        </w:rPr>
        <w:t>三</w:t>
      </w:r>
      <w:bookmarkEnd w:id="155"/>
      <w:r>
        <w:rPr>
          <w:b/>
          <w:bCs/>
          <w:color w:val="000000"/>
          <w:spacing w:val="0"/>
          <w:w w:val="100"/>
          <w:position w:val="0"/>
          <w:sz w:val="24"/>
          <w:szCs w:val="24"/>
        </w:rPr>
        <w:t>、非主营业务分析</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单位：千元</w:t>
      </w:r>
    </w:p>
    <w:tbl>
      <w:tblPr>
        <w:tblOverlap w:val="never"/>
        <w:jc w:val="center"/>
        <w:tblLayout w:type="fixed"/>
      </w:tblPr>
      <w:tblGrid>
        <w:gridCol w:w="1531"/>
        <w:gridCol w:w="1027"/>
        <w:gridCol w:w="1133"/>
        <w:gridCol w:w="4397"/>
        <w:gridCol w:w="1493"/>
      </w:tblGrid>
      <w:tr>
        <w:trPr>
          <w:trHeight w:val="586"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280"/>
              <w:jc w:val="left"/>
            </w:pPr>
            <w:r>
              <w:rPr>
                <w:color w:val="000000"/>
                <w:spacing w:val="0"/>
                <w:w w:val="100"/>
                <w:position w:val="0"/>
              </w:rPr>
              <w:t>金额</w:t>
            </w:r>
          </w:p>
        </w:tc>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88" w:lineRule="exact"/>
              <w:ind w:left="0" w:right="0" w:firstLine="0"/>
              <w:jc w:val="center"/>
            </w:pPr>
            <w:r>
              <w:rPr>
                <w:color w:val="000000"/>
                <w:spacing w:val="0"/>
                <w:w w:val="100"/>
                <w:position w:val="0"/>
              </w:rPr>
              <w:t>占利润总 额比例</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形成原因说明</w:t>
            </w:r>
          </w:p>
        </w:tc>
        <w:tc>
          <w:tcPr>
            <w:tcBorders>
              <w:top w:val="single" w:sz="4"/>
              <w:left w:val="single" w:sz="4"/>
              <w:right w:val="single" w:sz="4"/>
            </w:tcBorders>
            <w:shd w:val="clear" w:color="auto" w:fill="D3D3D3"/>
            <w:vAlign w:val="bottom"/>
          </w:tcPr>
          <w:p>
            <w:pPr>
              <w:pStyle w:val="Style28"/>
              <w:keepNext w:val="0"/>
              <w:keepLines w:val="0"/>
              <w:widowControl w:val="0"/>
              <w:shd w:val="clear" w:color="auto" w:fill="auto"/>
              <w:bidi w:val="0"/>
              <w:spacing w:before="0" w:after="0" w:line="288" w:lineRule="exact"/>
              <w:ind w:left="0" w:right="0" w:firstLine="0"/>
              <w:jc w:val="center"/>
            </w:pPr>
            <w:r>
              <w:rPr>
                <w:color w:val="000000"/>
                <w:spacing w:val="0"/>
                <w:w w:val="100"/>
                <w:position w:val="0"/>
              </w:rPr>
              <w:t>是否具有可持 续性</w:t>
            </w:r>
          </w:p>
        </w:tc>
      </w:tr>
      <w:tr>
        <w:trPr>
          <w:trHeight w:val="1435" w:hRule="exact"/>
        </w:trPr>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1,445,420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160.44%</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84" w:lineRule="exact"/>
              <w:ind w:left="0" w:right="0" w:firstLine="0"/>
              <w:jc w:val="left"/>
            </w:pPr>
            <w:r>
              <w:rPr>
                <w:color w:val="000000"/>
                <w:spacing w:val="0"/>
                <w:w w:val="100"/>
                <w:position w:val="0"/>
              </w:rPr>
              <w:t xml:space="preserve">主要由于公司子公司向关联方苏宁电器集团 有限公司转让北京京朝苏宁电器有限公司 </w:t>
            </w:r>
            <w:r>
              <w:rPr>
                <w:rFonts w:ascii="Times New Roman" w:eastAsia="Times New Roman" w:hAnsi="Times New Roman" w:cs="Times New Roman"/>
                <w:color w:val="000000"/>
                <w:spacing w:val="0"/>
                <w:w w:val="100"/>
                <w:position w:val="0"/>
              </w:rPr>
              <w:t>100%</w:t>
            </w:r>
            <w:r>
              <w:rPr>
                <w:color w:val="000000"/>
                <w:spacing w:val="0"/>
                <w:w w:val="100"/>
                <w:position w:val="0"/>
              </w:rPr>
              <w:t>股权，增加投资收益</w:t>
            </w:r>
            <w:r>
              <w:rPr>
                <w:rFonts w:ascii="Times New Roman" w:eastAsia="Times New Roman" w:hAnsi="Times New Roman" w:cs="Times New Roman"/>
                <w:color w:val="000000"/>
                <w:spacing w:val="0"/>
                <w:w w:val="100"/>
                <w:position w:val="0"/>
              </w:rPr>
              <w:t>13.04</w:t>
            </w:r>
            <w:r>
              <w:rPr>
                <w:color w:val="000000"/>
                <w:spacing w:val="0"/>
                <w:w w:val="100"/>
                <w:position w:val="0"/>
              </w:rPr>
              <w:t>亿元；以及 公司及子公司开展投资理财，获得投资收 益。</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87" w:lineRule="exact"/>
              <w:ind w:left="0" w:right="0" w:firstLine="0"/>
              <w:jc w:val="left"/>
            </w:pPr>
            <w:r>
              <w:rPr>
                <w:color w:val="000000"/>
                <w:spacing w:val="0"/>
                <w:w w:val="100"/>
                <w:position w:val="0"/>
              </w:rPr>
              <w:t>否，公司将持 续开展投资理 财相关业务， 对投资收益产 生积极影响</w:t>
            </w:r>
          </w:p>
        </w:tc>
      </w:tr>
      <w:tr>
        <w:trPr>
          <w:trHeight w:val="2578" w:hRule="exact"/>
        </w:trPr>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83" w:lineRule="exact"/>
              <w:ind w:left="0" w:right="0" w:firstLine="0"/>
              <w:jc w:val="left"/>
            </w:pPr>
            <w:r>
              <w:rPr>
                <w:color w:val="000000"/>
                <w:spacing w:val="0"/>
                <w:w w:val="100"/>
                <w:position w:val="0"/>
              </w:rPr>
              <w:t>公允价值变动 损益</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-33,686</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-3.74%</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88" w:lineRule="exact"/>
              <w:ind w:left="0" w:right="0" w:firstLine="0"/>
              <w:jc w:val="left"/>
            </w:pPr>
            <w:r>
              <w:rPr>
                <w:color w:val="000000"/>
                <w:spacing w:val="0"/>
                <w:w w:val="100"/>
                <w:position w:val="0"/>
              </w:rPr>
              <w:t>一方面由于</w:t>
            </w:r>
            <w:r>
              <w:rPr>
                <w:rFonts w:ascii="Times New Roman" w:eastAsia="Times New Roman" w:hAnsi="Times New Roman" w:cs="Times New Roman"/>
                <w:color w:val="000000"/>
                <w:spacing w:val="0"/>
                <w:w w:val="100"/>
                <w:position w:val="0"/>
              </w:rPr>
              <w:t>2015</w:t>
            </w:r>
            <w:r>
              <w:rPr>
                <w:color w:val="000000"/>
                <w:spacing w:val="0"/>
                <w:w w:val="100"/>
                <w:position w:val="0"/>
              </w:rPr>
              <w:t>年公司子公司</w:t>
            </w:r>
            <w:r>
              <w:rPr>
                <w:rFonts w:ascii="Times New Roman" w:eastAsia="Times New Roman" w:hAnsi="Times New Roman" w:cs="Times New Roman"/>
                <w:color w:val="000000"/>
                <w:spacing w:val="0"/>
                <w:w w:val="100"/>
                <w:position w:val="0"/>
              </w:rPr>
              <w:t>GRANDA MAGIC LIMITED</w:t>
            </w:r>
            <w:r>
              <w:rPr>
                <w:color w:val="000000"/>
                <w:spacing w:val="0"/>
                <w:w w:val="100"/>
                <w:position w:val="0"/>
              </w:rPr>
              <w:t>认购日本</w:t>
            </w:r>
            <w:r>
              <w:rPr>
                <w:rFonts w:ascii="Times New Roman" w:eastAsia="Times New Roman" w:hAnsi="Times New Roman" w:cs="Times New Roman"/>
                <w:color w:val="000000"/>
                <w:spacing w:val="0"/>
                <w:w w:val="100"/>
                <w:position w:val="0"/>
              </w:rPr>
              <w:t>LAOX</w:t>
            </w:r>
            <w:r>
              <w:rPr>
                <w:color w:val="000000"/>
                <w:spacing w:val="0"/>
                <w:w w:val="100"/>
                <w:position w:val="0"/>
              </w:rPr>
              <w:t xml:space="preserve">株式会社 定向发行的新股预约权，报告期内由于 </w:t>
            </w:r>
            <w:r>
              <w:rPr>
                <w:rFonts w:ascii="Times New Roman" w:eastAsia="Times New Roman" w:hAnsi="Times New Roman" w:cs="Times New Roman"/>
                <w:color w:val="000000"/>
                <w:spacing w:val="0"/>
                <w:w w:val="100"/>
                <w:position w:val="0"/>
              </w:rPr>
              <w:t>LAOX</w:t>
            </w:r>
            <w:r>
              <w:rPr>
                <w:color w:val="000000"/>
                <w:spacing w:val="0"/>
                <w:w w:val="100"/>
                <w:position w:val="0"/>
              </w:rPr>
              <w:t>股价下跌带来新股预约权公允价值下 跌；另一方面，公司开展门店资产创新型资 产运作，为中信华夏苏宁云创一、二期资产 支持专项计划提供流动性支持增信措施，受 报告期内市场利率波动影响，相关增信措施 所引起的金融负债增加。</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440" w:hRule="exact"/>
        </w:trPr>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资产减值损失</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350,499</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38.91%</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88" w:lineRule="exact"/>
              <w:ind w:left="0" w:right="0" w:firstLine="0"/>
              <w:jc w:val="left"/>
            </w:pPr>
            <w:r>
              <w:rPr>
                <w:color w:val="000000"/>
                <w:spacing w:val="0"/>
                <w:w w:val="100"/>
                <w:position w:val="0"/>
              </w:rPr>
              <w:t>报告期内，公司计提存货跌价准备有所增 加。</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84" w:lineRule="exact"/>
              <w:ind w:left="0" w:right="0" w:firstLine="0"/>
              <w:jc w:val="left"/>
            </w:pPr>
            <w:r>
              <w:rPr>
                <w:color w:val="000000"/>
                <w:spacing w:val="0"/>
                <w:w w:val="100"/>
                <w:position w:val="0"/>
              </w:rPr>
              <w:t>是，公司资产 减值损失计提 范围均为公司 开展日常业务 所产生</w:t>
            </w:r>
          </w:p>
        </w:tc>
      </w:tr>
      <w:tr>
        <w:trPr>
          <w:trHeight w:val="1435" w:hRule="exact"/>
        </w:trPr>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1,060,157</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117.68%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88" w:lineRule="exact"/>
              <w:ind w:left="0" w:right="0" w:firstLine="0"/>
              <w:jc w:val="left"/>
            </w:pPr>
            <w:r>
              <w:rPr>
                <w:color w:val="000000"/>
                <w:spacing w:val="0"/>
                <w:w w:val="100"/>
                <w:position w:val="0"/>
              </w:rPr>
              <w:t>报告期内公司以</w:t>
            </w:r>
            <w:r>
              <w:rPr>
                <w:rFonts w:ascii="Times New Roman" w:eastAsia="Times New Roman" w:hAnsi="Times New Roman" w:cs="Times New Roman"/>
                <w:color w:val="000000"/>
                <w:spacing w:val="0"/>
                <w:w w:val="100"/>
                <w:position w:val="0"/>
              </w:rPr>
              <w:t>6</w:t>
            </w:r>
            <w:r>
              <w:rPr>
                <w:color w:val="000000"/>
                <w:spacing w:val="0"/>
                <w:w w:val="100"/>
                <w:position w:val="0"/>
              </w:rPr>
              <w:t>处仓储物业为标的资产开 展创新型资产运作，收到的转让价款与账面 价值的差额扣除相关税费后的盈余约</w:t>
            </w:r>
            <w:r>
              <w:rPr>
                <w:rFonts w:ascii="Times New Roman" w:eastAsia="Times New Roman" w:hAnsi="Times New Roman" w:cs="Times New Roman"/>
                <w:color w:val="000000"/>
                <w:spacing w:val="0"/>
                <w:w w:val="100"/>
                <w:position w:val="0"/>
              </w:rPr>
              <w:t>5.10</w:t>
            </w:r>
            <w:r>
              <w:rPr>
                <w:color w:val="000000"/>
                <w:spacing w:val="0"/>
                <w:w w:val="100"/>
                <w:position w:val="0"/>
              </w:rPr>
              <w:t>亿 元计入当期营业外收入，此外，报告期内公 司收到政府补助增加。</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586" w:hRule="exact"/>
        </w:trPr>
        <w:tc>
          <w:tcPr>
            <w:tcBorders>
              <w:top w:val="single" w:sz="4"/>
              <w:left w:val="single" w:sz="4"/>
              <w:bottom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161,322</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17.91%</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88" w:lineRule="exact"/>
              <w:ind w:left="0" w:right="0" w:firstLine="0"/>
              <w:jc w:val="left"/>
            </w:pPr>
            <w:r>
              <w:rPr>
                <w:color w:val="000000"/>
                <w:spacing w:val="0"/>
                <w:w w:val="100"/>
                <w:position w:val="0"/>
              </w:rPr>
              <w:t>营业外支出主要包括非流动资产处置损失、 罚款及违约金、对外捐赠等支出。</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pacing w:lineRule="exact" w:line="1"/>
        <w:rPr>
          <w:sz w:val="2"/>
          <w:szCs w:val="2"/>
        </w:rPr>
      </w:pPr>
      <w:r>
        <w:br w:type="page"/>
      </w:r>
    </w:p>
    <w:p>
      <w:pPr>
        <w:pStyle w:val="Style32"/>
        <w:keepNext w:val="0"/>
        <w:keepLines w:val="0"/>
        <w:widowControl w:val="0"/>
        <w:shd w:val="clear" w:color="auto" w:fill="auto"/>
        <w:bidi w:val="0"/>
        <w:spacing w:before="0" w:after="320" w:line="240" w:lineRule="auto"/>
        <w:ind w:left="0" w:right="0" w:firstLine="420"/>
        <w:jc w:val="left"/>
        <w:rPr>
          <w:sz w:val="24"/>
          <w:szCs w:val="24"/>
        </w:rPr>
      </w:pPr>
      <w:bookmarkStart w:id="156" w:name="bookmark156"/>
      <w:r>
        <w:rPr>
          <w:b/>
          <w:bCs/>
          <w:color w:val="000000"/>
          <w:spacing w:val="0"/>
          <w:w w:val="100"/>
          <w:position w:val="0"/>
          <w:sz w:val="24"/>
          <w:szCs w:val="24"/>
        </w:rPr>
        <w:t>四</w:t>
      </w:r>
      <w:bookmarkEnd w:id="156"/>
      <w:r>
        <w:rPr>
          <w:b/>
          <w:bCs/>
          <w:color w:val="000000"/>
          <w:spacing w:val="0"/>
          <w:w w:val="100"/>
          <w:position w:val="0"/>
          <w:sz w:val="24"/>
          <w:szCs w:val="24"/>
        </w:rPr>
        <w:t>、资产及负债状况分析</w:t>
      </w:r>
    </w:p>
    <w:p>
      <w:pPr>
        <w:pStyle w:val="Style38"/>
        <w:keepNext/>
        <w:keepLines/>
        <w:widowControl w:val="0"/>
        <w:shd w:val="clear" w:color="auto" w:fill="auto"/>
        <w:bidi w:val="0"/>
        <w:spacing w:before="0" w:after="320" w:line="240" w:lineRule="auto"/>
        <w:ind w:left="0" w:right="0"/>
        <w:jc w:val="left"/>
      </w:pPr>
      <w:bookmarkStart w:id="157" w:name="bookmark157"/>
      <w:bookmarkStart w:id="158" w:name="bookmark158"/>
      <w:bookmarkStart w:id="159" w:name="bookmark159"/>
      <w:bookmarkStart w:id="160" w:name="bookmark160"/>
      <w:r>
        <w:rPr>
          <w:rFonts w:ascii="Times New Roman" w:eastAsia="Times New Roman" w:hAnsi="Times New Roman" w:cs="Times New Roman"/>
          <w:color w:val="000000"/>
          <w:spacing w:val="0"/>
          <w:w w:val="100"/>
          <w:position w:val="0"/>
        </w:rPr>
        <w:t>1</w:t>
      </w:r>
      <w:bookmarkEnd w:id="159"/>
      <w:r>
        <w:rPr>
          <w:color w:val="000000"/>
          <w:spacing w:val="0"/>
          <w:w w:val="100"/>
          <w:position w:val="0"/>
        </w:rPr>
        <w:t>、资产构成重大变动情况</w:t>
      </w:r>
      <w:bookmarkEnd w:id="157"/>
      <w:bookmarkEnd w:id="158"/>
      <w:bookmarkEnd w:id="160"/>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单位：千元</w:t>
      </w:r>
    </w:p>
    <w:tbl>
      <w:tblPr>
        <w:tblOverlap w:val="never"/>
        <w:jc w:val="center"/>
        <w:tblLayout w:type="fixed"/>
      </w:tblPr>
      <w:tblGrid>
        <w:gridCol w:w="1531"/>
        <w:gridCol w:w="1286"/>
        <w:gridCol w:w="1032"/>
        <w:gridCol w:w="1234"/>
        <w:gridCol w:w="984"/>
        <w:gridCol w:w="989"/>
        <w:gridCol w:w="2808"/>
      </w:tblGrid>
      <w:tr>
        <w:trPr>
          <w:trHeight w:val="302" w:hRule="exact"/>
        </w:trPr>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巨末</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末</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比重增 减</w:t>
            </w:r>
          </w:p>
        </w:tc>
        <w:tc>
          <w:tcPr>
            <w:vMerge w:val="restart"/>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581"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83" w:lineRule="exact"/>
              <w:ind w:left="0" w:right="0" w:firstLine="0"/>
              <w:jc w:val="center"/>
            </w:pPr>
            <w:r>
              <w:rPr>
                <w:color w:val="000000"/>
                <w:spacing w:val="0"/>
                <w:w w:val="100"/>
                <w:position w:val="0"/>
              </w:rPr>
              <w:t>占总资 产比例</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金额</w:t>
            </w:r>
          </w:p>
        </w:tc>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83" w:lineRule="exact"/>
              <w:ind w:left="0" w:right="0" w:firstLine="0"/>
              <w:jc w:val="center"/>
            </w:pPr>
            <w:r>
              <w:rPr>
                <w:color w:val="000000"/>
                <w:spacing w:val="0"/>
                <w:w w:val="100"/>
                <w:position w:val="0"/>
              </w:rPr>
              <w:t>占总资 产比例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581"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83" w:lineRule="exact"/>
              <w:ind w:left="0" w:right="0" w:firstLine="0"/>
              <w:jc w:val="left"/>
            </w:pPr>
            <w:r>
              <w:rPr>
                <w:color w:val="000000"/>
                <w:spacing w:val="0"/>
                <w:w w:val="100"/>
                <w:position w:val="0"/>
              </w:rPr>
              <w:t>发放贷款及 垫款</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2,932,167</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2.14%</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1,311,668</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1.49%</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0.65%</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93" w:lineRule="exact"/>
              <w:ind w:left="0" w:right="0" w:firstLine="0"/>
              <w:jc w:val="both"/>
            </w:pPr>
            <w:r>
              <w:rPr>
                <w:color w:val="000000"/>
                <w:spacing w:val="0"/>
                <w:w w:val="100"/>
                <w:position w:val="0"/>
              </w:rPr>
              <w:t>报告期内公司小贷、保理 业务放款规模增加</w:t>
            </w:r>
          </w:p>
        </w:tc>
      </w:tr>
      <w:tr>
        <w:trPr>
          <w:trHeight w:val="1435"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86" w:lineRule="exact"/>
              <w:ind w:left="0" w:right="0" w:firstLine="0"/>
              <w:jc w:val="left"/>
            </w:pPr>
            <w:r>
              <w:rPr>
                <w:color w:val="000000"/>
                <w:spacing w:val="0"/>
                <w:w w:val="100"/>
                <w:position w:val="0"/>
              </w:rPr>
              <w:t>以公允价值 计量且其变 动计入当期 损益的金融 资产</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2,228,633</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1.62%</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678,871</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0.77%</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0.85%</w:t>
            </w:r>
          </w:p>
        </w:tc>
        <w:tc>
          <w:tcPr>
            <w:vMerge w:val="restart"/>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85" w:lineRule="exact"/>
              <w:ind w:left="0" w:right="0" w:firstLine="0"/>
              <w:jc w:val="both"/>
            </w:pPr>
            <w:r>
              <w:rPr>
                <w:color w:val="000000"/>
                <w:spacing w:val="0"/>
                <w:w w:val="100"/>
                <w:position w:val="0"/>
              </w:rPr>
              <w:t>由于公司及子公司合理规 划资金使用，开展投资理 财业务。会计核算上，根 据理财产品不同类型将其 分别计入以公允价值计量 且其变动计入当期损益的 金融资产、其他流动资 产、可供出售金融资产科 目，由此带来相关会计科 目的变动。</w:t>
            </w:r>
          </w:p>
          <w:p>
            <w:pPr>
              <w:pStyle w:val="Style28"/>
              <w:keepNext w:val="0"/>
              <w:keepLines w:val="0"/>
              <w:widowControl w:val="0"/>
              <w:shd w:val="clear" w:color="auto" w:fill="auto"/>
              <w:bidi w:val="0"/>
              <w:spacing w:before="0" w:after="0" w:line="285" w:lineRule="exact"/>
              <w:ind w:left="0" w:right="0" w:firstLine="0"/>
              <w:jc w:val="both"/>
            </w:pPr>
            <w:r>
              <w:rPr>
                <w:color w:val="000000"/>
                <w:spacing w:val="0"/>
                <w:w w:val="100"/>
                <w:position w:val="0"/>
              </w:rPr>
              <w:t>此外，报告期内，公司出 资</w:t>
            </w:r>
            <w:r>
              <w:rPr>
                <w:rFonts w:ascii="Times New Roman" w:eastAsia="Times New Roman" w:hAnsi="Times New Roman" w:cs="Times New Roman"/>
                <w:color w:val="000000"/>
                <w:spacing w:val="0"/>
                <w:w w:val="100"/>
                <w:position w:val="0"/>
              </w:rPr>
              <w:t>214,572.54</w:t>
            </w:r>
            <w:r>
              <w:rPr>
                <w:color w:val="000000"/>
                <w:spacing w:val="0"/>
                <w:w w:val="100"/>
                <w:position w:val="0"/>
              </w:rPr>
              <w:t xml:space="preserve">万美元，认 购阿里巴巴新发行股份 </w:t>
            </w:r>
            <w:r>
              <w:rPr>
                <w:rFonts w:ascii="Times New Roman" w:eastAsia="Times New Roman" w:hAnsi="Times New Roman" w:cs="Times New Roman"/>
                <w:color w:val="000000"/>
                <w:spacing w:val="0"/>
                <w:w w:val="100"/>
                <w:position w:val="0"/>
              </w:rPr>
              <w:t>26,324,689</w:t>
            </w:r>
            <w:r>
              <w:rPr>
                <w:color w:val="000000"/>
                <w:spacing w:val="0"/>
                <w:w w:val="100"/>
                <w:position w:val="0"/>
              </w:rPr>
              <w:t>股，占其发行后 总股本的</w:t>
            </w:r>
            <w:r>
              <w:rPr>
                <w:rFonts w:ascii="Times New Roman" w:eastAsia="Times New Roman" w:hAnsi="Times New Roman" w:cs="Times New Roman"/>
                <w:color w:val="000000"/>
                <w:spacing w:val="0"/>
                <w:w w:val="100"/>
                <w:position w:val="0"/>
              </w:rPr>
              <w:t>1.05%</w:t>
            </w:r>
            <w:r>
              <w:rPr>
                <w:color w:val="000000"/>
                <w:spacing w:val="0"/>
                <w:w w:val="100"/>
                <w:position w:val="0"/>
              </w:rPr>
              <w:t>，在会计 核算上计入可供出售金融 资产</w:t>
            </w:r>
          </w:p>
        </w:tc>
      </w:tr>
      <w:tr>
        <w:trPr>
          <w:trHeight w:val="581"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98" w:lineRule="exact"/>
              <w:ind w:left="0" w:right="0" w:firstLine="0"/>
              <w:jc w:val="left"/>
            </w:pPr>
            <w:r>
              <w:rPr>
                <w:color w:val="000000"/>
                <w:spacing w:val="0"/>
                <w:w w:val="100"/>
                <w:position w:val="0"/>
              </w:rPr>
              <w:t>其他流动资 产</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20,503,838</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14.95%</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3,724,748</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4.23%</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10.72%</w:t>
            </w:r>
          </w:p>
        </w:tc>
        <w:tc>
          <w:tcPr>
            <w:vMerge/>
            <w:tcBorders>
              <w:left w:val="single" w:sz="4"/>
              <w:right w:val="single" w:sz="4"/>
            </w:tcBorders>
            <w:shd w:val="clear" w:color="auto" w:fill="FFFFFF"/>
            <w:vAlign w:val="top"/>
          </w:tcPr>
          <w:p>
            <w:pPr/>
          </w:p>
        </w:tc>
      </w:tr>
      <w:tr>
        <w:trPr>
          <w:trHeight w:val="2846" w:hRule="exact"/>
        </w:trPr>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88" w:lineRule="exact"/>
              <w:ind w:left="0" w:right="0" w:firstLine="0"/>
              <w:jc w:val="left"/>
            </w:pPr>
            <w:r>
              <w:rPr>
                <w:color w:val="000000"/>
                <w:spacing w:val="0"/>
                <w:w w:val="100"/>
                <w:position w:val="0"/>
              </w:rPr>
              <w:t>可供出售金 融资产</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25,335,238</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18.47%</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1,836,900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2.09%</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16.38%</w:t>
            </w:r>
          </w:p>
        </w:tc>
        <w:tc>
          <w:tcPr>
            <w:vMerge/>
            <w:tcBorders>
              <w:left w:val="single" w:sz="4"/>
              <w:right w:val="single" w:sz="4"/>
            </w:tcBorders>
            <w:shd w:val="clear" w:color="auto" w:fill="FFFFFF"/>
            <w:vAlign w:val="top"/>
          </w:tcPr>
          <w:p>
            <w:pPr/>
          </w:p>
        </w:tc>
      </w:tr>
      <w:tr>
        <w:trPr>
          <w:trHeight w:val="864" w:hRule="exact"/>
        </w:trPr>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4,095,221</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2.99%</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2,404,829</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2.73%</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0.26%</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95" w:lineRule="exact"/>
              <w:ind w:left="0" w:right="0" w:firstLine="0"/>
              <w:jc w:val="both"/>
            </w:pPr>
            <w:r>
              <w:rPr>
                <w:color w:val="000000"/>
                <w:spacing w:val="0"/>
                <w:w w:val="100"/>
                <w:position w:val="0"/>
              </w:rPr>
              <w:t>报告期内公司开展保本保 收益理财业务以及应收子 公司股权转让款</w:t>
            </w:r>
          </w:p>
        </w:tc>
      </w:tr>
      <w:tr>
        <w:trPr>
          <w:trHeight w:val="1152" w:hRule="exact"/>
        </w:trPr>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1,103,531</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0.80%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705,617</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0.80%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91" w:lineRule="exact"/>
              <w:ind w:left="0" w:right="0" w:firstLine="0"/>
              <w:jc w:val="both"/>
            </w:pPr>
            <w:r>
              <w:rPr>
                <w:color w:val="000000"/>
                <w:spacing w:val="0"/>
                <w:w w:val="100"/>
                <w:position w:val="0"/>
              </w:rPr>
              <w:t>由于报告期内公司业务发 展带来应收工程销售款、 应收信息服务费、应收运 输费用增加</w:t>
            </w:r>
          </w:p>
        </w:tc>
      </w:tr>
      <w:tr>
        <w:trPr>
          <w:trHeight w:val="1152" w:hRule="exact"/>
        </w:trPr>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9,750,546</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7.11%</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6,706,522</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7.61%</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88" w:lineRule="exact"/>
              <w:ind w:left="0" w:right="0" w:firstLine="0"/>
              <w:jc w:val="both"/>
            </w:pPr>
            <w:r>
              <w:rPr>
                <w:color w:val="000000"/>
                <w:spacing w:val="0"/>
                <w:w w:val="100"/>
                <w:position w:val="0"/>
              </w:rPr>
              <w:t>报告期内公司加大了对部 分核心品牌商的支持力 度，建立紧密的供应链合 作关系</w:t>
            </w:r>
          </w:p>
        </w:tc>
      </w:tr>
      <w:tr>
        <w:trPr>
          <w:trHeight w:val="581" w:hRule="exact"/>
        </w:trPr>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129,770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0.09%</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94,333</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0.11%</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-0.02%</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83" w:lineRule="exact"/>
              <w:ind w:left="0" w:right="0" w:firstLine="0"/>
              <w:jc w:val="both"/>
            </w:pPr>
            <w:r>
              <w:rPr>
                <w:color w:val="000000"/>
                <w:spacing w:val="0"/>
                <w:w w:val="100"/>
                <w:position w:val="0"/>
              </w:rPr>
              <w:t>报告期内开展理财业务带 来应收理财利息增加</w:t>
            </w:r>
          </w:p>
        </w:tc>
      </w:tr>
      <w:tr>
        <w:trPr>
          <w:trHeight w:val="581" w:hRule="exact"/>
        </w:trPr>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88" w:lineRule="exact"/>
              <w:ind w:left="0" w:right="0" w:firstLine="0"/>
              <w:jc w:val="left"/>
            </w:pPr>
            <w:r>
              <w:rPr>
                <w:color w:val="000000"/>
                <w:spacing w:val="0"/>
                <w:w w:val="100"/>
                <w:position w:val="0"/>
              </w:rPr>
              <w:t>长期股权投 资</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417,048</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0.30%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219,796</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0.25%</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0.05%</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公司子公司增加对外投资</w:t>
            </w:r>
          </w:p>
        </w:tc>
      </w:tr>
      <w:tr>
        <w:trPr>
          <w:trHeight w:val="1152" w:hRule="exact"/>
        </w:trPr>
        <w:tc>
          <w:tcPr>
            <w:tcBorders>
              <w:top w:val="single" w:sz="4"/>
              <w:left w:val="single" w:sz="4"/>
              <w:bottom w:val="single" w:sz="4"/>
            </w:tcBorders>
            <w:shd w:val="clear" w:color="auto" w:fill="D3D3D3"/>
            <w:vAlign w:val="top"/>
          </w:tcPr>
          <w:p>
            <w:pPr>
              <w:pStyle w:val="Style28"/>
              <w:keepNext w:val="0"/>
              <w:keepLines w:val="0"/>
              <w:widowControl w:val="0"/>
              <w:shd w:val="clear" w:color="auto" w:fill="auto"/>
              <w:bidi w:val="0"/>
              <w:spacing w:before="0" w:after="0" w:line="288" w:lineRule="exact"/>
              <w:ind w:left="0" w:right="0" w:firstLine="0"/>
              <w:jc w:val="left"/>
            </w:pPr>
            <w:r>
              <w:rPr>
                <w:color w:val="000000"/>
                <w:spacing w:val="0"/>
                <w:w w:val="100"/>
                <w:position w:val="0"/>
              </w:rPr>
              <w:t>投资性房地 产</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2,229,506</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1.63%</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1,586,676</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1.80%</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-0.17%</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78" w:lineRule="exact"/>
              <w:ind w:left="0" w:right="0" w:firstLine="0"/>
              <w:jc w:val="both"/>
            </w:pPr>
            <w:r>
              <w:rPr>
                <w:color w:val="000000"/>
                <w:spacing w:val="0"/>
                <w:w w:val="100"/>
                <w:position w:val="0"/>
              </w:rPr>
              <w:t>公司加大自有房产招商转 租，提高资产利用效率， 带来投资性房地产期末余 额增加</w:t>
            </w:r>
          </w:p>
        </w:tc>
      </w:tr>
    </w:tbl>
    <w:p>
      <w:pPr>
        <w:spacing w:lineRule="exact" w:line="1"/>
        <w:rPr>
          <w:sz w:val="2"/>
          <w:szCs w:val="2"/>
        </w:rPr>
      </w:pPr>
      <w:r>
        <w:br w:type="page"/>
      </w:r>
    </w:p>
    <w:tbl>
      <w:tblPr>
        <w:tblOverlap w:val="never"/>
        <w:jc w:val="center"/>
        <w:tblLayout w:type="fixed"/>
      </w:tblPr>
      <w:tblGrid>
        <w:gridCol w:w="1531"/>
        <w:gridCol w:w="1286"/>
        <w:gridCol w:w="1032"/>
        <w:gridCol w:w="1234"/>
        <w:gridCol w:w="984"/>
        <w:gridCol w:w="989"/>
        <w:gridCol w:w="2808"/>
      </w:tblGrid>
      <w:tr>
        <w:trPr>
          <w:trHeight w:val="302" w:hRule="exact"/>
        </w:trPr>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巨末</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末</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比重增 减</w:t>
            </w:r>
          </w:p>
        </w:tc>
        <w:tc>
          <w:tcPr>
            <w:vMerge w:val="restart"/>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581"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83" w:lineRule="exact"/>
              <w:ind w:left="0" w:right="0" w:firstLine="0"/>
              <w:jc w:val="center"/>
            </w:pPr>
            <w:r>
              <w:rPr>
                <w:color w:val="000000"/>
                <w:spacing w:val="0"/>
                <w:w w:val="100"/>
                <w:position w:val="0"/>
              </w:rPr>
              <w:t>占总资 产比例</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金额</w:t>
            </w:r>
          </w:p>
        </w:tc>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83" w:lineRule="exact"/>
              <w:ind w:left="0" w:right="0" w:firstLine="0"/>
              <w:jc w:val="center"/>
            </w:pPr>
            <w:r>
              <w:rPr>
                <w:color w:val="000000"/>
                <w:spacing w:val="0"/>
                <w:w w:val="100"/>
                <w:position w:val="0"/>
              </w:rPr>
              <w:t>占总资 产比例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874" w:hRule="exact"/>
        </w:trPr>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6,159,517</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4.49%</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3,225,641</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3.66%</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0.83%</w:t>
            </w:r>
          </w:p>
        </w:tc>
        <w:tc>
          <w:tcPr>
            <w:vMerge w:val="restart"/>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86" w:lineRule="exact"/>
              <w:ind w:left="0" w:right="0" w:firstLine="0"/>
              <w:jc w:val="both"/>
            </w:pPr>
            <w:r>
              <w:rPr>
                <w:color w:val="000000"/>
                <w:spacing w:val="0"/>
                <w:w w:val="100"/>
                <w:position w:val="0"/>
              </w:rPr>
              <w:t>报告期内，公司为节约财 务费用，结合资金情况， 针对专项借款做了提前还 款安排，长期借款减少， 且将尚未归还的长期借款 重分类至短期借款</w:t>
            </w:r>
          </w:p>
        </w:tc>
      </w:tr>
      <w:tr>
        <w:trPr>
          <w:trHeight w:val="874" w:hRule="exact"/>
        </w:trPr>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18,000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0.01%</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357,918</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0.41%</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-0.40%</w:t>
            </w:r>
          </w:p>
        </w:tc>
        <w:tc>
          <w:tcPr>
            <w:vMerge/>
            <w:tcBorders>
              <w:left w:val="single" w:sz="4"/>
              <w:right w:val="single" w:sz="4"/>
            </w:tcBorders>
            <w:shd w:val="clear" w:color="auto" w:fill="FFFFFF"/>
            <w:vAlign w:val="top"/>
          </w:tcPr>
          <w:p>
            <w:pPr/>
          </w:p>
        </w:tc>
      </w:tr>
      <w:tr>
        <w:trPr>
          <w:trHeight w:val="874" w:hRule="exact"/>
        </w:trPr>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12,497,989</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9.11%</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9,058,853</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10.29%</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86" w:lineRule="exact"/>
              <w:ind w:left="0" w:right="0" w:firstLine="0"/>
              <w:jc w:val="both"/>
            </w:pPr>
            <w:r>
              <w:rPr>
                <w:color w:val="000000"/>
                <w:spacing w:val="0"/>
                <w:w w:val="100"/>
                <w:position w:val="0"/>
              </w:rPr>
              <w:t>在加强预付的同时，公司 也合理规划供应链，提高 企业运营资金效率</w:t>
            </w:r>
          </w:p>
        </w:tc>
      </w:tr>
      <w:tr>
        <w:trPr>
          <w:trHeight w:val="2006" w:hRule="exact"/>
        </w:trPr>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1,603,094</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1.17%</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982,758</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1.12%</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0.05%</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83" w:lineRule="exact"/>
              <w:ind w:left="0" w:right="0" w:firstLine="0"/>
              <w:jc w:val="both"/>
            </w:pPr>
            <w:r>
              <w:rPr>
                <w:color w:val="000000"/>
                <w:spacing w:val="0"/>
                <w:w w:val="100"/>
                <w:position w:val="0"/>
              </w:rPr>
              <w:t>主要由于报告期内公司加 快自建店配套物业的销 售，开展预售、预收定金 等业务锁定销售，预收货 款增加，以及加强转租、 招商，预收房租及物业费 增加</w:t>
            </w:r>
          </w:p>
        </w:tc>
      </w:tr>
      <w:tr>
        <w:trPr>
          <w:trHeight w:val="1723" w:hRule="exact"/>
        </w:trPr>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8,176,104</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5.96%</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6,233,929</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7.08%</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89" w:lineRule="exact"/>
              <w:ind w:left="0" w:right="0" w:firstLine="0"/>
              <w:jc w:val="both"/>
            </w:pPr>
            <w:r>
              <w:rPr>
                <w:color w:val="000000"/>
                <w:spacing w:val="0"/>
                <w:w w:val="100"/>
                <w:position w:val="0"/>
              </w:rPr>
              <w:t>主要由于报告期内公司加 大市场推广投入，带来已 提未付广告费增加；以及 公司待支付部分南京雨花 自动化项目应付工程设备 款</w:t>
            </w:r>
          </w:p>
        </w:tc>
      </w:tr>
      <w:tr>
        <w:trPr>
          <w:trHeight w:val="869"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90" w:lineRule="exact"/>
              <w:ind w:left="0" w:right="0" w:firstLine="0"/>
              <w:jc w:val="left"/>
            </w:pPr>
            <w:r>
              <w:rPr>
                <w:color w:val="000000"/>
                <w:spacing w:val="0"/>
                <w:w w:val="100"/>
                <w:position w:val="0"/>
              </w:rPr>
              <w:t>一年内到期 的非流动负 债</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4,595,440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3.35%</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144,393</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0.16%</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3.19%</w:t>
            </w:r>
          </w:p>
        </w:tc>
        <w:tc>
          <w:tcPr>
            <w:vMerge w:val="restart"/>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84" w:lineRule="exact"/>
              <w:ind w:left="0" w:right="0" w:firstLine="0"/>
              <w:jc w:val="both"/>
            </w:pPr>
            <w:r>
              <w:rPr>
                <w:color w:val="000000"/>
                <w:spacing w:val="0"/>
                <w:w w:val="100"/>
                <w:position w:val="0"/>
              </w:rPr>
              <w:t>由于公司发行的</w:t>
            </w:r>
            <w:r>
              <w:rPr>
                <w:rFonts w:ascii="Times New Roman" w:eastAsia="Times New Roman" w:hAnsi="Times New Roman" w:cs="Times New Roman"/>
                <w:color w:val="000000"/>
                <w:spacing w:val="0"/>
                <w:w w:val="100"/>
                <w:position w:val="0"/>
              </w:rPr>
              <w:t>2012</w:t>
            </w:r>
            <w:r>
              <w:rPr>
                <w:color w:val="000000"/>
                <w:spacing w:val="0"/>
                <w:w w:val="100"/>
                <w:position w:val="0"/>
              </w:rPr>
              <w:t>年公 司债将于</w:t>
            </w:r>
            <w:r>
              <w:rPr>
                <w:rFonts w:ascii="Times New Roman" w:eastAsia="Times New Roman" w:hAnsi="Times New Roman" w:cs="Times New Roman"/>
                <w:color w:val="000000"/>
                <w:spacing w:val="0"/>
                <w:w w:val="100"/>
                <w:position w:val="0"/>
              </w:rPr>
              <w:t>2017</w:t>
            </w:r>
            <w:r>
              <w:rPr>
                <w:color w:val="000000"/>
                <w:spacing w:val="0"/>
                <w:w w:val="100"/>
                <w:position w:val="0"/>
              </w:rPr>
              <w:t>年到期，在 会计核算上由应付债券转 入一年内到期的非流动负 债核算</w:t>
            </w:r>
          </w:p>
        </w:tc>
      </w:tr>
      <w:tr>
        <w:trPr>
          <w:trHeight w:val="566" w:hRule="exact"/>
        </w:trPr>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应付债券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3,500,021</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2.55%</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7,977,095</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9.06%</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-6.51%</w:t>
            </w:r>
          </w:p>
        </w:tc>
        <w:tc>
          <w:tcPr>
            <w:vMerge/>
            <w:tcBorders>
              <w:left w:val="single" w:sz="4"/>
              <w:right w:val="single" w:sz="4"/>
            </w:tcBorders>
            <w:shd w:val="clear" w:color="auto" w:fill="FFFFFF"/>
            <w:vAlign w:val="top"/>
          </w:tcPr>
          <w:p>
            <w:pPr/>
          </w:p>
        </w:tc>
      </w:tr>
      <w:tr>
        <w:trPr>
          <w:trHeight w:val="581"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93" w:lineRule="exact"/>
              <w:ind w:left="0" w:right="0" w:firstLine="0"/>
              <w:jc w:val="left"/>
            </w:pPr>
            <w:r>
              <w:rPr>
                <w:color w:val="000000"/>
                <w:spacing w:val="0"/>
                <w:w w:val="100"/>
                <w:position w:val="0"/>
              </w:rPr>
              <w:t>其他流动负 债</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1,078,017</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0.79%</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808,026</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0.92%</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-0.13%</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98" w:lineRule="exact"/>
              <w:ind w:left="0" w:right="0" w:firstLine="0"/>
              <w:jc w:val="both"/>
            </w:pPr>
            <w:r>
              <w:rPr>
                <w:color w:val="000000"/>
                <w:spacing w:val="0"/>
                <w:w w:val="100"/>
                <w:position w:val="0"/>
              </w:rPr>
              <w:t>主要由于报告期内公司预 提房屋租金增加</w:t>
            </w:r>
          </w:p>
        </w:tc>
      </w:tr>
      <w:tr>
        <w:trPr>
          <w:trHeight w:val="1440" w:hRule="exact"/>
        </w:trPr>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资本公积</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35,835,357</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26.13%</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5,237,740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5.95%</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20.18%</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90" w:lineRule="exact"/>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日公司向特 定对象非公开发行人民币 普通股</w:t>
            </w:r>
            <w:r>
              <w:rPr>
                <w:rFonts w:ascii="Times New Roman" w:eastAsia="Times New Roman" w:hAnsi="Times New Roman" w:cs="Times New Roman"/>
                <w:color w:val="000000"/>
                <w:spacing w:val="0"/>
                <w:w w:val="100"/>
                <w:position w:val="0"/>
              </w:rPr>
              <w:t xml:space="preserve">（A </w:t>
            </w:r>
            <w:r>
              <w:rPr>
                <w:color w:val="000000"/>
                <w:spacing w:val="0"/>
                <w:w w:val="100"/>
                <w:position w:val="0"/>
              </w:rPr>
              <w:t>股</w:t>
            </w:r>
            <w:r>
              <w:rPr>
                <w:rFonts w:ascii="Times New Roman" w:eastAsia="Times New Roman" w:hAnsi="Times New Roman" w:cs="Times New Roman"/>
                <w:color w:val="000000"/>
                <w:spacing w:val="0"/>
                <w:w w:val="100"/>
                <w:position w:val="0"/>
              </w:rPr>
              <w:t xml:space="preserve">）1,926,996,505 </w:t>
            </w:r>
            <w:r>
              <w:rPr>
                <w:color w:val="000000"/>
                <w:spacing w:val="0"/>
                <w:w w:val="100"/>
                <w:position w:val="0"/>
              </w:rPr>
              <w:t>股，募集资金净额</w:t>
            </w:r>
            <w:r>
              <w:rPr>
                <w:rFonts w:ascii="Times New Roman" w:eastAsia="Times New Roman" w:hAnsi="Times New Roman" w:cs="Times New Roman"/>
                <w:color w:val="000000"/>
                <w:spacing w:val="0"/>
                <w:w w:val="100"/>
                <w:position w:val="0"/>
              </w:rPr>
              <w:t xml:space="preserve">290.85 </w:t>
            </w:r>
            <w:r>
              <w:rPr>
                <w:color w:val="000000"/>
                <w:spacing w:val="0"/>
                <w:w w:val="100"/>
                <w:position w:val="0"/>
              </w:rPr>
              <w:t>亿元</w:t>
            </w:r>
          </w:p>
        </w:tc>
      </w:tr>
      <w:tr>
        <w:trPr>
          <w:trHeight w:val="1435" w:hRule="exact"/>
        </w:trPr>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69" w:lineRule="exact"/>
              <w:ind w:left="0" w:right="0" w:firstLine="0"/>
              <w:jc w:val="left"/>
            </w:pPr>
            <w:r>
              <w:rPr>
                <w:color w:val="000000"/>
                <w:spacing w:val="0"/>
                <w:w w:val="100"/>
                <w:position w:val="0"/>
              </w:rPr>
              <w:t>其他综合收 益</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2,502,912</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1.82%</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61,833</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0.07%</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1.75%</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83" w:lineRule="exact"/>
              <w:ind w:left="0" w:right="0" w:firstLine="0"/>
              <w:jc w:val="both"/>
            </w:pPr>
            <w:r>
              <w:rPr>
                <w:color w:val="000000"/>
                <w:spacing w:val="0"/>
                <w:w w:val="100"/>
                <w:position w:val="0"/>
              </w:rPr>
              <w:t>主要由于报告期末计入可 供出售金融资产科目的阿 里巴巴股份，以及江苏银 行股份的公允价值增加， 变动额计入其他综合收益</w:t>
            </w:r>
          </w:p>
        </w:tc>
      </w:tr>
      <w:tr>
        <w:trPr>
          <w:trHeight w:val="864" w:hRule="exact"/>
        </w:trPr>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93" w:lineRule="exact"/>
              <w:ind w:left="0" w:right="0" w:firstLine="0"/>
              <w:jc w:val="left"/>
            </w:pPr>
            <w:r>
              <w:rPr>
                <w:color w:val="000000"/>
                <w:spacing w:val="0"/>
                <w:w w:val="100"/>
                <w:position w:val="0"/>
              </w:rPr>
              <w:t>一般风险准 备</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131,477</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0.10%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27,864</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0.03%</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0.07%</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76" w:lineRule="exact"/>
              <w:ind w:left="0" w:right="0" w:firstLine="0"/>
              <w:jc w:val="both"/>
            </w:pPr>
            <w:r>
              <w:rPr>
                <w:color w:val="000000"/>
                <w:spacing w:val="0"/>
                <w:w w:val="100"/>
                <w:position w:val="0"/>
              </w:rPr>
              <w:t>报告期内小贷、保理业务 规模扩大，计提一般风险 准备金增加</w:t>
            </w:r>
          </w:p>
        </w:tc>
      </w:tr>
      <w:tr>
        <w:trPr>
          <w:trHeight w:val="586" w:hRule="exact"/>
        </w:trPr>
        <w:tc>
          <w:tcPr>
            <w:tcBorders>
              <w:top w:val="single" w:sz="4"/>
              <w:left w:val="single" w:sz="4"/>
              <w:bottom w:val="single" w:sz="4"/>
            </w:tcBorders>
            <w:shd w:val="clear" w:color="auto" w:fill="D3D3D3"/>
            <w:vAlign w:val="bottom"/>
          </w:tcPr>
          <w:p>
            <w:pPr>
              <w:pStyle w:val="Style28"/>
              <w:keepNext w:val="0"/>
              <w:keepLines w:val="0"/>
              <w:widowControl w:val="0"/>
              <w:shd w:val="clear" w:color="auto" w:fill="auto"/>
              <w:bidi w:val="0"/>
              <w:spacing w:before="0" w:after="0" w:line="269" w:lineRule="exact"/>
              <w:ind w:left="0" w:right="0" w:firstLine="0"/>
              <w:jc w:val="left"/>
            </w:pPr>
            <w:r>
              <w:rPr>
                <w:color w:val="000000"/>
                <w:spacing w:val="0"/>
                <w:w w:val="100"/>
                <w:position w:val="0"/>
              </w:rPr>
              <w:t>少数股东权 益</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4,212,298</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3.07%</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1,442,510</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1.64%</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98" w:lineRule="exact"/>
              <w:ind w:left="0" w:right="0" w:firstLine="0"/>
              <w:jc w:val="both"/>
            </w:pPr>
            <w:r>
              <w:rPr>
                <w:color w:val="000000"/>
                <w:spacing w:val="0"/>
                <w:w w:val="100"/>
                <w:position w:val="0"/>
              </w:rPr>
              <w:t>公司子公司苏宁金服报告 期内引入战略投资者</w:t>
            </w:r>
          </w:p>
        </w:tc>
      </w:tr>
    </w:tbl>
    <w:p>
      <w:pPr>
        <w:spacing w:lineRule="exact" w:line="1"/>
        <w:rPr>
          <w:sz w:val="2"/>
          <w:szCs w:val="2"/>
        </w:rPr>
      </w:pPr>
      <w:r>
        <w:br w:type="page"/>
      </w:r>
    </w:p>
    <w:p>
      <w:pPr>
        <w:pStyle w:val="Style32"/>
        <w:keepNext w:val="0"/>
        <w:keepLines w:val="0"/>
        <w:widowControl w:val="0"/>
        <w:shd w:val="clear" w:color="auto" w:fill="auto"/>
        <w:bidi w:val="0"/>
        <w:spacing w:before="0" w:after="200" w:line="240" w:lineRule="auto"/>
        <w:ind w:left="0" w:right="0" w:firstLine="540"/>
        <w:jc w:val="left"/>
      </w:pPr>
      <w:r>
        <w:rPr>
          <w:color w:val="000000"/>
          <w:spacing w:val="0"/>
          <w:w w:val="100"/>
          <w:position w:val="0"/>
        </w:rPr>
        <w:t>报告期内，公司偿债能力和各项资产运营能力财务指标列示及分析</w:t>
      </w:r>
    </w:p>
    <w:p>
      <w:pPr>
        <w:pStyle w:val="Style32"/>
        <w:keepNext w:val="0"/>
        <w:keepLines w:val="0"/>
        <w:widowControl w:val="0"/>
        <w:shd w:val="clear" w:color="auto" w:fill="auto"/>
        <w:bidi w:val="0"/>
        <w:spacing w:before="0" w:after="200" w:line="240" w:lineRule="auto"/>
        <w:ind w:left="0" w:right="0" w:firstLine="54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）主要债权债务关系</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单位：千元</w:t>
      </w:r>
    </w:p>
    <w:tbl>
      <w:tblPr>
        <w:tblOverlap w:val="never"/>
        <w:jc w:val="center"/>
        <w:tblLayout w:type="fixed"/>
      </w:tblPr>
      <w:tblGrid>
        <w:gridCol w:w="3341"/>
        <w:gridCol w:w="2256"/>
        <w:gridCol w:w="2400"/>
        <w:gridCol w:w="1867"/>
      </w:tblGrid>
      <w:tr>
        <w:trPr>
          <w:trHeight w:val="298"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增减变动</w:t>
            </w:r>
          </w:p>
        </w:tc>
      </w:tr>
      <w:tr>
        <w:trPr>
          <w:trHeight w:val="312" w:hRule="exact"/>
        </w:trPr>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6,159,517</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3,225,641</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90.95%</w:t>
            </w:r>
          </w:p>
        </w:tc>
      </w:tr>
      <w:tr>
        <w:trPr>
          <w:trHeight w:val="307" w:hRule="exact"/>
        </w:trPr>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18,000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357,918</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-94.97%</w:t>
            </w:r>
          </w:p>
        </w:tc>
      </w:tr>
      <w:tr>
        <w:trPr>
          <w:trHeight w:val="298" w:hRule="exact"/>
        </w:trPr>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应付债券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3,500,021</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7,977,095</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-56.12%</w:t>
            </w:r>
          </w:p>
        </w:tc>
      </w:tr>
      <w:tr>
        <w:trPr>
          <w:trHeight w:val="307" w:hRule="exact"/>
        </w:trPr>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应付票据余额</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25,803,271</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23,890,061</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8.01%</w:t>
            </w:r>
          </w:p>
        </w:tc>
      </w:tr>
      <w:tr>
        <w:trPr>
          <w:trHeight w:val="312" w:hRule="exact"/>
        </w:trPr>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应付票据周转天数（天）</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70.52</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72.18</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-1.66</w:t>
            </w:r>
          </w:p>
        </w:tc>
      </w:tr>
      <w:tr>
        <w:trPr>
          <w:trHeight w:val="312" w:hRule="exact"/>
        </w:trPr>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应付账款余额</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12,497,989</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9,058,853</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37.96%</w:t>
            </w:r>
          </w:p>
        </w:tc>
      </w:tr>
      <w:tr>
        <w:trPr>
          <w:trHeight w:val="307" w:hRule="exact"/>
        </w:trPr>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应付账款周转天数（天）</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30.59</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27.24</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3.35</w:t>
            </w:r>
          </w:p>
        </w:tc>
      </w:tr>
      <w:tr>
        <w:trPr>
          <w:trHeight w:val="317" w:hRule="exact"/>
        </w:trPr>
        <w:tc>
          <w:tcPr>
            <w:tcBorders>
              <w:top w:val="single" w:sz="4"/>
              <w:left w:val="single" w:sz="4"/>
              <w:bottom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应收账款余额</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1,103,531</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705,617</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56.39%</w:t>
            </w:r>
          </w:p>
        </w:tc>
      </w:tr>
    </w:tbl>
    <w:p>
      <w:pPr>
        <w:pStyle w:val="Style32"/>
        <w:keepNext w:val="0"/>
        <w:keepLines w:val="0"/>
        <w:widowControl w:val="0"/>
        <w:shd w:val="clear" w:color="auto" w:fill="auto"/>
        <w:bidi w:val="0"/>
        <w:spacing w:before="0" w:after="200" w:line="468" w:lineRule="exact"/>
        <w:ind w:left="0" w:right="0" w:firstLine="540"/>
        <w:jc w:val="both"/>
      </w:pPr>
      <w:r>
        <w:rPr>
          <w:color w:val="000000"/>
          <w:spacing w:val="0"/>
          <w:w w:val="100"/>
          <w:position w:val="0"/>
        </w:rPr>
        <w:t>报告期内，公司加强资金规划，合理安排债务偿还，有助于降低财务费用，由此带来短期借款、 长期借款期末余额有所变化。报告期内，公司加强供应链融资业务的开展，合理采用多种支付方式, 带来应付票据周转加快；强化供应链建设，提高企业运营资金效率，应付账款周转天数有所增加。</w:t>
      </w:r>
    </w:p>
    <w:p>
      <w:pPr>
        <w:pStyle w:val="Style25"/>
        <w:keepNext w:val="0"/>
        <w:keepLines w:val="0"/>
        <w:widowControl w:val="0"/>
        <w:shd w:val="clear" w:color="auto" w:fill="auto"/>
        <w:bidi w:val="0"/>
        <w:spacing w:before="0" w:after="0" w:line="240" w:lineRule="auto"/>
        <w:ind w:left="648"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）偿债能力分析</w:t>
      </w:r>
    </w:p>
    <w:tbl>
      <w:tblPr>
        <w:tblOverlap w:val="never"/>
        <w:jc w:val="center"/>
        <w:tblLayout w:type="fixed"/>
      </w:tblPr>
      <w:tblGrid>
        <w:gridCol w:w="3374"/>
        <w:gridCol w:w="2266"/>
        <w:gridCol w:w="2410"/>
        <w:gridCol w:w="1814"/>
      </w:tblGrid>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460"/>
              <w:jc w:val="left"/>
            </w:pPr>
            <w:r>
              <w:rPr>
                <w:color w:val="000000"/>
                <w:spacing w:val="0"/>
                <w:w w:val="100"/>
                <w:position w:val="0"/>
              </w:rPr>
              <w:t>增减变动</w:t>
            </w:r>
          </w:p>
        </w:tc>
      </w:tr>
      <w:tr>
        <w:trPr>
          <w:trHeight w:val="298" w:hRule="exact"/>
        </w:trPr>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流动比率</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0.10</w:t>
            </w:r>
          </w:p>
        </w:tc>
      </w:tr>
      <w:tr>
        <w:trPr>
          <w:trHeight w:val="293" w:hRule="exact"/>
        </w:trPr>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速动比率</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0.77</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0.85</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-0.08</w:t>
            </w:r>
          </w:p>
        </w:tc>
      </w:tr>
      <w:tr>
        <w:trPr>
          <w:trHeight w:val="302" w:hRule="exact"/>
        </w:trPr>
        <w:tc>
          <w:tcPr>
            <w:tcBorders>
              <w:top w:val="single" w:sz="4"/>
              <w:left w:val="single" w:sz="4"/>
              <w:bottom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资产负债率</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49.02%</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63.75%</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-14.73%</w:t>
            </w:r>
          </w:p>
        </w:tc>
      </w:tr>
    </w:tbl>
    <w:p>
      <w:pPr>
        <w:pStyle w:val="Style32"/>
        <w:keepNext w:val="0"/>
        <w:keepLines w:val="0"/>
        <w:widowControl w:val="0"/>
        <w:shd w:val="clear" w:color="auto" w:fill="auto"/>
        <w:bidi w:val="0"/>
        <w:spacing w:before="0" w:after="0" w:line="470" w:lineRule="exact"/>
        <w:ind w:left="0" w:right="0" w:firstLine="540"/>
        <w:jc w:val="left"/>
      </w:pPr>
      <w:r>
        <w:rPr>
          <w:color w:val="000000"/>
          <w:spacing w:val="0"/>
          <w:w w:val="100"/>
          <w:position w:val="0"/>
        </w:rPr>
        <w:t>由于报告期内公司实施完成非公开发行人民币普通股</w:t>
      </w: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股）</w:t>
      </w:r>
      <w:r>
        <w:rPr>
          <w:rFonts w:ascii="Times New Roman" w:eastAsia="Times New Roman" w:hAnsi="Times New Roman" w:cs="Times New Roman"/>
          <w:color w:val="000000"/>
          <w:spacing w:val="0"/>
          <w:w w:val="100"/>
          <w:position w:val="0"/>
        </w:rPr>
        <w:t>1,926,996,505</w:t>
      </w:r>
      <w:r>
        <w:rPr>
          <w:color w:val="000000"/>
          <w:spacing w:val="0"/>
          <w:w w:val="100"/>
          <w:position w:val="0"/>
        </w:rPr>
        <w:t>股，募集资金净额</w:t>
      </w:r>
    </w:p>
    <w:p>
      <w:pPr>
        <w:pStyle w:val="Style32"/>
        <w:keepNext w:val="0"/>
        <w:keepLines w:val="0"/>
        <w:widowControl w:val="0"/>
        <w:shd w:val="clear" w:color="auto" w:fill="auto"/>
        <w:bidi w:val="0"/>
        <w:spacing w:before="0" w:after="0" w:line="470" w:lineRule="exact"/>
        <w:ind w:left="0" w:right="0" w:firstLine="0"/>
        <w:jc w:val="left"/>
      </w:pPr>
      <w:r>
        <w:rPr>
          <w:rFonts w:ascii="Times New Roman" w:eastAsia="Times New Roman" w:hAnsi="Times New Roman" w:cs="Times New Roman"/>
          <w:color w:val="000000"/>
          <w:spacing w:val="0"/>
          <w:w w:val="100"/>
          <w:position w:val="0"/>
        </w:rPr>
        <w:t>290.85</w:t>
      </w:r>
      <w:r>
        <w:rPr>
          <w:color w:val="000000"/>
          <w:spacing w:val="0"/>
          <w:w w:val="100"/>
          <w:position w:val="0"/>
        </w:rPr>
        <w:t>亿元，由此带来公司资产负债结构进一步优化，负债率水平下降</w:t>
      </w:r>
      <w:r>
        <w:rPr>
          <w:rFonts w:ascii="Times New Roman" w:eastAsia="Times New Roman" w:hAnsi="Times New Roman" w:cs="Times New Roman"/>
          <w:color w:val="000000"/>
          <w:spacing w:val="0"/>
          <w:w w:val="100"/>
          <w:position w:val="0"/>
        </w:rPr>
        <w:t>14.73%</w:t>
      </w:r>
      <w:r>
        <w:rPr>
          <w:color w:val="000000"/>
          <w:spacing w:val="0"/>
          <w:w w:val="100"/>
          <w:position w:val="0"/>
        </w:rPr>
        <w:t>。较低的资产负债水 平，为公司合理运用财务杠杆、提高经济效益提供了较大的运作空间。</w:t>
      </w:r>
    </w:p>
    <w:p>
      <w:pPr>
        <w:pStyle w:val="Style32"/>
        <w:keepNext w:val="0"/>
        <w:keepLines w:val="0"/>
        <w:widowControl w:val="0"/>
        <w:shd w:val="clear" w:color="auto" w:fill="auto"/>
        <w:bidi w:val="0"/>
        <w:spacing w:before="0" w:after="200" w:line="470" w:lineRule="exact"/>
        <w:ind w:left="0" w:right="0" w:firstLine="540"/>
        <w:jc w:val="both"/>
      </w:pPr>
      <w:r>
        <w:rPr>
          <w:color w:val="000000"/>
          <w:spacing w:val="0"/>
          <w:w w:val="100"/>
          <w:position w:val="0"/>
        </w:rPr>
        <w:t>报告期内公司流动比率保持较高水平，速动比率由于报告期末公司根据业务开展情况将相关长 期负债分类到短期负债，流动负债较期初增加，由此带来速动比率有所下降。</w:t>
      </w:r>
    </w:p>
    <w:p>
      <w:pPr>
        <w:pStyle w:val="Style25"/>
        <w:keepNext w:val="0"/>
        <w:keepLines w:val="0"/>
        <w:widowControl w:val="0"/>
        <w:shd w:val="clear" w:color="auto" w:fill="auto"/>
        <w:bidi w:val="0"/>
        <w:spacing w:before="0" w:after="0" w:line="240" w:lineRule="auto"/>
        <w:ind w:left="701"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）资产运营能力分析</w:t>
      </w:r>
    </w:p>
    <w:tbl>
      <w:tblPr>
        <w:tblOverlap w:val="never"/>
        <w:jc w:val="center"/>
        <w:tblLayout w:type="fixed"/>
      </w:tblPr>
      <w:tblGrid>
        <w:gridCol w:w="3370"/>
        <w:gridCol w:w="2165"/>
        <w:gridCol w:w="2160"/>
        <w:gridCol w:w="2170"/>
      </w:tblGrid>
      <w:tr>
        <w:trPr>
          <w:trHeight w:val="422"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增减变动</w:t>
            </w:r>
          </w:p>
        </w:tc>
      </w:tr>
      <w:tr>
        <w:trPr>
          <w:trHeight w:val="326" w:hRule="exact"/>
        </w:trPr>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应收账款周转天数</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2.22</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1.67</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0.55</w:t>
            </w:r>
          </w:p>
        </w:tc>
      </w:tr>
      <w:tr>
        <w:trPr>
          <w:trHeight w:val="322" w:hRule="exact"/>
        </w:trPr>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存货周转天数（注）</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36.75</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42.39</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580" w:right="0" w:firstLine="0"/>
              <w:jc w:val="left"/>
            </w:pPr>
            <w:r>
              <w:rPr>
                <w:rFonts w:ascii="Times New Roman" w:eastAsia="Times New Roman" w:hAnsi="Times New Roman" w:cs="Times New Roman"/>
                <w:color w:val="000000"/>
                <w:spacing w:val="0"/>
                <w:w w:val="100"/>
                <w:position w:val="0"/>
              </w:rPr>
              <w:t>-5.64</w:t>
            </w:r>
          </w:p>
        </w:tc>
      </w:tr>
      <w:tr>
        <w:trPr>
          <w:trHeight w:val="326" w:hRule="exact"/>
        </w:trPr>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流动资产周转天数</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171.01</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144.38</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26.63</w:t>
            </w:r>
          </w:p>
        </w:tc>
      </w:tr>
      <w:tr>
        <w:trPr>
          <w:trHeight w:val="331" w:hRule="exact"/>
        </w:trPr>
        <w:tc>
          <w:tcPr>
            <w:tcBorders>
              <w:top w:val="single" w:sz="4"/>
              <w:left w:val="single" w:sz="4"/>
              <w:bottom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总资产周转天数</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276.84</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228.90</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47.94</w:t>
            </w:r>
          </w:p>
        </w:tc>
      </w:tr>
    </w:tbl>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注：存货周转天数为库存商品的周转天数，不包括公司自建店建设中形成的开发成本。</w:t>
      </w:r>
    </w:p>
    <w:p>
      <w:pPr>
        <w:pStyle w:val="Style32"/>
        <w:keepNext w:val="0"/>
        <w:keepLines w:val="0"/>
        <w:widowControl w:val="0"/>
        <w:shd w:val="clear" w:color="auto" w:fill="auto"/>
        <w:bidi w:val="0"/>
        <w:spacing w:before="0" w:after="200" w:line="470" w:lineRule="exact"/>
        <w:ind w:left="0" w:right="0" w:firstLine="540"/>
        <w:jc w:val="both"/>
        <w:sectPr>
          <w:footnotePr>
            <w:pos w:val="pageBottom"/>
            <w:numFmt w:val="decimal"/>
            <w:numRestart w:val="continuous"/>
          </w:footnotePr>
          <w:pgSz w:w="11900" w:h="16840"/>
          <w:pgMar w:top="1326" w:right="699" w:bottom="1427" w:left="704" w:header="0" w:footer="3" w:gutter="0"/>
          <w:cols w:space="720"/>
          <w:noEndnote/>
          <w:rtlGutter w:val="0"/>
          <w:docGrid w:linePitch="360"/>
        </w:sectPr>
      </w:pPr>
      <w:r>
        <w:rPr>
          <w:color w:val="000000"/>
          <w:spacing w:val="0"/>
          <w:w w:val="100"/>
          <w:position w:val="0"/>
        </w:rPr>
        <w:t>报告期内，公司持续优化供应链建设，加强商品研究，合理部署库存，带来存货周转加快。公 司完成</w:t>
      </w:r>
      <w:r>
        <w:rPr>
          <w:rFonts w:ascii="Times New Roman" w:eastAsia="Times New Roman" w:hAnsi="Times New Roman" w:cs="Times New Roman"/>
          <w:color w:val="000000"/>
          <w:spacing w:val="0"/>
          <w:w w:val="100"/>
          <w:position w:val="0"/>
        </w:rPr>
        <w:t>2015</w:t>
      </w:r>
      <w:r>
        <w:rPr>
          <w:color w:val="000000"/>
          <w:spacing w:val="0"/>
          <w:w w:val="100"/>
          <w:position w:val="0"/>
        </w:rPr>
        <w:t>年非公开发行股票，募集资金净额</w:t>
      </w:r>
      <w:r>
        <w:rPr>
          <w:rFonts w:ascii="Times New Roman" w:eastAsia="Times New Roman" w:hAnsi="Times New Roman" w:cs="Times New Roman"/>
          <w:color w:val="000000"/>
          <w:spacing w:val="0"/>
          <w:w w:val="100"/>
          <w:position w:val="0"/>
        </w:rPr>
        <w:t>290.85</w:t>
      </w:r>
      <w:r>
        <w:rPr>
          <w:color w:val="000000"/>
          <w:spacing w:val="0"/>
          <w:w w:val="100"/>
          <w:position w:val="0"/>
        </w:rPr>
        <w:t>亿元，公司资产规模进一步增加，由此带来流 动资产、总资产周转天数有所增加。</w:t>
      </w:r>
    </w:p>
    <w:p>
      <w:pPr>
        <w:pStyle w:val="Style38"/>
        <w:keepNext/>
        <w:keepLines/>
        <w:widowControl w:val="0"/>
        <w:shd w:val="clear" w:color="auto" w:fill="auto"/>
        <w:bidi w:val="0"/>
        <w:spacing w:before="0" w:after="340" w:line="240" w:lineRule="auto"/>
        <w:ind w:left="0" w:right="0" w:firstLine="0"/>
        <w:jc w:val="left"/>
      </w:pPr>
      <w:bookmarkStart w:id="161" w:name="bookmark161"/>
      <w:bookmarkStart w:id="162" w:name="bookmark162"/>
      <w:bookmarkStart w:id="163" w:name="bookmark163"/>
      <w:bookmarkStart w:id="164" w:name="bookmark164"/>
      <w:r>
        <w:rPr>
          <w:rFonts w:ascii="Times New Roman" w:eastAsia="Times New Roman" w:hAnsi="Times New Roman" w:cs="Times New Roman"/>
          <w:color w:val="000000"/>
          <w:spacing w:val="0"/>
          <w:w w:val="100"/>
          <w:position w:val="0"/>
        </w:rPr>
        <w:t>2</w:t>
      </w:r>
      <w:bookmarkEnd w:id="163"/>
      <w:r>
        <w:rPr>
          <w:color w:val="000000"/>
          <w:spacing w:val="0"/>
          <w:w w:val="100"/>
          <w:position w:val="0"/>
        </w:rPr>
        <w:t>、以公允价值计量的资产和负债</w:t>
      </w:r>
      <w:bookmarkEnd w:id="161"/>
      <w:bookmarkEnd w:id="162"/>
      <w:bookmarkEnd w:id="164"/>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单位：千元</w:t>
      </w:r>
    </w:p>
    <w:tbl>
      <w:tblPr>
        <w:tblOverlap w:val="never"/>
        <w:jc w:val="center"/>
        <w:tblLayout w:type="fixed"/>
      </w:tblPr>
      <w:tblGrid>
        <w:gridCol w:w="3370"/>
        <w:gridCol w:w="1272"/>
        <w:gridCol w:w="1277"/>
        <w:gridCol w:w="1565"/>
        <w:gridCol w:w="1133"/>
        <w:gridCol w:w="1416"/>
        <w:gridCol w:w="1421"/>
        <w:gridCol w:w="1416"/>
        <w:gridCol w:w="1310"/>
      </w:tblGrid>
      <w:tr>
        <w:trPr>
          <w:trHeight w:val="135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期初数</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76" w:lineRule="exact"/>
              <w:ind w:left="0" w:right="0" w:firstLine="0"/>
              <w:jc w:val="center"/>
            </w:pPr>
            <w:r>
              <w:rPr>
                <w:color w:val="000000"/>
                <w:spacing w:val="0"/>
                <w:w w:val="100"/>
                <w:position w:val="0"/>
              </w:rPr>
              <w:t>本期公允 价值变动 损益</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88" w:lineRule="exact"/>
              <w:ind w:left="0" w:right="0" w:firstLine="0"/>
              <w:jc w:val="center"/>
            </w:pPr>
            <w:r>
              <w:rPr>
                <w:color w:val="000000"/>
                <w:spacing w:val="0"/>
                <w:w w:val="100"/>
                <w:position w:val="0"/>
              </w:rPr>
              <w:t>计入权益的累 计公允价值变 动</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88" w:lineRule="exact"/>
              <w:ind w:left="0" w:right="0" w:firstLine="0"/>
              <w:jc w:val="center"/>
            </w:pPr>
            <w:r>
              <w:rPr>
                <w:color w:val="000000"/>
                <w:spacing w:val="0"/>
                <w:w w:val="100"/>
                <w:position w:val="0"/>
              </w:rPr>
              <w:t>本期计提 的减值</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88" w:lineRule="exact"/>
              <w:ind w:left="0" w:right="0" w:firstLine="0"/>
              <w:jc w:val="center"/>
            </w:pPr>
            <w:r>
              <w:rPr>
                <w:color w:val="000000"/>
                <w:spacing w:val="0"/>
                <w:w w:val="100"/>
                <w:position w:val="0"/>
              </w:rPr>
              <w:t>外币报表折 算差额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93" w:lineRule="exact"/>
              <w:ind w:left="0" w:right="0" w:firstLine="0"/>
              <w:jc w:val="center"/>
            </w:pPr>
            <w:r>
              <w:rPr>
                <w:color w:val="000000"/>
                <w:spacing w:val="0"/>
                <w:w w:val="100"/>
                <w:position w:val="0"/>
              </w:rPr>
              <w:t>本期购买金 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本期出售金 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2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c>
          <w:tcPr>
            <w:gridSpan w:val="8"/>
            <w:tcBorders>
              <w:top w:val="single" w:sz="4"/>
              <w:left w:val="single" w:sz="4"/>
              <w:right w:val="single" w:sz="4"/>
            </w:tcBorders>
            <w:shd w:val="clear" w:color="auto" w:fill="FFFFFF"/>
            <w:vAlign w:val="top"/>
          </w:tcPr>
          <w:p>
            <w:pPr>
              <w:widowControl w:val="0"/>
              <w:rPr>
                <w:sz w:val="10"/>
                <w:szCs w:val="10"/>
              </w:rPr>
            </w:pPr>
          </w:p>
        </w:tc>
      </w:tr>
      <w:tr>
        <w:trPr>
          <w:trHeight w:val="864"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86"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、以公允价值计量且其变动计 入当期损益的金融资产（不含衍 生金融资产）</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678,871</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-15,277</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1,777</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4,072,269</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2,509,007</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2,228,633</w:t>
            </w:r>
          </w:p>
        </w:tc>
      </w:tr>
      <w:tr>
        <w:trPr>
          <w:trHeight w:val="2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、衍生金融资产</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29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、可供出售金融资产</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3,320,980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1,904,100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818,517</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151,378,549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114,641,438</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42,780,708</w:t>
            </w:r>
          </w:p>
        </w:tc>
      </w:tr>
      <w:tr>
        <w:trPr>
          <w:trHeight w:val="2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金融资产小计</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3,999,851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-15,277</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1,904,100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820,294</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155,450,818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117,150,445</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45,009,341</w:t>
            </w:r>
          </w:p>
        </w:tc>
      </w:tr>
      <w:tr>
        <w:trPr>
          <w:trHeight w:val="29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2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生产性生物资产</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29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2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上述合计</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3,999,851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-15,277</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1,904,100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820,294</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155,450,818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117,150,445</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45,009,341</w:t>
            </w:r>
          </w:p>
        </w:tc>
      </w:tr>
      <w:tr>
        <w:trPr>
          <w:trHeight w:val="29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gridSpan w:val="8"/>
            <w:tcBorders>
              <w:top w:val="single" w:sz="4"/>
              <w:left w:val="single" w:sz="4"/>
              <w:right w:val="single" w:sz="4"/>
            </w:tcBorders>
            <w:shd w:val="clear" w:color="auto" w:fill="FFFFFF"/>
            <w:vAlign w:val="top"/>
          </w:tcPr>
          <w:p>
            <w:pPr>
              <w:widowControl w:val="0"/>
              <w:rPr>
                <w:sz w:val="10"/>
                <w:szCs w:val="10"/>
              </w:rPr>
            </w:pPr>
          </w:p>
        </w:tc>
      </w:tr>
      <w:tr>
        <w:trPr>
          <w:trHeight w:val="576"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8" w:lineRule="exact"/>
              <w:ind w:left="0" w:right="0" w:firstLine="0"/>
              <w:jc w:val="left"/>
            </w:pPr>
            <w:r>
              <w:rPr>
                <w:color w:val="000000"/>
                <w:spacing w:val="0"/>
                <w:w w:val="100"/>
                <w:position w:val="0"/>
              </w:rPr>
              <w:t>以公允价值计量且变动计入当期 损益的金融负债</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14,910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23,740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38,650</w:t>
            </w:r>
          </w:p>
        </w:tc>
      </w:tr>
      <w:tr>
        <w:trPr>
          <w:trHeight w:val="302" w:hRule="exact"/>
        </w:trPr>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其他非流动负债</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20,499</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-5,494</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15,005</w:t>
            </w:r>
          </w:p>
        </w:tc>
      </w:tr>
    </w:tbl>
    <w:p>
      <w:pPr>
        <w:widowControl w:val="0"/>
        <w:spacing w:after="239" w:line="1" w:lineRule="exact"/>
      </w:pPr>
    </w:p>
    <w:p>
      <w:pPr>
        <w:pStyle w:val="Style32"/>
        <w:keepNext w:val="0"/>
        <w:keepLines w:val="0"/>
        <w:widowControl w:val="0"/>
        <w:shd w:val="clear" w:color="auto" w:fill="auto"/>
        <w:bidi w:val="0"/>
        <w:spacing w:before="0" w:after="200" w:line="240" w:lineRule="auto"/>
        <w:ind w:left="0" w:right="0" w:firstLine="540"/>
        <w:jc w:val="left"/>
      </w:pPr>
      <w:r>
        <w:rPr>
          <w:color w:val="000000"/>
          <w:spacing w:val="0"/>
          <w:w w:val="100"/>
          <w:position w:val="0"/>
        </w:rPr>
        <w:t>报告期内公司主要资产计量属性是否发生重大变化</w:t>
      </w:r>
    </w:p>
    <w:p>
      <w:pPr>
        <w:pStyle w:val="Style32"/>
        <w:keepNext w:val="0"/>
        <w:keepLines w:val="0"/>
        <w:widowControl w:val="0"/>
        <w:shd w:val="clear" w:color="auto" w:fill="auto"/>
        <w:bidi w:val="0"/>
        <w:spacing w:before="0" w:after="240" w:line="240" w:lineRule="auto"/>
        <w:ind w:left="0" w:right="0" w:firstLine="540"/>
        <w:jc w:val="left"/>
        <w:sectPr>
          <w:headerReference w:type="default" r:id="rId11"/>
          <w:footerReference w:type="default" r:id="rId12"/>
          <w:headerReference w:type="even" r:id="rId13"/>
          <w:footerReference w:type="even" r:id="rId14"/>
          <w:footnotePr>
            <w:pos w:val="pageBottom"/>
            <w:numFmt w:val="decimal"/>
            <w:numRestart w:val="continuous"/>
          </w:footnotePr>
          <w:pgSz w:w="16840" w:h="11900" w:orient="landscape"/>
          <w:pgMar w:top="1448" w:right="1330" w:bottom="1448" w:left="1330" w:header="0" w:footer="3" w:gutter="0"/>
          <w:cols w:space="720"/>
          <w:noEndnote/>
          <w:rtlGutter w:val="0"/>
          <w:docGrid w:linePitch="360"/>
        </w:sectPr>
      </w:pPr>
      <w:r>
        <w:rPr>
          <w:rFonts w:ascii="Times New Roman" w:eastAsia="Times New Roman" w:hAnsi="Times New Roman" w:cs="Times New Roman"/>
          <w:color w:val="000000"/>
          <w:spacing w:val="0"/>
          <w:w w:val="100"/>
          <w:position w:val="0"/>
        </w:rPr>
        <w:t>□</w:t>
      </w:r>
      <w:r>
        <w:rPr>
          <w:color w:val="000000"/>
          <w:spacing w:val="0"/>
          <w:w w:val="100"/>
          <w:position w:val="0"/>
        </w:rPr>
        <w:t>是</w:t>
      </w:r>
      <w:r>
        <w:rPr>
          <w:i/>
          <w:iCs/>
          <w:color w:val="000000"/>
          <w:spacing w:val="0"/>
          <w:w w:val="100"/>
          <w:position w:val="0"/>
        </w:rPr>
        <w:t>-</w:t>
      </w:r>
      <w:r>
        <w:rPr>
          <w:color w:val="000000"/>
          <w:spacing w:val="0"/>
          <w:w w:val="100"/>
          <w:position w:val="0"/>
        </w:rPr>
        <w:t>否</w:t>
      </w:r>
    </w:p>
    <w:p>
      <w:pPr>
        <w:pStyle w:val="Style38"/>
        <w:keepNext/>
        <w:keepLines/>
        <w:widowControl w:val="0"/>
        <w:shd w:val="clear" w:color="auto" w:fill="auto"/>
        <w:bidi w:val="0"/>
        <w:spacing w:before="220" w:after="220" w:line="467" w:lineRule="exact"/>
        <w:ind w:left="0" w:right="0" w:firstLine="0"/>
        <w:jc w:val="left"/>
      </w:pPr>
      <w:bookmarkStart w:id="165" w:name="bookmark165"/>
      <w:bookmarkStart w:id="166" w:name="bookmark166"/>
      <w:bookmarkStart w:id="167" w:name="bookmark167"/>
      <w:bookmarkStart w:id="168" w:name="bookmark168"/>
      <w:r>
        <w:rPr>
          <w:rFonts w:ascii="Times New Roman" w:eastAsia="Times New Roman" w:hAnsi="Times New Roman" w:cs="Times New Roman"/>
          <w:color w:val="000000"/>
          <w:spacing w:val="0"/>
          <w:w w:val="100"/>
          <w:position w:val="0"/>
        </w:rPr>
        <w:t>3</w:t>
      </w:r>
      <w:bookmarkEnd w:id="167"/>
      <w:r>
        <w:rPr>
          <w:color w:val="000000"/>
          <w:spacing w:val="0"/>
          <w:w w:val="100"/>
          <w:position w:val="0"/>
        </w:rPr>
        <w:t>、截至报告期末的资产权利受限情况</w:t>
      </w:r>
      <w:bookmarkEnd w:id="165"/>
      <w:bookmarkEnd w:id="166"/>
      <w:bookmarkEnd w:id="168"/>
    </w:p>
    <w:p>
      <w:pPr>
        <w:pStyle w:val="Style32"/>
        <w:keepNext w:val="0"/>
        <w:keepLines w:val="0"/>
        <w:widowControl w:val="0"/>
        <w:shd w:val="clear" w:color="auto" w:fill="auto"/>
        <w:bidi w:val="0"/>
        <w:spacing w:before="0" w:after="220" w:line="467" w:lineRule="exact"/>
        <w:ind w:left="0" w:right="0" w:firstLine="460"/>
        <w:jc w:val="left"/>
      </w:pPr>
      <w:r>
        <w:rPr>
          <w:color w:val="000000"/>
          <w:spacing w:val="0"/>
          <w:w w:val="100"/>
          <w:position w:val="0"/>
        </w:rPr>
        <w:t>公司第五届董事会第二十三次会议审议、</w:t>
      </w:r>
      <w:r>
        <w:rPr>
          <w:rFonts w:ascii="Times New Roman" w:eastAsia="Times New Roman" w:hAnsi="Times New Roman" w:cs="Times New Roman"/>
          <w:color w:val="000000"/>
          <w:spacing w:val="0"/>
          <w:w w:val="100"/>
          <w:position w:val="0"/>
        </w:rPr>
        <w:t>2015</w:t>
      </w:r>
      <w:r>
        <w:rPr>
          <w:color w:val="000000"/>
          <w:spacing w:val="0"/>
          <w:w w:val="100"/>
          <w:position w:val="0"/>
        </w:rPr>
        <w:t>年第三次临时股东大会决议通过了《关于公司投 资认购</w:t>
      </w:r>
      <w:r>
        <w:rPr>
          <w:rFonts w:ascii="Times New Roman" w:eastAsia="Times New Roman" w:hAnsi="Times New Roman" w:cs="Times New Roman"/>
          <w:color w:val="000000"/>
          <w:spacing w:val="0"/>
          <w:w w:val="100"/>
          <w:position w:val="0"/>
        </w:rPr>
        <w:t>Alibaba Group Holding Limited</w:t>
      </w:r>
      <w:r>
        <w:rPr>
          <w:color w:val="000000"/>
          <w:spacing w:val="0"/>
          <w:w w:val="100"/>
          <w:position w:val="0"/>
        </w:rPr>
        <w:t>增发股份并签署</w:t>
      </w:r>
      <w:r>
        <w:rPr>
          <w:color w:val="000000"/>
          <w:spacing w:val="0"/>
          <w:w w:val="100"/>
          <w:position w:val="0"/>
        </w:rPr>
        <w:t>〈</w:t>
      </w:r>
      <w:r>
        <w:rPr>
          <w:color w:val="000000"/>
          <w:spacing w:val="0"/>
          <w:w w:val="100"/>
          <w:position w:val="0"/>
        </w:rPr>
        <w:t>投资协议</w:t>
      </w:r>
      <w:r>
        <w:rPr>
          <w:color w:val="000000"/>
          <w:spacing w:val="0"/>
          <w:w w:val="100"/>
          <w:position w:val="0"/>
        </w:rPr>
        <w:t>〉</w:t>
      </w:r>
      <w:r>
        <w:rPr>
          <w:color w:val="000000"/>
          <w:spacing w:val="0"/>
          <w:w w:val="100"/>
          <w:position w:val="0"/>
        </w:rPr>
        <w:t>以及提请股东大会授权董事会办理 对外投资相关事宜的议案》等议案内容。报告期内，公司全资子公司</w:t>
      </w:r>
      <w:r>
        <w:rPr>
          <w:rFonts w:ascii="Times New Roman" w:eastAsia="Times New Roman" w:hAnsi="Times New Roman" w:cs="Times New Roman"/>
          <w:color w:val="000000"/>
          <w:spacing w:val="0"/>
          <w:w w:val="100"/>
          <w:position w:val="0"/>
        </w:rPr>
        <w:t>Shiny Lion Limited</w:t>
      </w:r>
      <w:r>
        <w:rPr>
          <w:color w:val="000000"/>
          <w:spacing w:val="0"/>
          <w:w w:val="100"/>
          <w:position w:val="0"/>
        </w:rPr>
        <w:t>使用自有资 金及向银行申请专项贷款合计</w:t>
      </w:r>
      <w:r>
        <w:rPr>
          <w:rFonts w:ascii="Times New Roman" w:eastAsia="Times New Roman" w:hAnsi="Times New Roman" w:cs="Times New Roman"/>
          <w:color w:val="000000"/>
          <w:spacing w:val="0"/>
          <w:w w:val="100"/>
          <w:position w:val="0"/>
        </w:rPr>
        <w:t>214,572.54</w:t>
      </w:r>
      <w:r>
        <w:rPr>
          <w:color w:val="000000"/>
          <w:spacing w:val="0"/>
          <w:w w:val="100"/>
          <w:position w:val="0"/>
        </w:rPr>
        <w:t>万美元，认购阿里巴巴新增股份</w:t>
      </w:r>
      <w:r>
        <w:rPr>
          <w:rFonts w:ascii="Times New Roman" w:eastAsia="Times New Roman" w:hAnsi="Times New Roman" w:cs="Times New Roman"/>
          <w:color w:val="000000"/>
          <w:spacing w:val="0"/>
          <w:w w:val="100"/>
          <w:position w:val="0"/>
        </w:rPr>
        <w:t>26,324,689</w:t>
      </w:r>
      <w:r>
        <w:rPr>
          <w:color w:val="000000"/>
          <w:spacing w:val="0"/>
          <w:w w:val="100"/>
          <w:position w:val="0"/>
        </w:rPr>
        <w:t>股，占其发行 后总股本的</w:t>
      </w:r>
      <w:r>
        <w:rPr>
          <w:rFonts w:ascii="Times New Roman" w:eastAsia="Times New Roman" w:hAnsi="Times New Roman" w:cs="Times New Roman"/>
          <w:color w:val="000000"/>
          <w:spacing w:val="0"/>
          <w:w w:val="100"/>
          <w:position w:val="0"/>
        </w:rPr>
        <w:t>1.05%</w:t>
      </w:r>
      <w:r>
        <w:rPr>
          <w:color w:val="000000"/>
          <w:spacing w:val="0"/>
          <w:w w:val="100"/>
          <w:position w:val="0"/>
        </w:rPr>
        <w:t>。截至报告期末，公司认购的全部阿里股份进行质押。公司已于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 xml:space="preserve">28 </w:t>
      </w:r>
      <w:r>
        <w:rPr>
          <w:color w:val="000000"/>
          <w:spacing w:val="0"/>
          <w:w w:val="100"/>
          <w:position w:val="0"/>
        </w:rPr>
        <w:t>日、</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日偿还部分专项贷款，并于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日解除质押股份</w:t>
      </w:r>
      <w:r>
        <w:rPr>
          <w:rFonts w:ascii="Times New Roman" w:eastAsia="Times New Roman" w:hAnsi="Times New Roman" w:cs="Times New Roman"/>
          <w:color w:val="000000"/>
          <w:spacing w:val="0"/>
          <w:w w:val="100"/>
          <w:position w:val="0"/>
        </w:rPr>
        <w:t>1,600</w:t>
      </w:r>
      <w:r>
        <w:rPr>
          <w:color w:val="000000"/>
          <w:spacing w:val="0"/>
          <w:w w:val="100"/>
          <w:position w:val="0"/>
        </w:rPr>
        <w:t>万股。</w:t>
      </w:r>
    </w:p>
    <w:p>
      <w:pPr>
        <w:pStyle w:val="Style32"/>
        <w:keepNext w:val="0"/>
        <w:keepLines w:val="0"/>
        <w:widowControl w:val="0"/>
        <w:shd w:val="clear" w:color="auto" w:fill="auto"/>
        <w:bidi w:val="0"/>
        <w:spacing w:before="0" w:after="320" w:line="467" w:lineRule="exact"/>
        <w:ind w:left="0" w:right="0" w:firstLine="0"/>
        <w:jc w:val="left"/>
        <w:rPr>
          <w:sz w:val="24"/>
          <w:szCs w:val="24"/>
        </w:rPr>
      </w:pPr>
      <w:bookmarkStart w:id="169" w:name="bookmark169"/>
      <w:r>
        <w:rPr>
          <w:b/>
          <w:bCs/>
          <w:color w:val="000000"/>
          <w:spacing w:val="0"/>
          <w:w w:val="100"/>
          <w:position w:val="0"/>
          <w:sz w:val="24"/>
          <w:szCs w:val="24"/>
        </w:rPr>
        <w:t>五</w:t>
      </w:r>
      <w:bookmarkEnd w:id="169"/>
      <w:r>
        <w:rPr>
          <w:b/>
          <w:bCs/>
          <w:color w:val="000000"/>
          <w:spacing w:val="0"/>
          <w:w w:val="100"/>
          <w:position w:val="0"/>
          <w:sz w:val="24"/>
          <w:szCs w:val="24"/>
        </w:rPr>
        <w:t>、投资状况分析</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1</w:t>
      </w:r>
      <w:r>
        <w:rPr>
          <w:b/>
          <w:bCs/>
          <w:color w:val="000000"/>
          <w:spacing w:val="0"/>
          <w:w w:val="100"/>
          <w:position w:val="0"/>
        </w:rPr>
        <w:t>、总体情况</w:t>
      </w:r>
    </w:p>
    <w:tbl>
      <w:tblPr>
        <w:tblOverlap w:val="never"/>
        <w:jc w:val="center"/>
        <w:tblLayout w:type="fixed"/>
      </w:tblPr>
      <w:tblGrid>
        <w:gridCol w:w="3192"/>
        <w:gridCol w:w="3192"/>
        <w:gridCol w:w="3408"/>
      </w:tblGrid>
      <w:tr>
        <w:trPr>
          <w:trHeight w:val="298"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报告期投资额（亿元）</w:t>
            </w:r>
          </w:p>
        </w:tc>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上年同期投资额（亿元）</w:t>
            </w:r>
          </w:p>
        </w:tc>
        <w:tc>
          <w:tcPr>
            <w:tcBorders>
              <w:top w:val="single" w:sz="4"/>
              <w:left w:val="single" w:sz="4"/>
              <w:righ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p>
        </w:tc>
      </w:tr>
      <w:tr>
        <w:trPr>
          <w:trHeight w:val="269" w:hRule="exact"/>
        </w:trPr>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164.50</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5.10</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3,125.49%</w:t>
            </w:r>
          </w:p>
        </w:tc>
      </w:tr>
    </w:tbl>
    <w:p>
      <w:pPr>
        <w:widowControl w:val="0"/>
        <w:spacing w:after="79" w:line="1" w:lineRule="exact"/>
      </w:pPr>
    </w:p>
    <w:p>
      <w:pPr>
        <w:pStyle w:val="Style25"/>
        <w:keepNext w:val="0"/>
        <w:keepLines w:val="0"/>
        <w:widowControl w:val="0"/>
        <w:shd w:val="clear" w:color="auto" w:fill="auto"/>
        <w:bidi w:val="0"/>
        <w:spacing w:before="0" w:after="0" w:line="240" w:lineRule="auto"/>
        <w:ind w:left="571"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）报告期内，公司发起设立子公司</w:t>
      </w:r>
      <w:r>
        <w:rPr>
          <w:rFonts w:ascii="Times New Roman" w:eastAsia="Times New Roman" w:hAnsi="Times New Roman" w:cs="Times New Roman"/>
          <w:color w:val="000000"/>
          <w:spacing w:val="0"/>
          <w:w w:val="100"/>
          <w:position w:val="0"/>
        </w:rPr>
        <w:t>29</w:t>
      </w:r>
      <w:r>
        <w:rPr>
          <w:color w:val="000000"/>
          <w:spacing w:val="0"/>
          <w:w w:val="100"/>
          <w:position w:val="0"/>
        </w:rPr>
        <w:t>家，合计投入实收资本</w:t>
      </w:r>
      <w:r>
        <w:rPr>
          <w:rFonts w:ascii="Times New Roman" w:eastAsia="Times New Roman" w:hAnsi="Times New Roman" w:cs="Times New Roman"/>
          <w:color w:val="000000"/>
          <w:spacing w:val="0"/>
          <w:w w:val="100"/>
          <w:position w:val="0"/>
        </w:rPr>
        <w:t>19,020</w:t>
      </w:r>
      <w:r>
        <w:rPr>
          <w:color w:val="000000"/>
          <w:spacing w:val="0"/>
          <w:w w:val="100"/>
          <w:position w:val="0"/>
        </w:rPr>
        <w:t>万元，明细如下:</w:t>
      </w:r>
    </w:p>
    <w:tbl>
      <w:tblPr>
        <w:tblOverlap w:val="never"/>
        <w:jc w:val="center"/>
        <w:tblLayout w:type="fixed"/>
      </w:tblPr>
      <w:tblGrid>
        <w:gridCol w:w="4430"/>
        <w:gridCol w:w="1901"/>
        <w:gridCol w:w="3374"/>
      </w:tblGrid>
      <w:tr>
        <w:trPr>
          <w:trHeight w:val="302" w:hRule="exact"/>
        </w:trPr>
        <w:tc>
          <w:tcPr>
            <w:gridSpan w:val="3"/>
            <w:tcBorders>
              <w:top w:val="single" w:sz="4"/>
              <w:left w:val="single" w:sz="4"/>
              <w:righ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被投资公司情况</w:t>
            </w:r>
          </w:p>
        </w:tc>
      </w:tr>
      <w:tr>
        <w:trPr>
          <w:trHeight w:val="293" w:hRule="exact"/>
        </w:trPr>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主要业务</w:t>
            </w:r>
          </w:p>
        </w:tc>
        <w:tc>
          <w:tcPr>
            <w:tcBorders>
              <w:top w:val="single" w:sz="4"/>
              <w:left w:val="single" w:sz="4"/>
              <w:righ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上市公司占被投资公司权益比例</w:t>
            </w:r>
          </w:p>
        </w:tc>
      </w:tr>
      <w:tr>
        <w:trPr>
          <w:trHeight w:val="29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固原苏宁云商销售有限公司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家电零售</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r>
      <w:tr>
        <w:trPr>
          <w:trHeight w:val="29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大冶苏宁云商销售有限公司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家电零售</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r>
      <w:tr>
        <w:trPr>
          <w:trHeight w:val="29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南京苏宁职业培训学校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职业培训</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r>
      <w:tr>
        <w:trPr>
          <w:trHeight w:val="29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江苏苏宁金创投资管理有限公司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投资顾问</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r>
      <w:tr>
        <w:trPr>
          <w:trHeight w:val="29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南京睿涌投资管理有限公司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投资顾问</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r>
      <w:tr>
        <w:trPr>
          <w:trHeight w:val="29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苏宁租赁（天津）有限公司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融资租赁</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r>
      <w:tr>
        <w:trPr>
          <w:trHeight w:val="29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南京恒元信投资管理有限公司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投资顾问</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r>
      <w:tr>
        <w:trPr>
          <w:trHeight w:val="29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南京紫宁新世纪国际贸易有限公司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国际贸易</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r>
      <w:tr>
        <w:trPr>
          <w:trHeight w:val="29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成都苏宁红孩子母婴用品有限公司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母婴用品</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r>
      <w:tr>
        <w:trPr>
          <w:trHeight w:val="29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南通苏宁红孩子母婴用品有限公司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母婴用品</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r>
      <w:tr>
        <w:trPr>
          <w:trHeight w:val="29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广州苏宁红孩子母婴用品有限公司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母婴用品</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r>
      <w:tr>
        <w:trPr>
          <w:trHeight w:val="29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泰州苏宁红孩子母婴用品有限公司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母婴用品</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r>
      <w:tr>
        <w:trPr>
          <w:trHeight w:val="29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济南苏宁红孩子母婴用品有限公司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母婴用品</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r>
      <w:tr>
        <w:trPr>
          <w:trHeight w:val="29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镇江苏宁红孩子母婴用品有限公司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母婴用品</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r>
      <w:tr>
        <w:trPr>
          <w:trHeight w:val="29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沈阳苏宁红孩子母婴用品有限公司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母婴用品</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r>
      <w:tr>
        <w:trPr>
          <w:trHeight w:val="29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杭州苏宁红孩子母婴用品有限公司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母婴用品</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r>
      <w:tr>
        <w:trPr>
          <w:trHeight w:val="29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无锡苏宁红孩子母婴用品有限公司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母婴用品</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r>
      <w:tr>
        <w:trPr>
          <w:trHeight w:val="29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江阴苏宁红孩子母婴用品有限公司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母婴用品</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r>
      <w:tr>
        <w:trPr>
          <w:trHeight w:val="29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苏州苏宁红孩子母婴用品有限公司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母婴用品</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r>
      <w:tr>
        <w:trPr>
          <w:trHeight w:val="29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上海苏宁红孩子母婴用品有限公司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母婴用品</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r>
      <w:tr>
        <w:trPr>
          <w:trHeight w:val="29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武汉苏宁红孩子母婴用品有限公司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母婴用品</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r>
      <w:tr>
        <w:trPr>
          <w:trHeight w:val="29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连云港苏宁红孩子母婴用品有限公司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母婴用品</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r>
      <w:tr>
        <w:trPr>
          <w:trHeight w:val="298"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盱胎苏宁红孩子母婴用品有限公司</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母婴用品</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r>
    </w:tbl>
    <w:tbl>
      <w:tblPr>
        <w:tblOverlap w:val="never"/>
        <w:jc w:val="center"/>
        <w:tblLayout w:type="fixed"/>
      </w:tblPr>
      <w:tblGrid>
        <w:gridCol w:w="4430"/>
        <w:gridCol w:w="1901"/>
        <w:gridCol w:w="3374"/>
      </w:tblGrid>
      <w:tr>
        <w:trPr>
          <w:trHeight w:val="2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北京苏宁红孩子母婴用品有限公司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母婴用品</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r>
      <w:tr>
        <w:trPr>
          <w:trHeight w:val="29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徐州苏宁红孩子母婴用品有限公司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母婴用品</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r>
      <w:tr>
        <w:trPr>
          <w:trHeight w:val="29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安徽苏宁红孩子母婴用品有限公司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母婴用品</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r>
      <w:tr>
        <w:trPr>
          <w:trHeight w:val="29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宜兴苏宁红孩子母婴用品有限公司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母婴用品</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r>
      <w:tr>
        <w:trPr>
          <w:trHeight w:val="29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蚌埠苏宁红孩子母婴用品有限公司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母婴用品</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r>
      <w:tr>
        <w:trPr>
          <w:trHeight w:val="298"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六安苏宁红孩子母婴用品有限公司</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母婴用品</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r>
    </w:tbl>
    <w:p>
      <w:pPr>
        <w:widowControl w:val="0"/>
        <w:spacing w:after="39" w:line="1" w:lineRule="exact"/>
      </w:pPr>
    </w:p>
    <w:p>
      <w:pPr>
        <w:pStyle w:val="Style32"/>
        <w:keepNext w:val="0"/>
        <w:keepLines w:val="0"/>
        <w:widowControl w:val="0"/>
        <w:shd w:val="clear" w:color="auto" w:fill="auto"/>
        <w:bidi w:val="0"/>
        <w:spacing w:before="0" w:after="0" w:line="471" w:lineRule="exact"/>
        <w:ind w:left="0" w:right="0" w:firstLine="46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）报告期内，公司及境内子公司对外投资情况：</w:t>
      </w:r>
    </w:p>
    <w:p>
      <w:pPr>
        <w:pStyle w:val="Style32"/>
        <w:keepNext w:val="0"/>
        <w:keepLines w:val="0"/>
        <w:widowControl w:val="0"/>
        <w:numPr>
          <w:ilvl w:val="0"/>
          <w:numId w:val="5"/>
        </w:numPr>
        <w:shd w:val="clear" w:color="auto" w:fill="auto"/>
        <w:tabs>
          <w:tab w:pos="834" w:val="left"/>
        </w:tabs>
        <w:bidi w:val="0"/>
        <w:spacing w:before="0" w:after="0" w:line="471" w:lineRule="exact"/>
        <w:ind w:left="0" w:right="0" w:firstLine="460"/>
        <w:jc w:val="both"/>
      </w:pPr>
      <w:bookmarkStart w:id="170" w:name="bookmark170"/>
      <w:bookmarkEnd w:id="170"/>
      <w:r>
        <w:rPr>
          <w:color w:val="000000"/>
          <w:spacing w:val="0"/>
          <w:w w:val="100"/>
          <w:position w:val="0"/>
        </w:rPr>
        <w:t>公司、上海聚力传媒技术有限公司（以下简称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聚力传媒</w:t>
      </w:r>
      <w:r>
        <w:rPr>
          <w:rFonts w:ascii="Times New Roman" w:eastAsia="Times New Roman" w:hAnsi="Times New Roman" w:cs="Times New Roman"/>
          <w:color w:val="000000"/>
          <w:spacing w:val="0"/>
          <w:w w:val="100"/>
          <w:position w:val="0"/>
        </w:rPr>
        <w:t>”</w:t>
      </w:r>
      <w:r>
        <w:rPr>
          <w:color w:val="000000"/>
          <w:spacing w:val="0"/>
          <w:w w:val="100"/>
          <w:position w:val="0"/>
        </w:rPr>
        <w:t>）、北京身未动心已远旅行文化有 限公司（海南广电旅游文化有限公司子公司）签署合资合同，设立合资公司，从事旅游视频、广告 以及相关旅游产品开发业务，其中公司、聚力传媒分别拟出资人民币</w:t>
      </w:r>
      <w:r>
        <w:rPr>
          <w:rFonts w:ascii="Times New Roman" w:eastAsia="Times New Roman" w:hAnsi="Times New Roman" w:cs="Times New Roman"/>
          <w:color w:val="000000"/>
          <w:spacing w:val="0"/>
          <w:w w:val="100"/>
          <w:position w:val="0"/>
        </w:rPr>
        <w:t>600</w:t>
      </w:r>
      <w:r>
        <w:rPr>
          <w:color w:val="000000"/>
          <w:spacing w:val="0"/>
          <w:w w:val="100"/>
          <w:position w:val="0"/>
        </w:rPr>
        <w:t>万元、</w:t>
      </w:r>
      <w:r>
        <w:rPr>
          <w:rFonts w:ascii="Times New Roman" w:eastAsia="Times New Roman" w:hAnsi="Times New Roman" w:cs="Times New Roman"/>
          <w:color w:val="000000"/>
          <w:spacing w:val="0"/>
          <w:w w:val="100"/>
          <w:position w:val="0"/>
        </w:rPr>
        <w:t>900</w:t>
      </w:r>
      <w:r>
        <w:rPr>
          <w:color w:val="000000"/>
          <w:spacing w:val="0"/>
          <w:w w:val="100"/>
          <w:position w:val="0"/>
        </w:rPr>
        <w:t>万元，占合资公 司股权比例分别为</w:t>
      </w:r>
      <w:r>
        <w:rPr>
          <w:rFonts w:ascii="Times New Roman" w:eastAsia="Times New Roman" w:hAnsi="Times New Roman" w:cs="Times New Roman"/>
          <w:color w:val="000000"/>
          <w:spacing w:val="0"/>
          <w:w w:val="100"/>
          <w:position w:val="0"/>
        </w:rPr>
        <w:t>20%</w:t>
      </w:r>
      <w:r>
        <w:rPr>
          <w:color w:val="000000"/>
          <w:spacing w:val="0"/>
          <w:w w:val="100"/>
          <w:position w:val="0"/>
        </w:rPr>
        <w:t>、</w:t>
      </w:r>
      <w:r>
        <w:rPr>
          <w:rFonts w:ascii="Times New Roman" w:eastAsia="Times New Roman" w:hAnsi="Times New Roman" w:cs="Times New Roman"/>
          <w:color w:val="000000"/>
          <w:spacing w:val="0"/>
          <w:w w:val="100"/>
          <w:position w:val="0"/>
        </w:rPr>
        <w:t>30%</w:t>
      </w:r>
      <w:r>
        <w:rPr>
          <w:color w:val="000000"/>
          <w:spacing w:val="0"/>
          <w:w w:val="100"/>
          <w:position w:val="0"/>
        </w:rPr>
        <w:t>。</w:t>
      </w:r>
    </w:p>
    <w:p>
      <w:pPr>
        <w:pStyle w:val="Style32"/>
        <w:keepNext w:val="0"/>
        <w:keepLines w:val="0"/>
        <w:widowControl w:val="0"/>
        <w:shd w:val="clear" w:color="auto" w:fill="auto"/>
        <w:bidi w:val="0"/>
        <w:spacing w:before="0" w:after="0" w:line="471" w:lineRule="exact"/>
        <w:ind w:left="0" w:right="0" w:firstLine="460"/>
        <w:jc w:val="both"/>
      </w:pPr>
      <w:r>
        <w:rPr>
          <w:color w:val="000000"/>
          <w:spacing w:val="0"/>
          <w:w w:val="100"/>
          <w:position w:val="0"/>
        </w:rPr>
        <w:t>报告期内合资公司北京聚合旅游咨询有限公司完成设立，</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月公司出资人民币</w:t>
      </w:r>
      <w:r>
        <w:rPr>
          <w:rFonts w:ascii="Times New Roman" w:eastAsia="Times New Roman" w:hAnsi="Times New Roman" w:cs="Times New Roman"/>
          <w:color w:val="000000"/>
          <w:spacing w:val="0"/>
          <w:w w:val="100"/>
          <w:position w:val="0"/>
        </w:rPr>
        <w:t>600</w:t>
      </w:r>
      <w:r>
        <w:rPr>
          <w:color w:val="000000"/>
          <w:spacing w:val="0"/>
          <w:w w:val="100"/>
          <w:position w:val="0"/>
        </w:rPr>
        <w:t>万元 持有其</w:t>
      </w:r>
      <w:r>
        <w:rPr>
          <w:rFonts w:ascii="Times New Roman" w:eastAsia="Times New Roman" w:hAnsi="Times New Roman" w:cs="Times New Roman"/>
          <w:color w:val="000000"/>
          <w:spacing w:val="0"/>
          <w:w w:val="100"/>
          <w:position w:val="0"/>
        </w:rPr>
        <w:t>20%</w:t>
      </w:r>
      <w:r>
        <w:rPr>
          <w:color w:val="000000"/>
          <w:spacing w:val="0"/>
          <w:w w:val="100"/>
          <w:position w:val="0"/>
        </w:rPr>
        <w:t>股份。</w:t>
      </w:r>
    </w:p>
    <w:p>
      <w:pPr>
        <w:pStyle w:val="Style32"/>
        <w:keepNext w:val="0"/>
        <w:keepLines w:val="0"/>
        <w:widowControl w:val="0"/>
        <w:numPr>
          <w:ilvl w:val="0"/>
          <w:numId w:val="5"/>
        </w:numPr>
        <w:shd w:val="clear" w:color="auto" w:fill="auto"/>
        <w:tabs>
          <w:tab w:pos="834" w:val="left"/>
        </w:tabs>
        <w:bidi w:val="0"/>
        <w:spacing w:before="0" w:after="0" w:line="471" w:lineRule="exact"/>
        <w:ind w:left="0" w:right="0" w:firstLine="460"/>
        <w:jc w:val="both"/>
      </w:pPr>
      <w:bookmarkStart w:id="171" w:name="bookmark171"/>
      <w:bookmarkEnd w:id="171"/>
      <w:r>
        <w:rPr>
          <w:color w:val="000000"/>
          <w:spacing w:val="0"/>
          <w:w w:val="100"/>
          <w:position w:val="0"/>
        </w:rPr>
        <w:t>公司子公司苏宁商业保理有限公司出资</w:t>
      </w:r>
      <w:r>
        <w:rPr>
          <w:rFonts w:ascii="Times New Roman" w:eastAsia="Times New Roman" w:hAnsi="Times New Roman" w:cs="Times New Roman"/>
          <w:color w:val="000000"/>
          <w:spacing w:val="0"/>
          <w:w w:val="100"/>
          <w:position w:val="0"/>
        </w:rPr>
        <w:t>50,000</w:t>
      </w:r>
      <w:r>
        <w:rPr>
          <w:color w:val="000000"/>
          <w:spacing w:val="0"/>
          <w:w w:val="100"/>
          <w:position w:val="0"/>
        </w:rPr>
        <w:t>万元，投资认购金元百利南京燕子矶保障房</w:t>
      </w:r>
      <w:r>
        <w:rPr>
          <w:rFonts w:ascii="Times New Roman" w:eastAsia="Times New Roman" w:hAnsi="Times New Roman" w:cs="Times New Roman"/>
          <w:color w:val="000000"/>
          <w:spacing w:val="0"/>
          <w:w w:val="100"/>
          <w:position w:val="0"/>
        </w:rPr>
        <w:t xml:space="preserve">2 </w:t>
      </w:r>
      <w:r>
        <w:rPr>
          <w:color w:val="000000"/>
          <w:spacing w:val="0"/>
          <w:w w:val="100"/>
          <w:position w:val="0"/>
        </w:rPr>
        <w:t>号专项资产管理计划。</w:t>
      </w:r>
    </w:p>
    <w:p>
      <w:pPr>
        <w:pStyle w:val="Style32"/>
        <w:keepNext w:val="0"/>
        <w:keepLines w:val="0"/>
        <w:widowControl w:val="0"/>
        <w:numPr>
          <w:ilvl w:val="0"/>
          <w:numId w:val="5"/>
        </w:numPr>
        <w:shd w:val="clear" w:color="auto" w:fill="auto"/>
        <w:tabs>
          <w:tab w:pos="838" w:val="left"/>
        </w:tabs>
        <w:bidi w:val="0"/>
        <w:spacing w:before="0" w:after="0" w:line="471" w:lineRule="exact"/>
        <w:ind w:left="0" w:right="0" w:firstLine="460"/>
        <w:jc w:val="both"/>
      </w:pPr>
      <w:bookmarkStart w:id="172" w:name="bookmark172"/>
      <w:bookmarkEnd w:id="172"/>
      <w:r>
        <w:rPr>
          <w:color w:val="000000"/>
          <w:spacing w:val="0"/>
          <w:w w:val="100"/>
          <w:position w:val="0"/>
        </w:rPr>
        <w:t>公司子公司江苏苏宁物流有限公司出资</w:t>
      </w:r>
      <w:r>
        <w:rPr>
          <w:rFonts w:ascii="Times New Roman" w:eastAsia="Times New Roman" w:hAnsi="Times New Roman" w:cs="Times New Roman"/>
          <w:color w:val="000000"/>
          <w:spacing w:val="0"/>
          <w:w w:val="100"/>
          <w:position w:val="0"/>
        </w:rPr>
        <w:t>18,400</w:t>
      </w:r>
      <w:r>
        <w:rPr>
          <w:color w:val="000000"/>
          <w:spacing w:val="0"/>
          <w:w w:val="100"/>
          <w:position w:val="0"/>
        </w:rPr>
        <w:t>万元，投资认购中信华夏苏宁云享资产支持专 项计划发行的权益级资产支持证券</w:t>
      </w:r>
      <w:r>
        <w:rPr>
          <w:rFonts w:ascii="Times New Roman" w:eastAsia="Times New Roman" w:hAnsi="Times New Roman" w:cs="Times New Roman"/>
          <w:color w:val="000000"/>
          <w:spacing w:val="0"/>
          <w:w w:val="100"/>
          <w:position w:val="0"/>
        </w:rPr>
        <w:t>30%</w:t>
      </w:r>
      <w:r>
        <w:rPr>
          <w:color w:val="000000"/>
          <w:spacing w:val="0"/>
          <w:w w:val="100"/>
          <w:position w:val="0"/>
        </w:rPr>
        <w:t>份额。</w:t>
      </w:r>
    </w:p>
    <w:p>
      <w:pPr>
        <w:pStyle w:val="Style32"/>
        <w:keepNext w:val="0"/>
        <w:keepLines w:val="0"/>
        <w:widowControl w:val="0"/>
        <w:numPr>
          <w:ilvl w:val="0"/>
          <w:numId w:val="5"/>
        </w:numPr>
        <w:shd w:val="clear" w:color="auto" w:fill="auto"/>
        <w:tabs>
          <w:tab w:pos="843" w:val="left"/>
        </w:tabs>
        <w:bidi w:val="0"/>
        <w:spacing w:before="0" w:after="0" w:line="471" w:lineRule="exact"/>
        <w:ind w:left="0" w:right="0" w:firstLine="460"/>
        <w:jc w:val="both"/>
      </w:pPr>
      <w:bookmarkStart w:id="173" w:name="bookmark173"/>
      <w:bookmarkEnd w:id="173"/>
      <w:r>
        <w:rPr>
          <w:color w:val="000000"/>
          <w:spacing w:val="0"/>
          <w:w w:val="100"/>
          <w:position w:val="0"/>
        </w:rPr>
        <w:t>公司与南京八天在线网络科技有限公司（以下简称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八天在线</w:t>
      </w:r>
      <w:r>
        <w:rPr>
          <w:rFonts w:ascii="Times New Roman" w:eastAsia="Times New Roman" w:hAnsi="Times New Roman" w:cs="Times New Roman"/>
          <w:color w:val="000000"/>
          <w:spacing w:val="0"/>
          <w:w w:val="100"/>
          <w:position w:val="0"/>
        </w:rPr>
        <w:t>”</w:t>
      </w:r>
      <w:r>
        <w:rPr>
          <w:color w:val="000000"/>
          <w:spacing w:val="0"/>
          <w:w w:val="100"/>
          <w:position w:val="0"/>
        </w:rPr>
        <w:t>）自然人股东顾问等自然人和 机构签订增资协议，公司出资</w:t>
      </w:r>
      <w:r>
        <w:rPr>
          <w:rFonts w:ascii="Times New Roman" w:eastAsia="Times New Roman" w:hAnsi="Times New Roman" w:cs="Times New Roman"/>
          <w:color w:val="000000"/>
          <w:spacing w:val="0"/>
          <w:w w:val="100"/>
          <w:position w:val="0"/>
        </w:rPr>
        <w:t>7,300</w:t>
      </w:r>
      <w:r>
        <w:rPr>
          <w:color w:val="000000"/>
          <w:spacing w:val="0"/>
          <w:w w:val="100"/>
          <w:position w:val="0"/>
        </w:rPr>
        <w:t>万元，获得八天在线</w:t>
      </w:r>
      <w:r>
        <w:rPr>
          <w:rFonts w:ascii="Times New Roman" w:eastAsia="Times New Roman" w:hAnsi="Times New Roman" w:cs="Times New Roman"/>
          <w:color w:val="000000"/>
          <w:spacing w:val="0"/>
          <w:w w:val="100"/>
          <w:position w:val="0"/>
        </w:rPr>
        <w:t>10%</w:t>
      </w:r>
      <w:r>
        <w:rPr>
          <w:color w:val="000000"/>
          <w:spacing w:val="0"/>
          <w:w w:val="100"/>
          <w:position w:val="0"/>
        </w:rPr>
        <w:t>股权。</w:t>
      </w:r>
    </w:p>
    <w:p>
      <w:pPr>
        <w:pStyle w:val="Style32"/>
        <w:keepNext w:val="0"/>
        <w:keepLines w:val="0"/>
        <w:widowControl w:val="0"/>
        <w:numPr>
          <w:ilvl w:val="0"/>
          <w:numId w:val="5"/>
        </w:numPr>
        <w:shd w:val="clear" w:color="auto" w:fill="auto"/>
        <w:tabs>
          <w:tab w:pos="838" w:val="left"/>
        </w:tabs>
        <w:bidi w:val="0"/>
        <w:spacing w:before="0" w:after="0" w:line="471" w:lineRule="exact"/>
        <w:ind w:left="0" w:right="0" w:firstLine="460"/>
        <w:jc w:val="both"/>
      </w:pPr>
      <w:bookmarkStart w:id="174" w:name="bookmark174"/>
      <w:bookmarkEnd w:id="174"/>
      <w:r>
        <w:rPr>
          <w:color w:val="000000"/>
          <w:spacing w:val="0"/>
          <w:w w:val="100"/>
          <w:position w:val="0"/>
        </w:rPr>
        <w:t>公司受让自然人许永丽持有的公司子公司扬州苏宁云商销售有限公司</w:t>
      </w:r>
      <w:r>
        <w:rPr>
          <w:rFonts w:ascii="Times New Roman" w:eastAsia="Times New Roman" w:hAnsi="Times New Roman" w:cs="Times New Roman"/>
          <w:color w:val="000000"/>
          <w:spacing w:val="0"/>
          <w:w w:val="100"/>
          <w:position w:val="0"/>
        </w:rPr>
        <w:t>10%</w:t>
      </w:r>
      <w:r>
        <w:rPr>
          <w:color w:val="000000"/>
          <w:spacing w:val="0"/>
          <w:w w:val="100"/>
          <w:position w:val="0"/>
        </w:rPr>
        <w:t>少数股东权益，受 让款</w:t>
      </w:r>
      <w:r>
        <w:rPr>
          <w:rFonts w:ascii="Times New Roman" w:eastAsia="Times New Roman" w:hAnsi="Times New Roman" w:cs="Times New Roman"/>
          <w:color w:val="000000"/>
          <w:spacing w:val="0"/>
          <w:w w:val="100"/>
          <w:position w:val="0"/>
        </w:rPr>
        <w:t>269.56</w:t>
      </w:r>
      <w:r>
        <w:rPr>
          <w:color w:val="000000"/>
          <w:spacing w:val="0"/>
          <w:w w:val="100"/>
          <w:position w:val="0"/>
        </w:rPr>
        <w:t>万元，本次受让完成后，公司持有扬州苏宁云商销售有限公司</w:t>
      </w:r>
      <w:r>
        <w:rPr>
          <w:rFonts w:ascii="Times New Roman" w:eastAsia="Times New Roman" w:hAnsi="Times New Roman" w:cs="Times New Roman"/>
          <w:color w:val="000000"/>
          <w:spacing w:val="0"/>
          <w:w w:val="100"/>
          <w:position w:val="0"/>
        </w:rPr>
        <w:t>100%</w:t>
      </w:r>
      <w:r>
        <w:rPr>
          <w:color w:val="000000"/>
          <w:spacing w:val="0"/>
          <w:w w:val="100"/>
          <w:position w:val="0"/>
        </w:rPr>
        <w:t>股权。</w:t>
      </w:r>
    </w:p>
    <w:p>
      <w:pPr>
        <w:pStyle w:val="Style32"/>
        <w:keepNext w:val="0"/>
        <w:keepLines w:val="0"/>
        <w:widowControl w:val="0"/>
        <w:numPr>
          <w:ilvl w:val="0"/>
          <w:numId w:val="5"/>
        </w:numPr>
        <w:shd w:val="clear" w:color="auto" w:fill="auto"/>
        <w:tabs>
          <w:tab w:pos="843" w:val="left"/>
        </w:tabs>
        <w:bidi w:val="0"/>
        <w:spacing w:before="0" w:after="0" w:line="471" w:lineRule="exact"/>
        <w:ind w:left="0" w:right="0" w:firstLine="460"/>
        <w:jc w:val="both"/>
      </w:pPr>
      <w:bookmarkStart w:id="175" w:name="bookmark175"/>
      <w:bookmarkEnd w:id="175"/>
      <w:r>
        <w:rPr>
          <w:color w:val="000000"/>
          <w:spacing w:val="0"/>
          <w:w w:val="100"/>
          <w:position w:val="0"/>
        </w:rPr>
        <w:t>公司子公司南京恒元信投资管理有限公司出资</w:t>
      </w:r>
      <w:r>
        <w:rPr>
          <w:rFonts w:ascii="Times New Roman" w:eastAsia="Times New Roman" w:hAnsi="Times New Roman" w:cs="Times New Roman"/>
          <w:color w:val="000000"/>
          <w:spacing w:val="0"/>
          <w:w w:val="100"/>
          <w:position w:val="0"/>
        </w:rPr>
        <w:t>10,000</w:t>
      </w:r>
      <w:r>
        <w:rPr>
          <w:color w:val="000000"/>
          <w:spacing w:val="0"/>
          <w:w w:val="100"/>
          <w:position w:val="0"/>
        </w:rPr>
        <w:t>万元，投资认购湘潭应收账款投资二期 特定多个客户专项资产管理计划。</w:t>
      </w:r>
    </w:p>
    <w:p>
      <w:pPr>
        <w:pStyle w:val="Style32"/>
        <w:keepNext w:val="0"/>
        <w:keepLines w:val="0"/>
        <w:widowControl w:val="0"/>
        <w:numPr>
          <w:ilvl w:val="0"/>
          <w:numId w:val="5"/>
        </w:numPr>
        <w:shd w:val="clear" w:color="auto" w:fill="auto"/>
        <w:tabs>
          <w:tab w:pos="843" w:val="left"/>
        </w:tabs>
        <w:bidi w:val="0"/>
        <w:spacing w:before="0" w:after="0" w:line="471" w:lineRule="exact"/>
        <w:ind w:left="0" w:right="0" w:firstLine="460"/>
        <w:jc w:val="both"/>
      </w:pPr>
      <w:bookmarkStart w:id="176" w:name="bookmark176"/>
      <w:bookmarkEnd w:id="176"/>
      <w:r>
        <w:rPr>
          <w:color w:val="000000"/>
          <w:spacing w:val="0"/>
          <w:w w:val="100"/>
          <w:position w:val="0"/>
        </w:rPr>
        <w:t>公司子公司苏宁保险销售有限公司出资</w:t>
      </w:r>
      <w:r>
        <w:rPr>
          <w:rFonts w:ascii="Times New Roman" w:eastAsia="Times New Roman" w:hAnsi="Times New Roman" w:cs="Times New Roman"/>
          <w:color w:val="000000"/>
          <w:spacing w:val="0"/>
          <w:w w:val="100"/>
          <w:position w:val="0"/>
        </w:rPr>
        <w:t>1,000</w:t>
      </w:r>
      <w:r>
        <w:rPr>
          <w:color w:val="000000"/>
          <w:spacing w:val="0"/>
          <w:w w:val="100"/>
          <w:position w:val="0"/>
        </w:rPr>
        <w:t>万元，投资认购苏宁富宝基石</w:t>
      </w:r>
      <w:r>
        <w:rPr>
          <w:rFonts w:ascii="Times New Roman" w:eastAsia="Times New Roman" w:hAnsi="Times New Roman" w:cs="Times New Roman"/>
          <w:color w:val="000000"/>
          <w:spacing w:val="0"/>
          <w:w w:val="100"/>
          <w:position w:val="0"/>
        </w:rPr>
        <w:t>1</w:t>
      </w:r>
      <w:r>
        <w:rPr>
          <w:color w:val="000000"/>
          <w:spacing w:val="0"/>
          <w:w w:val="100"/>
          <w:position w:val="0"/>
        </w:rPr>
        <w:t>期物流仓储投资 基金。</w:t>
      </w:r>
    </w:p>
    <w:p>
      <w:pPr>
        <w:pStyle w:val="Style32"/>
        <w:keepNext w:val="0"/>
        <w:keepLines w:val="0"/>
        <w:widowControl w:val="0"/>
        <w:numPr>
          <w:ilvl w:val="0"/>
          <w:numId w:val="5"/>
        </w:numPr>
        <w:shd w:val="clear" w:color="auto" w:fill="auto"/>
        <w:tabs>
          <w:tab w:pos="843" w:val="left"/>
        </w:tabs>
        <w:bidi w:val="0"/>
        <w:spacing w:before="0" w:after="0" w:line="471" w:lineRule="exact"/>
        <w:ind w:left="0" w:right="0" w:firstLine="460"/>
        <w:jc w:val="both"/>
      </w:pPr>
      <w:bookmarkStart w:id="177" w:name="bookmark177"/>
      <w:bookmarkEnd w:id="177"/>
      <w:r>
        <w:rPr>
          <w:color w:val="000000"/>
          <w:spacing w:val="0"/>
          <w:w w:val="100"/>
          <w:position w:val="0"/>
        </w:rPr>
        <w:t>公司子公司南京恒元信投资管理有限公司出资</w:t>
      </w:r>
      <w:r>
        <w:rPr>
          <w:rFonts w:ascii="Times New Roman" w:eastAsia="Times New Roman" w:hAnsi="Times New Roman" w:cs="Times New Roman"/>
          <w:color w:val="000000"/>
          <w:spacing w:val="0"/>
          <w:w w:val="100"/>
          <w:position w:val="0"/>
        </w:rPr>
        <w:t>15,000</w:t>
      </w:r>
      <w:r>
        <w:rPr>
          <w:color w:val="000000"/>
          <w:spacing w:val="0"/>
          <w:w w:val="100"/>
          <w:position w:val="0"/>
        </w:rPr>
        <w:t>万元，投资认购句容新农村公路升级改 造项目信托计划。</w:t>
      </w:r>
    </w:p>
    <w:p>
      <w:pPr>
        <w:pStyle w:val="Style32"/>
        <w:keepNext w:val="0"/>
        <w:keepLines w:val="0"/>
        <w:widowControl w:val="0"/>
        <w:numPr>
          <w:ilvl w:val="0"/>
          <w:numId w:val="5"/>
        </w:numPr>
        <w:shd w:val="clear" w:color="auto" w:fill="auto"/>
        <w:tabs>
          <w:tab w:pos="728" w:val="left"/>
        </w:tabs>
        <w:bidi w:val="0"/>
        <w:spacing w:before="0" w:after="0" w:line="471" w:lineRule="exact"/>
        <w:ind w:left="0" w:right="0" w:firstLine="460"/>
        <w:jc w:val="both"/>
      </w:pPr>
      <w:bookmarkStart w:id="178" w:name="bookmark178"/>
      <w:bookmarkEnd w:id="178"/>
      <w:r>
        <w:rPr>
          <w:color w:val="000000"/>
          <w:spacing w:val="0"/>
          <w:w w:val="100"/>
          <w:position w:val="0"/>
        </w:rPr>
        <w:t>公司子公司苏宁国际集团股份有限公司（原名</w:t>
      </w:r>
      <w:r>
        <w:rPr>
          <w:rFonts w:ascii="Times New Roman" w:eastAsia="Times New Roman" w:hAnsi="Times New Roman" w:cs="Times New Roman"/>
          <w:color w:val="000000"/>
          <w:spacing w:val="0"/>
          <w:w w:val="100"/>
          <w:position w:val="0"/>
        </w:rPr>
        <w:t>“</w:t>
      </w:r>
      <w:r>
        <w:rPr>
          <w:color w:val="000000"/>
          <w:spacing w:val="0"/>
          <w:w w:val="100"/>
          <w:position w:val="0"/>
        </w:rPr>
        <w:t>香港苏宁电器有限公司</w:t>
      </w:r>
      <w:r>
        <w:rPr>
          <w:rFonts w:ascii="Times New Roman" w:eastAsia="Times New Roman" w:hAnsi="Times New Roman" w:cs="Times New Roman"/>
          <w:color w:val="000000"/>
          <w:spacing w:val="0"/>
          <w:w w:val="100"/>
          <w:position w:val="0"/>
        </w:rPr>
        <w:t>”</w:t>
      </w:r>
      <w:r>
        <w:rPr>
          <w:color w:val="000000"/>
          <w:spacing w:val="0"/>
          <w:w w:val="100"/>
          <w:position w:val="0"/>
        </w:rPr>
        <w:t>）出资美金</w:t>
      </w:r>
      <w:r>
        <w:rPr>
          <w:rFonts w:ascii="Times New Roman" w:eastAsia="Times New Roman" w:hAnsi="Times New Roman" w:cs="Times New Roman"/>
          <w:color w:val="000000"/>
          <w:spacing w:val="0"/>
          <w:w w:val="100"/>
          <w:position w:val="0"/>
        </w:rPr>
        <w:t>500</w:t>
      </w:r>
      <w:r>
        <w:rPr>
          <w:color w:val="000000"/>
          <w:spacing w:val="0"/>
          <w:w w:val="100"/>
          <w:position w:val="0"/>
        </w:rPr>
        <w:t>万元 （人民币约</w:t>
      </w:r>
      <w:r>
        <w:rPr>
          <w:rFonts w:ascii="Times New Roman" w:eastAsia="Times New Roman" w:hAnsi="Times New Roman" w:cs="Times New Roman"/>
          <w:color w:val="000000"/>
          <w:spacing w:val="0"/>
          <w:w w:val="100"/>
          <w:position w:val="0"/>
        </w:rPr>
        <w:t>3,442</w:t>
      </w:r>
      <w:r>
        <w:rPr>
          <w:color w:val="000000"/>
          <w:spacing w:val="0"/>
          <w:w w:val="100"/>
          <w:position w:val="0"/>
        </w:rPr>
        <w:t>万元），认购徽商银行发行的境外优先股。</w:t>
      </w:r>
    </w:p>
    <w:p>
      <w:pPr>
        <w:pStyle w:val="Style32"/>
        <w:keepNext w:val="0"/>
        <w:keepLines w:val="0"/>
        <w:widowControl w:val="0"/>
        <w:shd w:val="clear" w:color="auto" w:fill="auto"/>
        <w:bidi w:val="0"/>
        <w:spacing w:before="0" w:after="0" w:line="469" w:lineRule="exact"/>
        <w:ind w:left="0" w:right="0" w:firstLine="460"/>
        <w:jc w:val="left"/>
      </w:pPr>
      <w:bookmarkStart w:id="179" w:name="bookmark179"/>
      <w:r>
        <w:rPr>
          <w:color w:val="000000"/>
          <w:spacing w:val="0"/>
          <w:w w:val="100"/>
          <w:position w:val="0"/>
        </w:rPr>
        <w:t>（</w:t>
      </w:r>
      <w:bookmarkEnd w:id="179"/>
      <w:r>
        <w:rPr>
          <w:rFonts w:ascii="Times New Roman" w:eastAsia="Times New Roman" w:hAnsi="Times New Roman" w:cs="Times New Roman"/>
          <w:color w:val="000000"/>
          <w:spacing w:val="0"/>
          <w:w w:val="100"/>
          <w:position w:val="0"/>
        </w:rPr>
        <w:t>3</w:t>
      </w:r>
      <w:r>
        <w:rPr>
          <w:color w:val="000000"/>
          <w:spacing w:val="0"/>
          <w:w w:val="100"/>
          <w:position w:val="0"/>
        </w:rPr>
        <w:t>）报告期内，公司海外子公司投资情况</w:t>
      </w:r>
    </w:p>
    <w:p>
      <w:pPr>
        <w:pStyle w:val="Style32"/>
        <w:keepNext w:val="0"/>
        <w:keepLines w:val="0"/>
        <w:widowControl w:val="0"/>
        <w:shd w:val="clear" w:color="auto" w:fill="auto"/>
        <w:bidi w:val="0"/>
        <w:spacing w:before="0" w:after="0" w:line="469" w:lineRule="exact"/>
        <w:ind w:left="0" w:right="0" w:firstLine="460"/>
        <w:jc w:val="left"/>
      </w:pPr>
      <w:r>
        <w:rPr>
          <w:color w:val="000000"/>
          <w:spacing w:val="0"/>
          <w:w w:val="100"/>
          <w:position w:val="0"/>
        </w:rPr>
        <w:t>①</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LAOX</w:t>
      </w:r>
      <w:r>
        <w:rPr>
          <w:color w:val="000000"/>
          <w:spacing w:val="0"/>
          <w:w w:val="100"/>
          <w:position w:val="0"/>
        </w:rPr>
        <w:t>株式会社与绿地香港投资集团有限公司在香港成立合资公司绿地乐购仕 投资有限公司，以共同收购千叶海港广场，拓展不动产投资业务。</w:t>
      </w:r>
      <w:r>
        <w:rPr>
          <w:rFonts w:ascii="Times New Roman" w:eastAsia="Times New Roman" w:hAnsi="Times New Roman" w:cs="Times New Roman"/>
          <w:color w:val="000000"/>
          <w:spacing w:val="0"/>
          <w:w w:val="100"/>
          <w:position w:val="0"/>
        </w:rPr>
        <w:t>LAOX</w:t>
      </w:r>
      <w:r>
        <w:rPr>
          <w:color w:val="000000"/>
          <w:spacing w:val="0"/>
          <w:w w:val="100"/>
          <w:position w:val="0"/>
        </w:rPr>
        <w:t xml:space="preserve">株式会社持有合资公司 </w:t>
      </w:r>
      <w:r>
        <w:rPr>
          <w:rFonts w:ascii="Times New Roman" w:eastAsia="Times New Roman" w:hAnsi="Times New Roman" w:cs="Times New Roman"/>
          <w:color w:val="000000"/>
          <w:spacing w:val="0"/>
          <w:w w:val="100"/>
          <w:position w:val="0"/>
        </w:rPr>
        <w:t>35%</w:t>
      </w:r>
      <w:r>
        <w:rPr>
          <w:color w:val="000000"/>
          <w:spacing w:val="0"/>
          <w:w w:val="100"/>
          <w:position w:val="0"/>
        </w:rPr>
        <w:t>股权，为支付收购千叶海港广场对价款，</w:t>
      </w:r>
      <w:r>
        <w:rPr>
          <w:rFonts w:ascii="Times New Roman" w:eastAsia="Times New Roman" w:hAnsi="Times New Roman" w:cs="Times New Roman"/>
          <w:color w:val="000000"/>
          <w:spacing w:val="0"/>
          <w:w w:val="100"/>
          <w:position w:val="0"/>
        </w:rPr>
        <w:t>LAOX</w:t>
      </w:r>
      <w:r>
        <w:rPr>
          <w:color w:val="000000"/>
          <w:spacing w:val="0"/>
          <w:w w:val="100"/>
          <w:position w:val="0"/>
        </w:rPr>
        <w:t>株式会社分别于</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月出 资</w:t>
      </w:r>
      <w:r>
        <w:rPr>
          <w:rFonts w:ascii="Times New Roman" w:eastAsia="Times New Roman" w:hAnsi="Times New Roman" w:cs="Times New Roman"/>
          <w:color w:val="000000"/>
          <w:spacing w:val="0"/>
          <w:w w:val="100"/>
          <w:position w:val="0"/>
        </w:rPr>
        <w:t>210</w:t>
      </w:r>
      <w:r>
        <w:rPr>
          <w:color w:val="000000"/>
          <w:spacing w:val="0"/>
          <w:w w:val="100"/>
          <w:position w:val="0"/>
        </w:rPr>
        <w:t>万美金、</w:t>
      </w:r>
      <w:r>
        <w:rPr>
          <w:rFonts w:ascii="Times New Roman" w:eastAsia="Times New Roman" w:hAnsi="Times New Roman" w:cs="Times New Roman"/>
          <w:color w:val="000000"/>
          <w:spacing w:val="0"/>
          <w:w w:val="100"/>
          <w:position w:val="0"/>
        </w:rPr>
        <w:t>1,890</w:t>
      </w:r>
      <w:r>
        <w:rPr>
          <w:color w:val="000000"/>
          <w:spacing w:val="0"/>
          <w:w w:val="100"/>
          <w:position w:val="0"/>
        </w:rPr>
        <w:t>万美金（人民币约</w:t>
      </w:r>
      <w:r>
        <w:rPr>
          <w:rFonts w:ascii="Times New Roman" w:eastAsia="Times New Roman" w:hAnsi="Times New Roman" w:cs="Times New Roman"/>
          <w:color w:val="000000"/>
          <w:spacing w:val="0"/>
          <w:w w:val="100"/>
          <w:position w:val="0"/>
        </w:rPr>
        <w:t>15,300</w:t>
      </w:r>
      <w:r>
        <w:rPr>
          <w:color w:val="000000"/>
          <w:spacing w:val="0"/>
          <w:w w:val="100"/>
          <w:position w:val="0"/>
        </w:rPr>
        <w:t>万元）。</w:t>
      </w:r>
    </w:p>
    <w:p>
      <w:pPr>
        <w:pStyle w:val="Style53"/>
        <w:keepNext w:val="0"/>
        <w:keepLines w:val="0"/>
        <w:widowControl w:val="0"/>
        <w:shd w:val="clear" w:color="auto" w:fill="auto"/>
        <w:bidi w:val="0"/>
        <w:spacing w:before="0" w:after="0" w:line="469" w:lineRule="exact"/>
        <w:ind w:left="0" w:right="0"/>
        <w:jc w:val="left"/>
      </w:pPr>
      <w:r>
        <w:rPr>
          <w:rFonts w:ascii="SimSun" w:eastAsia="SimSun" w:hAnsi="SimSun" w:cs="SimSun"/>
          <w:color w:val="000000"/>
          <w:spacing w:val="0"/>
          <w:w w:val="100"/>
          <w:position w:val="0"/>
        </w:rPr>
        <w:t>©</w:t>
      </w:r>
      <w:r>
        <w:rPr>
          <w:color w:val="000000"/>
          <w:spacing w:val="0"/>
          <w:w w:val="100"/>
          <w:position w:val="0"/>
        </w:rPr>
        <w:t>LAOX</w:t>
      </w:r>
      <w:r>
        <w:rPr>
          <w:rFonts w:ascii="SimSun" w:eastAsia="SimSun" w:hAnsi="SimSun" w:cs="SimSun"/>
          <w:color w:val="000000"/>
          <w:spacing w:val="0"/>
          <w:w w:val="100"/>
          <w:position w:val="0"/>
        </w:rPr>
        <w:t>株式会社与</w:t>
      </w:r>
      <w:r>
        <w:rPr>
          <w:color w:val="000000"/>
          <w:spacing w:val="0"/>
          <w:w w:val="100"/>
          <w:position w:val="0"/>
        </w:rPr>
        <w:t>HEARTS Agent Promotion</w:t>
      </w:r>
      <w:r>
        <w:rPr>
          <w:rFonts w:ascii="SimSun" w:eastAsia="SimSun" w:hAnsi="SimSun" w:cs="SimSun"/>
          <w:color w:val="000000"/>
          <w:spacing w:val="0"/>
          <w:w w:val="100"/>
          <w:position w:val="0"/>
        </w:rPr>
        <w:t>株式会社成立合资公司</w:t>
      </w:r>
      <w:r>
        <w:rPr>
          <w:color w:val="000000"/>
          <w:spacing w:val="0"/>
          <w:w w:val="100"/>
          <w:position w:val="0"/>
        </w:rPr>
        <w:t>H&amp;L Planning Co.,Ltd</w:t>
      </w:r>
      <w:r>
        <w:rPr>
          <w:color w:val="000000"/>
          <w:spacing w:val="0"/>
          <w:w w:val="100"/>
          <w:position w:val="0"/>
        </w:rPr>
        <w:t>.</w:t>
      </w:r>
      <w:r>
        <w:rPr>
          <w:rFonts w:ascii="SimSun" w:eastAsia="SimSun" w:hAnsi="SimSun" w:cs="SimSun"/>
          <w:color w:val="000000"/>
          <w:spacing w:val="0"/>
          <w:w w:val="100"/>
          <w:position w:val="0"/>
        </w:rPr>
        <w:t>参 与福冈博多港商业招标。</w:t>
      </w:r>
      <w:r>
        <w:rPr>
          <w:color w:val="000000"/>
          <w:spacing w:val="0"/>
          <w:w w:val="100"/>
          <w:position w:val="0"/>
        </w:rPr>
        <w:t>LAOX</w:t>
      </w:r>
      <w:r>
        <w:rPr>
          <w:rFonts w:ascii="SimSun" w:eastAsia="SimSun" w:hAnsi="SimSun" w:cs="SimSun"/>
          <w:color w:val="000000"/>
          <w:spacing w:val="0"/>
          <w:w w:val="100"/>
          <w:position w:val="0"/>
        </w:rPr>
        <w:t>出资</w:t>
      </w:r>
      <w:r>
        <w:rPr>
          <w:color w:val="000000"/>
          <w:spacing w:val="0"/>
          <w:w w:val="100"/>
          <w:position w:val="0"/>
        </w:rPr>
        <w:t>600</w:t>
      </w:r>
      <w:r>
        <w:rPr>
          <w:rFonts w:ascii="SimSun" w:eastAsia="SimSun" w:hAnsi="SimSun" w:cs="SimSun"/>
          <w:color w:val="000000"/>
          <w:spacing w:val="0"/>
          <w:w w:val="100"/>
          <w:position w:val="0"/>
        </w:rPr>
        <w:t>万日元（人民币约</w:t>
      </w:r>
      <w:r>
        <w:rPr>
          <w:color w:val="000000"/>
          <w:spacing w:val="0"/>
          <w:w w:val="100"/>
          <w:position w:val="0"/>
        </w:rPr>
        <w:t>34</w:t>
      </w:r>
      <w:r>
        <w:rPr>
          <w:rFonts w:ascii="SimSun" w:eastAsia="SimSun" w:hAnsi="SimSun" w:cs="SimSun"/>
          <w:color w:val="000000"/>
          <w:spacing w:val="0"/>
          <w:w w:val="100"/>
          <w:position w:val="0"/>
        </w:rPr>
        <w:t>万元），持股</w:t>
      </w:r>
      <w:r>
        <w:rPr>
          <w:color w:val="000000"/>
          <w:spacing w:val="0"/>
          <w:w w:val="100"/>
          <w:position w:val="0"/>
        </w:rPr>
        <w:t>60%</w:t>
      </w:r>
      <w:r>
        <w:rPr>
          <w:rFonts w:ascii="SimSun" w:eastAsia="SimSun" w:hAnsi="SimSun" w:cs="SimSun"/>
          <w:color w:val="000000"/>
          <w:spacing w:val="0"/>
          <w:w w:val="100"/>
          <w:position w:val="0"/>
        </w:rPr>
        <w:t>。</w:t>
      </w:r>
    </w:p>
    <w:p>
      <w:pPr>
        <w:pStyle w:val="Style32"/>
        <w:keepNext w:val="0"/>
        <w:keepLines w:val="0"/>
        <w:widowControl w:val="0"/>
        <w:numPr>
          <w:ilvl w:val="0"/>
          <w:numId w:val="7"/>
        </w:numPr>
        <w:shd w:val="clear" w:color="auto" w:fill="auto"/>
        <w:tabs>
          <w:tab w:pos="826" w:val="left"/>
        </w:tabs>
        <w:bidi w:val="0"/>
        <w:spacing w:before="0" w:after="0" w:line="469" w:lineRule="exact"/>
        <w:ind w:left="0" w:right="0" w:firstLine="460"/>
        <w:jc w:val="left"/>
      </w:pPr>
      <w:bookmarkStart w:id="180" w:name="bookmark180"/>
      <w:bookmarkEnd w:id="180"/>
      <w:r>
        <w:rPr>
          <w:rFonts w:ascii="Times New Roman" w:eastAsia="Times New Roman" w:hAnsi="Times New Roman" w:cs="Times New Roman"/>
          <w:color w:val="000000"/>
          <w:spacing w:val="0"/>
          <w:w w:val="100"/>
          <w:position w:val="0"/>
        </w:rPr>
        <w:t>LAOX</w:t>
      </w:r>
      <w:r>
        <w:rPr>
          <w:color w:val="000000"/>
          <w:spacing w:val="0"/>
          <w:w w:val="100"/>
          <w:position w:val="0"/>
        </w:rPr>
        <w:t>株式会社拓展海外业务，出资</w:t>
      </w:r>
      <w:r>
        <w:rPr>
          <w:rFonts w:ascii="Times New Roman" w:eastAsia="Times New Roman" w:hAnsi="Times New Roman" w:cs="Times New Roman"/>
          <w:color w:val="000000"/>
          <w:spacing w:val="0"/>
          <w:w w:val="100"/>
          <w:position w:val="0"/>
        </w:rPr>
        <w:t>2.88</w:t>
      </w:r>
      <w:r>
        <w:rPr>
          <w:color w:val="000000"/>
          <w:spacing w:val="0"/>
          <w:w w:val="100"/>
          <w:position w:val="0"/>
        </w:rPr>
        <w:t>亿元台币（人民币约</w:t>
      </w:r>
      <w:r>
        <w:rPr>
          <w:rFonts w:ascii="Times New Roman" w:eastAsia="Times New Roman" w:hAnsi="Times New Roman" w:cs="Times New Roman"/>
          <w:color w:val="000000"/>
          <w:spacing w:val="0"/>
          <w:w w:val="100"/>
          <w:position w:val="0"/>
        </w:rPr>
        <w:t>6,225</w:t>
      </w:r>
      <w:r>
        <w:rPr>
          <w:color w:val="000000"/>
          <w:spacing w:val="0"/>
          <w:w w:val="100"/>
          <w:position w:val="0"/>
        </w:rPr>
        <w:t>万元）设立台湾乐购仕 商贸有限公司。</w:t>
      </w:r>
    </w:p>
    <w:p>
      <w:pPr>
        <w:pStyle w:val="Style32"/>
        <w:keepNext w:val="0"/>
        <w:keepLines w:val="0"/>
        <w:widowControl w:val="0"/>
        <w:numPr>
          <w:ilvl w:val="0"/>
          <w:numId w:val="7"/>
        </w:numPr>
        <w:shd w:val="clear" w:color="auto" w:fill="auto"/>
        <w:tabs>
          <w:tab w:pos="830" w:val="left"/>
        </w:tabs>
        <w:bidi w:val="0"/>
        <w:spacing w:before="0" w:after="0" w:line="469" w:lineRule="exact"/>
        <w:ind w:left="0" w:right="0" w:firstLine="460"/>
        <w:jc w:val="left"/>
        <w:sectPr>
          <w:headerReference w:type="default" r:id="rId15"/>
          <w:footerReference w:type="default" r:id="rId16"/>
          <w:headerReference w:type="even" r:id="rId17"/>
          <w:footerReference w:type="even" r:id="rId18"/>
          <w:footnotePr>
            <w:pos w:val="pageBottom"/>
            <w:numFmt w:val="decimal"/>
            <w:numRestart w:val="continuous"/>
          </w:footnotePr>
          <w:pgSz w:w="11900" w:h="16840"/>
          <w:pgMar w:top="1335" w:right="1026" w:bottom="1729" w:left="1052" w:header="0" w:footer="3" w:gutter="0"/>
          <w:cols w:space="720"/>
          <w:noEndnote/>
          <w:rtlGutter w:val="0"/>
          <w:docGrid w:linePitch="360"/>
        </w:sectPr>
      </w:pPr>
      <w:bookmarkStart w:id="181" w:name="bookmark181"/>
      <w:bookmarkEnd w:id="181"/>
      <w:r>
        <w:rPr>
          <w:rFonts w:ascii="Times New Roman" w:eastAsia="Times New Roman" w:hAnsi="Times New Roman" w:cs="Times New Roman"/>
          <w:color w:val="000000"/>
          <w:spacing w:val="0"/>
          <w:w w:val="100"/>
          <w:position w:val="0"/>
        </w:rPr>
        <w:t>LAOX</w:t>
      </w:r>
      <w:r>
        <w:rPr>
          <w:color w:val="000000"/>
          <w:spacing w:val="0"/>
          <w:w w:val="100"/>
          <w:position w:val="0"/>
        </w:rPr>
        <w:t>株式会社出资</w:t>
      </w:r>
      <w:r>
        <w:rPr>
          <w:rFonts w:ascii="Times New Roman" w:eastAsia="Times New Roman" w:hAnsi="Times New Roman" w:cs="Times New Roman"/>
          <w:color w:val="000000"/>
          <w:spacing w:val="0"/>
          <w:w w:val="100"/>
          <w:position w:val="0"/>
        </w:rPr>
        <w:t>3.8</w:t>
      </w:r>
      <w:r>
        <w:rPr>
          <w:color w:val="000000"/>
          <w:spacing w:val="0"/>
          <w:w w:val="100"/>
          <w:position w:val="0"/>
        </w:rPr>
        <w:t>亿日元（人民币约</w:t>
      </w:r>
      <w:r>
        <w:rPr>
          <w:rFonts w:ascii="Times New Roman" w:eastAsia="Times New Roman" w:hAnsi="Times New Roman" w:cs="Times New Roman"/>
          <w:color w:val="000000"/>
          <w:spacing w:val="0"/>
          <w:w w:val="100"/>
          <w:position w:val="0"/>
        </w:rPr>
        <w:t>2,155</w:t>
      </w:r>
      <w:r>
        <w:rPr>
          <w:color w:val="000000"/>
          <w:spacing w:val="0"/>
          <w:w w:val="100"/>
          <w:position w:val="0"/>
        </w:rPr>
        <w:t>万元）收购株式会社</w:t>
      </w:r>
      <w:r>
        <w:rPr>
          <w:rFonts w:ascii="Times New Roman" w:eastAsia="Times New Roman" w:hAnsi="Times New Roman" w:cs="Times New Roman"/>
          <w:color w:val="000000"/>
          <w:spacing w:val="0"/>
          <w:w w:val="100"/>
          <w:position w:val="0"/>
        </w:rPr>
        <w:t>SHIN-EI100%</w:t>
      </w:r>
      <w:r>
        <w:rPr>
          <w:color w:val="000000"/>
          <w:spacing w:val="0"/>
          <w:w w:val="100"/>
          <w:position w:val="0"/>
        </w:rPr>
        <w:t>股权；出 资</w:t>
      </w:r>
      <w:r>
        <w:rPr>
          <w:rFonts w:ascii="Times New Roman" w:eastAsia="Times New Roman" w:hAnsi="Times New Roman" w:cs="Times New Roman"/>
          <w:color w:val="000000"/>
          <w:spacing w:val="0"/>
          <w:w w:val="100"/>
          <w:position w:val="0"/>
        </w:rPr>
        <w:t>3.9</w:t>
      </w:r>
      <w:r>
        <w:rPr>
          <w:color w:val="000000"/>
          <w:spacing w:val="0"/>
          <w:w w:val="100"/>
          <w:position w:val="0"/>
        </w:rPr>
        <w:t>亿日元（人民币约</w:t>
      </w:r>
      <w:r>
        <w:rPr>
          <w:rFonts w:ascii="Times New Roman" w:eastAsia="Times New Roman" w:hAnsi="Times New Roman" w:cs="Times New Roman"/>
          <w:color w:val="000000"/>
          <w:spacing w:val="0"/>
          <w:w w:val="100"/>
          <w:position w:val="0"/>
        </w:rPr>
        <w:t>2,196</w:t>
      </w:r>
      <w:r>
        <w:rPr>
          <w:color w:val="000000"/>
          <w:spacing w:val="0"/>
          <w:w w:val="100"/>
          <w:position w:val="0"/>
        </w:rPr>
        <w:t>万元）收购新兴制靴工业株式会社</w:t>
      </w:r>
      <w:r>
        <w:rPr>
          <w:rFonts w:ascii="Times New Roman" w:eastAsia="Times New Roman" w:hAnsi="Times New Roman" w:cs="Times New Roman"/>
          <w:color w:val="000000"/>
          <w:spacing w:val="0"/>
          <w:w w:val="100"/>
          <w:position w:val="0"/>
        </w:rPr>
        <w:t>100%</w:t>
      </w:r>
      <w:r>
        <w:rPr>
          <w:color w:val="000000"/>
          <w:spacing w:val="0"/>
          <w:w w:val="100"/>
          <w:position w:val="0"/>
        </w:rPr>
        <w:t>股权。收购完成后将进一步 提升</w:t>
      </w:r>
      <w:r>
        <w:rPr>
          <w:rFonts w:ascii="Times New Roman" w:eastAsia="Times New Roman" w:hAnsi="Times New Roman" w:cs="Times New Roman"/>
          <w:color w:val="000000"/>
          <w:spacing w:val="0"/>
          <w:w w:val="100"/>
          <w:position w:val="0"/>
        </w:rPr>
        <w:t>LAOX</w:t>
      </w:r>
      <w:r>
        <w:rPr>
          <w:color w:val="000000"/>
          <w:spacing w:val="0"/>
          <w:w w:val="100"/>
          <w:position w:val="0"/>
        </w:rPr>
        <w:t>株式会社在日本女鞋市场的占比。</w:t>
      </w:r>
    </w:p>
    <w:p>
      <w:pPr>
        <w:pStyle w:val="Style32"/>
        <w:keepNext w:val="0"/>
        <w:keepLines w:val="0"/>
        <w:widowControl w:val="0"/>
        <w:shd w:val="clear" w:color="auto" w:fill="auto"/>
        <w:bidi w:val="0"/>
        <w:spacing w:before="360" w:after="200" w:line="240" w:lineRule="auto"/>
        <w:ind w:left="0" w:right="0" w:firstLine="660"/>
        <w:jc w:val="left"/>
      </w:pPr>
      <w:bookmarkStart w:id="182" w:name="bookmark182"/>
      <w:r>
        <w:rPr>
          <w:color w:val="000000"/>
          <w:spacing w:val="0"/>
          <w:w w:val="100"/>
          <w:position w:val="0"/>
        </w:rPr>
        <w:t>（</w:t>
      </w:r>
      <w:bookmarkEnd w:id="182"/>
      <w:r>
        <w:rPr>
          <w:rFonts w:ascii="Times New Roman" w:eastAsia="Times New Roman" w:hAnsi="Times New Roman" w:cs="Times New Roman"/>
          <w:color w:val="000000"/>
          <w:spacing w:val="0"/>
          <w:w w:val="100"/>
          <w:position w:val="0"/>
        </w:rPr>
        <w:t>4</w:t>
      </w:r>
      <w:r>
        <w:rPr>
          <w:color w:val="000000"/>
          <w:spacing w:val="0"/>
          <w:w w:val="100"/>
          <w:position w:val="0"/>
        </w:rPr>
        <w:t>）报告期内获取的重大的股权投资情况</w:t>
      </w:r>
    </w:p>
    <w:p>
      <w:pPr>
        <w:pStyle w:val="Style25"/>
        <w:keepNext w:val="0"/>
        <w:keepLines w:val="0"/>
        <w:widowControl w:val="0"/>
        <w:shd w:val="clear" w:color="auto" w:fill="auto"/>
        <w:bidi w:val="0"/>
        <w:spacing w:before="0" w:after="0" w:line="240" w:lineRule="auto"/>
        <w:ind w:left="12946" w:right="0" w:firstLine="0"/>
        <w:jc w:val="left"/>
      </w:pPr>
      <w:r>
        <w:rPr>
          <w:color w:val="000000"/>
          <w:spacing w:val="0"/>
          <w:w w:val="100"/>
          <w:position w:val="0"/>
        </w:rPr>
        <w:t>单位：万元</w:t>
      </w:r>
    </w:p>
    <w:tbl>
      <w:tblPr>
        <w:tblOverlap w:val="never"/>
        <w:jc w:val="center"/>
        <w:tblLayout w:type="fixed"/>
      </w:tblPr>
      <w:tblGrid>
        <w:gridCol w:w="1104"/>
        <w:gridCol w:w="706"/>
        <w:gridCol w:w="850"/>
        <w:gridCol w:w="1138"/>
        <w:gridCol w:w="850"/>
        <w:gridCol w:w="710"/>
        <w:gridCol w:w="1277"/>
        <w:gridCol w:w="1536"/>
        <w:gridCol w:w="734"/>
        <w:gridCol w:w="1133"/>
        <w:gridCol w:w="850"/>
        <w:gridCol w:w="1133"/>
        <w:gridCol w:w="710"/>
        <w:gridCol w:w="706"/>
        <w:gridCol w:w="744"/>
      </w:tblGrid>
      <w:tr>
        <w:trPr>
          <w:trHeight w:val="1157" w:hRule="exact"/>
        </w:trPr>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93" w:lineRule="exact"/>
              <w:ind w:left="0" w:right="0" w:firstLine="0"/>
              <w:jc w:val="left"/>
            </w:pPr>
            <w:r>
              <w:rPr>
                <w:color w:val="000000"/>
                <w:spacing w:val="0"/>
                <w:w w:val="100"/>
                <w:position w:val="0"/>
              </w:rPr>
              <w:t>被投资公 司名称</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93" w:lineRule="exact"/>
              <w:ind w:left="0" w:right="0" w:firstLine="0"/>
              <w:jc w:val="left"/>
            </w:pPr>
            <w:r>
              <w:rPr>
                <w:color w:val="000000"/>
                <w:spacing w:val="0"/>
                <w:w w:val="100"/>
                <w:position w:val="0"/>
              </w:rPr>
              <w:t>主要 业务</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投资 方式</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投资金额</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持股 比例</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302" w:lineRule="exact"/>
              <w:ind w:left="0" w:right="0" w:firstLine="0"/>
              <w:jc w:val="left"/>
            </w:pPr>
            <w:r>
              <w:rPr>
                <w:color w:val="000000"/>
                <w:spacing w:val="0"/>
                <w:w w:val="100"/>
                <w:position w:val="0"/>
              </w:rPr>
              <w:t>资金 来源</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合作方</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投资期限</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88" w:lineRule="exact"/>
              <w:ind w:left="140" w:right="0" w:firstLine="0"/>
              <w:jc w:val="left"/>
            </w:pPr>
            <w:r>
              <w:rPr>
                <w:color w:val="000000"/>
                <w:spacing w:val="0"/>
                <w:w w:val="100"/>
                <w:position w:val="0"/>
              </w:rPr>
              <w:t>产品 类型</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86" w:lineRule="exact"/>
              <w:ind w:left="0" w:right="0" w:firstLine="0"/>
              <w:jc w:val="center"/>
            </w:pPr>
            <w:r>
              <w:rPr>
                <w:color w:val="000000"/>
                <w:spacing w:val="0"/>
                <w:w w:val="100"/>
                <w:position w:val="0"/>
              </w:rPr>
              <w:t>截至资产 负债表日 的进展情</w:t>
            </w:r>
          </w:p>
          <w:p>
            <w:pPr>
              <w:pStyle w:val="Style28"/>
              <w:keepNext w:val="0"/>
              <w:keepLines w:val="0"/>
              <w:widowControl w:val="0"/>
              <w:shd w:val="clear" w:color="auto" w:fill="auto"/>
              <w:bidi w:val="0"/>
              <w:spacing w:before="0" w:after="0" w:line="286" w:lineRule="exact"/>
              <w:ind w:left="0" w:right="0" w:firstLine="0"/>
              <w:jc w:val="center"/>
            </w:pPr>
            <w:r>
              <w:rPr>
                <w:color w:val="000000"/>
                <w:spacing w:val="0"/>
                <w:w w:val="100"/>
                <w:position w:val="0"/>
              </w:rPr>
              <w:t>况</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83" w:lineRule="exact"/>
              <w:ind w:left="0" w:right="0" w:firstLine="0"/>
              <w:jc w:val="center"/>
            </w:pPr>
            <w:r>
              <w:rPr>
                <w:color w:val="000000"/>
                <w:spacing w:val="0"/>
                <w:w w:val="100"/>
                <w:position w:val="0"/>
              </w:rPr>
              <w:t>预计 收益</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83" w:lineRule="exact"/>
              <w:ind w:left="0" w:right="0" w:firstLine="0"/>
              <w:jc w:val="center"/>
            </w:pPr>
            <w:r>
              <w:rPr>
                <w:color w:val="000000"/>
                <w:spacing w:val="0"/>
                <w:w w:val="100"/>
                <w:position w:val="0"/>
              </w:rPr>
              <w:t>本期投资 盈亏</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88" w:lineRule="exact"/>
              <w:ind w:left="0" w:right="0" w:firstLine="0"/>
              <w:jc w:val="left"/>
            </w:pPr>
            <w:r>
              <w:rPr>
                <w:color w:val="000000"/>
                <w:spacing w:val="0"/>
                <w:w w:val="100"/>
                <w:position w:val="0"/>
              </w:rPr>
              <w:t>是否 涉诉</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日期</w:t>
            </w:r>
          </w:p>
        </w:tc>
        <w:tc>
          <w:tcPr>
            <w:tcBorders>
              <w:top w:val="single" w:sz="4"/>
              <w:left w:val="single" w:sz="4"/>
              <w:right w:val="single" w:sz="4"/>
            </w:tcBorders>
            <w:shd w:val="clear" w:color="auto" w:fill="D3D3D3"/>
            <w:vAlign w:val="top"/>
          </w:tcPr>
          <w:p>
            <w:pPr>
              <w:pStyle w:val="Style2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披露 索引</w:t>
            </w:r>
          </w:p>
        </w:tc>
      </w:tr>
      <w:tr>
        <w:trPr>
          <w:trHeight w:val="185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86" w:lineRule="exact"/>
              <w:ind w:left="0" w:right="0" w:firstLine="0"/>
              <w:jc w:val="left"/>
            </w:pPr>
            <w:r>
              <w:rPr>
                <w:color w:val="000000"/>
                <w:spacing w:val="0"/>
                <w:w w:val="100"/>
                <w:position w:val="0"/>
              </w:rPr>
              <w:t>努比亚技 术有限公 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86" w:lineRule="exact"/>
              <w:ind w:left="0" w:right="0" w:firstLine="0"/>
              <w:jc w:val="left"/>
            </w:pPr>
            <w:r>
              <w:rPr>
                <w:color w:val="000000"/>
                <w:spacing w:val="0"/>
                <w:w w:val="100"/>
                <w:position w:val="0"/>
              </w:rPr>
              <w:t>手机 研 发、</w:t>
            </w:r>
          </w:p>
          <w:p>
            <w:pPr>
              <w:pStyle w:val="Style28"/>
              <w:keepNext w:val="0"/>
              <w:keepLines w:val="0"/>
              <w:widowControl w:val="0"/>
              <w:shd w:val="clear" w:color="auto" w:fill="auto"/>
              <w:bidi w:val="0"/>
              <w:spacing w:before="0" w:after="0" w:line="286" w:lineRule="exact"/>
              <w:ind w:left="0" w:right="0" w:firstLine="0"/>
              <w:jc w:val="center"/>
            </w:pPr>
            <w:r>
              <w:rPr>
                <w:color w:val="000000"/>
                <w:spacing w:val="0"/>
                <w:w w:val="100"/>
                <w:position w:val="0"/>
              </w:rPr>
              <w:t>销售</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增资</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28,371</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4.90%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69" w:lineRule="exact"/>
              <w:ind w:left="0" w:right="0" w:firstLine="0"/>
              <w:jc w:val="left"/>
            </w:pPr>
            <w:r>
              <w:rPr>
                <w:color w:val="000000"/>
                <w:spacing w:val="0"/>
                <w:w w:val="100"/>
                <w:position w:val="0"/>
              </w:rPr>
              <w:t>自有 资金</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80" w:lineRule="exact"/>
              <w:ind w:left="0" w:right="0" w:firstLine="0"/>
              <w:jc w:val="left"/>
            </w:pPr>
            <w:r>
              <w:rPr>
                <w:color w:val="000000"/>
                <w:spacing w:val="0"/>
                <w:w w:val="100"/>
                <w:position w:val="0"/>
              </w:rPr>
              <w:t>苏宁润东 股权投资 管理有限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581.87</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40" w:line="266" w:lineRule="exact"/>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2016 </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 xml:space="preserve">4 </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30</w:t>
            </w:r>
          </w:p>
          <w:p>
            <w:pPr>
              <w:pStyle w:val="Style28"/>
              <w:keepNext w:val="0"/>
              <w:keepLines w:val="0"/>
              <w:widowControl w:val="0"/>
              <w:shd w:val="clear" w:color="auto" w:fill="auto"/>
              <w:bidi w:val="0"/>
              <w:spacing w:before="0" w:after="0" w:line="266" w:lineRule="exact"/>
              <w:ind w:left="0" w:right="0" w:firstLine="0"/>
              <w:jc w:val="left"/>
              <w:rPr>
                <w:sz w:val="20"/>
                <w:szCs w:val="20"/>
              </w:rPr>
            </w:pPr>
            <w:r>
              <w:rPr>
                <w:color w:val="000000"/>
                <w:spacing w:val="0"/>
                <w:w w:val="100"/>
                <w:position w:val="0"/>
                <w:sz w:val="20"/>
                <w:szCs w:val="20"/>
              </w:rPr>
              <w:t>日</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62" w:lineRule="exact"/>
              <w:ind w:left="0" w:right="0" w:firstLine="0"/>
              <w:jc w:val="left"/>
              <w:rPr>
                <w:sz w:val="20"/>
                <w:szCs w:val="20"/>
              </w:rPr>
            </w:pPr>
            <w:r>
              <w:rPr>
                <w:color w:val="000000"/>
                <w:spacing w:val="0"/>
                <w:w w:val="100"/>
                <w:position w:val="0"/>
                <w:sz w:val="20"/>
                <w:szCs w:val="20"/>
              </w:rPr>
              <w:t xml:space="preserve">巨潮 资讯 网 </w:t>
            </w:r>
            <w:r>
              <w:rPr>
                <w:rFonts w:ascii="Times New Roman" w:eastAsia="Times New Roman" w:hAnsi="Times New Roman" w:cs="Times New Roman"/>
                <w:color w:val="000000"/>
                <w:spacing w:val="0"/>
                <w:w w:val="100"/>
                <w:position w:val="0"/>
                <w:sz w:val="20"/>
                <w:szCs w:val="20"/>
              </w:rPr>
              <w:t>2016-</w:t>
            </w:r>
          </w:p>
          <w:p>
            <w:pPr>
              <w:pStyle w:val="Style28"/>
              <w:keepNext w:val="0"/>
              <w:keepLines w:val="0"/>
              <w:widowControl w:val="0"/>
              <w:shd w:val="clear" w:color="auto" w:fill="auto"/>
              <w:bidi w:val="0"/>
              <w:spacing w:before="0" w:after="0" w:line="276" w:lineRule="exact"/>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044 </w:t>
            </w:r>
            <w:r>
              <w:rPr>
                <w:color w:val="000000"/>
                <w:spacing w:val="0"/>
                <w:w w:val="100"/>
                <w:position w:val="0"/>
                <w:sz w:val="20"/>
                <w:szCs w:val="20"/>
              </w:rPr>
              <w:t>号公 告</w:t>
            </w:r>
          </w:p>
        </w:tc>
      </w:tr>
      <w:tr>
        <w:trPr>
          <w:trHeight w:val="5434"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Alibaba Group Holding Limited</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93" w:lineRule="exact"/>
              <w:ind w:left="0" w:right="0" w:firstLine="0"/>
              <w:jc w:val="left"/>
            </w:pPr>
            <w:r>
              <w:rPr>
                <w:color w:val="000000"/>
                <w:spacing w:val="0"/>
                <w:w w:val="100"/>
                <w:position w:val="0"/>
              </w:rPr>
              <w:t>电子 商务</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增资</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1,400,000</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1.05%</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88" w:lineRule="exact"/>
              <w:ind w:left="0" w:right="0" w:firstLine="0"/>
              <w:jc w:val="left"/>
            </w:pPr>
            <w:r>
              <w:rPr>
                <w:color w:val="000000"/>
                <w:spacing w:val="0"/>
                <w:w w:val="100"/>
                <w:position w:val="0"/>
              </w:rPr>
              <w:t>自有 资金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88" w:lineRule="exact"/>
              <w:ind w:left="0" w:right="0" w:firstLine="0"/>
              <w:jc w:val="left"/>
            </w:pPr>
            <w:r>
              <w:rPr>
                <w:color w:val="000000"/>
                <w:spacing w:val="0"/>
                <w:w w:val="100"/>
                <w:position w:val="0"/>
              </w:rPr>
              <w:t>除经阿里巴 巴集团事前 书面同意</w:t>
            </w:r>
          </w:p>
          <w:p>
            <w:pPr>
              <w:pStyle w:val="Style28"/>
              <w:keepNext w:val="0"/>
              <w:keepLines w:val="0"/>
              <w:widowControl w:val="0"/>
              <w:shd w:val="clear" w:color="auto" w:fill="auto"/>
              <w:bidi w:val="0"/>
              <w:spacing w:before="0" w:after="0" w:line="288" w:lineRule="exact"/>
              <w:ind w:left="0" w:right="0" w:firstLine="0"/>
              <w:jc w:val="left"/>
            </w:pPr>
            <w:r>
              <w:rPr>
                <w:color w:val="000000"/>
                <w:spacing w:val="0"/>
                <w:w w:val="100"/>
                <w:position w:val="0"/>
              </w:rPr>
              <w:t>外：</w:t>
            </w:r>
          </w:p>
          <w:p>
            <w:pPr>
              <w:pStyle w:val="Style28"/>
              <w:keepNext w:val="0"/>
              <w:keepLines w:val="0"/>
              <w:widowControl w:val="0"/>
              <w:shd w:val="clear" w:color="auto" w:fill="auto"/>
              <w:bidi w:val="0"/>
              <w:spacing w:before="0" w:after="0" w:line="288" w:lineRule="exact"/>
              <w:ind w:left="0" w:right="0" w:firstLine="0"/>
              <w:jc w:val="left"/>
            </w:pPr>
            <w:r>
              <w:rPr>
                <w:color w:val="000000"/>
                <w:spacing w:val="0"/>
                <w:w w:val="100"/>
                <w:position w:val="0"/>
              </w:rPr>
              <w:t>在交割日满</w:t>
            </w:r>
            <w:r>
              <w:rPr>
                <w:rFonts w:ascii="Times New Roman" w:eastAsia="Times New Roman" w:hAnsi="Times New Roman" w:cs="Times New Roman"/>
                <w:color w:val="000000"/>
                <w:spacing w:val="0"/>
                <w:w w:val="100"/>
                <w:position w:val="0"/>
              </w:rPr>
              <w:t xml:space="preserve">6 </w:t>
            </w:r>
            <w:r>
              <w:rPr>
                <w:color w:val="000000"/>
                <w:spacing w:val="0"/>
                <w:w w:val="100"/>
                <w:position w:val="0"/>
              </w:rPr>
              <w:t>个月的当日 或之前，公 司不得转让 所认购的股</w:t>
            </w:r>
          </w:p>
          <w:p>
            <w:pPr>
              <w:pStyle w:val="Style28"/>
              <w:keepNext w:val="0"/>
              <w:keepLines w:val="0"/>
              <w:widowControl w:val="0"/>
              <w:shd w:val="clear" w:color="auto" w:fill="auto"/>
              <w:bidi w:val="0"/>
              <w:spacing w:before="0" w:after="0" w:line="288" w:lineRule="exact"/>
              <w:ind w:left="0" w:right="0" w:firstLine="0"/>
              <w:jc w:val="left"/>
            </w:pPr>
            <w:r>
              <w:rPr>
                <w:color w:val="000000"/>
                <w:spacing w:val="0"/>
                <w:w w:val="100"/>
                <w:position w:val="0"/>
              </w:rPr>
              <w:t>份；</w:t>
            </w:r>
          </w:p>
          <w:p>
            <w:pPr>
              <w:pStyle w:val="Style28"/>
              <w:keepNext w:val="0"/>
              <w:keepLines w:val="0"/>
              <w:widowControl w:val="0"/>
              <w:shd w:val="clear" w:color="auto" w:fill="auto"/>
              <w:bidi w:val="0"/>
              <w:spacing w:before="0" w:after="0" w:line="288" w:lineRule="exact"/>
              <w:ind w:left="0" w:right="0" w:firstLine="0"/>
              <w:jc w:val="left"/>
            </w:pPr>
            <w:r>
              <w:rPr>
                <w:color w:val="000000"/>
                <w:spacing w:val="0"/>
                <w:w w:val="100"/>
                <w:position w:val="0"/>
              </w:rPr>
              <w:t>在交割日满</w:t>
            </w:r>
            <w:r>
              <w:rPr>
                <w:rFonts w:ascii="Times New Roman" w:eastAsia="Times New Roman" w:hAnsi="Times New Roman" w:cs="Times New Roman"/>
                <w:color w:val="000000"/>
                <w:spacing w:val="0"/>
                <w:w w:val="100"/>
                <w:position w:val="0"/>
              </w:rPr>
              <w:t xml:space="preserve">6 </w:t>
            </w:r>
            <w:r>
              <w:rPr>
                <w:color w:val="000000"/>
                <w:spacing w:val="0"/>
                <w:w w:val="100"/>
                <w:position w:val="0"/>
              </w:rPr>
              <w:t xml:space="preserve">个月后、满 </w:t>
            </w:r>
            <w:r>
              <w:rPr>
                <w:rFonts w:ascii="Times New Roman" w:eastAsia="Times New Roman" w:hAnsi="Times New Roman" w:cs="Times New Roman"/>
                <w:color w:val="000000"/>
                <w:spacing w:val="0"/>
                <w:w w:val="100"/>
                <w:position w:val="0"/>
              </w:rPr>
              <w:t>18</w:t>
            </w:r>
            <w:r>
              <w:rPr>
                <w:color w:val="000000"/>
                <w:spacing w:val="0"/>
                <w:w w:val="100"/>
                <w:position w:val="0"/>
              </w:rPr>
              <w:t>个月当日 或之前，公 司需要根据</w:t>
            </w:r>
          </w:p>
          <w:p>
            <w:pPr>
              <w:pStyle w:val="Style28"/>
              <w:keepNext w:val="0"/>
              <w:keepLines w:val="0"/>
              <w:widowControl w:val="0"/>
              <w:shd w:val="clear" w:color="auto" w:fill="auto"/>
              <w:bidi w:val="0"/>
              <w:spacing w:before="0" w:after="0" w:line="288" w:lineRule="exact"/>
              <w:ind w:left="0" w:right="0" w:firstLine="0"/>
              <w:jc w:val="left"/>
            </w:pPr>
            <w:r>
              <w:rPr>
                <w:color w:val="000000"/>
                <w:spacing w:val="0"/>
                <w:w w:val="100"/>
                <w:position w:val="0"/>
              </w:rPr>
              <w:t>《投资协</w:t>
            </w:r>
          </w:p>
          <w:p>
            <w:pPr>
              <w:pStyle w:val="Style28"/>
              <w:keepNext w:val="0"/>
              <w:keepLines w:val="0"/>
              <w:widowControl w:val="0"/>
              <w:shd w:val="clear" w:color="auto" w:fill="auto"/>
              <w:bidi w:val="0"/>
              <w:spacing w:before="0" w:after="0" w:line="288" w:lineRule="exact"/>
              <w:ind w:left="0" w:right="0" w:firstLine="0"/>
              <w:jc w:val="left"/>
            </w:pPr>
            <w:r>
              <w:rPr>
                <w:color w:val="000000"/>
                <w:spacing w:val="0"/>
                <w:w w:val="100"/>
                <w:position w:val="0"/>
              </w:rPr>
              <w:t>议》约定的 条件进行减 持，且累计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已完成</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p>
          <w:p>
            <w:pPr>
              <w:pStyle w:val="Style28"/>
              <w:keepNext w:val="0"/>
              <w:keepLines w:val="0"/>
              <w:widowControl w:val="0"/>
              <w:shd w:val="clear" w:color="auto" w:fill="auto"/>
              <w:bidi w:val="0"/>
              <w:spacing w:before="0" w:after="40" w:line="240" w:lineRule="auto"/>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rPr>
              <w:t>6</w:t>
            </w:r>
          </w:p>
          <w:p>
            <w:pPr>
              <w:pStyle w:val="Style28"/>
              <w:keepNext w:val="0"/>
              <w:keepLines w:val="0"/>
              <w:widowControl w:val="0"/>
              <w:shd w:val="clear" w:color="auto" w:fill="auto"/>
              <w:bidi w:val="0"/>
              <w:spacing w:before="0" w:after="4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w:t>
            </w:r>
          </w:p>
          <w:p>
            <w:pPr>
              <w:pStyle w:val="Style28"/>
              <w:keepNext w:val="0"/>
              <w:keepLines w:val="0"/>
              <w:widowControl w:val="0"/>
              <w:shd w:val="clear" w:color="auto" w:fill="auto"/>
              <w:bidi w:val="0"/>
              <w:spacing w:before="0" w:after="40" w:line="240" w:lineRule="auto"/>
              <w:ind w:left="0" w:right="0" w:firstLine="0"/>
              <w:jc w:val="left"/>
            </w:pPr>
            <w:r>
              <w:rPr>
                <w:color w:val="000000"/>
                <w:spacing w:val="0"/>
                <w:w w:val="100"/>
                <w:position w:val="0"/>
              </w:rPr>
              <w:t>日</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55" w:lineRule="exact"/>
              <w:ind w:left="0" w:right="0" w:firstLine="0"/>
              <w:jc w:val="left"/>
              <w:rPr>
                <w:sz w:val="36"/>
                <w:szCs w:val="36"/>
              </w:rPr>
            </w:pPr>
            <w:r>
              <w:rPr>
                <w:color w:val="000000"/>
                <w:spacing w:val="0"/>
                <w:w w:val="100"/>
                <w:position w:val="0"/>
                <w:sz w:val="20"/>
                <w:szCs w:val="20"/>
              </w:rPr>
              <w:t xml:space="preserve">巨潮 资讯 网 </w:t>
            </w:r>
            <w:r>
              <w:rPr>
                <w:rFonts w:ascii="Times New Roman" w:eastAsia="Times New Roman" w:hAnsi="Times New Roman" w:cs="Times New Roman"/>
                <w:color w:val="000000"/>
                <w:spacing w:val="0"/>
                <w:w w:val="100"/>
                <w:position w:val="0"/>
                <w:sz w:val="22"/>
                <w:szCs w:val="22"/>
              </w:rPr>
              <w:t xml:space="preserve">2016- 050 </w:t>
            </w:r>
            <w:r>
              <w:rPr>
                <w:color w:val="000000"/>
                <w:spacing w:val="0"/>
                <w:w w:val="100"/>
                <w:position w:val="0"/>
                <w:sz w:val="22"/>
                <w:szCs w:val="22"/>
              </w:rPr>
              <w:t xml:space="preserve">号公 </w:t>
            </w:r>
            <w:r>
              <w:rPr>
                <w:color w:val="000000"/>
                <w:spacing w:val="0"/>
                <w:w w:val="100"/>
                <w:position w:val="0"/>
                <w:sz w:val="36"/>
                <w:szCs w:val="36"/>
                <w:vertAlign w:val="subscript"/>
              </w:rPr>
              <w:t>告</w:t>
            </w:r>
          </w:p>
        </w:tc>
      </w:tr>
    </w:tbl>
    <w:p>
      <w:pPr>
        <w:spacing w:lineRule="exact" w:line="1"/>
        <w:rPr>
          <w:sz w:val="2"/>
          <w:szCs w:val="2"/>
        </w:rPr>
      </w:pPr>
      <w:r>
        <w:br w:type="page"/>
      </w:r>
    </w:p>
    <w:tbl>
      <w:tblPr>
        <w:tblOverlap w:val="never"/>
        <w:jc w:val="center"/>
        <w:tblLayout w:type="fixed"/>
      </w:tblPr>
      <w:tblGrid>
        <w:gridCol w:w="1104"/>
        <w:gridCol w:w="706"/>
        <w:gridCol w:w="850"/>
        <w:gridCol w:w="1138"/>
        <w:gridCol w:w="850"/>
        <w:gridCol w:w="710"/>
        <w:gridCol w:w="1277"/>
        <w:gridCol w:w="1536"/>
        <w:gridCol w:w="734"/>
        <w:gridCol w:w="1133"/>
        <w:gridCol w:w="850"/>
        <w:gridCol w:w="1133"/>
        <w:gridCol w:w="710"/>
        <w:gridCol w:w="706"/>
        <w:gridCol w:w="744"/>
      </w:tblGrid>
      <w:tr>
        <w:trPr>
          <w:trHeight w:val="1166" w:hRule="exact"/>
        </w:trPr>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88" w:lineRule="exact"/>
              <w:ind w:left="0" w:right="0" w:firstLine="0"/>
              <w:jc w:val="center"/>
            </w:pPr>
            <w:r>
              <w:rPr>
                <w:color w:val="000000"/>
                <w:spacing w:val="0"/>
                <w:w w:val="100"/>
                <w:position w:val="0"/>
              </w:rPr>
              <w:t>被投资公 司名称</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88" w:lineRule="exact"/>
              <w:ind w:left="0" w:right="0" w:firstLine="0"/>
              <w:jc w:val="center"/>
            </w:pPr>
            <w:r>
              <w:rPr>
                <w:color w:val="000000"/>
                <w:spacing w:val="0"/>
                <w:w w:val="100"/>
                <w:position w:val="0"/>
              </w:rPr>
              <w:t>主要 业务</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投资 方式</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投资金额</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持股 比例</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98" w:lineRule="exact"/>
              <w:ind w:left="0" w:right="0" w:firstLine="0"/>
              <w:jc w:val="center"/>
            </w:pPr>
            <w:r>
              <w:rPr>
                <w:color w:val="000000"/>
                <w:spacing w:val="0"/>
                <w:w w:val="100"/>
                <w:position w:val="0"/>
              </w:rPr>
              <w:t>资金 来源</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合作方</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投资期限</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83" w:lineRule="exact"/>
              <w:ind w:left="140" w:right="0" w:firstLine="0"/>
              <w:jc w:val="left"/>
            </w:pPr>
            <w:r>
              <w:rPr>
                <w:color w:val="000000"/>
                <w:spacing w:val="0"/>
                <w:w w:val="100"/>
                <w:position w:val="0"/>
              </w:rPr>
              <w:t>产品 类型</w:t>
            </w:r>
          </w:p>
        </w:tc>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86" w:lineRule="exact"/>
              <w:ind w:left="0" w:right="0" w:firstLine="0"/>
              <w:jc w:val="center"/>
            </w:pPr>
            <w:r>
              <w:rPr>
                <w:color w:val="000000"/>
                <w:spacing w:val="0"/>
                <w:w w:val="100"/>
                <w:position w:val="0"/>
              </w:rPr>
              <w:t>截至资产 负债表日 的进展情</w:t>
            </w:r>
          </w:p>
          <w:p>
            <w:pPr>
              <w:pStyle w:val="Style28"/>
              <w:keepNext w:val="0"/>
              <w:keepLines w:val="0"/>
              <w:widowControl w:val="0"/>
              <w:shd w:val="clear" w:color="auto" w:fill="auto"/>
              <w:bidi w:val="0"/>
              <w:spacing w:before="0" w:after="0" w:line="286" w:lineRule="exact"/>
              <w:ind w:left="0" w:right="0" w:firstLine="0"/>
              <w:jc w:val="center"/>
            </w:pPr>
            <w:r>
              <w:rPr>
                <w:color w:val="000000"/>
                <w:spacing w:val="0"/>
                <w:w w:val="100"/>
                <w:position w:val="0"/>
              </w:rPr>
              <w:t>况</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78" w:lineRule="exact"/>
              <w:ind w:left="0" w:right="0" w:firstLine="0"/>
              <w:jc w:val="center"/>
            </w:pPr>
            <w:r>
              <w:rPr>
                <w:color w:val="000000"/>
                <w:spacing w:val="0"/>
                <w:w w:val="100"/>
                <w:position w:val="0"/>
              </w:rPr>
              <w:t>预计 收益</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本期投资 盈亏</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83" w:lineRule="exact"/>
              <w:ind w:left="0" w:right="0" w:firstLine="0"/>
              <w:jc w:val="center"/>
            </w:pPr>
            <w:r>
              <w:rPr>
                <w:color w:val="000000"/>
                <w:spacing w:val="0"/>
                <w:w w:val="100"/>
                <w:position w:val="0"/>
              </w:rPr>
              <w:t>是否 涉诉</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64" w:lineRule="exact"/>
              <w:ind w:left="0" w:right="0" w:firstLine="0"/>
              <w:jc w:val="left"/>
            </w:pPr>
            <w:r>
              <w:rPr>
                <w:color w:val="000000"/>
                <w:spacing w:val="0"/>
                <w:w w:val="100"/>
                <w:position w:val="0"/>
              </w:rPr>
              <w:t>披露 日期</w:t>
            </w:r>
          </w:p>
        </w:tc>
        <w:tc>
          <w:tcPr>
            <w:tcBorders>
              <w:top w:val="single" w:sz="4"/>
              <w:left w:val="single" w:sz="4"/>
              <w:right w:val="single" w:sz="4"/>
            </w:tcBorders>
            <w:shd w:val="clear" w:color="auto" w:fill="D3D3D3"/>
            <w:vAlign w:val="top"/>
          </w:tcPr>
          <w:p>
            <w:pPr>
              <w:pStyle w:val="Style28"/>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披露 索引</w:t>
            </w:r>
          </w:p>
        </w:tc>
      </w:tr>
      <w:tr>
        <w:trPr>
          <w:trHeight w:val="3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84" w:lineRule="exact"/>
              <w:ind w:left="0" w:right="0" w:firstLine="0"/>
              <w:jc w:val="left"/>
            </w:pPr>
            <w:r>
              <w:rPr>
                <w:color w:val="000000"/>
                <w:spacing w:val="0"/>
                <w:w w:val="100"/>
                <w:position w:val="0"/>
              </w:rPr>
              <w:t>减持比例不 得高于发行 股份的</w:t>
            </w:r>
          </w:p>
          <w:p>
            <w:pPr>
              <w:pStyle w:val="Style28"/>
              <w:keepNext w:val="0"/>
              <w:keepLines w:val="0"/>
              <w:widowControl w:val="0"/>
              <w:shd w:val="clear" w:color="auto" w:fill="auto"/>
              <w:bidi w:val="0"/>
              <w:spacing w:before="0" w:after="0" w:line="284" w:lineRule="exact"/>
              <w:ind w:left="0" w:right="0" w:firstLine="0"/>
              <w:jc w:val="left"/>
            </w:pPr>
            <w:r>
              <w:rPr>
                <w:rFonts w:ascii="Times New Roman" w:eastAsia="Times New Roman" w:hAnsi="Times New Roman" w:cs="Times New Roman"/>
                <w:color w:val="000000"/>
                <w:spacing w:val="0"/>
                <w:w w:val="100"/>
                <w:position w:val="0"/>
              </w:rPr>
              <w:t>50%</w:t>
            </w:r>
            <w:r>
              <w:rPr>
                <w:color w:val="000000"/>
                <w:spacing w:val="0"/>
                <w:w w:val="100"/>
                <w:position w:val="0"/>
              </w:rPr>
              <w:t xml:space="preserve">； 在交割日满 </w:t>
            </w:r>
            <w:r>
              <w:rPr>
                <w:rFonts w:ascii="Times New Roman" w:eastAsia="Times New Roman" w:hAnsi="Times New Roman" w:cs="Times New Roman"/>
                <w:color w:val="000000"/>
                <w:spacing w:val="0"/>
                <w:w w:val="100"/>
                <w:position w:val="0"/>
              </w:rPr>
              <w:t>18</w:t>
            </w:r>
            <w:r>
              <w:rPr>
                <w:color w:val="000000"/>
                <w:spacing w:val="0"/>
                <w:w w:val="100"/>
                <w:position w:val="0"/>
              </w:rPr>
              <w:t>个月后、 满</w:t>
            </w:r>
            <w:r>
              <w:rPr>
                <w:rFonts w:ascii="Times New Roman" w:eastAsia="Times New Roman" w:hAnsi="Times New Roman" w:cs="Times New Roman"/>
                <w:color w:val="000000"/>
                <w:spacing w:val="0"/>
                <w:w w:val="100"/>
                <w:position w:val="0"/>
              </w:rPr>
              <w:t>36</w:t>
            </w:r>
            <w:r>
              <w:rPr>
                <w:color w:val="000000"/>
                <w:spacing w:val="0"/>
                <w:w w:val="100"/>
                <w:position w:val="0"/>
              </w:rPr>
              <w:t xml:space="preserve">个月当 日或之前， 累计减持比 例不得高于 发行股份的 </w:t>
            </w: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66"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86" w:lineRule="exact"/>
              <w:ind w:left="0" w:right="0" w:firstLine="0"/>
              <w:jc w:val="left"/>
            </w:pPr>
            <w:r>
              <w:rPr>
                <w:color w:val="000000"/>
                <w:spacing w:val="0"/>
                <w:w w:val="100"/>
                <w:position w:val="0"/>
              </w:rPr>
              <w:t>苏宁消费 金融有限 公司</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88" w:lineRule="exact"/>
              <w:ind w:left="0" w:right="0" w:firstLine="0"/>
              <w:jc w:val="center"/>
            </w:pPr>
            <w:r>
              <w:rPr>
                <w:color w:val="000000"/>
                <w:spacing w:val="0"/>
                <w:w w:val="100"/>
                <w:position w:val="0"/>
              </w:rPr>
              <w:t>消费 金融</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增资</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14,700</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49.00</w:t>
            </w:r>
          </w:p>
          <w:p>
            <w:pPr>
              <w:pStyle w:val="Style28"/>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自有 资金</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86" w:lineRule="exact"/>
              <w:ind w:left="0" w:right="0" w:firstLine="0"/>
              <w:jc w:val="left"/>
            </w:pPr>
            <w:r>
              <w:rPr>
                <w:color w:val="000000"/>
                <w:spacing w:val="0"/>
                <w:w w:val="100"/>
                <w:position w:val="0"/>
              </w:rPr>
              <w:t>南京银行 股份有限 公司，法 国巴黎银 行个人金 融集团</w:t>
            </w:r>
          </w:p>
          <w:p>
            <w:pPr>
              <w:pStyle w:val="Style28"/>
              <w:keepNext w:val="0"/>
              <w:keepLines w:val="0"/>
              <w:widowControl w:val="0"/>
              <w:shd w:val="clear" w:color="auto" w:fill="auto"/>
              <w:bidi w:val="0"/>
              <w:spacing w:before="0" w:after="0" w:line="277" w:lineRule="exact"/>
              <w:ind w:left="0" w:right="0" w:firstLine="0"/>
              <w:jc w:val="left"/>
            </w:pPr>
            <w:r>
              <w:rPr>
                <w:rFonts w:ascii="Times New Roman" w:eastAsia="Times New Roman" w:hAnsi="Times New Roman" w:cs="Times New Roman"/>
                <w:color w:val="000000"/>
                <w:spacing w:val="0"/>
                <w:w w:val="100"/>
                <w:position w:val="0"/>
              </w:rPr>
              <w:t>(BNP Paribas Personal Finance)</w:t>
            </w:r>
            <w:r>
              <w:rPr>
                <w:color w:val="000000"/>
                <w:spacing w:val="0"/>
                <w:w w:val="100"/>
                <w:position w:val="0"/>
              </w:rPr>
              <w:t xml:space="preserve">， </w:t>
            </w:r>
            <w:r>
              <w:rPr>
                <w:color w:val="000000"/>
                <w:spacing w:val="0"/>
                <w:w w:val="100"/>
                <w:position w:val="0"/>
              </w:rPr>
              <w:t>江苏洋河 酒厂股份 有限公 司，先声 再康江苏 药业有限 公司</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86" w:lineRule="exact"/>
              <w:ind w:left="0" w:right="0" w:firstLine="0"/>
              <w:jc w:val="left"/>
            </w:pPr>
            <w:r>
              <w:rPr>
                <w:color w:val="000000"/>
                <w:spacing w:val="0"/>
                <w:w w:val="100"/>
                <w:position w:val="0"/>
              </w:rPr>
              <w:t>永久存续的 有限责任公 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已完成</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-9,281.79</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年</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日</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62" w:lineRule="exact"/>
              <w:ind w:left="0" w:right="0" w:firstLine="0"/>
              <w:jc w:val="left"/>
              <w:rPr>
                <w:sz w:val="20"/>
                <w:szCs w:val="20"/>
              </w:rPr>
            </w:pPr>
            <w:r>
              <w:rPr>
                <w:color w:val="000000"/>
                <w:spacing w:val="0"/>
                <w:w w:val="100"/>
                <w:position w:val="0"/>
                <w:sz w:val="20"/>
                <w:szCs w:val="20"/>
              </w:rPr>
              <w:t xml:space="preserve">巨潮 资讯 网 </w:t>
            </w:r>
            <w:r>
              <w:rPr>
                <w:rFonts w:ascii="Times New Roman" w:eastAsia="Times New Roman" w:hAnsi="Times New Roman" w:cs="Times New Roman"/>
                <w:color w:val="000000"/>
                <w:spacing w:val="0"/>
                <w:w w:val="100"/>
                <w:position w:val="0"/>
                <w:sz w:val="20"/>
                <w:szCs w:val="20"/>
              </w:rPr>
              <w:t>2016</w:t>
              <w:softHyphen/>
            </w:r>
          </w:p>
          <w:p>
            <w:pPr>
              <w:pStyle w:val="Style28"/>
              <w:keepNext w:val="0"/>
              <w:keepLines w:val="0"/>
              <w:widowControl w:val="0"/>
              <w:shd w:val="clear" w:color="auto" w:fill="auto"/>
              <w:bidi w:val="0"/>
              <w:spacing w:before="0" w:after="0" w:line="276" w:lineRule="exact"/>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077</w:t>
            </w:r>
            <w:r>
              <w:rPr>
                <w:rFonts w:ascii="Times New Roman" w:eastAsia="Times New Roman" w:hAnsi="Times New Roman" w:cs="Times New Roman"/>
                <w:color w:val="000000"/>
                <w:spacing w:val="0"/>
                <w:w w:val="100"/>
                <w:position w:val="0"/>
                <w:sz w:val="20"/>
                <w:szCs w:val="20"/>
              </w:rPr>
              <w:t xml:space="preserve"> </w:t>
            </w:r>
            <w:r>
              <w:rPr>
                <w:color w:val="000000"/>
                <w:spacing w:val="0"/>
                <w:w w:val="100"/>
                <w:position w:val="0"/>
                <w:sz w:val="20"/>
                <w:szCs w:val="20"/>
              </w:rPr>
              <w:t>号公 告</w:t>
            </w:r>
          </w:p>
        </w:tc>
      </w:tr>
    </w:tbl>
    <w:p>
      <w:pPr>
        <w:spacing w:lineRule="exact" w:line="1"/>
        <w:rPr>
          <w:sz w:val="2"/>
          <w:szCs w:val="2"/>
        </w:rPr>
      </w:pPr>
      <w:r>
        <w:br w:type="page"/>
      </w:r>
    </w:p>
    <w:tbl>
      <w:tblPr>
        <w:tblOverlap w:val="never"/>
        <w:jc w:val="center"/>
        <w:tblLayout w:type="fixed"/>
      </w:tblPr>
      <w:tblGrid>
        <w:gridCol w:w="1104"/>
        <w:gridCol w:w="706"/>
        <w:gridCol w:w="850"/>
        <w:gridCol w:w="1138"/>
        <w:gridCol w:w="850"/>
        <w:gridCol w:w="710"/>
        <w:gridCol w:w="1277"/>
        <w:gridCol w:w="1536"/>
        <w:gridCol w:w="734"/>
        <w:gridCol w:w="1133"/>
        <w:gridCol w:w="850"/>
        <w:gridCol w:w="1133"/>
        <w:gridCol w:w="710"/>
        <w:gridCol w:w="706"/>
        <w:gridCol w:w="744"/>
      </w:tblGrid>
      <w:tr>
        <w:trPr>
          <w:trHeight w:val="1166" w:hRule="exact"/>
        </w:trPr>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88" w:lineRule="exact"/>
              <w:ind w:left="0" w:right="0" w:firstLine="0"/>
              <w:jc w:val="center"/>
            </w:pPr>
            <w:r>
              <w:rPr>
                <w:color w:val="000000"/>
                <w:spacing w:val="0"/>
                <w:w w:val="100"/>
                <w:position w:val="0"/>
              </w:rPr>
              <w:t>被投资公 司名称</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88" w:lineRule="exact"/>
              <w:ind w:left="0" w:right="0" w:firstLine="0"/>
              <w:jc w:val="center"/>
            </w:pPr>
            <w:r>
              <w:rPr>
                <w:color w:val="000000"/>
                <w:spacing w:val="0"/>
                <w:w w:val="100"/>
                <w:position w:val="0"/>
              </w:rPr>
              <w:t>主要 业务</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投资 方式</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投资金额</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持股 比例</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98" w:lineRule="exact"/>
              <w:ind w:left="0" w:right="0" w:firstLine="0"/>
              <w:jc w:val="center"/>
            </w:pPr>
            <w:r>
              <w:rPr>
                <w:color w:val="000000"/>
                <w:spacing w:val="0"/>
                <w:w w:val="100"/>
                <w:position w:val="0"/>
              </w:rPr>
              <w:t>资金 来源</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合作方</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投资期限</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83" w:lineRule="exact"/>
              <w:ind w:left="0" w:right="0" w:firstLine="0"/>
              <w:jc w:val="center"/>
            </w:pPr>
            <w:r>
              <w:rPr>
                <w:color w:val="000000"/>
                <w:spacing w:val="0"/>
                <w:w w:val="100"/>
                <w:position w:val="0"/>
              </w:rPr>
              <w:t>产品 类型</w:t>
            </w:r>
          </w:p>
        </w:tc>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86" w:lineRule="exact"/>
              <w:ind w:left="0" w:right="0" w:firstLine="0"/>
              <w:jc w:val="center"/>
            </w:pPr>
            <w:r>
              <w:rPr>
                <w:color w:val="000000"/>
                <w:spacing w:val="0"/>
                <w:w w:val="100"/>
                <w:position w:val="0"/>
              </w:rPr>
              <w:t>截至资产 负债表日 的进展情</w:t>
            </w:r>
          </w:p>
          <w:p>
            <w:pPr>
              <w:pStyle w:val="Style28"/>
              <w:keepNext w:val="0"/>
              <w:keepLines w:val="0"/>
              <w:widowControl w:val="0"/>
              <w:shd w:val="clear" w:color="auto" w:fill="auto"/>
              <w:bidi w:val="0"/>
              <w:spacing w:before="0" w:after="0" w:line="286" w:lineRule="exact"/>
              <w:ind w:left="0" w:right="0" w:firstLine="0"/>
              <w:jc w:val="center"/>
            </w:pPr>
            <w:r>
              <w:rPr>
                <w:color w:val="000000"/>
                <w:spacing w:val="0"/>
                <w:w w:val="100"/>
                <w:position w:val="0"/>
              </w:rPr>
              <w:t>况</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78" w:lineRule="exact"/>
              <w:ind w:left="0" w:right="0" w:firstLine="0"/>
              <w:jc w:val="center"/>
            </w:pPr>
            <w:r>
              <w:rPr>
                <w:color w:val="000000"/>
                <w:spacing w:val="0"/>
                <w:w w:val="100"/>
                <w:position w:val="0"/>
              </w:rPr>
              <w:t>预计 收益</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本期投资 盈亏</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83" w:lineRule="exact"/>
              <w:ind w:left="0" w:right="0" w:firstLine="0"/>
              <w:jc w:val="center"/>
            </w:pPr>
            <w:r>
              <w:rPr>
                <w:color w:val="000000"/>
                <w:spacing w:val="0"/>
                <w:w w:val="100"/>
                <w:position w:val="0"/>
              </w:rPr>
              <w:t>是否 涉诉</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64" w:lineRule="exact"/>
              <w:ind w:left="0" w:right="0" w:firstLine="0"/>
              <w:jc w:val="left"/>
            </w:pPr>
            <w:r>
              <w:rPr>
                <w:color w:val="000000"/>
                <w:spacing w:val="0"/>
                <w:w w:val="100"/>
                <w:position w:val="0"/>
              </w:rPr>
              <w:t>披露 日期</w:t>
            </w:r>
          </w:p>
        </w:tc>
        <w:tc>
          <w:tcPr>
            <w:tcBorders>
              <w:top w:val="single" w:sz="4"/>
              <w:left w:val="single" w:sz="4"/>
              <w:right w:val="single" w:sz="4"/>
            </w:tcBorders>
            <w:shd w:val="clear" w:color="auto" w:fill="D3D3D3"/>
            <w:vAlign w:val="top"/>
          </w:tcPr>
          <w:p>
            <w:pPr>
              <w:pStyle w:val="Style28"/>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披露 索引</w:t>
            </w:r>
          </w:p>
        </w:tc>
      </w:tr>
      <w:tr>
        <w:trPr>
          <w:trHeight w:val="197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83" w:lineRule="exact"/>
              <w:ind w:left="0" w:right="0" w:firstLine="0"/>
              <w:jc w:val="center"/>
            </w:pPr>
            <w:r>
              <w:rPr>
                <w:color w:val="000000"/>
                <w:spacing w:val="0"/>
                <w:w w:val="100"/>
                <w:position w:val="0"/>
              </w:rPr>
              <w:t>重庆猫宁 电子商务 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83" w:lineRule="exact"/>
              <w:ind w:left="0" w:right="0" w:firstLine="0"/>
              <w:jc w:val="left"/>
            </w:pPr>
            <w:r>
              <w:rPr>
                <w:color w:val="000000"/>
                <w:spacing w:val="0"/>
                <w:w w:val="100"/>
                <w:position w:val="0"/>
              </w:rPr>
              <w:t>电子 商务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51,000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51.00</w:t>
            </w:r>
          </w:p>
          <w:p>
            <w:pPr>
              <w:pStyle w:val="Style28"/>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64" w:lineRule="exact"/>
              <w:ind w:left="0" w:right="0" w:firstLine="0"/>
              <w:jc w:val="left"/>
            </w:pPr>
            <w:r>
              <w:rPr>
                <w:color w:val="000000"/>
                <w:spacing w:val="0"/>
                <w:w w:val="100"/>
                <w:position w:val="0"/>
              </w:rPr>
              <w:t>自有 资金</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83" w:lineRule="exact"/>
              <w:ind w:left="0" w:right="0" w:firstLine="0"/>
              <w:jc w:val="left"/>
            </w:pPr>
            <w:r>
              <w:rPr>
                <w:color w:val="000000"/>
                <w:spacing w:val="0"/>
                <w:w w:val="100"/>
                <w:position w:val="0"/>
              </w:rPr>
              <w:t>阿里巴巴 （中国）</w:t>
            </w:r>
          </w:p>
          <w:p>
            <w:pPr>
              <w:pStyle w:val="Style28"/>
              <w:keepNext w:val="0"/>
              <w:keepLines w:val="0"/>
              <w:widowControl w:val="0"/>
              <w:shd w:val="clear" w:color="auto" w:fill="auto"/>
              <w:bidi w:val="0"/>
              <w:spacing w:before="0" w:after="0" w:line="283" w:lineRule="exact"/>
              <w:ind w:left="0" w:right="0" w:firstLine="0"/>
              <w:jc w:val="left"/>
            </w:pPr>
            <w:r>
              <w:rPr>
                <w:color w:val="000000"/>
                <w:spacing w:val="0"/>
                <w:w w:val="100"/>
                <w:position w:val="0"/>
              </w:rPr>
              <w:t>网络技术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已完成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17.14</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年</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62" w:lineRule="exact"/>
              <w:ind w:left="0" w:right="0" w:firstLine="0"/>
              <w:jc w:val="left"/>
              <w:rPr>
                <w:sz w:val="20"/>
                <w:szCs w:val="20"/>
              </w:rPr>
            </w:pPr>
            <w:r>
              <w:rPr>
                <w:color w:val="000000"/>
                <w:spacing w:val="0"/>
                <w:w w:val="100"/>
                <w:position w:val="0"/>
                <w:sz w:val="20"/>
                <w:szCs w:val="20"/>
              </w:rPr>
              <w:t xml:space="preserve">巨潮 资讯 网 </w:t>
            </w:r>
            <w:r>
              <w:rPr>
                <w:rFonts w:ascii="Times New Roman" w:eastAsia="Times New Roman" w:hAnsi="Times New Roman" w:cs="Times New Roman"/>
                <w:color w:val="000000"/>
                <w:spacing w:val="0"/>
                <w:w w:val="100"/>
                <w:position w:val="0"/>
                <w:sz w:val="20"/>
                <w:szCs w:val="20"/>
              </w:rPr>
              <w:t>2016-</w:t>
            </w:r>
          </w:p>
          <w:p>
            <w:pPr>
              <w:pStyle w:val="Style28"/>
              <w:keepNext w:val="0"/>
              <w:keepLines w:val="0"/>
              <w:widowControl w:val="0"/>
              <w:shd w:val="clear" w:color="auto" w:fill="auto"/>
              <w:bidi w:val="0"/>
              <w:spacing w:before="0" w:after="0" w:line="276" w:lineRule="exact"/>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079 </w:t>
            </w:r>
            <w:r>
              <w:rPr>
                <w:color w:val="000000"/>
                <w:spacing w:val="0"/>
                <w:w w:val="100"/>
                <w:position w:val="0"/>
                <w:sz w:val="20"/>
                <w:szCs w:val="20"/>
              </w:rPr>
              <w:t>号公 告</w:t>
            </w:r>
          </w:p>
        </w:tc>
      </w:tr>
      <w:tr>
        <w:trPr>
          <w:trHeight w:val="298"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1,494,071</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-8,682.78</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bl>
    <w:p>
      <w:pPr>
        <w:pStyle w:val="Style25"/>
        <w:keepNext w:val="0"/>
        <w:keepLines w:val="0"/>
        <w:widowControl w:val="0"/>
        <w:shd w:val="clear" w:color="auto" w:fill="auto"/>
        <w:bidi w:val="0"/>
        <w:spacing w:before="0" w:after="0" w:line="240" w:lineRule="auto"/>
        <w:ind w:left="91" w:right="0" w:firstLine="0"/>
        <w:jc w:val="left"/>
        <w:rPr>
          <w:sz w:val="20"/>
          <w:szCs w:val="20"/>
        </w:rPr>
      </w:pPr>
      <w:r>
        <w:rPr>
          <w:color w:val="000000"/>
          <w:spacing w:val="0"/>
          <w:w w:val="100"/>
          <w:position w:val="0"/>
          <w:sz w:val="20"/>
          <w:szCs w:val="20"/>
        </w:rPr>
        <w:t>注</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：努比亚技术有限公司经股东会审议通过实施</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年度中期利润分配，以</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30</w:t>
      </w:r>
      <w:r>
        <w:rPr>
          <w:color w:val="000000"/>
          <w:spacing w:val="0"/>
          <w:w w:val="100"/>
          <w:position w:val="0"/>
          <w:sz w:val="20"/>
          <w:szCs w:val="20"/>
        </w:rPr>
        <w:t>日总股份为基数，每股分配</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元现金股利（含税），公司</w:t>
      </w:r>
    </w:p>
    <w:p>
      <w:pPr>
        <w:widowControl w:val="0"/>
        <w:spacing w:after="179" w:line="1" w:lineRule="exact"/>
      </w:pPr>
    </w:p>
    <w:p>
      <w:pPr>
        <w:pStyle w:val="Style32"/>
        <w:keepNext w:val="0"/>
        <w:keepLines w:val="0"/>
        <w:widowControl w:val="0"/>
        <w:shd w:val="clear" w:color="auto" w:fill="auto"/>
        <w:bidi w:val="0"/>
        <w:spacing w:before="0" w:after="180" w:line="240" w:lineRule="auto"/>
        <w:ind w:left="0" w:right="0" w:firstLine="0"/>
        <w:jc w:val="left"/>
        <w:rPr>
          <w:sz w:val="20"/>
          <w:szCs w:val="20"/>
        </w:rPr>
      </w:pPr>
      <w:r>
        <w:rPr>
          <w:color w:val="000000"/>
          <w:spacing w:val="0"/>
          <w:w w:val="100"/>
          <w:position w:val="0"/>
          <w:sz w:val="20"/>
          <w:szCs w:val="20"/>
        </w:rPr>
        <w:t>现金股利所得</w:t>
      </w:r>
      <w:r>
        <w:rPr>
          <w:rFonts w:ascii="Times New Roman" w:eastAsia="Times New Roman" w:hAnsi="Times New Roman" w:cs="Times New Roman"/>
          <w:color w:val="000000"/>
          <w:spacing w:val="0"/>
          <w:w w:val="100"/>
          <w:position w:val="0"/>
          <w:sz w:val="20"/>
          <w:szCs w:val="20"/>
        </w:rPr>
        <w:t>581.87</w:t>
      </w:r>
      <w:r>
        <w:rPr>
          <w:color w:val="000000"/>
          <w:spacing w:val="0"/>
          <w:w w:val="100"/>
          <w:position w:val="0"/>
          <w:sz w:val="20"/>
          <w:szCs w:val="20"/>
        </w:rPr>
        <w:t>万元。</w:t>
      </w:r>
    </w:p>
    <w:p>
      <w:pPr>
        <w:pStyle w:val="Style32"/>
        <w:keepNext w:val="0"/>
        <w:keepLines w:val="0"/>
        <w:widowControl w:val="0"/>
        <w:shd w:val="clear" w:color="auto" w:fill="auto"/>
        <w:bidi w:val="0"/>
        <w:spacing w:before="0" w:after="180" w:line="240" w:lineRule="auto"/>
        <w:ind w:left="0" w:right="0" w:firstLine="0"/>
        <w:jc w:val="left"/>
        <w:rPr>
          <w:sz w:val="20"/>
          <w:szCs w:val="20"/>
        </w:rPr>
      </w:pPr>
      <w:r>
        <w:rPr>
          <w:color w:val="000000"/>
          <w:spacing w:val="0"/>
          <w:w w:val="100"/>
          <w:position w:val="0"/>
          <w:sz w:val="20"/>
          <w:szCs w:val="20"/>
        </w:rPr>
        <w:t>注</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：根据《投资协议》约定，公司使用</w:t>
      </w:r>
      <w:r>
        <w:rPr>
          <w:rFonts w:ascii="Times New Roman" w:eastAsia="Times New Roman" w:hAnsi="Times New Roman" w:cs="Times New Roman"/>
          <w:color w:val="000000"/>
          <w:spacing w:val="0"/>
          <w:w w:val="100"/>
          <w:position w:val="0"/>
          <w:sz w:val="20"/>
          <w:szCs w:val="20"/>
        </w:rPr>
        <w:t>214,572.54</w:t>
      </w:r>
      <w:r>
        <w:rPr>
          <w:color w:val="000000"/>
          <w:spacing w:val="0"/>
          <w:w w:val="100"/>
          <w:position w:val="0"/>
          <w:sz w:val="20"/>
          <w:szCs w:val="20"/>
        </w:rPr>
        <w:t>万美元（约</w:t>
      </w:r>
      <w:r>
        <w:rPr>
          <w:rFonts w:ascii="Times New Roman" w:eastAsia="Times New Roman" w:hAnsi="Times New Roman" w:cs="Times New Roman"/>
          <w:color w:val="000000"/>
          <w:spacing w:val="0"/>
          <w:w w:val="100"/>
          <w:position w:val="0"/>
          <w:sz w:val="20"/>
          <w:szCs w:val="20"/>
        </w:rPr>
        <w:t>140</w:t>
      </w:r>
      <w:r>
        <w:rPr>
          <w:color w:val="000000"/>
          <w:spacing w:val="0"/>
          <w:w w:val="100"/>
          <w:position w:val="0"/>
          <w:sz w:val="20"/>
          <w:szCs w:val="20"/>
        </w:rPr>
        <w:t>亿元人民币等值美元）认购阿里巴巴的新发行股份</w:t>
      </w:r>
      <w:r>
        <w:rPr>
          <w:rFonts w:ascii="Times New Roman" w:eastAsia="Times New Roman" w:hAnsi="Times New Roman" w:cs="Times New Roman"/>
          <w:color w:val="000000"/>
          <w:spacing w:val="0"/>
          <w:w w:val="100"/>
          <w:position w:val="0"/>
          <w:sz w:val="20"/>
          <w:szCs w:val="20"/>
        </w:rPr>
        <w:t>26,324,689</w:t>
      </w:r>
      <w:r>
        <w:rPr>
          <w:color w:val="000000"/>
          <w:spacing w:val="0"/>
          <w:w w:val="100"/>
          <w:position w:val="0"/>
          <w:sz w:val="20"/>
          <w:szCs w:val="20"/>
        </w:rPr>
        <w:t>股，占其发行后总股</w:t>
      </w:r>
    </w:p>
    <w:p>
      <w:pPr>
        <w:pStyle w:val="Style53"/>
        <w:keepNext w:val="0"/>
        <w:keepLines w:val="0"/>
        <w:widowControl w:val="0"/>
        <w:shd w:val="clear" w:color="auto" w:fill="auto"/>
        <w:bidi w:val="0"/>
        <w:spacing w:before="0" w:after="180" w:line="240" w:lineRule="auto"/>
        <w:ind w:left="0" w:right="0" w:firstLine="0"/>
        <w:jc w:val="left"/>
        <w:rPr>
          <w:sz w:val="20"/>
          <w:szCs w:val="20"/>
        </w:rPr>
      </w:pPr>
      <w:r>
        <w:rPr>
          <w:rFonts w:ascii="SimSun" w:eastAsia="SimSun" w:hAnsi="SimSun" w:cs="SimSun"/>
          <w:color w:val="000000"/>
          <w:spacing w:val="0"/>
          <w:w w:val="100"/>
          <w:position w:val="0"/>
          <w:sz w:val="20"/>
          <w:szCs w:val="20"/>
        </w:rPr>
        <w:t>本的</w:t>
      </w:r>
      <w:r>
        <w:rPr>
          <w:color w:val="000000"/>
          <w:spacing w:val="0"/>
          <w:w w:val="100"/>
          <w:position w:val="0"/>
          <w:sz w:val="20"/>
          <w:szCs w:val="20"/>
        </w:rPr>
        <w:t>1.05%</w:t>
      </w:r>
      <w:r>
        <w:rPr>
          <w:rFonts w:ascii="SimSun" w:eastAsia="SimSun" w:hAnsi="SimSun" w:cs="SimSun"/>
          <w:color w:val="000000"/>
          <w:spacing w:val="0"/>
          <w:w w:val="100"/>
          <w:position w:val="0"/>
          <w:sz w:val="20"/>
          <w:szCs w:val="20"/>
        </w:rPr>
        <w:t>。</w:t>
      </w:r>
      <w:r>
        <w:br w:type="page"/>
      </w:r>
    </w:p>
    <w:p>
      <w:pPr>
        <w:pStyle w:val="Style38"/>
        <w:keepNext/>
        <w:keepLines/>
        <w:widowControl w:val="0"/>
        <w:shd w:val="clear" w:color="auto" w:fill="auto"/>
        <w:bidi w:val="0"/>
        <w:spacing w:before="0" w:after="400" w:line="240" w:lineRule="auto"/>
        <w:ind w:left="0" w:right="0" w:firstLine="0"/>
        <w:jc w:val="left"/>
      </w:pPr>
      <w:bookmarkStart w:id="183" w:name="bookmark183"/>
      <w:bookmarkStart w:id="184" w:name="bookmark184"/>
      <w:bookmarkStart w:id="185" w:name="bookmark185"/>
      <w:bookmarkStart w:id="186" w:name="bookmark186"/>
      <w:r>
        <w:rPr>
          <w:rFonts w:ascii="Times New Roman" w:eastAsia="Times New Roman" w:hAnsi="Times New Roman" w:cs="Times New Roman"/>
          <w:color w:val="000000"/>
          <w:spacing w:val="0"/>
          <w:w w:val="100"/>
          <w:position w:val="0"/>
        </w:rPr>
        <w:t>2</w:t>
      </w:r>
      <w:bookmarkEnd w:id="185"/>
      <w:r>
        <w:rPr>
          <w:color w:val="000000"/>
          <w:spacing w:val="0"/>
          <w:w w:val="100"/>
          <w:position w:val="0"/>
        </w:rPr>
        <w:t>、报告期内正在进行的重大的非股权投资情况</w:t>
      </w:r>
      <w:bookmarkEnd w:id="183"/>
      <w:bookmarkEnd w:id="184"/>
      <w:bookmarkEnd w:id="186"/>
    </w:p>
    <w:p>
      <w:pPr>
        <w:pStyle w:val="Style32"/>
        <w:keepNext w:val="0"/>
        <w:keepLines w:val="0"/>
        <w:widowControl w:val="0"/>
        <w:shd w:val="clear" w:color="auto" w:fill="auto"/>
        <w:bidi w:val="0"/>
        <w:spacing w:before="0" w:after="400" w:line="240" w:lineRule="auto"/>
        <w:ind w:left="0" w:right="0" w:firstLine="46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8"/>
        <w:keepNext/>
        <w:keepLines/>
        <w:widowControl w:val="0"/>
        <w:shd w:val="clear" w:color="auto" w:fill="auto"/>
        <w:bidi w:val="0"/>
        <w:spacing w:before="0" w:after="340" w:line="240" w:lineRule="auto"/>
        <w:ind w:left="0" w:right="0" w:firstLine="0"/>
        <w:jc w:val="left"/>
      </w:pPr>
      <w:bookmarkStart w:id="187" w:name="bookmark187"/>
      <w:bookmarkStart w:id="188" w:name="bookmark188"/>
      <w:bookmarkStart w:id="189" w:name="bookmark189"/>
      <w:bookmarkStart w:id="190" w:name="bookmark190"/>
      <w:r>
        <w:rPr>
          <w:rFonts w:ascii="Times New Roman" w:eastAsia="Times New Roman" w:hAnsi="Times New Roman" w:cs="Times New Roman"/>
          <w:color w:val="000000"/>
          <w:spacing w:val="0"/>
          <w:w w:val="100"/>
          <w:position w:val="0"/>
        </w:rPr>
        <w:t>3</w:t>
      </w:r>
      <w:bookmarkEnd w:id="189"/>
      <w:r>
        <w:rPr>
          <w:color w:val="000000"/>
          <w:spacing w:val="0"/>
          <w:w w:val="100"/>
          <w:position w:val="0"/>
        </w:rPr>
        <w:t>、以公允价值计量的金融资产</w:t>
      </w:r>
      <w:bookmarkEnd w:id="187"/>
      <w:bookmarkEnd w:id="188"/>
      <w:bookmarkEnd w:id="190"/>
    </w:p>
    <w:p>
      <w:pPr>
        <w:pStyle w:val="Style25"/>
        <w:keepNext w:val="0"/>
        <w:keepLines w:val="0"/>
        <w:widowControl w:val="0"/>
        <w:shd w:val="clear" w:color="auto" w:fill="auto"/>
        <w:bidi w:val="0"/>
        <w:spacing w:before="0" w:after="0" w:line="240" w:lineRule="auto"/>
        <w:ind w:left="12840" w:right="0" w:firstLine="0"/>
        <w:jc w:val="left"/>
      </w:pPr>
      <w:r>
        <w:rPr>
          <w:color w:val="000000"/>
          <w:spacing w:val="0"/>
          <w:w w:val="100"/>
          <w:position w:val="0"/>
        </w:rPr>
        <w:t>单位：千元</w:t>
      </w:r>
    </w:p>
    <w:tbl>
      <w:tblPr>
        <w:tblOverlap w:val="never"/>
        <w:jc w:val="center"/>
        <w:tblLayout w:type="fixed"/>
      </w:tblPr>
      <w:tblGrid>
        <w:gridCol w:w="1565"/>
        <w:gridCol w:w="1560"/>
        <w:gridCol w:w="1560"/>
        <w:gridCol w:w="1699"/>
        <w:gridCol w:w="1416"/>
        <w:gridCol w:w="1843"/>
        <w:gridCol w:w="1704"/>
        <w:gridCol w:w="1416"/>
        <w:gridCol w:w="1282"/>
      </w:tblGrid>
      <w:tr>
        <w:trPr>
          <w:trHeight w:val="586"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40"/>
              <w:jc w:val="left"/>
            </w:pPr>
            <w:r>
              <w:rPr>
                <w:color w:val="000000"/>
                <w:spacing w:val="0"/>
                <w:w w:val="100"/>
                <w:position w:val="0"/>
              </w:rPr>
              <w:t>资产类别</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初始投资成本</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88" w:lineRule="exact"/>
              <w:ind w:left="0" w:right="0" w:firstLine="0"/>
              <w:jc w:val="center"/>
            </w:pPr>
            <w:r>
              <w:rPr>
                <w:color w:val="000000"/>
                <w:spacing w:val="0"/>
                <w:w w:val="100"/>
                <w:position w:val="0"/>
              </w:rPr>
              <w:t>本期公允价值 变动损益</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93" w:lineRule="exact"/>
              <w:ind w:left="0" w:right="0" w:firstLine="0"/>
              <w:jc w:val="center"/>
            </w:pPr>
            <w:r>
              <w:rPr>
                <w:color w:val="000000"/>
                <w:spacing w:val="0"/>
                <w:w w:val="100"/>
                <w:position w:val="0"/>
              </w:rPr>
              <w:t>计入权益的累计 公允价值变动</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83" w:lineRule="exact"/>
              <w:ind w:left="0" w:right="0" w:firstLine="0"/>
              <w:jc w:val="center"/>
            </w:pPr>
            <w:r>
              <w:rPr>
                <w:color w:val="000000"/>
                <w:spacing w:val="0"/>
                <w:w w:val="100"/>
                <w:position w:val="0"/>
              </w:rPr>
              <w:t>报告期内购入 金额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报告期内售出金额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180"/>
              <w:jc w:val="both"/>
            </w:pPr>
            <w:r>
              <w:rPr>
                <w:color w:val="000000"/>
                <w:spacing w:val="0"/>
                <w:w w:val="100"/>
                <w:position w:val="0"/>
              </w:rPr>
              <w:t>累计投资收益</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260" w:firstLine="0"/>
              <w:jc w:val="right"/>
            </w:pPr>
            <w:r>
              <w:rPr>
                <w:color w:val="000000"/>
                <w:spacing w:val="0"/>
                <w:w w:val="100"/>
                <w:position w:val="0"/>
              </w:rPr>
              <w:t>期末金额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资金来源</w:t>
            </w:r>
          </w:p>
        </w:tc>
      </w:tr>
      <w:tr>
        <w:trPr>
          <w:trHeight w:val="115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85" w:lineRule="exact"/>
              <w:ind w:left="0" w:right="0" w:firstLine="0"/>
              <w:jc w:val="left"/>
            </w:pPr>
            <w:r>
              <w:rPr>
                <w:color w:val="000000"/>
                <w:spacing w:val="0"/>
                <w:w w:val="100"/>
                <w:position w:val="0"/>
              </w:rPr>
              <w:t>以公允价值计 量且其变动计 入当期损益的 金融资产</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678,871</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-13,500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4,072,269</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-2,509,007</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24,291</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2,228,633</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自有资金</w:t>
            </w:r>
          </w:p>
        </w:tc>
      </w:tr>
      <w:tr>
        <w:trPr>
          <w:trHeight w:val="581"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left"/>
            </w:pPr>
            <w:r>
              <w:rPr>
                <w:color w:val="000000"/>
                <w:spacing w:val="0"/>
                <w:w w:val="100"/>
                <w:position w:val="0"/>
              </w:rPr>
              <w:t>可供出售金融 资产</w:t>
            </w:r>
            <w:r>
              <w:rPr>
                <w:rFonts w:ascii="Times New Roman" w:eastAsia="Times New Roman" w:hAnsi="Times New Roman" w:cs="Times New Roman"/>
                <w:color w:val="000000"/>
                <w:spacing w:val="0"/>
                <w:w w:val="100"/>
                <w:position w:val="0"/>
              </w:rPr>
              <w:t>-</w:t>
            </w:r>
            <w:r>
              <w:rPr>
                <w:color w:val="000000"/>
                <w:spacing w:val="0"/>
                <w:w w:val="100"/>
                <w:position w:val="0"/>
              </w:rPr>
              <w:t>理财产品</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922,479</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68,104</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119,597,100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-113,141,438</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214,307</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7,446,245</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自有资金</w:t>
            </w:r>
          </w:p>
        </w:tc>
      </w:tr>
      <w:tr>
        <w:trPr>
          <w:trHeight w:val="581"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8" w:lineRule="exact"/>
              <w:ind w:left="0" w:right="0" w:firstLine="0"/>
              <w:jc w:val="left"/>
            </w:pPr>
            <w:r>
              <w:rPr>
                <w:color w:val="000000"/>
                <w:spacing w:val="0"/>
                <w:w w:val="100"/>
                <w:position w:val="0"/>
              </w:rPr>
              <w:t>可供出售金融 资产</w:t>
            </w:r>
            <w:r>
              <w:rPr>
                <w:rFonts w:ascii="Times New Roman" w:eastAsia="Times New Roman" w:hAnsi="Times New Roman" w:cs="Times New Roman"/>
                <w:color w:val="000000"/>
                <w:spacing w:val="0"/>
                <w:w w:val="100"/>
                <w:position w:val="0"/>
              </w:rPr>
              <w:t>-</w:t>
            </w:r>
            <w:r>
              <w:rPr>
                <w:color w:val="000000"/>
                <w:spacing w:val="0"/>
                <w:w w:val="100"/>
                <w:position w:val="0"/>
              </w:rPr>
              <w:t>权益工具</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895,542</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2,470,227</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14,146,789</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17,512,558</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自有资金</w:t>
            </w:r>
          </w:p>
        </w:tc>
      </w:tr>
      <w:tr>
        <w:trPr>
          <w:trHeight w:val="864"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6" w:lineRule="exact"/>
              <w:ind w:left="0" w:right="0" w:firstLine="0"/>
              <w:jc w:val="left"/>
            </w:pPr>
            <w:r>
              <w:rPr>
                <w:color w:val="000000"/>
                <w:spacing w:val="0"/>
                <w:w w:val="100"/>
                <w:position w:val="0"/>
              </w:rPr>
              <w:t>其他流动资产</w:t>
            </w:r>
            <w:r>
              <w:rPr>
                <w:rFonts w:ascii="Times New Roman" w:eastAsia="Times New Roman" w:hAnsi="Times New Roman" w:cs="Times New Roman"/>
                <w:color w:val="000000"/>
                <w:spacing w:val="0"/>
                <w:w w:val="100"/>
                <w:position w:val="0"/>
              </w:rPr>
              <w:t xml:space="preserve">- </w:t>
            </w:r>
            <w:r>
              <w:rPr>
                <w:color w:val="000000"/>
                <w:spacing w:val="0"/>
                <w:w w:val="100"/>
                <w:position w:val="0"/>
              </w:rPr>
              <w:t>一年内到期的 理财产品</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1,502,959</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184,286</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17,634,660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-1,500,000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17,821,905</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自有资金</w:t>
            </w:r>
          </w:p>
        </w:tc>
      </w:tr>
      <w:tr>
        <w:trPr>
          <w:trHeight w:val="302" w:hRule="exact"/>
        </w:trPr>
        <w:tc>
          <w:tcPr>
            <w:tcBorders>
              <w:top w:val="single" w:sz="4"/>
              <w:left w:val="single" w:sz="4"/>
              <w:bottom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3,999,851</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-13,500</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2,722,617</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155,450,818</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-117,150,445</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244,698</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45,009,341</w:t>
            </w:r>
          </w:p>
        </w:tc>
        <w:tc>
          <w:tcPr>
            <w:tcBorders>
              <w:top w:val="single" w:sz="4"/>
              <w:left w:val="single" w:sz="4"/>
              <w:bottom w:val="single" w:sz="4"/>
              <w:righ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bl>
    <w:p>
      <w:pPr>
        <w:sectPr>
          <w:headerReference w:type="default" r:id="rId19"/>
          <w:footerReference w:type="default" r:id="rId20"/>
          <w:headerReference w:type="even" r:id="rId21"/>
          <w:footerReference w:type="even" r:id="rId22"/>
          <w:footnotePr>
            <w:pos w:val="pageBottom"/>
            <w:numFmt w:val="decimal"/>
            <w:numRestart w:val="continuous"/>
          </w:footnotePr>
          <w:pgSz w:w="16840" w:h="11900" w:orient="landscape"/>
          <w:pgMar w:top="1031" w:right="1304" w:bottom="1116" w:left="1324" w:header="0" w:footer="3" w:gutter="0"/>
          <w:cols w:space="720"/>
          <w:noEndnote/>
          <w:rtlGutter w:val="0"/>
          <w:docGrid w:linePitch="360"/>
        </w:sectPr>
      </w:pPr>
    </w:p>
    <w:p>
      <w:pPr>
        <w:pStyle w:val="Style32"/>
        <w:keepNext w:val="0"/>
        <w:keepLines w:val="0"/>
        <w:widowControl w:val="0"/>
        <w:shd w:val="clear" w:color="auto" w:fill="auto"/>
        <w:bidi w:val="0"/>
        <w:spacing w:before="0" w:after="300" w:line="240" w:lineRule="auto"/>
        <w:ind w:left="0" w:right="0" w:firstLine="0"/>
        <w:jc w:val="left"/>
        <w:rPr>
          <w:sz w:val="20"/>
          <w:szCs w:val="20"/>
        </w:rPr>
      </w:pPr>
      <w:bookmarkStart w:id="191" w:name="bookmark191"/>
      <w:r>
        <w:rPr>
          <w:rFonts w:ascii="Times New Roman" w:eastAsia="Times New Roman" w:hAnsi="Times New Roman" w:cs="Times New Roman"/>
          <w:b/>
          <w:bCs/>
          <w:color w:val="000000"/>
          <w:spacing w:val="0"/>
          <w:w w:val="100"/>
          <w:position w:val="0"/>
          <w:sz w:val="20"/>
          <w:szCs w:val="20"/>
        </w:rPr>
        <w:t>4</w:t>
      </w:r>
      <w:bookmarkEnd w:id="191"/>
      <w:r>
        <w:rPr>
          <w:b/>
          <w:bCs/>
          <w:color w:val="000000"/>
          <w:spacing w:val="0"/>
          <w:w w:val="100"/>
          <w:position w:val="0"/>
          <w:sz w:val="20"/>
          <w:szCs w:val="20"/>
        </w:rPr>
        <w:t>、募集资金使用情况</w:t>
      </w:r>
    </w:p>
    <w:p>
      <w:pPr>
        <w:pStyle w:val="Style38"/>
        <w:keepNext/>
        <w:keepLines/>
        <w:widowControl w:val="0"/>
        <w:numPr>
          <w:ilvl w:val="0"/>
          <w:numId w:val="9"/>
        </w:numPr>
        <w:shd w:val="clear" w:color="auto" w:fill="auto"/>
        <w:bidi w:val="0"/>
        <w:spacing w:before="0" w:after="300" w:line="240" w:lineRule="auto"/>
        <w:ind w:left="0" w:right="0" w:firstLine="0"/>
        <w:jc w:val="left"/>
      </w:pPr>
      <w:bookmarkStart w:id="192" w:name="bookmark192"/>
      <w:bookmarkStart w:id="193" w:name="bookmark193"/>
      <w:bookmarkStart w:id="194" w:name="bookmark194"/>
      <w:bookmarkStart w:id="195" w:name="bookmark195"/>
      <w:bookmarkEnd w:id="194"/>
      <w:r>
        <w:rPr>
          <w:color w:val="000000"/>
          <w:spacing w:val="0"/>
          <w:w w:val="100"/>
          <w:position w:val="0"/>
        </w:rPr>
        <w:t>募集资金总体使用情况</w:t>
      </w:r>
      <w:bookmarkEnd w:id="192"/>
      <w:bookmarkEnd w:id="193"/>
      <w:bookmarkEnd w:id="195"/>
    </w:p>
    <w:p>
      <w:pPr>
        <w:pStyle w:val="Style25"/>
        <w:keepNext w:val="0"/>
        <w:keepLines w:val="0"/>
        <w:widowControl w:val="0"/>
        <w:shd w:val="clear" w:color="auto" w:fill="auto"/>
        <w:bidi w:val="0"/>
        <w:spacing w:before="0" w:after="0" w:line="240" w:lineRule="auto"/>
        <w:ind w:left="12869" w:right="0" w:firstLine="0"/>
        <w:jc w:val="left"/>
      </w:pPr>
      <w:r>
        <w:rPr>
          <w:color w:val="000000"/>
          <w:spacing w:val="0"/>
          <w:w w:val="100"/>
          <w:position w:val="0"/>
        </w:rPr>
        <w:t>单位：千元</w:t>
      </w:r>
    </w:p>
    <w:tbl>
      <w:tblPr>
        <w:tblOverlap w:val="never"/>
        <w:jc w:val="center"/>
        <w:tblLayout w:type="fixed"/>
      </w:tblPr>
      <w:tblGrid>
        <w:gridCol w:w="1253"/>
        <w:gridCol w:w="830"/>
        <w:gridCol w:w="1661"/>
        <w:gridCol w:w="1454"/>
        <w:gridCol w:w="1454"/>
        <w:gridCol w:w="994"/>
        <w:gridCol w:w="1277"/>
        <w:gridCol w:w="1277"/>
        <w:gridCol w:w="1440"/>
        <w:gridCol w:w="1296"/>
        <w:gridCol w:w="1090"/>
      </w:tblGrid>
      <w:tr>
        <w:trPr>
          <w:trHeight w:val="1157"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180"/>
              <w:jc w:val="left"/>
            </w:pPr>
            <w:r>
              <w:rPr>
                <w:color w:val="000000"/>
                <w:spacing w:val="0"/>
                <w:w w:val="100"/>
                <w:position w:val="0"/>
              </w:rPr>
              <w:t>募集年份</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83" w:lineRule="exact"/>
              <w:ind w:left="0" w:right="0" w:firstLine="0"/>
              <w:jc w:val="center"/>
            </w:pPr>
            <w:r>
              <w:rPr>
                <w:color w:val="000000"/>
                <w:spacing w:val="0"/>
                <w:w w:val="100"/>
                <w:position w:val="0"/>
              </w:rPr>
              <w:t>募集方 式</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rPr>
              <w:t>募集资金总额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93" w:lineRule="exact"/>
              <w:ind w:left="0" w:right="0" w:firstLine="0"/>
              <w:jc w:val="center"/>
            </w:pPr>
            <w:r>
              <w:rPr>
                <w:color w:val="000000"/>
                <w:spacing w:val="0"/>
                <w:w w:val="100"/>
                <w:position w:val="0"/>
              </w:rPr>
              <w:t>本期已使用募 集资金总额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64" w:lineRule="exact"/>
              <w:ind w:left="0" w:right="0" w:firstLine="0"/>
              <w:jc w:val="center"/>
            </w:pPr>
            <w:r>
              <w:rPr>
                <w:color w:val="000000"/>
                <w:spacing w:val="0"/>
                <w:w w:val="100"/>
                <w:position w:val="0"/>
              </w:rPr>
              <w:t>已累计使用募 集资金总额</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报告期内 变更用途 的募集资 金总额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83" w:lineRule="exact"/>
              <w:ind w:left="0" w:right="0" w:firstLine="0"/>
              <w:jc w:val="center"/>
            </w:pPr>
            <w:r>
              <w:rPr>
                <w:color w:val="000000"/>
                <w:spacing w:val="0"/>
                <w:w w:val="100"/>
                <w:position w:val="0"/>
              </w:rPr>
              <w:t>累计变更用 途的募集资 金总额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88" w:lineRule="exact"/>
              <w:ind w:left="0" w:right="0" w:firstLine="0"/>
              <w:jc w:val="center"/>
            </w:pPr>
            <w:r>
              <w:rPr>
                <w:color w:val="000000"/>
                <w:spacing w:val="0"/>
                <w:w w:val="100"/>
                <w:position w:val="0"/>
              </w:rPr>
              <w:t>累计变更用 途的募集资 金总额比例</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64" w:lineRule="exact"/>
              <w:ind w:left="0" w:right="0" w:firstLine="0"/>
              <w:jc w:val="center"/>
            </w:pPr>
            <w:r>
              <w:rPr>
                <w:color w:val="000000"/>
                <w:spacing w:val="0"/>
                <w:w w:val="100"/>
                <w:position w:val="0"/>
              </w:rPr>
              <w:t>尚未使用募集 资金总额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93" w:lineRule="exact"/>
              <w:ind w:left="0" w:right="0" w:firstLine="0"/>
              <w:jc w:val="center"/>
            </w:pPr>
            <w:r>
              <w:rPr>
                <w:color w:val="000000"/>
                <w:spacing w:val="0"/>
                <w:w w:val="100"/>
                <w:position w:val="0"/>
              </w:rPr>
              <w:t>尚未使用募 集资金用途 及去向</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76" w:lineRule="exact"/>
              <w:ind w:left="0" w:right="0" w:firstLine="0"/>
              <w:jc w:val="center"/>
            </w:pPr>
            <w:r>
              <w:rPr>
                <w:color w:val="000000"/>
                <w:spacing w:val="0"/>
                <w:w w:val="100"/>
                <w:position w:val="0"/>
              </w:rPr>
              <w:t>闲置两年 以上募集 资金金额</w:t>
            </w:r>
          </w:p>
        </w:tc>
      </w:tr>
      <w:tr>
        <w:trPr>
          <w:trHeight w:val="58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83" w:lineRule="exact"/>
              <w:ind w:left="0" w:right="0" w:firstLine="0"/>
              <w:jc w:val="left"/>
            </w:pPr>
            <w:r>
              <w:rPr>
                <w:color w:val="000000"/>
                <w:spacing w:val="0"/>
                <w:w w:val="100"/>
                <w:position w:val="0"/>
              </w:rPr>
              <w:t>非公开 发行</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4,633,092.8</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75,848.8</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4,438,245.3</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100,207.8</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2.16%</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343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83" w:lineRule="exact"/>
              <w:ind w:left="0" w:right="0" w:firstLine="0"/>
              <w:jc w:val="left"/>
            </w:pPr>
            <w:r>
              <w:rPr>
                <w:color w:val="000000"/>
                <w:spacing w:val="0"/>
                <w:w w:val="100"/>
                <w:position w:val="0"/>
              </w:rPr>
              <w:t>非公开 发行</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29,085,309.4</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11,070,577.7</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11,070,577.7</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18,014,710.4</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（注）</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87" w:lineRule="exact"/>
              <w:ind w:left="0" w:right="0" w:firstLine="0"/>
              <w:jc w:val="both"/>
            </w:pPr>
            <w:r>
              <w:rPr>
                <w:color w:val="000000"/>
                <w:spacing w:val="0"/>
                <w:w w:val="100"/>
                <w:position w:val="0"/>
              </w:rPr>
              <w:t>公司尚未使 用的募集资 金用于物流 平台建设项 目、苏宁易 购云店发展 项目及</w:t>
            </w:r>
            <w:r>
              <w:rPr>
                <w:rFonts w:ascii="Times New Roman" w:eastAsia="Times New Roman" w:hAnsi="Times New Roman" w:cs="Times New Roman"/>
                <w:color w:val="000000"/>
                <w:spacing w:val="0"/>
                <w:w w:val="100"/>
                <w:position w:val="0"/>
              </w:rPr>
              <w:t>IT</w:t>
            </w:r>
            <w:r>
              <w:rPr>
                <w:color w:val="000000"/>
                <w:spacing w:val="0"/>
                <w:w w:val="100"/>
                <w:position w:val="0"/>
              </w:rPr>
              <w:t>项 目，公司将 尚未使用的 募集资金存 放于公司专 户中。</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29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33,718,402.2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11,146,426.5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15,508,823.0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100,207.8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18,014,710.4</w:t>
            </w:r>
          </w:p>
        </w:tc>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298" w:hRule="exact"/>
        </w:trPr>
        <w:tc>
          <w:tcPr>
            <w:gridSpan w:val="11"/>
            <w:tcBorders>
              <w:top w:val="single" w:sz="4"/>
              <w:left w:val="single" w:sz="4"/>
              <w:righ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募集资金总体使用情况说明</w:t>
            </w:r>
          </w:p>
        </w:tc>
      </w:tr>
      <w:tr>
        <w:trPr>
          <w:trHeight w:val="1733" w:hRule="exact"/>
        </w:trPr>
        <w:tc>
          <w:tcPr>
            <w:gridSpan w:val="11"/>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427" w:lineRule="exact"/>
              <w:ind w:left="0" w:right="0" w:firstLine="460"/>
              <w:jc w:val="left"/>
            </w:pPr>
            <w:r>
              <w:rPr>
                <w:color w:val="000000"/>
                <w:spacing w:val="0"/>
                <w:w w:val="100"/>
                <w:position w:val="0"/>
              </w:rPr>
              <w:t>根据中国证券监督管理委员会签发的证监许可</w:t>
            </w:r>
            <w:r>
              <w:rPr>
                <w:rFonts w:ascii="Times New Roman" w:eastAsia="Times New Roman" w:hAnsi="Times New Roman" w:cs="Times New Roman"/>
                <w:color w:val="000000"/>
                <w:spacing w:val="0"/>
                <w:w w:val="100"/>
                <w:position w:val="0"/>
              </w:rPr>
              <w:t>[2012]477</w:t>
            </w:r>
            <w:r>
              <w:rPr>
                <w:color w:val="000000"/>
                <w:spacing w:val="0"/>
                <w:w w:val="100"/>
                <w:position w:val="0"/>
              </w:rPr>
              <w:t>号文《关于核准苏宁电器股份有限公司非公开发行股票的批复》，本公司于</w:t>
            </w:r>
            <w:r>
              <w:rPr>
                <w:rFonts w:ascii="Times New Roman" w:eastAsia="Times New Roman" w:hAnsi="Times New Roman" w:cs="Times New Roman"/>
                <w:color w:val="000000"/>
                <w:spacing w:val="0"/>
                <w:w w:val="100"/>
                <w:position w:val="0"/>
              </w:rPr>
              <w:t>2012</w:t>
            </w:r>
            <w:r>
              <w:rPr>
                <w:color w:val="000000"/>
                <w:spacing w:val="0"/>
                <w:w w:val="100"/>
                <w:position w:val="0"/>
              </w:rPr>
              <w:t xml:space="preserve">年 </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日获准向特定投资者非公开发行人民币普通股</w:t>
            </w:r>
            <w:r>
              <w:rPr>
                <w:rFonts w:ascii="Times New Roman" w:eastAsia="Times New Roman" w:hAnsi="Times New Roman" w:cs="Times New Roman"/>
                <w:color w:val="000000"/>
                <w:spacing w:val="0"/>
                <w:w w:val="100"/>
                <w:position w:val="0"/>
              </w:rPr>
              <w:t>386,831,284</w:t>
            </w:r>
            <w:r>
              <w:rPr>
                <w:color w:val="000000"/>
                <w:spacing w:val="0"/>
                <w:w w:val="100"/>
                <w:position w:val="0"/>
              </w:rPr>
              <w:t>股，每股面值人民币</w:t>
            </w:r>
            <w:r>
              <w:rPr>
                <w:rFonts w:ascii="Times New Roman" w:eastAsia="Times New Roman" w:hAnsi="Times New Roman" w:cs="Times New Roman"/>
                <w:color w:val="000000"/>
                <w:spacing w:val="0"/>
                <w:w w:val="100"/>
                <w:position w:val="0"/>
              </w:rPr>
              <w:t>1.00</w:t>
            </w:r>
            <w:r>
              <w:rPr>
                <w:color w:val="000000"/>
                <w:spacing w:val="0"/>
                <w:w w:val="100"/>
                <w:position w:val="0"/>
              </w:rPr>
              <w:t>元，每股发行价格为人民币</w:t>
            </w:r>
            <w:r>
              <w:rPr>
                <w:rFonts w:ascii="Times New Roman" w:eastAsia="Times New Roman" w:hAnsi="Times New Roman" w:cs="Times New Roman"/>
                <w:color w:val="000000"/>
                <w:spacing w:val="0"/>
                <w:w w:val="100"/>
                <w:position w:val="0"/>
              </w:rPr>
              <w:t>12.15</w:t>
            </w:r>
            <w:r>
              <w:rPr>
                <w:color w:val="000000"/>
                <w:spacing w:val="0"/>
                <w:w w:val="100"/>
                <w:position w:val="0"/>
              </w:rPr>
              <w:t>元，扣除发行费用及 相关税费后募集股款净额为</w:t>
            </w:r>
            <w:r>
              <w:rPr>
                <w:rFonts w:ascii="Times New Roman" w:eastAsia="Times New Roman" w:hAnsi="Times New Roman" w:cs="Times New Roman"/>
                <w:color w:val="000000"/>
                <w:spacing w:val="0"/>
                <w:w w:val="100"/>
                <w:position w:val="0"/>
              </w:rPr>
              <w:t>4,633,092.8</w:t>
            </w:r>
            <w:r>
              <w:rPr>
                <w:color w:val="000000"/>
                <w:spacing w:val="0"/>
                <w:w w:val="100"/>
                <w:position w:val="0"/>
              </w:rPr>
              <w:t>千元，上述资金于</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日到位，业经普华永道中天会计师事务所有限公司予以验证并出具普华 永道中天验字</w:t>
            </w:r>
            <w:r>
              <w:rPr>
                <w:rFonts w:ascii="Times New Roman" w:eastAsia="Times New Roman" w:hAnsi="Times New Roman" w:cs="Times New Roman"/>
                <w:color w:val="000000"/>
                <w:spacing w:val="0"/>
                <w:w w:val="100"/>
                <w:position w:val="0"/>
              </w:rPr>
              <w:t>(2012)</w:t>
            </w:r>
            <w:r>
              <w:rPr>
                <w:color w:val="000000"/>
                <w:spacing w:val="0"/>
                <w:w w:val="100"/>
                <w:position w:val="0"/>
              </w:rPr>
              <w:t>第</w:t>
            </w:r>
            <w:r>
              <w:rPr>
                <w:rFonts w:ascii="Times New Roman" w:eastAsia="Times New Roman" w:hAnsi="Times New Roman" w:cs="Times New Roman"/>
                <w:color w:val="000000"/>
                <w:spacing w:val="0"/>
                <w:w w:val="100"/>
                <w:position w:val="0"/>
              </w:rPr>
              <w:t>248</w:t>
            </w:r>
            <w:r>
              <w:rPr>
                <w:color w:val="000000"/>
                <w:spacing w:val="0"/>
                <w:w w:val="100"/>
                <w:position w:val="0"/>
              </w:rPr>
              <w:t>号验资报告。</w:t>
            </w:r>
          </w:p>
        </w:tc>
      </w:tr>
    </w:tbl>
    <w:p>
      <w:pPr>
        <w:pStyle w:val="Style3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30" w:lineRule="exact"/>
        <w:ind w:left="0" w:right="0" w:firstLine="460"/>
        <w:jc w:val="both"/>
      </w:pPr>
      <w:r>
        <w:rPr>
          <w:color w:val="000000"/>
          <w:spacing w:val="0"/>
          <w:w w:val="100"/>
          <w:position w:val="0"/>
        </w:rPr>
        <w:t>根据中国证券监督管理委员会签发的证监许可</w:t>
      </w:r>
      <w:r>
        <w:rPr>
          <w:rFonts w:ascii="Times New Roman" w:eastAsia="Times New Roman" w:hAnsi="Times New Roman" w:cs="Times New Roman"/>
          <w:color w:val="000000"/>
          <w:spacing w:val="0"/>
          <w:w w:val="100"/>
          <w:position w:val="0"/>
        </w:rPr>
        <w:t>[2016]418</w:t>
      </w:r>
      <w:r>
        <w:rPr>
          <w:color w:val="000000"/>
          <w:spacing w:val="0"/>
          <w:w w:val="100"/>
          <w:position w:val="0"/>
        </w:rPr>
        <w:t>号《关于核准苏宁云商集团股份有限公司非公开发行股票的批复》，本公司于</w:t>
      </w: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日向特定对象非公开发行人民币普通股</w:t>
      </w: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股）</w:t>
      </w:r>
      <w:r>
        <w:rPr>
          <w:rFonts w:ascii="Times New Roman" w:eastAsia="Times New Roman" w:hAnsi="Times New Roman" w:cs="Times New Roman"/>
          <w:color w:val="000000"/>
          <w:spacing w:val="0"/>
          <w:w w:val="100"/>
          <w:position w:val="0"/>
        </w:rPr>
        <w:t>1,926,996,505</w:t>
      </w:r>
      <w:r>
        <w:rPr>
          <w:color w:val="000000"/>
          <w:spacing w:val="0"/>
          <w:w w:val="100"/>
          <w:position w:val="0"/>
        </w:rPr>
        <w:t>股，每股面值人民币</w:t>
      </w:r>
      <w:r>
        <w:rPr>
          <w:rFonts w:ascii="Times New Roman" w:eastAsia="Times New Roman" w:hAnsi="Times New Roman" w:cs="Times New Roman"/>
          <w:color w:val="000000"/>
          <w:spacing w:val="0"/>
          <w:w w:val="100"/>
          <w:position w:val="0"/>
        </w:rPr>
        <w:t>1.00</w:t>
      </w:r>
      <w:r>
        <w:rPr>
          <w:color w:val="000000"/>
          <w:spacing w:val="0"/>
          <w:w w:val="100"/>
          <w:position w:val="0"/>
        </w:rPr>
        <w:t>元，每股发行认购价格为人民币</w:t>
      </w:r>
      <w:r>
        <w:rPr>
          <w:rFonts w:ascii="Times New Roman" w:eastAsia="Times New Roman" w:hAnsi="Times New Roman" w:cs="Times New Roman"/>
          <w:color w:val="000000"/>
          <w:spacing w:val="0"/>
          <w:w w:val="100"/>
          <w:position w:val="0"/>
        </w:rPr>
        <w:t>15.17</w:t>
      </w:r>
      <w:r>
        <w:rPr>
          <w:color w:val="000000"/>
          <w:spacing w:val="0"/>
          <w:w w:val="100"/>
          <w:position w:val="0"/>
        </w:rPr>
        <w:t>元，扣除 发行费用及相关税费后募集资金净额为</w:t>
      </w:r>
      <w:r>
        <w:rPr>
          <w:rFonts w:ascii="Times New Roman" w:eastAsia="Times New Roman" w:hAnsi="Times New Roman" w:cs="Times New Roman"/>
          <w:color w:val="000000"/>
          <w:spacing w:val="0"/>
          <w:w w:val="100"/>
          <w:position w:val="0"/>
        </w:rPr>
        <w:t>29,085,309.4</w:t>
      </w:r>
      <w:r>
        <w:rPr>
          <w:color w:val="000000"/>
          <w:spacing w:val="0"/>
          <w:w w:val="100"/>
          <w:position w:val="0"/>
        </w:rPr>
        <w:t>千元。上述资金已于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日到位，普华永道中天会计师事务所（特殊普通合伙） 予以验证并于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日出具普华永道中天验字</w:t>
      </w:r>
      <w:r>
        <w:rPr>
          <w:rFonts w:ascii="Times New Roman" w:eastAsia="Times New Roman" w:hAnsi="Times New Roman" w:cs="Times New Roman"/>
          <w:color w:val="000000"/>
          <w:spacing w:val="0"/>
          <w:w w:val="100"/>
          <w:position w:val="0"/>
        </w:rPr>
        <w:t>（2016）</w:t>
      </w:r>
      <w:r>
        <w:rPr>
          <w:color w:val="000000"/>
          <w:spacing w:val="0"/>
          <w:w w:val="100"/>
          <w:position w:val="0"/>
        </w:rPr>
        <w:t>第</w:t>
      </w:r>
      <w:r>
        <w:rPr>
          <w:rFonts w:ascii="Times New Roman" w:eastAsia="Times New Roman" w:hAnsi="Times New Roman" w:cs="Times New Roman"/>
          <w:color w:val="000000"/>
          <w:spacing w:val="0"/>
          <w:w w:val="100"/>
          <w:position w:val="0"/>
        </w:rPr>
        <w:t>573</w:t>
      </w:r>
      <w:r>
        <w:rPr>
          <w:color w:val="000000"/>
          <w:spacing w:val="0"/>
          <w:w w:val="100"/>
          <w:position w:val="0"/>
        </w:rPr>
        <w:t>号验资报告。</w:t>
      </w:r>
    </w:p>
    <w:p>
      <w:pPr>
        <w:pStyle w:val="Style3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30" w:lineRule="exact"/>
        <w:ind w:left="0" w:right="0" w:firstLine="460"/>
        <w:jc w:val="both"/>
      </w:pPr>
      <w:r>
        <w:rPr>
          <w:color w:val="000000"/>
          <w:spacing w:val="0"/>
          <w:w w:val="100"/>
          <w:position w:val="0"/>
        </w:rPr>
        <w:t>本公司以前年度已使用募集资金</w:t>
      </w:r>
      <w:r>
        <w:rPr>
          <w:rFonts w:ascii="Times New Roman" w:eastAsia="Times New Roman" w:hAnsi="Times New Roman" w:cs="Times New Roman"/>
          <w:color w:val="000000"/>
          <w:spacing w:val="0"/>
          <w:w w:val="100"/>
          <w:position w:val="0"/>
        </w:rPr>
        <w:t>4,362,451.3</w:t>
      </w:r>
      <w:r>
        <w:rPr>
          <w:color w:val="000000"/>
          <w:spacing w:val="0"/>
          <w:w w:val="100"/>
          <w:position w:val="0"/>
        </w:rPr>
        <w:t>千元（包括支付的银行手续费</w:t>
      </w:r>
      <w:r>
        <w:rPr>
          <w:rFonts w:ascii="Times New Roman" w:eastAsia="Times New Roman" w:hAnsi="Times New Roman" w:cs="Times New Roman"/>
          <w:color w:val="000000"/>
          <w:spacing w:val="0"/>
          <w:w w:val="100"/>
          <w:position w:val="0"/>
        </w:rPr>
        <w:t>54.7</w:t>
      </w:r>
      <w:r>
        <w:rPr>
          <w:color w:val="000000"/>
          <w:spacing w:val="0"/>
          <w:w w:val="100"/>
          <w:position w:val="0"/>
        </w:rPr>
        <w:t>千元），</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1-12</w:t>
      </w:r>
      <w:r>
        <w:rPr>
          <w:color w:val="000000"/>
          <w:spacing w:val="0"/>
          <w:w w:val="100"/>
          <w:position w:val="0"/>
        </w:rPr>
        <w:t>月公司实际使用募集资金</w:t>
      </w:r>
      <w:r>
        <w:rPr>
          <w:rFonts w:ascii="Times New Roman" w:eastAsia="Times New Roman" w:hAnsi="Times New Roman" w:cs="Times New Roman"/>
          <w:color w:val="000000"/>
          <w:spacing w:val="0"/>
          <w:w w:val="100"/>
          <w:position w:val="0"/>
        </w:rPr>
        <w:t xml:space="preserve">11,146,448.0 </w:t>
      </w:r>
      <w:r>
        <w:rPr>
          <w:color w:val="000000"/>
          <w:spacing w:val="0"/>
          <w:w w:val="100"/>
          <w:position w:val="0"/>
        </w:rPr>
        <w:t>千元（包括支付的银行手续费</w:t>
      </w:r>
      <w:r>
        <w:rPr>
          <w:rFonts w:ascii="Times New Roman" w:eastAsia="Times New Roman" w:hAnsi="Times New Roman" w:cs="Times New Roman"/>
          <w:color w:val="000000"/>
          <w:spacing w:val="0"/>
          <w:w w:val="100"/>
          <w:position w:val="0"/>
        </w:rPr>
        <w:t>21.5</w:t>
      </w:r>
      <w:r>
        <w:rPr>
          <w:color w:val="000000"/>
          <w:spacing w:val="0"/>
          <w:w w:val="100"/>
          <w:position w:val="0"/>
        </w:rPr>
        <w:t>千元），累计已使用募集资金</w:t>
      </w:r>
      <w:r>
        <w:rPr>
          <w:rFonts w:ascii="Times New Roman" w:eastAsia="Times New Roman" w:hAnsi="Times New Roman" w:cs="Times New Roman"/>
          <w:color w:val="000000"/>
          <w:spacing w:val="0"/>
          <w:w w:val="100"/>
          <w:position w:val="0"/>
        </w:rPr>
        <w:t>15,508,899.3</w:t>
      </w:r>
      <w:r>
        <w:rPr>
          <w:color w:val="000000"/>
          <w:spacing w:val="0"/>
          <w:w w:val="100"/>
          <w:position w:val="0"/>
        </w:rPr>
        <w:t>千元（包括支付的银行手续费</w:t>
      </w:r>
      <w:r>
        <w:rPr>
          <w:rFonts w:ascii="Times New Roman" w:eastAsia="Times New Roman" w:hAnsi="Times New Roman" w:cs="Times New Roman"/>
          <w:color w:val="000000"/>
          <w:spacing w:val="0"/>
          <w:w w:val="100"/>
          <w:position w:val="0"/>
        </w:rPr>
        <w:t>76.2</w:t>
      </w:r>
      <w:r>
        <w:rPr>
          <w:color w:val="000000"/>
          <w:spacing w:val="0"/>
          <w:w w:val="100"/>
          <w:position w:val="0"/>
        </w:rPr>
        <w:t>千元）。</w:t>
      </w:r>
    </w:p>
    <w:p>
      <w:pPr>
        <w:pStyle w:val="Style3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30" w:lineRule="exact"/>
        <w:ind w:left="0" w:right="0" w:firstLine="460"/>
        <w:jc w:val="both"/>
      </w:pPr>
      <w:r>
        <w:rPr>
          <w:rFonts w:ascii="Times New Roman" w:eastAsia="Times New Roman" w:hAnsi="Times New Roman" w:cs="Times New Roman"/>
          <w:color w:val="000000"/>
          <w:spacing w:val="0"/>
          <w:w w:val="100"/>
          <w:position w:val="0"/>
        </w:rPr>
        <w:t>2011</w:t>
      </w:r>
      <w:r>
        <w:rPr>
          <w:color w:val="000000"/>
          <w:spacing w:val="0"/>
          <w:w w:val="100"/>
          <w:position w:val="0"/>
        </w:rPr>
        <w:t>年非公开发行股票募集资金项目已于</w:t>
      </w:r>
      <w:r>
        <w:rPr>
          <w:rFonts w:ascii="Times New Roman" w:eastAsia="Times New Roman" w:hAnsi="Times New Roman" w:cs="Times New Roman"/>
          <w:color w:val="000000"/>
          <w:spacing w:val="0"/>
          <w:w w:val="100"/>
          <w:position w:val="0"/>
        </w:rPr>
        <w:t>2016</w:t>
      </w:r>
      <w:r>
        <w:rPr>
          <w:color w:val="000000"/>
          <w:spacing w:val="0"/>
          <w:w w:val="100"/>
          <w:position w:val="0"/>
        </w:rPr>
        <w:t>年上半年全部投资完成，项目节余募集资金</w:t>
      </w:r>
      <w:r>
        <w:rPr>
          <w:rFonts w:ascii="Times New Roman" w:eastAsia="Times New Roman" w:hAnsi="Times New Roman" w:cs="Times New Roman"/>
          <w:color w:val="000000"/>
          <w:spacing w:val="0"/>
          <w:w w:val="100"/>
          <w:position w:val="0"/>
        </w:rPr>
        <w:t>194,792.5</w:t>
      </w:r>
      <w:r>
        <w:rPr>
          <w:color w:val="000000"/>
          <w:spacing w:val="0"/>
          <w:w w:val="100"/>
          <w:position w:val="0"/>
        </w:rPr>
        <w:t>千元已于</w:t>
      </w:r>
      <w:r>
        <w:rPr>
          <w:rFonts w:ascii="Times New Roman" w:eastAsia="Times New Roman" w:hAnsi="Times New Roman" w:cs="Times New Roman"/>
          <w:color w:val="000000"/>
          <w:spacing w:val="0"/>
          <w:w w:val="100"/>
          <w:position w:val="0"/>
        </w:rPr>
        <w:t>2016</w:t>
      </w:r>
      <w:r>
        <w:rPr>
          <w:color w:val="000000"/>
          <w:spacing w:val="0"/>
          <w:w w:val="100"/>
          <w:position w:val="0"/>
        </w:rPr>
        <w:t>年上半年永久补充流动 资金。</w:t>
      </w:r>
    </w:p>
    <w:p>
      <w:pPr>
        <w:pStyle w:val="Style3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30" w:lineRule="exact"/>
        <w:ind w:left="0" w:right="0" w:firstLine="46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日，募集资金账户余额（含募集资金账户理财余额）为</w:t>
      </w:r>
      <w:r>
        <w:rPr>
          <w:rFonts w:ascii="Times New Roman" w:eastAsia="Times New Roman" w:hAnsi="Times New Roman" w:cs="Times New Roman"/>
          <w:color w:val="000000"/>
          <w:spacing w:val="0"/>
          <w:w w:val="100"/>
          <w:position w:val="0"/>
        </w:rPr>
        <w:t>18,156,253.4</w:t>
      </w:r>
      <w:r>
        <w:rPr>
          <w:color w:val="000000"/>
          <w:spacing w:val="0"/>
          <w:w w:val="100"/>
          <w:position w:val="0"/>
        </w:rPr>
        <w:t>千元，其中募集资金</w:t>
      </w:r>
      <w:r>
        <w:rPr>
          <w:rFonts w:ascii="Times New Roman" w:eastAsia="Times New Roman" w:hAnsi="Times New Roman" w:cs="Times New Roman"/>
          <w:color w:val="000000"/>
          <w:spacing w:val="0"/>
          <w:w w:val="100"/>
          <w:position w:val="0"/>
        </w:rPr>
        <w:t>18,014,710.4</w:t>
      </w:r>
      <w:r>
        <w:rPr>
          <w:color w:val="000000"/>
          <w:spacing w:val="0"/>
          <w:w w:val="100"/>
          <w:position w:val="0"/>
        </w:rPr>
        <w:t xml:space="preserve">千元、利息收入 </w:t>
      </w:r>
      <w:r>
        <w:rPr>
          <w:rFonts w:ascii="Times New Roman" w:eastAsia="Times New Roman" w:hAnsi="Times New Roman" w:cs="Times New Roman"/>
          <w:color w:val="000000"/>
          <w:spacing w:val="0"/>
          <w:w w:val="100"/>
          <w:position w:val="0"/>
        </w:rPr>
        <w:t xml:space="preserve">141,543.0 </w:t>
      </w:r>
      <w:r>
        <w:rPr>
          <w:color w:val="000000"/>
          <w:spacing w:val="0"/>
          <w:w w:val="100"/>
          <w:position w:val="0"/>
        </w:rPr>
        <w:t>千元。</w:t>
      </w:r>
    </w:p>
    <w:p>
      <w:pPr>
        <w:pStyle w:val="Style32"/>
        <w:keepNext w:val="0"/>
        <w:keepLines w:val="0"/>
        <w:widowControl w:val="0"/>
        <w:shd w:val="clear" w:color="auto" w:fill="auto"/>
        <w:bidi w:val="0"/>
        <w:spacing w:before="0" w:after="280" w:line="430" w:lineRule="exact"/>
        <w:ind w:left="0" w:right="0" w:firstLine="0"/>
        <w:jc w:val="both"/>
        <w:rPr>
          <w:sz w:val="20"/>
          <w:szCs w:val="20"/>
        </w:rPr>
      </w:pPr>
      <w:r>
        <w:rPr>
          <w:color w:val="000000"/>
          <w:spacing w:val="0"/>
          <w:w w:val="100"/>
          <w:position w:val="0"/>
          <w:sz w:val="20"/>
          <w:szCs w:val="20"/>
        </w:rPr>
        <w:t>注：报告期内，公司使用募集资金支付银行手续费</w:t>
      </w:r>
      <w:r>
        <w:rPr>
          <w:rFonts w:ascii="Times New Roman" w:eastAsia="Times New Roman" w:hAnsi="Times New Roman" w:cs="Times New Roman"/>
          <w:color w:val="000000"/>
          <w:spacing w:val="0"/>
          <w:w w:val="100"/>
          <w:position w:val="0"/>
          <w:sz w:val="20"/>
          <w:szCs w:val="20"/>
        </w:rPr>
        <w:t>21.3</w:t>
      </w:r>
      <w:r>
        <w:rPr>
          <w:color w:val="000000"/>
          <w:spacing w:val="0"/>
          <w:w w:val="100"/>
          <w:position w:val="0"/>
          <w:sz w:val="20"/>
          <w:szCs w:val="20"/>
        </w:rPr>
        <w:t>千元。</w:t>
      </w:r>
    </w:p>
    <w:p>
      <w:pPr>
        <w:pStyle w:val="Style38"/>
        <w:keepNext/>
        <w:keepLines/>
        <w:widowControl w:val="0"/>
        <w:shd w:val="clear" w:color="auto" w:fill="auto"/>
        <w:bidi w:val="0"/>
        <w:spacing w:before="0" w:after="160" w:line="430" w:lineRule="exact"/>
        <w:ind w:left="0" w:right="0" w:firstLine="0"/>
        <w:jc w:val="both"/>
      </w:pPr>
      <w:bookmarkStart w:id="196" w:name="bookmark196"/>
      <w:bookmarkStart w:id="197" w:name="bookmark197"/>
      <w:bookmarkStart w:id="198" w:name="bookmark198"/>
      <w:bookmarkStart w:id="199" w:name="bookmark199"/>
      <w:r>
        <w:rPr>
          <w:color w:val="000000"/>
          <w:spacing w:val="0"/>
          <w:w w:val="100"/>
          <w:position w:val="0"/>
        </w:rPr>
        <w:t>（</w:t>
      </w:r>
      <w:bookmarkEnd w:id="198"/>
      <w:r>
        <w:rPr>
          <w:rFonts w:ascii="Times New Roman" w:eastAsia="Times New Roman" w:hAnsi="Times New Roman" w:cs="Times New Roman"/>
          <w:color w:val="000000"/>
          <w:spacing w:val="0"/>
          <w:w w:val="100"/>
          <w:position w:val="0"/>
        </w:rPr>
        <w:t>2</w:t>
      </w:r>
      <w:r>
        <w:rPr>
          <w:color w:val="000000"/>
          <w:spacing w:val="0"/>
          <w:w w:val="100"/>
          <w:position w:val="0"/>
        </w:rPr>
        <w:t>）募集资金承诺项目情况</w:t>
      </w:r>
      <w:bookmarkEnd w:id="196"/>
      <w:bookmarkEnd w:id="197"/>
      <w:bookmarkEnd w:id="199"/>
    </w:p>
    <w:p>
      <w:pPr>
        <w:pStyle w:val="Style38"/>
        <w:keepNext/>
        <w:keepLines/>
        <w:widowControl w:val="0"/>
        <w:shd w:val="clear" w:color="auto" w:fill="auto"/>
        <w:bidi w:val="0"/>
        <w:spacing w:before="0" w:after="0" w:line="422" w:lineRule="exact"/>
        <w:ind w:left="0" w:right="0" w:firstLine="0"/>
        <w:jc w:val="both"/>
      </w:pPr>
      <w:bookmarkStart w:id="196" w:name="bookmark196"/>
      <w:bookmarkStart w:id="197" w:name="bookmark197"/>
      <w:bookmarkStart w:id="200" w:name="bookmark200"/>
      <w:bookmarkStart w:id="201" w:name="bookmark201"/>
      <w:r>
        <w:rPr>
          <w:rFonts w:ascii="Times New Roman" w:eastAsia="Times New Roman" w:hAnsi="Times New Roman" w:cs="Times New Roman"/>
          <w:color w:val="000000"/>
          <w:spacing w:val="0"/>
          <w:w w:val="100"/>
          <w:position w:val="0"/>
        </w:rPr>
        <w:t>1</w:t>
      </w:r>
      <w:bookmarkEnd w:id="200"/>
      <w:r>
        <w:rPr>
          <w:color w:val="000000"/>
          <w:spacing w:val="0"/>
          <w:w w:val="100"/>
          <w:position w:val="0"/>
        </w:rPr>
        <w:t>、</w:t>
      </w:r>
      <w:r>
        <w:rPr>
          <w:rFonts w:ascii="Times New Roman" w:eastAsia="Times New Roman" w:hAnsi="Times New Roman" w:cs="Times New Roman"/>
          <w:color w:val="000000"/>
          <w:spacing w:val="0"/>
          <w:w w:val="100"/>
          <w:position w:val="0"/>
        </w:rPr>
        <w:t>2011</w:t>
      </w:r>
      <w:r>
        <w:rPr>
          <w:color w:val="000000"/>
          <w:spacing w:val="0"/>
          <w:w w:val="100"/>
          <w:position w:val="0"/>
        </w:rPr>
        <w:t>年非公开发行股票募集资金项目的资金使用情况</w:t>
      </w:r>
      <w:bookmarkEnd w:id="196"/>
      <w:bookmarkEnd w:id="197"/>
      <w:bookmarkEnd w:id="201"/>
    </w:p>
    <w:p>
      <w:pPr>
        <w:pStyle w:val="Style32"/>
        <w:keepNext w:val="0"/>
        <w:keepLines w:val="0"/>
        <w:widowControl w:val="0"/>
        <w:shd w:val="clear" w:color="auto" w:fill="auto"/>
        <w:bidi w:val="0"/>
        <w:spacing w:before="0" w:after="160" w:line="422" w:lineRule="exact"/>
        <w:ind w:left="0" w:right="0" w:firstLine="460"/>
        <w:jc w:val="left"/>
      </w:pPr>
      <w:r>
        <w:rPr>
          <w:rFonts w:ascii="Times New Roman" w:eastAsia="Times New Roman" w:hAnsi="Times New Roman" w:cs="Times New Roman"/>
          <w:color w:val="000000"/>
          <w:spacing w:val="0"/>
          <w:w w:val="100"/>
          <w:position w:val="0"/>
        </w:rPr>
        <w:t>2011</w:t>
      </w:r>
      <w:r>
        <w:rPr>
          <w:color w:val="000000"/>
          <w:spacing w:val="0"/>
          <w:w w:val="100"/>
          <w:position w:val="0"/>
        </w:rPr>
        <w:t>年非公开发行股票募集资金项目募集资金投入额</w:t>
      </w:r>
      <w:r>
        <w:rPr>
          <w:rFonts w:ascii="Times New Roman" w:eastAsia="Times New Roman" w:hAnsi="Times New Roman" w:cs="Times New Roman"/>
          <w:color w:val="000000"/>
          <w:spacing w:val="0"/>
          <w:w w:val="100"/>
          <w:position w:val="0"/>
        </w:rPr>
        <w:t>4,633,092.8</w:t>
      </w:r>
      <w:r>
        <w:rPr>
          <w:color w:val="000000"/>
          <w:spacing w:val="0"/>
          <w:w w:val="100"/>
          <w:position w:val="0"/>
        </w:rPr>
        <w:t>千元，截至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 xml:space="preserve">日，公司实际投入募集资金项目款项共计 </w:t>
      </w:r>
      <w:r>
        <w:rPr>
          <w:rFonts w:ascii="Times New Roman" w:eastAsia="Times New Roman" w:hAnsi="Times New Roman" w:cs="Times New Roman"/>
          <w:color w:val="000000"/>
          <w:spacing w:val="0"/>
          <w:w w:val="100"/>
          <w:position w:val="0"/>
        </w:rPr>
        <w:t>4,438,245.3</w:t>
      </w:r>
      <w:r>
        <w:rPr>
          <w:color w:val="000000"/>
          <w:spacing w:val="0"/>
          <w:w w:val="100"/>
          <w:position w:val="0"/>
        </w:rPr>
        <w:t>千元，具体使用情况如下：</w:t>
      </w:r>
    </w:p>
    <w:p>
      <w:pPr>
        <w:pStyle w:val="Style25"/>
        <w:keepNext w:val="0"/>
        <w:keepLines w:val="0"/>
        <w:widowControl w:val="0"/>
        <w:shd w:val="clear" w:color="auto" w:fill="auto"/>
        <w:bidi w:val="0"/>
        <w:spacing w:before="0" w:after="0" w:line="240" w:lineRule="auto"/>
        <w:ind w:left="12869" w:right="0" w:firstLine="0"/>
        <w:jc w:val="left"/>
      </w:pPr>
      <w:r>
        <w:rPr>
          <w:color w:val="000000"/>
          <w:spacing w:val="0"/>
          <w:w w:val="100"/>
          <w:position w:val="0"/>
        </w:rPr>
        <w:t>单位：千元</w:t>
      </w:r>
    </w:p>
    <w:tbl>
      <w:tblPr>
        <w:tblOverlap w:val="never"/>
        <w:jc w:val="center"/>
        <w:tblLayout w:type="fixed"/>
      </w:tblPr>
      <w:tblGrid>
        <w:gridCol w:w="2304"/>
        <w:gridCol w:w="1061"/>
        <w:gridCol w:w="1190"/>
        <w:gridCol w:w="1416"/>
        <w:gridCol w:w="1133"/>
        <w:gridCol w:w="1411"/>
        <w:gridCol w:w="1234"/>
        <w:gridCol w:w="1186"/>
        <w:gridCol w:w="1238"/>
        <w:gridCol w:w="845"/>
        <w:gridCol w:w="1008"/>
      </w:tblGrid>
      <w:tr>
        <w:trPr>
          <w:trHeight w:val="298" w:hRule="exact"/>
        </w:trPr>
        <w:tc>
          <w:tcPr>
            <w:gridSpan w:val="3"/>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募集资金净额</w:t>
            </w:r>
          </w:p>
        </w:tc>
        <w:tc>
          <w:tcPr>
            <w:gridSpan w:val="3"/>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4,633,092.8</w:t>
            </w:r>
          </w:p>
        </w:tc>
        <w:tc>
          <w:tcPr>
            <w:gridSpan w:val="3"/>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报告期内投入募集资金总额</w:t>
            </w:r>
          </w:p>
        </w:tc>
        <w:tc>
          <w:tcPr>
            <w:gridSpan w:val="2"/>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75,848.8</w:t>
            </w:r>
          </w:p>
        </w:tc>
      </w:tr>
      <w:tr>
        <w:trPr>
          <w:trHeight w:val="298" w:hRule="exact"/>
        </w:trPr>
        <w:tc>
          <w:tcPr>
            <w:gridSpan w:val="3"/>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报告期内变更用途的募集资金总额</w:t>
            </w:r>
          </w:p>
        </w:tc>
        <w:tc>
          <w:tcPr>
            <w:gridSpan w:val="3"/>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gridSpan w:val="3"/>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已累计投入募集资金总额</w:t>
            </w:r>
          </w:p>
        </w:tc>
        <w:tc>
          <w:tcPr>
            <w:gridSpan w:val="2"/>
            <w:vMerge w:val="restart"/>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4,438,245.3</w:t>
            </w:r>
          </w:p>
        </w:tc>
      </w:tr>
      <w:tr>
        <w:trPr>
          <w:trHeight w:val="293" w:hRule="exact"/>
        </w:trPr>
        <w:tc>
          <w:tcPr>
            <w:gridSpan w:val="3"/>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累计变更用途的募集资金总额</w:t>
            </w:r>
          </w:p>
        </w:tc>
        <w:tc>
          <w:tcPr>
            <w:gridSpan w:val="3"/>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100,207.8</w:t>
            </w:r>
          </w:p>
        </w:tc>
        <w:tc>
          <w:tcPr>
            <w:gridSpan w:val="3"/>
            <w:vMerge/>
            <w:tcBorders>
              <w:left w:val="single" w:sz="4"/>
            </w:tcBorders>
            <w:shd w:val="clear" w:color="auto" w:fill="D3D3D3"/>
            <w:vAlign w:val="center"/>
          </w:tcPr>
          <w:p>
            <w:pPr/>
          </w:p>
        </w:tc>
        <w:tc>
          <w:tcPr>
            <w:gridSpan w:val="2"/>
            <w:vMerge/>
            <w:tcBorders>
              <w:left w:val="single" w:sz="4"/>
              <w:right w:val="single" w:sz="4"/>
            </w:tcBorders>
            <w:shd w:val="clear" w:color="auto" w:fill="FFFFFF"/>
            <w:vAlign w:val="center"/>
          </w:tcPr>
          <w:p>
            <w:pPr/>
          </w:p>
        </w:tc>
      </w:tr>
      <w:tr>
        <w:trPr>
          <w:trHeight w:val="298" w:hRule="exact"/>
        </w:trPr>
        <w:tc>
          <w:tcPr>
            <w:gridSpan w:val="3"/>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累计变更用途的募集资金总额比例</w:t>
            </w:r>
          </w:p>
        </w:tc>
        <w:tc>
          <w:tcPr>
            <w:gridSpan w:val="3"/>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2.16%</w:t>
            </w:r>
          </w:p>
        </w:tc>
        <w:tc>
          <w:tcPr>
            <w:gridSpan w:val="3"/>
            <w:vMerge/>
            <w:tcBorders>
              <w:left w:val="single" w:sz="4"/>
            </w:tcBorders>
            <w:shd w:val="clear" w:color="auto" w:fill="D3D3D3"/>
            <w:vAlign w:val="center"/>
          </w:tcPr>
          <w:p>
            <w:pPr/>
          </w:p>
        </w:tc>
        <w:tc>
          <w:tcPr>
            <w:gridSpan w:val="2"/>
            <w:vMerge/>
            <w:tcBorders>
              <w:left w:val="single" w:sz="4"/>
              <w:right w:val="single" w:sz="4"/>
            </w:tcBorders>
            <w:shd w:val="clear" w:color="auto" w:fill="FFFFFF"/>
            <w:vAlign w:val="center"/>
          </w:tcPr>
          <w:p>
            <w:pPr/>
          </w:p>
        </w:tc>
      </w:tr>
      <w:tr>
        <w:trPr>
          <w:trHeight w:val="1152"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64" w:lineRule="exact"/>
              <w:ind w:left="0" w:right="0" w:firstLine="0"/>
              <w:jc w:val="center"/>
            </w:pPr>
            <w:r>
              <w:rPr>
                <w:color w:val="000000"/>
                <w:spacing w:val="0"/>
                <w:w w:val="100"/>
                <w:position w:val="0"/>
              </w:rPr>
              <w:t>承诺投资项目和超募资 金投向</w:t>
            </w:r>
          </w:p>
        </w:tc>
        <w:tc>
          <w:tcPr>
            <w:tcBorders>
              <w:top w:val="single" w:sz="4"/>
              <w:left w:val="single" w:sz="4"/>
              <w:bottom w:val="single" w:sz="4"/>
            </w:tcBorders>
            <w:shd w:val="clear" w:color="auto" w:fill="D3D3D3"/>
            <w:vAlign w:val="bottom"/>
          </w:tcPr>
          <w:p>
            <w:pPr>
              <w:pStyle w:val="Style28"/>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是否已变 更项目</w:t>
            </w:r>
          </w:p>
          <w:p>
            <w:pPr>
              <w:pStyle w:val="Style28"/>
              <w:keepNext w:val="0"/>
              <w:keepLines w:val="0"/>
              <w:widowControl w:val="0"/>
              <w:shd w:val="clear" w:color="auto" w:fill="auto"/>
              <w:bidi w:val="0"/>
              <w:spacing w:before="0" w:after="0" w:line="283" w:lineRule="exact"/>
              <w:ind w:left="0" w:right="0" w:firstLine="0"/>
              <w:jc w:val="center"/>
            </w:pPr>
            <w:r>
              <w:rPr>
                <w:color w:val="000000"/>
                <w:spacing w:val="0"/>
                <w:w w:val="100"/>
                <w:position w:val="0"/>
              </w:rPr>
              <w:t>（含部分 变更）</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78" w:lineRule="exact"/>
              <w:ind w:left="0" w:right="0" w:firstLine="0"/>
              <w:jc w:val="left"/>
            </w:pPr>
            <w:r>
              <w:rPr>
                <w:color w:val="000000"/>
                <w:spacing w:val="0"/>
                <w:w w:val="100"/>
                <w:position w:val="0"/>
              </w:rPr>
              <w:t>募集资金承 诺投资总额</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78" w:lineRule="exact"/>
              <w:ind w:left="0" w:right="0" w:firstLine="0"/>
              <w:jc w:val="center"/>
            </w:pPr>
            <w:r>
              <w:rPr>
                <w:color w:val="000000"/>
                <w:spacing w:val="0"/>
                <w:w w:val="100"/>
                <w:position w:val="0"/>
              </w:rPr>
              <w:t>调整后投资总 额（</w:t>
            </w:r>
            <w:r>
              <w:rPr>
                <w:rFonts w:ascii="Times New Roman" w:eastAsia="Times New Roman" w:hAnsi="Times New Roman" w:cs="Times New Roman"/>
                <w:color w:val="000000"/>
                <w:spacing w:val="0"/>
                <w:w w:val="100"/>
                <w:position w:val="0"/>
              </w:rPr>
              <w:t>1</w:t>
            </w:r>
            <w:r>
              <w:rPr>
                <w:color w:val="000000"/>
                <w:spacing w:val="0"/>
                <w:w w:val="100"/>
                <w:position w:val="0"/>
              </w:rPr>
              <w:t>）</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83" w:lineRule="exact"/>
              <w:ind w:left="0" w:right="0" w:firstLine="0"/>
              <w:jc w:val="left"/>
            </w:pPr>
            <w:r>
              <w:rPr>
                <w:color w:val="000000"/>
                <w:spacing w:val="0"/>
                <w:w w:val="100"/>
                <w:position w:val="0"/>
              </w:rPr>
              <w:t>报告期内 投入金额</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截至期末累计 投入金额</w:t>
            </w:r>
            <w:r>
              <w:rPr>
                <w:rFonts w:ascii="Times New Roman" w:eastAsia="Times New Roman" w:hAnsi="Times New Roman" w:cs="Times New Roman"/>
                <w:color w:val="000000"/>
                <w:spacing w:val="0"/>
                <w:w w:val="100"/>
                <w:position w:val="0"/>
              </w:rPr>
              <w:t>（2）</w:t>
            </w:r>
          </w:p>
        </w:tc>
        <w:tc>
          <w:tcPr>
            <w:tcBorders>
              <w:top w:val="single" w:sz="4"/>
              <w:left w:val="single" w:sz="4"/>
              <w:bottom w:val="single" w:sz="4"/>
            </w:tcBorders>
            <w:shd w:val="clear" w:color="auto" w:fill="D3D3D3"/>
            <w:vAlign w:val="bottom"/>
          </w:tcPr>
          <w:p>
            <w:pPr>
              <w:pStyle w:val="Style2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截至期末投 资进度</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 xml:space="preserve">） </w:t>
            </w:r>
            <w:r>
              <w:rPr>
                <w:rFonts w:ascii="Times New Roman" w:eastAsia="Times New Roman" w:hAnsi="Times New Roman" w:cs="Times New Roman"/>
                <w:color w:val="000000"/>
                <w:spacing w:val="0"/>
                <w:w w:val="100"/>
                <w:position w:val="0"/>
              </w:rPr>
              <w:t>（3）</w:t>
            </w:r>
            <w:r>
              <w:rPr>
                <w:color w:val="000000"/>
                <w:spacing w:val="0"/>
                <w:w w:val="100"/>
                <w:position w:val="0"/>
              </w:rPr>
              <w:t>=</w:t>
            </w:r>
          </w:p>
          <w:p>
            <w:pPr>
              <w:pStyle w:val="Style28"/>
              <w:keepNext w:val="0"/>
              <w:keepLines w:val="0"/>
              <w:widowControl w:val="0"/>
              <w:shd w:val="clear" w:color="auto" w:fill="auto"/>
              <w:bidi w:val="0"/>
              <w:spacing w:before="0" w:after="0" w:line="293" w:lineRule="auto"/>
              <w:ind w:left="0" w:right="0" w:firstLine="0"/>
              <w:jc w:val="center"/>
            </w:pPr>
            <w:r>
              <w:rPr>
                <w:rFonts w:ascii="Times New Roman" w:eastAsia="Times New Roman" w:hAnsi="Times New Roman" w:cs="Times New Roman"/>
                <w:color w:val="000000"/>
                <w:spacing w:val="0"/>
                <w:w w:val="100"/>
                <w:position w:val="0"/>
              </w:rPr>
              <w:t>（2）/（1）</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83" w:lineRule="exact"/>
              <w:ind w:left="0" w:right="0" w:firstLine="0"/>
              <w:jc w:val="center"/>
            </w:pPr>
            <w:r>
              <w:rPr>
                <w:color w:val="000000"/>
                <w:spacing w:val="0"/>
                <w:w w:val="100"/>
                <w:position w:val="0"/>
              </w:rPr>
              <w:t>项目达到预 定可使用状 态日期</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93" w:lineRule="exact"/>
              <w:ind w:left="0" w:right="0" w:firstLine="0"/>
              <w:jc w:val="center"/>
            </w:pPr>
            <w:r>
              <w:rPr>
                <w:color w:val="000000"/>
                <w:spacing w:val="0"/>
                <w:w w:val="100"/>
                <w:position w:val="0"/>
              </w:rPr>
              <w:t>报告期内实 现的效益 （净利润）</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83" w:lineRule="exact"/>
              <w:ind w:left="0" w:right="0" w:firstLine="0"/>
              <w:jc w:val="center"/>
            </w:pPr>
            <w:r>
              <w:rPr>
                <w:color w:val="000000"/>
                <w:spacing w:val="0"/>
                <w:w w:val="100"/>
                <w:position w:val="0"/>
              </w:rPr>
              <w:t>是否达 到预计 效益</w:t>
            </w:r>
          </w:p>
        </w:tc>
        <w:tc>
          <w:tcPr>
            <w:tcBorders>
              <w:top w:val="single" w:sz="4"/>
              <w:left w:val="single" w:sz="4"/>
              <w:bottom w:val="single" w:sz="4"/>
              <w:right w:val="single" w:sz="4"/>
            </w:tcBorders>
            <w:shd w:val="clear" w:color="auto" w:fill="D3D3D3"/>
            <w:vAlign w:val="bottom"/>
          </w:tcPr>
          <w:p>
            <w:pPr>
              <w:pStyle w:val="Style28"/>
              <w:keepNext w:val="0"/>
              <w:keepLines w:val="0"/>
              <w:widowControl w:val="0"/>
              <w:shd w:val="clear" w:color="auto" w:fill="auto"/>
              <w:bidi w:val="0"/>
              <w:spacing w:before="0" w:after="0" w:line="278" w:lineRule="exact"/>
              <w:ind w:left="0" w:right="0" w:firstLine="0"/>
              <w:jc w:val="center"/>
            </w:pPr>
            <w:r>
              <w:rPr>
                <w:color w:val="000000"/>
                <w:spacing w:val="0"/>
                <w:w w:val="100"/>
                <w:position w:val="0"/>
              </w:rPr>
              <w:t>项目可行 性是否发 生重大变</w:t>
            </w:r>
          </w:p>
          <w:p>
            <w:pPr>
              <w:pStyle w:val="Style28"/>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化</w:t>
            </w:r>
          </w:p>
        </w:tc>
      </w:tr>
    </w:tbl>
    <w:p>
      <w:pPr>
        <w:spacing w:lineRule="exact" w:line="1"/>
        <w:rPr>
          <w:sz w:val="2"/>
          <w:szCs w:val="2"/>
        </w:rPr>
      </w:pPr>
      <w:r>
        <w:br w:type="page"/>
      </w:r>
    </w:p>
    <w:tbl>
      <w:tblPr>
        <w:tblOverlap w:val="never"/>
        <w:jc w:val="center"/>
        <w:tblLayout w:type="fixed"/>
      </w:tblPr>
      <w:tblGrid>
        <w:gridCol w:w="2304"/>
        <w:gridCol w:w="1061"/>
        <w:gridCol w:w="1190"/>
        <w:gridCol w:w="1416"/>
        <w:gridCol w:w="1133"/>
        <w:gridCol w:w="1411"/>
        <w:gridCol w:w="1234"/>
        <w:gridCol w:w="1186"/>
        <w:gridCol w:w="1238"/>
        <w:gridCol w:w="845"/>
        <w:gridCol w:w="1008"/>
      </w:tblGrid>
      <w:tr>
        <w:trPr>
          <w:trHeight w:val="355" w:hRule="exact"/>
        </w:trPr>
        <w:tc>
          <w:tcPr>
            <w:gridSpan w:val="11"/>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w:t>
            </w:r>
          </w:p>
        </w:tc>
      </w:tr>
      <w:tr>
        <w:trPr>
          <w:trHeight w:val="869"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300</w:t>
            </w:r>
            <w:r>
              <w:rPr>
                <w:color w:val="000000"/>
                <w:spacing w:val="0"/>
                <w:w w:val="100"/>
                <w:position w:val="0"/>
              </w:rPr>
              <w:t>家连锁店发展项目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900,000.0</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31,170.8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900,000.0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-29,321.9</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64" w:lineRule="exact"/>
              <w:ind w:left="0" w:right="0" w:firstLine="0"/>
              <w:jc w:val="center"/>
            </w:pPr>
            <w:r>
              <w:rPr>
                <w:color w:val="000000"/>
                <w:spacing w:val="0"/>
                <w:w w:val="100"/>
                <w:position w:val="0"/>
              </w:rPr>
              <w:t>不适用 （注</w:t>
            </w:r>
          </w:p>
          <w:p>
            <w:pPr>
              <w:pStyle w:val="Style28"/>
              <w:keepNext w:val="0"/>
              <w:keepLines w:val="0"/>
              <w:widowControl w:val="0"/>
              <w:shd w:val="clear" w:color="auto" w:fill="auto"/>
              <w:bidi w:val="0"/>
              <w:spacing w:before="0" w:after="0" w:line="252" w:lineRule="auto"/>
              <w:ind w:left="0" w:right="0" w:firstLine="0"/>
              <w:jc w:val="center"/>
            </w:pPr>
            <w:r>
              <w:rPr>
                <w:rFonts w:ascii="Times New Roman" w:eastAsia="Times New Roman" w:hAnsi="Times New Roman" w:cs="Times New Roman"/>
                <w:color w:val="000000"/>
                <w:spacing w:val="0"/>
                <w:w w:val="100"/>
                <w:position w:val="0"/>
              </w:rPr>
              <w:t>2</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581" w:hRule="exact"/>
        </w:trPr>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93" w:lineRule="exact"/>
              <w:ind w:left="0" w:right="0" w:firstLine="0"/>
              <w:jc w:val="both"/>
            </w:pPr>
            <w:r>
              <w:rPr>
                <w:color w:val="000000"/>
                <w:spacing w:val="0"/>
                <w:w w:val="100"/>
                <w:position w:val="0"/>
              </w:rPr>
              <w:t>重庆长寿寿星广场店购 置项目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105,389.0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105,389.0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102,567.2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-67.7</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86" w:lineRule="exact"/>
              <w:ind w:left="0" w:right="0" w:firstLine="0"/>
              <w:jc w:val="center"/>
            </w:pPr>
            <w:r>
              <w:rPr>
                <w:color w:val="000000"/>
                <w:spacing w:val="0"/>
                <w:w w:val="100"/>
                <w:position w:val="0"/>
              </w:rPr>
              <w:t xml:space="preserve">不适用 （注 </w:t>
            </w:r>
            <w:r>
              <w:rPr>
                <w:rFonts w:ascii="Times New Roman" w:eastAsia="Times New Roman" w:hAnsi="Times New Roman" w:cs="Times New Roman"/>
                <w:color w:val="000000"/>
                <w:spacing w:val="0"/>
                <w:w w:val="100"/>
                <w:position w:val="0"/>
              </w:rPr>
              <w:t>3</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576" w:hRule="exact"/>
        </w:trPr>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78" w:lineRule="exact"/>
              <w:ind w:left="0" w:right="0" w:firstLine="0"/>
              <w:jc w:val="both"/>
            </w:pPr>
            <w:r>
              <w:rPr>
                <w:color w:val="000000"/>
                <w:spacing w:val="0"/>
                <w:w w:val="100"/>
                <w:position w:val="0"/>
              </w:rPr>
              <w:t>厦门财富港湾店购置项 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120,719.2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120,719.2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120,719.2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-4,813.6</w:t>
            </w: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12"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长春物流中心建设项目</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否</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152,719.4</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152,719.4</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152,719.4</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年</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81" w:hRule="exact"/>
        </w:trPr>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40" w:line="240" w:lineRule="auto"/>
              <w:ind w:left="0" w:right="0" w:firstLine="0"/>
              <w:jc w:val="both"/>
            </w:pPr>
            <w:r>
              <w:rPr>
                <w:color w:val="000000"/>
                <w:spacing w:val="0"/>
                <w:w w:val="100"/>
                <w:position w:val="0"/>
              </w:rPr>
              <w:t>哈尔滨物流中心建设项</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183,083.7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183,083.7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183,083.7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包头物流中心建设项目</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否</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140,614.7</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140,614.7</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140,614.7</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济南物流中心建设项目</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否</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148,519.8</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148,519.8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148,519.8</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青岛物流中心建设项目</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否</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178,211.9</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178,211.9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178,211.9</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盐城物流中心建设项目</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否</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138,605.9</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138,605.9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123,121.7</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76"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83" w:lineRule="exact"/>
              <w:ind w:left="0" w:right="0" w:firstLine="0"/>
              <w:jc w:val="both"/>
            </w:pPr>
            <w:r>
              <w:rPr>
                <w:color w:val="000000"/>
                <w:spacing w:val="0"/>
                <w:w w:val="100"/>
                <w:position w:val="0"/>
              </w:rPr>
              <w:t>杭州物流配送中心建设 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184,054.2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184,054.2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6,607.3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155,549.5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南昌物流中心建设项目</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否</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153,192.6</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153,192.6</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153,192.6</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w:t>
            </w:r>
          </w:p>
        </w:tc>
        <w:tc>
          <w:tcPr>
            <w:tcBorders>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50" w:hRule="exact"/>
        </w:trPr>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福州物流中心建设项目</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否</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178,356.4</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178,356.4</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269.8</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153,925.9</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年</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w:t>
            </w:r>
            <w:r>
              <w:rPr>
                <w:color w:val="000000"/>
                <w:spacing w:val="0"/>
                <w:w w:val="100"/>
                <w:position w:val="0"/>
              </w:rPr>
              <w:t>）</w:t>
            </w:r>
          </w:p>
        </w:tc>
        <w:tc>
          <w:tcPr>
            <w:tcBorders>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厦门物流中心建设项目</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否</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145,844.6</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145,844.6</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145,748.9</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武汉物流中心建设项目</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否</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296,015.0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296,015.0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9,326.5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244,925.6</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年</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广州物流中心建设项目</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否</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415,829.7</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415,829.7</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5,271.0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384,231.8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中山物流中心建设项目</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否</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157,463.5</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157,463.5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157,463.5</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年</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贵阳物流中心建设项目</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否</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148,503.0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148,503.0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148,503.0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宿迁物流中心建设项目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rPr>
              <w:t>是</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100,207.8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苏州物流中心建设项目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rPr>
              <w:t>是</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100,207.8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100,207.8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3,646.5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59,384.5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869"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自动化物流建设项目</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228,956.8</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13,672.4</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13,672.4</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83" w:lineRule="exact"/>
              <w:ind w:left="0" w:right="0" w:firstLine="0"/>
              <w:jc w:val="center"/>
            </w:pPr>
            <w:r>
              <w:rPr>
                <w:color w:val="000000"/>
                <w:spacing w:val="0"/>
                <w:w w:val="100"/>
                <w:position w:val="0"/>
              </w:rPr>
              <w:t>不适用 （注</w:t>
            </w:r>
          </w:p>
          <w:p>
            <w:pPr>
              <w:pStyle w:val="Style28"/>
              <w:keepNext w:val="0"/>
              <w:keepLines w:val="0"/>
              <w:widowControl w:val="0"/>
              <w:shd w:val="clear" w:color="auto" w:fill="auto"/>
              <w:bidi w:val="0"/>
              <w:spacing w:before="0" w:after="0" w:line="269" w:lineRule="auto"/>
              <w:ind w:left="0" w:right="0" w:firstLine="0"/>
              <w:jc w:val="center"/>
            </w:pPr>
            <w:r>
              <w:rPr>
                <w:rFonts w:ascii="Times New Roman" w:eastAsia="Times New Roman" w:hAnsi="Times New Roman" w:cs="Times New Roman"/>
                <w:color w:val="000000"/>
                <w:spacing w:val="0"/>
                <w:w w:val="100"/>
                <w:position w:val="0"/>
              </w:rPr>
              <w:t>5</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2304"/>
        <w:gridCol w:w="1061"/>
        <w:gridCol w:w="1190"/>
        <w:gridCol w:w="1416"/>
        <w:gridCol w:w="1133"/>
        <w:gridCol w:w="1411"/>
        <w:gridCol w:w="1229"/>
        <w:gridCol w:w="1190"/>
        <w:gridCol w:w="1238"/>
        <w:gridCol w:w="845"/>
        <w:gridCol w:w="1008"/>
      </w:tblGrid>
      <w:tr>
        <w:trPr>
          <w:trHeight w:val="874"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信息系统平台建设项目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222,090.0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222,090.0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19,556.9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222,090.0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 xml:space="preserve">不适用 （注 </w:t>
            </w:r>
            <w:r>
              <w:rPr>
                <w:rFonts w:ascii="Times New Roman" w:eastAsia="Times New Roman" w:hAnsi="Times New Roman" w:cs="Times New Roman"/>
                <w:color w:val="000000"/>
                <w:spacing w:val="0"/>
                <w:w w:val="100"/>
                <w:position w:val="0"/>
              </w:rPr>
              <w:t>6</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否</w:t>
            </w:r>
          </w:p>
        </w:tc>
      </w:tr>
      <w:tr>
        <w:trPr>
          <w:trHeight w:val="864"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补充流动资金项目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550,000.0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550,000.0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83" w:lineRule="exact"/>
              <w:ind w:left="0" w:right="0" w:firstLine="0"/>
              <w:jc w:val="center"/>
            </w:pPr>
            <w:r>
              <w:rPr>
                <w:color w:val="000000"/>
                <w:spacing w:val="0"/>
                <w:w w:val="100"/>
                <w:position w:val="0"/>
              </w:rPr>
              <w:t>不适用 （注</w:t>
            </w:r>
          </w:p>
          <w:p>
            <w:pPr>
              <w:pStyle w:val="Style28"/>
              <w:keepNext w:val="0"/>
              <w:keepLines w:val="0"/>
              <w:widowControl w:val="0"/>
              <w:shd w:val="clear" w:color="auto" w:fill="auto"/>
              <w:bidi w:val="0"/>
              <w:spacing w:before="0" w:after="0" w:line="269" w:lineRule="auto"/>
              <w:ind w:left="0" w:right="0" w:firstLine="200"/>
              <w:jc w:val="left"/>
            </w:pPr>
            <w:r>
              <w:rPr>
                <w:rFonts w:ascii="Times New Roman" w:eastAsia="Times New Roman" w:hAnsi="Times New Roman" w:cs="Times New Roman"/>
                <w:color w:val="000000"/>
                <w:spacing w:val="0"/>
                <w:w w:val="100"/>
                <w:position w:val="0"/>
              </w:rPr>
              <w:t>7</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否</w:t>
            </w:r>
          </w:p>
        </w:tc>
      </w:tr>
      <w:tr>
        <w:trPr>
          <w:trHeight w:val="331"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承诺投资项目小计</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5,248,585.0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4,633,092.8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75,848.8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4,438,245.3</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-34,203.2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超募资金投向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归还银行贷款（如有）</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350" w:hRule="exact"/>
        </w:trPr>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补充流动资金（如有）</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350" w:hRule="exact"/>
        </w:trPr>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超募资金投向小计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350"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5,248,585.0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4,633,092.8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75,848.8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4,438,245.3</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-34,203.2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869" w:hRule="exact"/>
        </w:trPr>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86" w:lineRule="exact"/>
              <w:ind w:left="0" w:right="0" w:firstLine="0"/>
              <w:jc w:val="both"/>
            </w:pPr>
            <w:r>
              <w:rPr>
                <w:color w:val="000000"/>
                <w:spacing w:val="0"/>
                <w:w w:val="100"/>
                <w:position w:val="0"/>
              </w:rPr>
              <w:t>未达到计划进度或预计 收益的情况和原因（分 具体项目）</w:t>
            </w:r>
          </w:p>
        </w:tc>
        <w:tc>
          <w:tcPr>
            <w:gridSpan w:val="10"/>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576"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78" w:lineRule="exact"/>
              <w:ind w:left="0" w:right="0" w:firstLine="0"/>
              <w:jc w:val="both"/>
            </w:pPr>
            <w:r>
              <w:rPr>
                <w:color w:val="000000"/>
                <w:spacing w:val="0"/>
                <w:w w:val="100"/>
                <w:position w:val="0"/>
              </w:rPr>
              <w:t>项目可行性发生重大变 化的情况说明</w:t>
            </w:r>
          </w:p>
        </w:tc>
        <w:tc>
          <w:tcPr>
            <w:gridSpan w:val="10"/>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586"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78" w:lineRule="exact"/>
              <w:ind w:left="0" w:right="0" w:firstLine="0"/>
              <w:jc w:val="both"/>
            </w:pPr>
            <w:r>
              <w:rPr>
                <w:color w:val="000000"/>
                <w:spacing w:val="0"/>
                <w:w w:val="100"/>
                <w:position w:val="0"/>
              </w:rPr>
              <w:t>超募资金的金额、用途 及使用进展情况</w:t>
            </w:r>
          </w:p>
        </w:tc>
        <w:tc>
          <w:tcPr>
            <w:gridSpan w:val="10"/>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581" w:hRule="exact"/>
        </w:trPr>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78" w:lineRule="exact"/>
              <w:ind w:left="0" w:right="0" w:firstLine="0"/>
              <w:jc w:val="both"/>
            </w:pPr>
            <w:r>
              <w:rPr>
                <w:color w:val="000000"/>
                <w:spacing w:val="0"/>
                <w:w w:val="100"/>
                <w:position w:val="0"/>
              </w:rPr>
              <w:t>募集资金投资项目实施 地点变更情况</w:t>
            </w:r>
          </w:p>
        </w:tc>
        <w:tc>
          <w:tcPr>
            <w:gridSpan w:val="10"/>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1147"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98" w:lineRule="exact"/>
              <w:ind w:left="0" w:right="0" w:firstLine="0"/>
              <w:jc w:val="both"/>
            </w:pPr>
            <w:r>
              <w:rPr>
                <w:color w:val="000000"/>
                <w:spacing w:val="0"/>
                <w:w w:val="100"/>
                <w:position w:val="0"/>
              </w:rPr>
              <w:t>募集资金投资项目实施 方式调整情况</w:t>
            </w:r>
          </w:p>
        </w:tc>
        <w:tc>
          <w:tcPr>
            <w:gridSpan w:val="10"/>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82" w:lineRule="exact"/>
              <w:ind w:left="0" w:right="0" w:firstLine="0"/>
              <w:jc w:val="both"/>
            </w:pPr>
            <w:r>
              <w:rPr>
                <w:color w:val="000000"/>
                <w:spacing w:val="0"/>
                <w:w w:val="100"/>
                <w:position w:val="0"/>
              </w:rPr>
              <w:t>因宿迁物流基地所在地块规划发生改变，建设进度受到影响，为加快募集资金使用，充分发挥效益，在考虑公司业务需 求后，经公司第五届董事会第十次会议审议、</w:t>
            </w:r>
            <w:r>
              <w:rPr>
                <w:rFonts w:ascii="Times New Roman" w:eastAsia="Times New Roman" w:hAnsi="Times New Roman" w:cs="Times New Roman"/>
                <w:color w:val="000000"/>
                <w:spacing w:val="0"/>
                <w:w w:val="100"/>
                <w:position w:val="0"/>
              </w:rPr>
              <w:t>2014</w:t>
            </w:r>
            <w:r>
              <w:rPr>
                <w:color w:val="000000"/>
                <w:spacing w:val="0"/>
                <w:w w:val="100"/>
                <w:position w:val="0"/>
              </w:rPr>
              <w:t>年第二次临时股东大会决议通过《关于变更部分募集资金投资项目的 议案》，同意将宿迁物流配送中心建设项目实施项目变更，其项目全部募集资金</w:t>
            </w:r>
            <w:r>
              <w:rPr>
                <w:rFonts w:ascii="Times New Roman" w:eastAsia="Times New Roman" w:hAnsi="Times New Roman" w:cs="Times New Roman"/>
                <w:color w:val="000000"/>
                <w:spacing w:val="0"/>
                <w:w w:val="100"/>
                <w:position w:val="0"/>
              </w:rPr>
              <w:t>100,207.8</w:t>
            </w:r>
            <w:r>
              <w:rPr>
                <w:color w:val="000000"/>
                <w:spacing w:val="0"/>
                <w:w w:val="100"/>
                <w:position w:val="0"/>
              </w:rPr>
              <w:t>千元用于投入建设公司苏州物 流配送中心项目。本次项目变更具体内容详见公司</w:t>
            </w:r>
            <w:r>
              <w:rPr>
                <w:rFonts w:ascii="Times New Roman" w:eastAsia="Times New Roman" w:hAnsi="Times New Roman" w:cs="Times New Roman"/>
                <w:color w:val="000000"/>
                <w:spacing w:val="0"/>
                <w:w w:val="100"/>
                <w:position w:val="0"/>
              </w:rPr>
              <w:t>2014-045</w:t>
            </w:r>
            <w:r>
              <w:rPr>
                <w:color w:val="000000"/>
                <w:spacing w:val="0"/>
                <w:w w:val="100"/>
                <w:position w:val="0"/>
              </w:rPr>
              <w:t>、</w:t>
            </w:r>
            <w:r>
              <w:rPr>
                <w:rFonts w:ascii="Times New Roman" w:eastAsia="Times New Roman" w:hAnsi="Times New Roman" w:cs="Times New Roman"/>
                <w:color w:val="000000"/>
                <w:spacing w:val="0"/>
                <w:w w:val="100"/>
                <w:position w:val="0"/>
              </w:rPr>
              <w:t>2014-054</w:t>
            </w:r>
            <w:r>
              <w:rPr>
                <w:color w:val="000000"/>
                <w:spacing w:val="0"/>
                <w:w w:val="100"/>
                <w:position w:val="0"/>
              </w:rPr>
              <w:t>号公告。</w:t>
            </w:r>
          </w:p>
        </w:tc>
      </w:tr>
      <w:tr>
        <w:trPr>
          <w:trHeight w:val="581"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78" w:lineRule="exact"/>
              <w:ind w:left="0" w:right="0" w:firstLine="0"/>
              <w:jc w:val="both"/>
            </w:pPr>
            <w:r>
              <w:rPr>
                <w:color w:val="000000"/>
                <w:spacing w:val="0"/>
                <w:w w:val="100"/>
                <w:position w:val="0"/>
              </w:rPr>
              <w:t>募集资金投资项目先期 投入及置换情况</w:t>
            </w:r>
          </w:p>
        </w:tc>
        <w:tc>
          <w:tcPr>
            <w:gridSpan w:val="10"/>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581"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78" w:lineRule="exact"/>
              <w:ind w:left="0" w:right="0" w:firstLine="0"/>
              <w:jc w:val="both"/>
            </w:pPr>
            <w:r>
              <w:rPr>
                <w:color w:val="000000"/>
                <w:spacing w:val="0"/>
                <w:w w:val="100"/>
                <w:position w:val="0"/>
              </w:rPr>
              <w:t>用闲置募集资金暂时补 充流动资金情况</w:t>
            </w:r>
          </w:p>
        </w:tc>
        <w:tc>
          <w:tcPr>
            <w:gridSpan w:val="10"/>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869"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93" w:lineRule="exact"/>
              <w:ind w:left="0" w:right="0" w:firstLine="0"/>
              <w:jc w:val="both"/>
            </w:pPr>
            <w:r>
              <w:rPr>
                <w:color w:val="000000"/>
                <w:spacing w:val="0"/>
                <w:w w:val="100"/>
                <w:position w:val="0"/>
              </w:rPr>
              <w:t>项目实施出现募集资金 结余的金额及原因</w:t>
            </w:r>
          </w:p>
        </w:tc>
        <w:tc>
          <w:tcPr>
            <w:gridSpan w:val="10"/>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90" w:lineRule="exact"/>
              <w:ind w:left="0" w:right="0" w:firstLine="0"/>
              <w:jc w:val="both"/>
            </w:pPr>
            <w:r>
              <w:rPr>
                <w:color w:val="000000"/>
                <w:spacing w:val="0"/>
                <w:w w:val="100"/>
                <w:position w:val="0"/>
              </w:rPr>
              <w:t>报告期内公司</w:t>
            </w:r>
            <w:r>
              <w:rPr>
                <w:rFonts w:ascii="Times New Roman" w:eastAsia="Times New Roman" w:hAnsi="Times New Roman" w:cs="Times New Roman"/>
                <w:color w:val="000000"/>
                <w:spacing w:val="0"/>
                <w:w w:val="100"/>
                <w:position w:val="0"/>
              </w:rPr>
              <w:t>2011</w:t>
            </w:r>
            <w:r>
              <w:rPr>
                <w:color w:val="000000"/>
                <w:spacing w:val="0"/>
                <w:w w:val="100"/>
                <w:position w:val="0"/>
              </w:rPr>
              <w:t>年非公开发行股票募集资金项目全部投资完成，实际投入募集资金</w:t>
            </w:r>
            <w:r>
              <w:rPr>
                <w:rFonts w:ascii="Times New Roman" w:eastAsia="Times New Roman" w:hAnsi="Times New Roman" w:cs="Times New Roman"/>
                <w:color w:val="000000"/>
                <w:spacing w:val="0"/>
                <w:w w:val="100"/>
                <w:position w:val="0"/>
              </w:rPr>
              <w:t>4,438,245.3</w:t>
            </w:r>
            <w:r>
              <w:rPr>
                <w:color w:val="000000"/>
                <w:spacing w:val="0"/>
                <w:w w:val="100"/>
                <w:position w:val="0"/>
              </w:rPr>
              <w:t>千元，另募集资金支付 银行手续费</w:t>
            </w:r>
            <w:r>
              <w:rPr>
                <w:rFonts w:ascii="Times New Roman" w:eastAsia="Times New Roman" w:hAnsi="Times New Roman" w:cs="Times New Roman"/>
                <w:color w:val="000000"/>
                <w:spacing w:val="0"/>
                <w:w w:val="100"/>
                <w:position w:val="0"/>
              </w:rPr>
              <w:t>55.0</w:t>
            </w:r>
            <w:r>
              <w:rPr>
                <w:color w:val="000000"/>
                <w:spacing w:val="0"/>
                <w:w w:val="100"/>
                <w:position w:val="0"/>
              </w:rPr>
              <w:t>千元，项目节余募集资金</w:t>
            </w:r>
            <w:r>
              <w:rPr>
                <w:rFonts w:ascii="Times New Roman" w:eastAsia="Times New Roman" w:hAnsi="Times New Roman" w:cs="Times New Roman"/>
                <w:color w:val="000000"/>
                <w:spacing w:val="0"/>
                <w:w w:val="100"/>
                <w:position w:val="0"/>
              </w:rPr>
              <w:t>194,847.5</w:t>
            </w:r>
            <w:r>
              <w:rPr>
                <w:color w:val="000000"/>
                <w:spacing w:val="0"/>
                <w:w w:val="100"/>
                <w:position w:val="0"/>
              </w:rPr>
              <w:t>千元，主要为购置店发展项目，部分物流中心项目在实施过程中加强 了成本的管控，资金有所节约：</w:t>
            </w:r>
          </w:p>
        </w:tc>
      </w:tr>
    </w:tbl>
    <w:tbl>
      <w:tblPr>
        <w:tblOverlap w:val="never"/>
        <w:jc w:val="center"/>
        <w:tblLayout w:type="fixed"/>
      </w:tblPr>
      <w:tblGrid>
        <w:gridCol w:w="2304"/>
        <w:gridCol w:w="11722"/>
      </w:tblGrid>
      <w:tr>
        <w:trPr>
          <w:trHeight w:val="115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90" w:lineRule="exact"/>
              <w:ind w:left="0" w:right="0" w:firstLine="0"/>
              <w:jc w:val="left"/>
            </w:pPr>
            <w:r>
              <w:rPr>
                <w:color w:val="000000"/>
                <w:spacing w:val="0"/>
                <w:w w:val="100"/>
                <w:position w:val="0"/>
              </w:rPr>
              <w:t>购置店发展项目</w:t>
            </w:r>
            <w:r>
              <w:rPr>
                <w:color w:val="000000"/>
                <w:spacing w:val="0"/>
                <w:w w:val="100"/>
                <w:position w:val="0"/>
              </w:rPr>
              <w:t>一一</w:t>
            </w:r>
            <w:r>
              <w:rPr>
                <w:color w:val="000000"/>
                <w:spacing w:val="0"/>
                <w:w w:val="100"/>
                <w:position w:val="0"/>
              </w:rPr>
              <w:t>重庆长寿寿星广场店购置项目节余募集资金</w:t>
            </w:r>
            <w:r>
              <w:rPr>
                <w:rFonts w:ascii="Times New Roman" w:eastAsia="Times New Roman" w:hAnsi="Times New Roman" w:cs="Times New Roman"/>
                <w:color w:val="000000"/>
                <w:spacing w:val="0"/>
                <w:w w:val="100"/>
                <w:position w:val="0"/>
              </w:rPr>
              <w:t>2,821.8</w:t>
            </w:r>
            <w:r>
              <w:rPr>
                <w:color w:val="000000"/>
                <w:spacing w:val="0"/>
                <w:w w:val="100"/>
                <w:position w:val="0"/>
              </w:rPr>
              <w:t>千元，为购置成本节余；</w:t>
            </w:r>
          </w:p>
          <w:p>
            <w:pPr>
              <w:pStyle w:val="Style28"/>
              <w:keepNext w:val="0"/>
              <w:keepLines w:val="0"/>
              <w:widowControl w:val="0"/>
              <w:shd w:val="clear" w:color="auto" w:fill="auto"/>
              <w:bidi w:val="0"/>
              <w:spacing w:before="0" w:after="0" w:line="290" w:lineRule="exact"/>
              <w:ind w:left="0" w:right="0" w:firstLine="0"/>
              <w:jc w:val="left"/>
            </w:pPr>
            <w:r>
              <w:rPr>
                <w:color w:val="000000"/>
                <w:spacing w:val="0"/>
                <w:w w:val="100"/>
                <w:position w:val="0"/>
              </w:rPr>
              <w:t>物流中心建设项目节余募集资金</w:t>
            </w:r>
            <w:r>
              <w:rPr>
                <w:rFonts w:ascii="Times New Roman" w:eastAsia="Times New Roman" w:hAnsi="Times New Roman" w:cs="Times New Roman"/>
                <w:color w:val="000000"/>
                <w:spacing w:val="0"/>
                <w:w w:val="100"/>
                <w:position w:val="0"/>
              </w:rPr>
              <w:t>192,025.7</w:t>
            </w:r>
            <w:r>
              <w:rPr>
                <w:color w:val="000000"/>
                <w:spacing w:val="0"/>
                <w:w w:val="100"/>
                <w:position w:val="0"/>
              </w:rPr>
              <w:t>千元，主要由于在建设过程中，从物流中心规划设计、施工筹建等多环节加强 项目管理和成本控制，有效地节约了项目投入成本。苏州物流中心建设项目已于</w:t>
            </w:r>
            <w:r>
              <w:rPr>
                <w:rFonts w:ascii="Times New Roman" w:eastAsia="Times New Roman" w:hAnsi="Times New Roman" w:cs="Times New Roman"/>
                <w:color w:val="000000"/>
                <w:spacing w:val="0"/>
                <w:w w:val="100"/>
                <w:position w:val="0"/>
              </w:rPr>
              <w:t>2015</w:t>
            </w:r>
            <w:r>
              <w:rPr>
                <w:color w:val="000000"/>
                <w:spacing w:val="0"/>
                <w:w w:val="100"/>
                <w:position w:val="0"/>
              </w:rPr>
              <w:t>年竣工投入运营，一方面由于前期 土地款由公司自有资金支付，项目资金出现节余，此外尚余部分质保金待支付，后续公司将使用自有资金支付。</w:t>
            </w:r>
          </w:p>
        </w:tc>
      </w:tr>
      <w:tr>
        <w:trPr>
          <w:trHeight w:val="1152"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74" w:lineRule="exact"/>
              <w:ind w:left="0" w:right="0" w:firstLine="0"/>
              <w:jc w:val="left"/>
            </w:pPr>
            <w:r>
              <w:rPr>
                <w:color w:val="000000"/>
                <w:spacing w:val="0"/>
                <w:w w:val="100"/>
                <w:position w:val="0"/>
              </w:rPr>
              <w:t>尚未使用的募集资金用 途及去向</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82" w:lineRule="exact"/>
              <w:ind w:left="0" w:right="0" w:firstLine="0"/>
              <w:jc w:val="left"/>
            </w:pPr>
            <w:r>
              <w:rPr>
                <w:color w:val="000000"/>
                <w:spacing w:val="0"/>
                <w:w w:val="100"/>
                <w:position w:val="0"/>
              </w:rPr>
              <w:t>公司第五届董事会第三十二次会议审议通过，同意公司将节余募集资金</w:t>
            </w:r>
            <w:r>
              <w:rPr>
                <w:rFonts w:ascii="Times New Roman" w:eastAsia="Times New Roman" w:hAnsi="Times New Roman" w:cs="Times New Roman"/>
                <w:color w:val="000000"/>
                <w:spacing w:val="0"/>
                <w:w w:val="100"/>
                <w:position w:val="0"/>
              </w:rPr>
              <w:t>194,792.5</w:t>
            </w:r>
            <w:r>
              <w:rPr>
                <w:color w:val="000000"/>
                <w:spacing w:val="0"/>
                <w:w w:val="100"/>
                <w:position w:val="0"/>
              </w:rPr>
              <w:t xml:space="preserve">千元（该项目存续期间使用募集资金 </w:t>
            </w:r>
            <w:r>
              <w:rPr>
                <w:rFonts w:ascii="Times New Roman" w:eastAsia="Times New Roman" w:hAnsi="Times New Roman" w:cs="Times New Roman"/>
                <w:color w:val="000000"/>
                <w:spacing w:val="0"/>
                <w:w w:val="100"/>
                <w:position w:val="0"/>
              </w:rPr>
              <w:t>55.0</w:t>
            </w:r>
            <w:r>
              <w:rPr>
                <w:color w:val="000000"/>
                <w:spacing w:val="0"/>
                <w:w w:val="100"/>
                <w:position w:val="0"/>
              </w:rPr>
              <w:t>千元支付银行手续费），利息收入</w:t>
            </w:r>
            <w:r>
              <w:rPr>
                <w:rFonts w:ascii="Times New Roman" w:eastAsia="Times New Roman" w:hAnsi="Times New Roman" w:cs="Times New Roman"/>
                <w:color w:val="000000"/>
                <w:spacing w:val="0"/>
                <w:w w:val="100"/>
                <w:position w:val="0"/>
              </w:rPr>
              <w:t>108,806.2</w:t>
            </w:r>
            <w:r>
              <w:rPr>
                <w:color w:val="000000"/>
                <w:spacing w:val="0"/>
                <w:w w:val="100"/>
                <w:position w:val="0"/>
              </w:rPr>
              <w:t>千元（以资金转出当日银行结息余额为准），合计</w:t>
            </w:r>
            <w:r>
              <w:rPr>
                <w:rFonts w:ascii="Times New Roman" w:eastAsia="Times New Roman" w:hAnsi="Times New Roman" w:cs="Times New Roman"/>
                <w:color w:val="000000"/>
                <w:spacing w:val="0"/>
                <w:w w:val="100"/>
                <w:position w:val="0"/>
              </w:rPr>
              <w:t>303,598.7</w:t>
            </w:r>
            <w:r>
              <w:rPr>
                <w:color w:val="000000"/>
                <w:spacing w:val="0"/>
                <w:w w:val="100"/>
                <w:position w:val="0"/>
              </w:rPr>
              <w:t>千元用于永 久补充流动资金（详见公司</w:t>
            </w:r>
            <w:r>
              <w:rPr>
                <w:rFonts w:ascii="Times New Roman" w:eastAsia="Times New Roman" w:hAnsi="Times New Roman" w:cs="Times New Roman"/>
                <w:color w:val="000000"/>
                <w:spacing w:val="0"/>
                <w:w w:val="100"/>
                <w:position w:val="0"/>
              </w:rPr>
              <w:t>2016-043</w:t>
            </w:r>
            <w:r>
              <w:rPr>
                <w:color w:val="000000"/>
                <w:spacing w:val="0"/>
                <w:w w:val="100"/>
                <w:position w:val="0"/>
              </w:rPr>
              <w:t>号公告）。报告期内公司实际将项目节余募集资金</w:t>
            </w:r>
            <w:r>
              <w:rPr>
                <w:rFonts w:ascii="Times New Roman" w:eastAsia="Times New Roman" w:hAnsi="Times New Roman" w:cs="Times New Roman"/>
                <w:color w:val="000000"/>
                <w:spacing w:val="0"/>
                <w:w w:val="100"/>
                <w:position w:val="0"/>
              </w:rPr>
              <w:t>194,792.5</w:t>
            </w:r>
            <w:r>
              <w:rPr>
                <w:color w:val="000000"/>
                <w:spacing w:val="0"/>
                <w:w w:val="100"/>
                <w:position w:val="0"/>
              </w:rPr>
              <w:t xml:space="preserve">千元，利息收入 </w:t>
            </w:r>
            <w:r>
              <w:rPr>
                <w:rFonts w:ascii="Times New Roman" w:eastAsia="Times New Roman" w:hAnsi="Times New Roman" w:cs="Times New Roman"/>
                <w:color w:val="000000"/>
                <w:spacing w:val="0"/>
                <w:w w:val="100"/>
                <w:position w:val="0"/>
              </w:rPr>
              <w:t>110,299.1</w:t>
            </w:r>
            <w:r>
              <w:rPr>
                <w:color w:val="000000"/>
                <w:spacing w:val="0"/>
                <w:w w:val="100"/>
                <w:position w:val="0"/>
              </w:rPr>
              <w:t>千元，合计</w:t>
            </w:r>
            <w:r>
              <w:rPr>
                <w:rFonts w:ascii="Times New Roman" w:eastAsia="Times New Roman" w:hAnsi="Times New Roman" w:cs="Times New Roman"/>
                <w:color w:val="000000"/>
                <w:spacing w:val="0"/>
                <w:w w:val="100"/>
                <w:position w:val="0"/>
              </w:rPr>
              <w:t>305,091.6</w:t>
            </w:r>
            <w:r>
              <w:rPr>
                <w:color w:val="000000"/>
                <w:spacing w:val="0"/>
                <w:w w:val="100"/>
                <w:position w:val="0"/>
              </w:rPr>
              <w:t>千元用于永久补充流动资金。</w:t>
            </w:r>
          </w:p>
        </w:tc>
      </w:tr>
      <w:tr>
        <w:trPr>
          <w:trHeight w:val="586" w:hRule="exact"/>
        </w:trPr>
        <w:tc>
          <w:tcPr>
            <w:tcBorders>
              <w:top w:val="single" w:sz="4"/>
              <w:left w:val="single" w:sz="4"/>
              <w:bottom w:val="single" w:sz="4"/>
            </w:tcBorders>
            <w:shd w:val="clear" w:color="auto" w:fill="D3D3D3"/>
            <w:vAlign w:val="top"/>
          </w:tcPr>
          <w:p>
            <w:pPr>
              <w:pStyle w:val="Style28"/>
              <w:keepNext w:val="0"/>
              <w:keepLines w:val="0"/>
              <w:widowControl w:val="0"/>
              <w:shd w:val="clear" w:color="auto" w:fill="auto"/>
              <w:bidi w:val="0"/>
              <w:spacing w:before="0" w:after="0" w:line="283" w:lineRule="exact"/>
              <w:ind w:left="0" w:right="0" w:firstLine="0"/>
              <w:jc w:val="left"/>
            </w:pPr>
            <w:r>
              <w:rPr>
                <w:color w:val="000000"/>
                <w:spacing w:val="0"/>
                <w:w w:val="100"/>
                <w:position w:val="0"/>
              </w:rPr>
              <w:t>募集资金使用及披露中 存在的问题或其他情况</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25"/>
        <w:keepNext w:val="0"/>
        <w:keepLines w:val="0"/>
        <w:widowControl w:val="0"/>
        <w:shd w:val="clear" w:color="auto" w:fill="auto"/>
        <w:bidi w:val="0"/>
        <w:spacing w:before="0" w:after="0" w:line="240" w:lineRule="auto"/>
        <w:ind w:left="451"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：由于实际募集资金净额少于</w:t>
      </w:r>
      <w:r>
        <w:rPr>
          <w:rFonts w:ascii="Times New Roman" w:eastAsia="Times New Roman" w:hAnsi="Times New Roman" w:cs="Times New Roman"/>
          <w:color w:val="000000"/>
          <w:spacing w:val="0"/>
          <w:w w:val="100"/>
          <w:position w:val="0"/>
        </w:rPr>
        <w:t>2011</w:t>
      </w:r>
      <w:r>
        <w:rPr>
          <w:color w:val="000000"/>
          <w:spacing w:val="0"/>
          <w:w w:val="100"/>
          <w:position w:val="0"/>
        </w:rPr>
        <w:t>年非公开发行股票方案中计划使用募集资金金额，根据公司</w:t>
      </w:r>
      <w:r>
        <w:rPr>
          <w:rFonts w:ascii="Times New Roman" w:eastAsia="Times New Roman" w:hAnsi="Times New Roman" w:cs="Times New Roman"/>
          <w:color w:val="000000"/>
          <w:spacing w:val="0"/>
          <w:w w:val="100"/>
          <w:position w:val="0"/>
        </w:rPr>
        <w:t>2011</w:t>
      </w:r>
      <w:r>
        <w:rPr>
          <w:color w:val="000000"/>
          <w:spacing w:val="0"/>
          <w:w w:val="100"/>
          <w:position w:val="0"/>
        </w:rPr>
        <w:t>年第一次临时股东大会决议，若本</w:t>
      </w:r>
    </w:p>
    <w:p>
      <w:pPr>
        <w:pStyle w:val="Style32"/>
        <w:keepNext w:val="0"/>
        <w:keepLines w:val="0"/>
        <w:widowControl w:val="0"/>
        <w:shd w:val="clear" w:color="auto" w:fill="auto"/>
        <w:bidi w:val="0"/>
        <w:spacing w:before="0" w:after="0" w:line="428" w:lineRule="exact"/>
        <w:ind w:left="0" w:right="0" w:firstLine="0"/>
        <w:jc w:val="left"/>
      </w:pPr>
      <w:r>
        <w:rPr>
          <w:color w:val="000000"/>
          <w:spacing w:val="0"/>
          <w:w w:val="100"/>
          <w:position w:val="0"/>
        </w:rPr>
        <w:t>次发行实际募集资金净额少于上述项目拟投入募集资金总额，公司将根据实际募集资金净额，按照项目的轻重缓急等情况，调整并最终决定募集 资金的具体投资项目、优先顺序及各项目的具体投资金额，募集资金不足部分由公司以自有资金解决，故对租赁店发展项目、自动化物流建设项 目的募集资金投资总额进行了调整。</w:t>
      </w:r>
    </w:p>
    <w:p>
      <w:pPr>
        <w:pStyle w:val="Style32"/>
        <w:keepNext w:val="0"/>
        <w:keepLines w:val="0"/>
        <w:widowControl w:val="0"/>
        <w:shd w:val="clear" w:color="auto" w:fill="auto"/>
        <w:bidi w:val="0"/>
        <w:spacing w:before="0" w:after="0" w:line="428" w:lineRule="exact"/>
        <w:ind w:left="0" w:right="0" w:firstLine="460"/>
        <w:jc w:val="left"/>
      </w:pP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 xml:space="preserve">： </w:t>
      </w:r>
      <w:r>
        <w:rPr>
          <w:rFonts w:ascii="Times New Roman" w:eastAsia="Times New Roman" w:hAnsi="Times New Roman" w:cs="Times New Roman"/>
          <w:color w:val="000000"/>
          <w:spacing w:val="0"/>
          <w:w w:val="100"/>
          <w:position w:val="0"/>
        </w:rPr>
        <w:t>300</w:t>
      </w:r>
      <w:r>
        <w:rPr>
          <w:color w:val="000000"/>
          <w:spacing w:val="0"/>
          <w:w w:val="100"/>
          <w:position w:val="0"/>
        </w:rPr>
        <w:t>家连锁店发展项目，根据已开店面开业时间统计，共有</w:t>
      </w:r>
      <w:r>
        <w:rPr>
          <w:rFonts w:ascii="Times New Roman" w:eastAsia="Times New Roman" w:hAnsi="Times New Roman" w:cs="Times New Roman"/>
          <w:color w:val="000000"/>
          <w:spacing w:val="0"/>
          <w:w w:val="100"/>
          <w:position w:val="0"/>
        </w:rPr>
        <w:t>179</w:t>
      </w:r>
      <w:r>
        <w:rPr>
          <w:color w:val="000000"/>
          <w:spacing w:val="0"/>
          <w:w w:val="100"/>
          <w:position w:val="0"/>
        </w:rPr>
        <w:t>家连锁店在报告期内达到上市公告书判定年限</w:t>
      </w:r>
      <w:r>
        <w:rPr>
          <w:rFonts w:ascii="Times New Roman" w:eastAsia="Times New Roman" w:hAnsi="Times New Roman" w:cs="Times New Roman"/>
          <w:color w:val="000000"/>
          <w:spacing w:val="0"/>
          <w:w w:val="100"/>
          <w:position w:val="0"/>
        </w:rPr>
        <w:t>-</w:t>
      </w:r>
      <w:r>
        <w:rPr>
          <w:color w:val="000000"/>
          <w:spacing w:val="0"/>
          <w:w w:val="100"/>
          <w:position w:val="0"/>
        </w:rPr>
        <w:t>正常年</w:t>
      </w:r>
      <w:r>
        <w:rPr>
          <w:rFonts w:ascii="Times New Roman" w:eastAsia="Times New Roman" w:hAnsi="Times New Roman" w:cs="Times New Roman"/>
          <w:color w:val="000000"/>
          <w:spacing w:val="0"/>
          <w:w w:val="100"/>
          <w:position w:val="0"/>
        </w:rPr>
        <w:t>（</w:t>
      </w:r>
      <w:r>
        <w:rPr>
          <w:color w:val="000000"/>
          <w:spacing w:val="0"/>
          <w:w w:val="100"/>
          <w:position w:val="0"/>
        </w:rPr>
        <w:t>开业后第三年</w:t>
      </w:r>
      <w:r>
        <w:rPr>
          <w:rFonts w:ascii="Times New Roman" w:eastAsia="Times New Roman" w:hAnsi="Times New Roman" w:cs="Times New Roman"/>
          <w:color w:val="000000"/>
          <w:spacing w:val="0"/>
          <w:w w:val="100"/>
          <w:position w:val="0"/>
        </w:rPr>
        <w:t>）</w:t>
      </w:r>
      <w:r>
        <w:rPr>
          <w:color w:val="000000"/>
          <w:spacing w:val="0"/>
          <w:w w:val="100"/>
          <w:position w:val="0"/>
        </w:rPr>
        <w:t>， 其中调整关闭</w:t>
      </w:r>
      <w:r>
        <w:rPr>
          <w:rFonts w:ascii="Times New Roman" w:eastAsia="Times New Roman" w:hAnsi="Times New Roman" w:cs="Times New Roman"/>
          <w:color w:val="000000"/>
          <w:spacing w:val="0"/>
          <w:w w:val="100"/>
          <w:position w:val="0"/>
        </w:rPr>
        <w:t>68</w:t>
      </w:r>
      <w:r>
        <w:rPr>
          <w:color w:val="000000"/>
          <w:spacing w:val="0"/>
          <w:w w:val="100"/>
          <w:position w:val="0"/>
        </w:rPr>
        <w:t>家，截至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日实际有</w:t>
      </w:r>
      <w:r>
        <w:rPr>
          <w:rFonts w:ascii="Times New Roman" w:eastAsia="Times New Roman" w:hAnsi="Times New Roman" w:cs="Times New Roman"/>
          <w:color w:val="000000"/>
          <w:spacing w:val="0"/>
          <w:w w:val="100"/>
          <w:position w:val="0"/>
        </w:rPr>
        <w:t>111</w:t>
      </w:r>
      <w:r>
        <w:rPr>
          <w:color w:val="000000"/>
          <w:spacing w:val="0"/>
          <w:w w:val="100"/>
          <w:position w:val="0"/>
        </w:rPr>
        <w:t>家连锁店达到上市公告书判定年限</w:t>
      </w:r>
      <w:r>
        <w:rPr>
          <w:rFonts w:ascii="Times New Roman" w:eastAsia="Times New Roman" w:hAnsi="Times New Roman" w:cs="Times New Roman"/>
          <w:color w:val="000000"/>
          <w:spacing w:val="0"/>
          <w:w w:val="100"/>
          <w:position w:val="0"/>
        </w:rPr>
        <w:t>-</w:t>
      </w:r>
      <w:r>
        <w:rPr>
          <w:color w:val="000000"/>
          <w:spacing w:val="0"/>
          <w:w w:val="100"/>
          <w:position w:val="0"/>
        </w:rPr>
        <w:t>正常年</w:t>
      </w:r>
      <w:r>
        <w:rPr>
          <w:rFonts w:ascii="Times New Roman" w:eastAsia="Times New Roman" w:hAnsi="Times New Roman" w:cs="Times New Roman"/>
          <w:color w:val="000000"/>
          <w:spacing w:val="0"/>
          <w:w w:val="100"/>
          <w:position w:val="0"/>
        </w:rPr>
        <w:t>（</w:t>
      </w:r>
      <w:r>
        <w:rPr>
          <w:color w:val="000000"/>
          <w:spacing w:val="0"/>
          <w:w w:val="100"/>
          <w:position w:val="0"/>
        </w:rPr>
        <w:t>开业后第三年</w:t>
      </w:r>
      <w:r>
        <w:rPr>
          <w:rFonts w:ascii="Times New Roman" w:eastAsia="Times New Roman" w:hAnsi="Times New Roman" w:cs="Times New Roman"/>
          <w:color w:val="000000"/>
          <w:spacing w:val="0"/>
          <w:w w:val="100"/>
          <w:position w:val="0"/>
        </w:rPr>
        <w:t>）</w:t>
      </w:r>
      <w:r>
        <w:rPr>
          <w:color w:val="000000"/>
          <w:spacing w:val="0"/>
          <w:w w:val="100"/>
          <w:position w:val="0"/>
        </w:rPr>
        <w:t>。该</w:t>
      </w:r>
      <w:r>
        <w:rPr>
          <w:rFonts w:ascii="Times New Roman" w:eastAsia="Times New Roman" w:hAnsi="Times New Roman" w:cs="Times New Roman"/>
          <w:color w:val="000000"/>
          <w:spacing w:val="0"/>
          <w:w w:val="100"/>
          <w:position w:val="0"/>
        </w:rPr>
        <w:t>111</w:t>
      </w:r>
      <w:r>
        <w:rPr>
          <w:color w:val="000000"/>
          <w:spacing w:val="0"/>
          <w:w w:val="100"/>
          <w:position w:val="0"/>
        </w:rPr>
        <w:t>家连锁店预计在报告 期内实现销售收入</w:t>
      </w:r>
      <w:r>
        <w:rPr>
          <w:rFonts w:ascii="Times New Roman" w:eastAsia="Times New Roman" w:hAnsi="Times New Roman" w:cs="Times New Roman"/>
          <w:color w:val="000000"/>
          <w:spacing w:val="0"/>
          <w:w w:val="100"/>
          <w:position w:val="0"/>
        </w:rPr>
        <w:t>67.28</w:t>
      </w:r>
      <w:r>
        <w:rPr>
          <w:color w:val="000000"/>
          <w:spacing w:val="0"/>
          <w:w w:val="100"/>
          <w:position w:val="0"/>
        </w:rPr>
        <w:t>亿元（含税）</w:t>
      </w:r>
      <w:r>
        <w:rPr>
          <w:i/>
          <w:iCs/>
          <w:color w:val="000000"/>
          <w:spacing w:val="0"/>
          <w:w w:val="100"/>
          <w:position w:val="0"/>
        </w:rPr>
        <w:t>，</w:t>
      </w:r>
      <w:r>
        <w:rPr>
          <w:rFonts w:ascii="Times New Roman" w:eastAsia="Times New Roman" w:hAnsi="Times New Roman" w:cs="Times New Roman"/>
          <w:color w:val="000000"/>
          <w:spacing w:val="0"/>
          <w:w w:val="100"/>
          <w:position w:val="0"/>
        </w:rPr>
        <w:t>2016</w:t>
      </w:r>
      <w:r>
        <w:rPr>
          <w:color w:val="000000"/>
          <w:spacing w:val="0"/>
          <w:w w:val="100"/>
          <w:position w:val="0"/>
        </w:rPr>
        <w:t>年实际实现销售收入</w:t>
      </w:r>
      <w:r>
        <w:rPr>
          <w:rFonts w:ascii="Times New Roman" w:eastAsia="Times New Roman" w:hAnsi="Times New Roman" w:cs="Times New Roman"/>
          <w:color w:val="000000"/>
          <w:spacing w:val="0"/>
          <w:w w:val="100"/>
          <w:position w:val="0"/>
        </w:rPr>
        <w:t>49.6</w:t>
      </w:r>
      <w:r>
        <w:rPr>
          <w:rFonts w:ascii="Times New Roman" w:eastAsia="Times New Roman" w:hAnsi="Times New Roman" w:cs="Times New Roman"/>
          <w:color w:val="000000"/>
          <w:spacing w:val="0"/>
          <w:w w:val="100"/>
          <w:position w:val="0"/>
        </w:rPr>
        <w:t>0</w:t>
      </w:r>
      <w:r>
        <w:rPr>
          <w:color w:val="000000"/>
          <w:spacing w:val="0"/>
          <w:w w:val="100"/>
          <w:position w:val="0"/>
        </w:rPr>
        <w:t>亿元</w:t>
      </w:r>
      <w:r>
        <w:rPr>
          <w:rFonts w:ascii="Times New Roman" w:eastAsia="Times New Roman" w:hAnsi="Times New Roman" w:cs="Times New Roman"/>
          <w:color w:val="000000"/>
          <w:spacing w:val="0"/>
          <w:w w:val="100"/>
          <w:position w:val="0"/>
        </w:rPr>
        <w:t>（</w:t>
      </w:r>
      <w:r>
        <w:rPr>
          <w:color w:val="000000"/>
          <w:spacing w:val="0"/>
          <w:w w:val="100"/>
          <w:position w:val="0"/>
        </w:rPr>
        <w:t>含税</w:t>
      </w:r>
      <w:r>
        <w:rPr>
          <w:rFonts w:ascii="Times New Roman" w:eastAsia="Times New Roman" w:hAnsi="Times New Roman" w:cs="Times New Roman"/>
          <w:color w:val="000000"/>
          <w:spacing w:val="0"/>
          <w:w w:val="100"/>
          <w:position w:val="0"/>
        </w:rPr>
        <w:t>）</w:t>
      </w:r>
      <w:r>
        <w:rPr>
          <w:color w:val="000000"/>
          <w:spacing w:val="0"/>
          <w:w w:val="100"/>
          <w:position w:val="0"/>
        </w:rPr>
        <w:t>，完成了预计销售的</w:t>
      </w:r>
      <w:r>
        <w:rPr>
          <w:rFonts w:ascii="Times New Roman" w:eastAsia="Times New Roman" w:hAnsi="Times New Roman" w:cs="Times New Roman"/>
          <w:color w:val="000000"/>
          <w:spacing w:val="0"/>
          <w:w w:val="100"/>
          <w:position w:val="0"/>
        </w:rPr>
        <w:t>74%</w:t>
      </w:r>
      <w:r>
        <w:rPr>
          <w:color w:val="000000"/>
          <w:spacing w:val="0"/>
          <w:w w:val="100"/>
          <w:position w:val="0"/>
        </w:rPr>
        <w:t>。近几年，公司推进互联网转型升级, 实施线上线下的融合，逐步探索实践线下渠道的互联网运营模式，随着公司</w:t>
      </w:r>
      <w:r>
        <w:rPr>
          <w:rFonts w:ascii="Times New Roman" w:eastAsia="Times New Roman" w:hAnsi="Times New Roman" w:cs="Times New Roman"/>
          <w:color w:val="000000"/>
          <w:spacing w:val="0"/>
          <w:w w:val="100"/>
          <w:position w:val="0"/>
        </w:rPr>
        <w:t>020</w:t>
      </w:r>
      <w:r>
        <w:rPr>
          <w:color w:val="000000"/>
          <w:spacing w:val="0"/>
          <w:w w:val="100"/>
          <w:position w:val="0"/>
        </w:rPr>
        <w:t>持续的推进，店面经营质量将得到改善。</w:t>
      </w:r>
    </w:p>
    <w:p>
      <w:pPr>
        <w:pStyle w:val="Style32"/>
        <w:keepNext w:val="0"/>
        <w:keepLines w:val="0"/>
        <w:widowControl w:val="0"/>
        <w:shd w:val="clear" w:color="auto" w:fill="auto"/>
        <w:bidi w:val="0"/>
        <w:spacing w:before="0" w:after="0" w:line="428" w:lineRule="exact"/>
        <w:ind w:left="0" w:right="0" w:firstLine="460"/>
        <w:jc w:val="left"/>
      </w:pPr>
      <w:r>
        <w:rPr>
          <w:color w:val="000000"/>
          <w:spacing w:val="0"/>
          <w:w w:val="100"/>
          <w:position w:val="0"/>
        </w:rPr>
        <w:t>注</w:t>
      </w:r>
      <w:r>
        <w:rPr>
          <w:rFonts w:ascii="Times New Roman" w:eastAsia="Times New Roman" w:hAnsi="Times New Roman" w:cs="Times New Roman"/>
          <w:color w:val="000000"/>
          <w:spacing w:val="0"/>
          <w:w w:val="100"/>
          <w:position w:val="0"/>
        </w:rPr>
        <w:t>3</w:t>
      </w:r>
      <w:r>
        <w:rPr>
          <w:color w:val="000000"/>
          <w:spacing w:val="0"/>
          <w:w w:val="100"/>
          <w:position w:val="0"/>
        </w:rPr>
        <w:t>：重庆长寿寿星广场店购置项目、厦门财富港湾店购置项目预计年度销售规模分别实现</w:t>
      </w:r>
      <w:r>
        <w:rPr>
          <w:rFonts w:ascii="Times New Roman" w:eastAsia="Times New Roman" w:hAnsi="Times New Roman" w:cs="Times New Roman"/>
          <w:color w:val="000000"/>
          <w:spacing w:val="0"/>
          <w:w w:val="100"/>
          <w:position w:val="0"/>
        </w:rPr>
        <w:t>1.40</w:t>
      </w:r>
      <w:r>
        <w:rPr>
          <w:color w:val="000000"/>
          <w:spacing w:val="0"/>
          <w:w w:val="100"/>
          <w:position w:val="0"/>
        </w:rPr>
        <w:t>亿元</w:t>
      </w:r>
      <w:r>
        <w:rPr>
          <w:rFonts w:ascii="Times New Roman" w:eastAsia="Times New Roman" w:hAnsi="Times New Roman" w:cs="Times New Roman"/>
          <w:color w:val="000000"/>
          <w:spacing w:val="0"/>
          <w:w w:val="100"/>
          <w:position w:val="0"/>
        </w:rPr>
        <w:t>（</w:t>
      </w:r>
      <w:r>
        <w:rPr>
          <w:color w:val="000000"/>
          <w:spacing w:val="0"/>
          <w:w w:val="100"/>
          <w:position w:val="0"/>
        </w:rPr>
        <w:t>含税</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1.5</w:t>
      </w:r>
      <w:r>
        <w:rPr>
          <w:rFonts w:ascii="Times New Roman" w:eastAsia="Times New Roman" w:hAnsi="Times New Roman" w:cs="Times New Roman"/>
          <w:color w:val="000000"/>
          <w:spacing w:val="0"/>
          <w:w w:val="100"/>
          <w:position w:val="0"/>
        </w:rPr>
        <w:t>0</w:t>
      </w:r>
      <w:r>
        <w:rPr>
          <w:color w:val="000000"/>
          <w:spacing w:val="0"/>
          <w:w w:val="100"/>
          <w:position w:val="0"/>
        </w:rPr>
        <w:t>亿元</w:t>
      </w:r>
      <w:r>
        <w:rPr>
          <w:rFonts w:ascii="Times New Roman" w:eastAsia="Times New Roman" w:hAnsi="Times New Roman" w:cs="Times New Roman"/>
          <w:color w:val="000000"/>
          <w:spacing w:val="0"/>
          <w:w w:val="100"/>
          <w:position w:val="0"/>
        </w:rPr>
        <w:t>（</w:t>
      </w:r>
      <w:r>
        <w:rPr>
          <w:color w:val="000000"/>
          <w:spacing w:val="0"/>
          <w:w w:val="100"/>
          <w:position w:val="0"/>
        </w:rPr>
        <w:t>含税</w:t>
      </w:r>
      <w:r>
        <w:rPr>
          <w:rFonts w:ascii="Times New Roman" w:eastAsia="Times New Roman" w:hAnsi="Times New Roman" w:cs="Times New Roman"/>
          <w:color w:val="000000"/>
          <w:spacing w:val="0"/>
          <w:w w:val="100"/>
          <w:position w:val="0"/>
        </w:rPr>
        <w:t>）</w:t>
      </w:r>
      <w:r>
        <w:rPr>
          <w:color w:val="000000"/>
          <w:spacing w:val="0"/>
          <w:w w:val="100"/>
          <w:position w:val="0"/>
        </w:rPr>
        <w:t xml:space="preserve">的销售规模， </w:t>
      </w:r>
      <w:r>
        <w:rPr>
          <w:rFonts w:ascii="Times New Roman" w:eastAsia="Times New Roman" w:hAnsi="Times New Roman" w:cs="Times New Roman"/>
          <w:color w:val="000000"/>
          <w:spacing w:val="0"/>
          <w:w w:val="100"/>
          <w:position w:val="0"/>
        </w:rPr>
        <w:t>2016</w:t>
      </w:r>
      <w:r>
        <w:rPr>
          <w:color w:val="000000"/>
          <w:spacing w:val="0"/>
          <w:w w:val="100"/>
          <w:position w:val="0"/>
        </w:rPr>
        <w:t>年长寿寿星广场店实际实现销售收入</w:t>
      </w:r>
      <w:r>
        <w:rPr>
          <w:rFonts w:ascii="Times New Roman" w:eastAsia="Times New Roman" w:hAnsi="Times New Roman" w:cs="Times New Roman"/>
          <w:color w:val="000000"/>
          <w:spacing w:val="0"/>
          <w:w w:val="100"/>
          <w:position w:val="0"/>
        </w:rPr>
        <w:t>1.10</w:t>
      </w:r>
      <w:r>
        <w:rPr>
          <w:color w:val="000000"/>
          <w:spacing w:val="0"/>
          <w:w w:val="100"/>
          <w:position w:val="0"/>
        </w:rPr>
        <w:t>亿元</w:t>
      </w:r>
      <w:r>
        <w:rPr>
          <w:rFonts w:ascii="Times New Roman" w:eastAsia="Times New Roman" w:hAnsi="Times New Roman" w:cs="Times New Roman"/>
          <w:color w:val="000000"/>
          <w:spacing w:val="0"/>
          <w:w w:val="100"/>
          <w:position w:val="0"/>
        </w:rPr>
        <w:t>（</w:t>
      </w:r>
      <w:r>
        <w:rPr>
          <w:color w:val="000000"/>
          <w:spacing w:val="0"/>
          <w:w w:val="100"/>
          <w:position w:val="0"/>
        </w:rPr>
        <w:t>含税</w:t>
      </w:r>
      <w:r>
        <w:rPr>
          <w:rFonts w:ascii="Times New Roman" w:eastAsia="Times New Roman" w:hAnsi="Times New Roman" w:cs="Times New Roman"/>
          <w:color w:val="000000"/>
          <w:spacing w:val="0"/>
          <w:w w:val="100"/>
          <w:position w:val="0"/>
        </w:rPr>
        <w:t>）</w:t>
      </w:r>
      <w:r>
        <w:rPr>
          <w:color w:val="000000"/>
          <w:spacing w:val="0"/>
          <w:w w:val="100"/>
          <w:position w:val="0"/>
        </w:rPr>
        <w:t>，财富港湾店实际实现销售收入</w:t>
      </w:r>
      <w:r>
        <w:rPr>
          <w:rFonts w:ascii="Times New Roman" w:eastAsia="Times New Roman" w:hAnsi="Times New Roman" w:cs="Times New Roman"/>
          <w:color w:val="000000"/>
          <w:spacing w:val="0"/>
          <w:w w:val="100"/>
          <w:position w:val="0"/>
        </w:rPr>
        <w:t>1.30</w:t>
      </w:r>
      <w:r>
        <w:rPr>
          <w:color w:val="000000"/>
          <w:spacing w:val="0"/>
          <w:w w:val="100"/>
          <w:position w:val="0"/>
        </w:rPr>
        <w:t>亿元</w:t>
      </w:r>
      <w:r>
        <w:rPr>
          <w:rFonts w:ascii="Times New Roman" w:eastAsia="Times New Roman" w:hAnsi="Times New Roman" w:cs="Times New Roman"/>
          <w:color w:val="000000"/>
          <w:spacing w:val="0"/>
          <w:w w:val="100"/>
          <w:position w:val="0"/>
        </w:rPr>
        <w:t>（</w:t>
      </w:r>
      <w:r>
        <w:rPr>
          <w:color w:val="000000"/>
          <w:spacing w:val="0"/>
          <w:w w:val="100"/>
          <w:position w:val="0"/>
        </w:rPr>
        <w:t>含税</w:t>
      </w:r>
      <w:r>
        <w:rPr>
          <w:rFonts w:ascii="Times New Roman" w:eastAsia="Times New Roman" w:hAnsi="Times New Roman" w:cs="Times New Roman"/>
          <w:color w:val="000000"/>
          <w:spacing w:val="0"/>
          <w:w w:val="100"/>
          <w:position w:val="0"/>
        </w:rPr>
        <w:t>）</w:t>
      </w:r>
      <w:r>
        <w:rPr>
          <w:color w:val="000000"/>
          <w:spacing w:val="0"/>
          <w:w w:val="100"/>
          <w:position w:val="0"/>
        </w:rPr>
        <w:t>，分别完成了预期销售收入的</w:t>
      </w:r>
      <w:r>
        <w:rPr>
          <w:rFonts w:ascii="Times New Roman" w:eastAsia="Times New Roman" w:hAnsi="Times New Roman" w:cs="Times New Roman"/>
          <w:color w:val="000000"/>
          <w:spacing w:val="0"/>
          <w:w w:val="100"/>
          <w:position w:val="0"/>
        </w:rPr>
        <w:t>79%</w:t>
      </w:r>
      <w:r>
        <w:rPr>
          <w:color w:val="000000"/>
          <w:spacing w:val="0"/>
          <w:w w:val="100"/>
          <w:position w:val="0"/>
        </w:rPr>
        <w:t xml:space="preserve">、 </w:t>
      </w:r>
      <w:r>
        <w:rPr>
          <w:rFonts w:ascii="Times New Roman" w:eastAsia="Times New Roman" w:hAnsi="Times New Roman" w:cs="Times New Roman"/>
          <w:color w:val="000000"/>
          <w:spacing w:val="0"/>
          <w:w w:val="100"/>
          <w:position w:val="0"/>
        </w:rPr>
        <w:t>87%</w:t>
      </w:r>
      <w:r>
        <w:rPr>
          <w:color w:val="000000"/>
          <w:spacing w:val="0"/>
          <w:w w:val="100"/>
          <w:position w:val="0"/>
        </w:rPr>
        <w:t>。报告期内公司通过对店面进行互联网升级，丰富店面功能，有效吸引客流，增强客户粘性，进一步提升销售。</w:t>
      </w:r>
    </w:p>
    <w:p>
      <w:pPr>
        <w:pStyle w:val="Style32"/>
        <w:keepNext w:val="0"/>
        <w:keepLines w:val="0"/>
        <w:widowControl w:val="0"/>
        <w:shd w:val="clear" w:color="auto" w:fill="auto"/>
        <w:bidi w:val="0"/>
        <w:spacing w:before="0" w:after="0" w:line="428" w:lineRule="exact"/>
        <w:ind w:left="0" w:right="0" w:firstLine="460"/>
        <w:jc w:val="left"/>
      </w:pPr>
      <w:r>
        <w:rPr>
          <w:color w:val="000000"/>
          <w:spacing w:val="0"/>
          <w:w w:val="100"/>
          <w:position w:val="0"/>
        </w:rPr>
        <w:t>按照公司第五届董事会第二十次会议及</w:t>
      </w:r>
      <w:r>
        <w:rPr>
          <w:rFonts w:ascii="Times New Roman" w:eastAsia="Times New Roman" w:hAnsi="Times New Roman" w:cs="Times New Roman"/>
          <w:color w:val="000000"/>
          <w:spacing w:val="0"/>
          <w:w w:val="100"/>
          <w:position w:val="0"/>
        </w:rPr>
        <w:t>2015</w:t>
      </w:r>
      <w:r>
        <w:rPr>
          <w:color w:val="000000"/>
          <w:spacing w:val="0"/>
          <w:w w:val="100"/>
          <w:position w:val="0"/>
        </w:rPr>
        <w:t>年第一次临时股东大会决议通过的《关于以部分门店物业为标的资产开展创新型资产运作模式 的议案》，公司将厦门财富港湾店以及其他</w:t>
      </w:r>
      <w:r>
        <w:rPr>
          <w:rFonts w:ascii="Times New Roman" w:eastAsia="Times New Roman" w:hAnsi="Times New Roman" w:cs="Times New Roman"/>
          <w:color w:val="000000"/>
          <w:spacing w:val="0"/>
          <w:w w:val="100"/>
          <w:position w:val="0"/>
        </w:rPr>
        <w:t>13</w:t>
      </w:r>
      <w:r>
        <w:rPr>
          <w:color w:val="000000"/>
          <w:spacing w:val="0"/>
          <w:w w:val="100"/>
          <w:position w:val="0"/>
        </w:rPr>
        <w:t>家门店物业相关权益以不低于</w:t>
      </w:r>
      <w:r>
        <w:rPr>
          <w:rFonts w:ascii="Times New Roman" w:eastAsia="Times New Roman" w:hAnsi="Times New Roman" w:cs="Times New Roman"/>
          <w:color w:val="000000"/>
          <w:spacing w:val="0"/>
          <w:w w:val="100"/>
          <w:position w:val="0"/>
        </w:rPr>
        <w:t>30.03</w:t>
      </w:r>
      <w:r>
        <w:rPr>
          <w:color w:val="000000"/>
          <w:spacing w:val="0"/>
          <w:w w:val="100"/>
          <w:position w:val="0"/>
        </w:rPr>
        <w:t>亿元的价格转让给中信金石基金管理有限公司的相关方拟设立 的资产支持专项计划，以开展创新资产运作模式，前述权益转让完成后，同意公司</w:t>
      </w:r>
      <w:r>
        <w:rPr>
          <w:rFonts w:ascii="Times New Roman" w:eastAsia="Times New Roman" w:hAnsi="Times New Roman" w:cs="Times New Roman"/>
          <w:color w:val="000000"/>
          <w:spacing w:val="0"/>
          <w:w w:val="100"/>
          <w:position w:val="0"/>
        </w:rPr>
        <w:t>14</w:t>
      </w:r>
      <w:r>
        <w:rPr>
          <w:color w:val="000000"/>
          <w:spacing w:val="0"/>
          <w:w w:val="100"/>
          <w:position w:val="0"/>
        </w:rPr>
        <w:t>家销售子公司分别租用</w:t>
      </w:r>
      <w:r>
        <w:rPr>
          <w:rFonts w:ascii="Times New Roman" w:eastAsia="Times New Roman" w:hAnsi="Times New Roman" w:cs="Times New Roman"/>
          <w:color w:val="000000"/>
          <w:spacing w:val="0"/>
          <w:w w:val="100"/>
          <w:position w:val="0"/>
        </w:rPr>
        <w:t>14</w:t>
      </w:r>
      <w:r>
        <w:rPr>
          <w:color w:val="000000"/>
          <w:spacing w:val="0"/>
          <w:w w:val="100"/>
          <w:position w:val="0"/>
        </w:rPr>
        <w:t>处物业用于店面经营（详情见公 司</w:t>
      </w:r>
      <w:r>
        <w:rPr>
          <w:rFonts w:ascii="Times New Roman" w:eastAsia="Times New Roman" w:hAnsi="Times New Roman" w:cs="Times New Roman"/>
          <w:color w:val="000000"/>
          <w:spacing w:val="0"/>
          <w:w w:val="100"/>
          <w:position w:val="0"/>
        </w:rPr>
        <w:t>2015-024</w:t>
      </w:r>
      <w:r>
        <w:rPr>
          <w:color w:val="000000"/>
          <w:spacing w:val="0"/>
          <w:w w:val="100"/>
          <w:position w:val="0"/>
        </w:rPr>
        <w:t>号公告，</w:t>
      </w:r>
      <w:r>
        <w:rPr>
          <w:rFonts w:ascii="Times New Roman" w:eastAsia="Times New Roman" w:hAnsi="Times New Roman" w:cs="Times New Roman"/>
          <w:color w:val="000000"/>
          <w:spacing w:val="0"/>
          <w:w w:val="100"/>
          <w:position w:val="0"/>
        </w:rPr>
        <w:t>2015-031</w:t>
      </w:r>
      <w:r>
        <w:rPr>
          <w:color w:val="000000"/>
          <w:spacing w:val="0"/>
          <w:w w:val="100"/>
          <w:position w:val="0"/>
        </w:rPr>
        <w:t>号公告）。厦门财富港湾店物业相关权益的转让对价为</w:t>
      </w:r>
      <w:r>
        <w:rPr>
          <w:rFonts w:ascii="Times New Roman" w:eastAsia="Times New Roman" w:hAnsi="Times New Roman" w:cs="Times New Roman"/>
          <w:color w:val="000000"/>
          <w:spacing w:val="0"/>
          <w:w w:val="100"/>
          <w:position w:val="0"/>
        </w:rPr>
        <w:t>1.60</w:t>
      </w:r>
      <w:r>
        <w:rPr>
          <w:color w:val="000000"/>
          <w:spacing w:val="0"/>
          <w:w w:val="100"/>
          <w:position w:val="0"/>
        </w:rPr>
        <w:t>亿元。</w:t>
      </w:r>
    </w:p>
    <w:p>
      <w:pPr>
        <w:pStyle w:val="Style32"/>
        <w:keepNext w:val="0"/>
        <w:keepLines w:val="0"/>
        <w:widowControl w:val="0"/>
        <w:shd w:val="clear" w:color="auto" w:fill="auto"/>
        <w:bidi w:val="0"/>
        <w:spacing w:before="0" w:after="0" w:line="431" w:lineRule="exact"/>
        <w:ind w:left="0" w:right="0" w:firstLine="460"/>
        <w:jc w:val="both"/>
      </w:pPr>
      <w:r>
        <w:rPr>
          <w:color w:val="000000"/>
          <w:spacing w:val="0"/>
          <w:w w:val="100"/>
          <w:position w:val="0"/>
        </w:rPr>
        <w:t>注</w:t>
      </w:r>
      <w:r>
        <w:rPr>
          <w:rFonts w:ascii="Times New Roman" w:eastAsia="Times New Roman" w:hAnsi="Times New Roman" w:cs="Times New Roman"/>
          <w:color w:val="000000"/>
          <w:spacing w:val="0"/>
          <w:w w:val="100"/>
          <w:position w:val="0"/>
        </w:rPr>
        <w:t>4</w:t>
      </w:r>
      <w:r>
        <w:rPr>
          <w:color w:val="000000"/>
          <w:spacing w:val="0"/>
          <w:w w:val="100"/>
          <w:position w:val="0"/>
        </w:rPr>
        <w:t>：物流中心项目不直接产生经济效益，公司通过上述物流基地的建设，能够有效支撑公司连锁网络拓展，尤其是加快推进三、四级市场 的连锁发展，有利于内部管理精细化，加强供应链管理，提升商品周转效率，同时为公司线上业务发展提供有效的物流中心平台支撑。公司在上 述十五个地区的新建物流配送中心，对于保障公司销售、提升服务能力具有十分重大的意义。</w:t>
      </w:r>
    </w:p>
    <w:p>
      <w:pPr>
        <w:pStyle w:val="Style32"/>
        <w:keepNext w:val="0"/>
        <w:keepLines w:val="0"/>
        <w:widowControl w:val="0"/>
        <w:shd w:val="clear" w:color="auto" w:fill="auto"/>
        <w:bidi w:val="0"/>
        <w:spacing w:before="0" w:after="0" w:line="431" w:lineRule="exact"/>
        <w:ind w:left="0" w:right="0" w:firstLine="460"/>
        <w:jc w:val="both"/>
      </w:pPr>
      <w:r>
        <w:rPr>
          <w:color w:val="000000"/>
          <w:spacing w:val="0"/>
          <w:w w:val="100"/>
          <w:position w:val="0"/>
        </w:rPr>
        <w:t>注</w:t>
      </w:r>
      <w:r>
        <w:rPr>
          <w:rFonts w:ascii="Times New Roman" w:eastAsia="Times New Roman" w:hAnsi="Times New Roman" w:cs="Times New Roman"/>
          <w:color w:val="000000"/>
          <w:spacing w:val="0"/>
          <w:w w:val="100"/>
          <w:position w:val="0"/>
        </w:rPr>
        <w:t>5</w:t>
      </w:r>
      <w:r>
        <w:rPr>
          <w:color w:val="000000"/>
          <w:spacing w:val="0"/>
          <w:w w:val="100"/>
          <w:position w:val="0"/>
        </w:rPr>
        <w:t>：北京、沈阳、成都、广州、武汉等地的小件商品自动分拣仓库项目正加快推进，自动化物流设备将根据仓库建设进度予以投入。自动 化物流项目的建设进一步满足了公司线上业务的发展需求，有利于降低经营成本，巩固行业地位，提高效益；同时项目的实施将进一步完善公司 实体与虚拟销售的物流配送需求，实现全方位、多层次的配送模式，有利于提高企业的核心竞争力。</w:t>
      </w:r>
    </w:p>
    <w:p>
      <w:pPr>
        <w:pStyle w:val="Style32"/>
        <w:keepNext w:val="0"/>
        <w:keepLines w:val="0"/>
        <w:widowControl w:val="0"/>
        <w:shd w:val="clear" w:color="auto" w:fill="auto"/>
        <w:bidi w:val="0"/>
        <w:spacing w:before="0" w:after="0" w:line="431" w:lineRule="exact"/>
        <w:ind w:left="0" w:right="0" w:firstLine="460"/>
        <w:jc w:val="both"/>
      </w:pPr>
      <w:r>
        <w:rPr>
          <w:color w:val="000000"/>
          <w:spacing w:val="0"/>
          <w:w w:val="100"/>
          <w:position w:val="0"/>
        </w:rPr>
        <w:t>注</w:t>
      </w:r>
      <w:r>
        <w:rPr>
          <w:rFonts w:ascii="Times New Roman" w:eastAsia="Times New Roman" w:hAnsi="Times New Roman" w:cs="Times New Roman"/>
          <w:color w:val="000000"/>
          <w:spacing w:val="0"/>
          <w:w w:val="100"/>
          <w:position w:val="0"/>
        </w:rPr>
        <w:t>6</w:t>
      </w:r>
      <w:r>
        <w:rPr>
          <w:color w:val="000000"/>
          <w:spacing w:val="0"/>
          <w:w w:val="100"/>
          <w:position w:val="0"/>
        </w:rPr>
        <w:t>：信息系统平台建设不直接产生经济效益，其效益主要体现在：进一步提高公司办公自动化的水平，强化企业的内部管理，加强系统安 全管理、提升效率；大大提高电子商务系统平台网站的响应速度和后台消息处理的能力，满足更高的性能和销售需求，同时也给顾客带来更完美 的购物体验；进一步提高售后服务信息水平，做到服务的多元化，销售的多样化，完善销售与服务的整合。</w:t>
      </w:r>
    </w:p>
    <w:p>
      <w:pPr>
        <w:pStyle w:val="Style32"/>
        <w:keepNext w:val="0"/>
        <w:keepLines w:val="0"/>
        <w:widowControl w:val="0"/>
        <w:shd w:val="clear" w:color="auto" w:fill="auto"/>
        <w:bidi w:val="0"/>
        <w:spacing w:before="0" w:after="0" w:line="431" w:lineRule="exact"/>
        <w:ind w:left="0" w:right="0" w:firstLine="460"/>
        <w:jc w:val="both"/>
      </w:pPr>
      <w:r>
        <w:rPr>
          <w:color w:val="000000"/>
          <w:spacing w:val="0"/>
          <w:w w:val="100"/>
          <w:position w:val="0"/>
        </w:rPr>
        <w:t>注</w:t>
      </w:r>
      <w:r>
        <w:rPr>
          <w:rFonts w:ascii="Times New Roman" w:eastAsia="Times New Roman" w:hAnsi="Times New Roman" w:cs="Times New Roman"/>
          <w:color w:val="000000"/>
          <w:spacing w:val="0"/>
          <w:w w:val="100"/>
          <w:position w:val="0"/>
        </w:rPr>
        <w:t>7</w:t>
      </w:r>
      <w:r>
        <w:rPr>
          <w:color w:val="000000"/>
          <w:spacing w:val="0"/>
          <w:w w:val="100"/>
          <w:position w:val="0"/>
        </w:rPr>
        <w:t>：补充流动资金项目募集资金主要用于扩大公司定制、包销产品采购占比，随着定制、包销产品的销售占比的提升，将一定程度上促进 公司毛利率水平的提升；同时募集资金还将用于提升对供应商诸如研发新品、产品销售淡季的资金支持等，进一步提升与供应商的合作关系，优 化供应链管理，实现双方合作共赢。</w:t>
      </w:r>
    </w:p>
    <w:p>
      <w:pPr>
        <w:pStyle w:val="Style38"/>
        <w:keepNext/>
        <w:keepLines/>
        <w:widowControl w:val="0"/>
        <w:shd w:val="clear" w:color="auto" w:fill="auto"/>
        <w:bidi w:val="0"/>
        <w:spacing w:before="0" w:after="0" w:line="431" w:lineRule="exact"/>
        <w:ind w:left="0" w:right="0" w:firstLine="0"/>
        <w:jc w:val="both"/>
      </w:pPr>
      <w:bookmarkStart w:id="202" w:name="bookmark202"/>
      <w:bookmarkStart w:id="203" w:name="bookmark203"/>
      <w:bookmarkStart w:id="204" w:name="bookmark204"/>
      <w:bookmarkStart w:id="205" w:name="bookmark205"/>
      <w:r>
        <w:rPr>
          <w:rFonts w:ascii="Times New Roman" w:eastAsia="Times New Roman" w:hAnsi="Times New Roman" w:cs="Times New Roman"/>
          <w:color w:val="000000"/>
          <w:spacing w:val="0"/>
          <w:w w:val="100"/>
          <w:position w:val="0"/>
        </w:rPr>
        <w:t>2</w:t>
      </w:r>
      <w:bookmarkEnd w:id="204"/>
      <w:r>
        <w:rPr>
          <w:color w:val="000000"/>
          <w:spacing w:val="0"/>
          <w:w w:val="100"/>
          <w:position w:val="0"/>
        </w:rPr>
        <w:t>、</w:t>
      </w:r>
      <w:r>
        <w:rPr>
          <w:rFonts w:ascii="Times New Roman" w:eastAsia="Times New Roman" w:hAnsi="Times New Roman" w:cs="Times New Roman"/>
          <w:color w:val="000000"/>
          <w:spacing w:val="0"/>
          <w:w w:val="100"/>
          <w:position w:val="0"/>
        </w:rPr>
        <w:t>2015</w:t>
      </w:r>
      <w:r>
        <w:rPr>
          <w:color w:val="000000"/>
          <w:spacing w:val="0"/>
          <w:w w:val="100"/>
          <w:position w:val="0"/>
        </w:rPr>
        <w:t>年非公开发行股票募集资金项目的资金使用情况</w:t>
      </w:r>
      <w:bookmarkEnd w:id="202"/>
      <w:bookmarkEnd w:id="203"/>
      <w:bookmarkEnd w:id="205"/>
    </w:p>
    <w:p>
      <w:pPr>
        <w:pStyle w:val="Style32"/>
        <w:keepNext w:val="0"/>
        <w:keepLines w:val="0"/>
        <w:widowControl w:val="0"/>
        <w:shd w:val="clear" w:color="auto" w:fill="auto"/>
        <w:bidi w:val="0"/>
        <w:spacing w:before="0" w:after="160" w:line="431" w:lineRule="exact"/>
        <w:ind w:left="0" w:right="0" w:firstLine="460"/>
        <w:jc w:val="both"/>
      </w:pPr>
      <w:r>
        <w:rPr>
          <w:rFonts w:ascii="Times New Roman" w:eastAsia="Times New Roman" w:hAnsi="Times New Roman" w:cs="Times New Roman"/>
          <w:color w:val="000000"/>
          <w:spacing w:val="0"/>
          <w:w w:val="100"/>
          <w:position w:val="0"/>
        </w:rPr>
        <w:t>2015</w:t>
      </w:r>
      <w:r>
        <w:rPr>
          <w:color w:val="000000"/>
          <w:spacing w:val="0"/>
          <w:w w:val="100"/>
          <w:position w:val="0"/>
        </w:rPr>
        <w:t>年非公开发行股票募集资金项目募集资金投入额</w:t>
      </w:r>
      <w:r>
        <w:rPr>
          <w:rFonts w:ascii="Times New Roman" w:eastAsia="Times New Roman" w:hAnsi="Times New Roman" w:cs="Times New Roman"/>
          <w:color w:val="000000"/>
          <w:spacing w:val="0"/>
          <w:w w:val="100"/>
          <w:position w:val="0"/>
        </w:rPr>
        <w:t>29,085,309.4</w:t>
      </w:r>
      <w:r>
        <w:rPr>
          <w:color w:val="000000"/>
          <w:spacing w:val="0"/>
          <w:w w:val="100"/>
          <w:position w:val="0"/>
        </w:rPr>
        <w:t>千元，截至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 xml:space="preserve">日，公司实际投入募集资金项目款项共计 </w:t>
      </w:r>
      <w:r>
        <w:rPr>
          <w:rFonts w:ascii="Times New Roman" w:eastAsia="Times New Roman" w:hAnsi="Times New Roman" w:cs="Times New Roman"/>
          <w:color w:val="000000"/>
          <w:spacing w:val="0"/>
          <w:w w:val="100"/>
          <w:position w:val="0"/>
        </w:rPr>
        <w:t>11,070,577.7</w:t>
      </w:r>
      <w:r>
        <w:rPr>
          <w:color w:val="000000"/>
          <w:spacing w:val="0"/>
          <w:w w:val="100"/>
          <w:position w:val="0"/>
        </w:rPr>
        <w:t>千元，具体使用情况如下：</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单位：千元</w:t>
      </w:r>
    </w:p>
    <w:tbl>
      <w:tblPr>
        <w:tblOverlap w:val="never"/>
        <w:jc w:val="center"/>
        <w:tblLayout w:type="fixed"/>
      </w:tblPr>
      <w:tblGrid>
        <w:gridCol w:w="2342"/>
        <w:gridCol w:w="1219"/>
        <w:gridCol w:w="1344"/>
        <w:gridCol w:w="1445"/>
        <w:gridCol w:w="1315"/>
        <w:gridCol w:w="1325"/>
        <w:gridCol w:w="1114"/>
        <w:gridCol w:w="1104"/>
        <w:gridCol w:w="1186"/>
        <w:gridCol w:w="946"/>
        <w:gridCol w:w="686"/>
      </w:tblGrid>
      <w:tr>
        <w:trPr>
          <w:trHeight w:val="302" w:hRule="exact"/>
        </w:trPr>
        <w:tc>
          <w:tcPr>
            <w:gridSpan w:val="3"/>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募集资金净额</w:t>
            </w:r>
          </w:p>
        </w:tc>
        <w:tc>
          <w:tcPr>
            <w:gridSpan w:val="3"/>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29,085,309.4</w:t>
            </w:r>
          </w:p>
        </w:tc>
        <w:tc>
          <w:tcPr>
            <w:gridSpan w:val="3"/>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报告期内投入募集资金总额</w:t>
            </w:r>
          </w:p>
        </w:tc>
        <w:tc>
          <w:tcPr>
            <w:gridSpan w:val="2"/>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11,070,577.7</w:t>
            </w:r>
          </w:p>
        </w:tc>
      </w:tr>
      <w:tr>
        <w:trPr>
          <w:trHeight w:val="293" w:hRule="exact"/>
        </w:trPr>
        <w:tc>
          <w:tcPr>
            <w:gridSpan w:val="3"/>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报告期内变更用途的募集资金总额</w:t>
            </w:r>
          </w:p>
        </w:tc>
        <w:tc>
          <w:tcPr>
            <w:gridSpan w:val="3"/>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3980" w:right="0" w:firstLine="0"/>
              <w:jc w:val="left"/>
            </w:pPr>
            <w:r>
              <w:rPr>
                <w:rFonts w:ascii="Times New Roman" w:eastAsia="Times New Roman" w:hAnsi="Times New Roman" w:cs="Times New Roman"/>
                <w:color w:val="000000"/>
                <w:spacing w:val="0"/>
                <w:w w:val="100"/>
                <w:position w:val="0"/>
              </w:rPr>
              <w:t>-</w:t>
            </w:r>
          </w:p>
        </w:tc>
        <w:tc>
          <w:tcPr>
            <w:gridSpan w:val="3"/>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已累计投入募集资金总额</w:t>
            </w:r>
          </w:p>
        </w:tc>
        <w:tc>
          <w:tcPr>
            <w:gridSpan w:val="2"/>
            <w:vMerge w:val="restart"/>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11,070,577.7</w:t>
            </w:r>
          </w:p>
        </w:tc>
      </w:tr>
      <w:tr>
        <w:trPr>
          <w:trHeight w:val="298" w:hRule="exact"/>
        </w:trPr>
        <w:tc>
          <w:tcPr>
            <w:gridSpan w:val="3"/>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累计变更用途的募集资金总额</w:t>
            </w:r>
          </w:p>
        </w:tc>
        <w:tc>
          <w:tcPr>
            <w:gridSpan w:val="3"/>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3980" w:right="0" w:firstLine="0"/>
              <w:jc w:val="left"/>
            </w:pPr>
            <w:r>
              <w:rPr>
                <w:rFonts w:ascii="Times New Roman" w:eastAsia="Times New Roman" w:hAnsi="Times New Roman" w:cs="Times New Roman"/>
                <w:color w:val="000000"/>
                <w:spacing w:val="0"/>
                <w:w w:val="100"/>
                <w:position w:val="0"/>
              </w:rPr>
              <w:t>-</w:t>
            </w:r>
          </w:p>
        </w:tc>
        <w:tc>
          <w:tcPr>
            <w:gridSpan w:val="3"/>
            <w:vMerge/>
            <w:tcBorders>
              <w:left w:val="single" w:sz="4"/>
            </w:tcBorders>
            <w:shd w:val="clear" w:color="auto" w:fill="D3D3D3"/>
            <w:vAlign w:val="center"/>
          </w:tcPr>
          <w:p>
            <w:pPr/>
          </w:p>
        </w:tc>
        <w:tc>
          <w:tcPr>
            <w:gridSpan w:val="2"/>
            <w:vMerge/>
            <w:tcBorders>
              <w:left w:val="single" w:sz="4"/>
              <w:right w:val="single" w:sz="4"/>
            </w:tcBorders>
            <w:shd w:val="clear" w:color="auto" w:fill="FFFFFF"/>
            <w:vAlign w:val="center"/>
          </w:tcPr>
          <w:p>
            <w:pPr/>
          </w:p>
        </w:tc>
      </w:tr>
      <w:tr>
        <w:trPr>
          <w:trHeight w:val="298" w:hRule="exact"/>
        </w:trPr>
        <w:tc>
          <w:tcPr>
            <w:gridSpan w:val="3"/>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累计变更用途的募集资金总额比例</w:t>
            </w:r>
          </w:p>
        </w:tc>
        <w:tc>
          <w:tcPr>
            <w:gridSpan w:val="3"/>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3980" w:right="0" w:firstLine="0"/>
              <w:jc w:val="left"/>
            </w:pPr>
            <w:r>
              <w:rPr>
                <w:rFonts w:ascii="Times New Roman" w:eastAsia="Times New Roman" w:hAnsi="Times New Roman" w:cs="Times New Roman"/>
                <w:color w:val="000000"/>
                <w:spacing w:val="0"/>
                <w:w w:val="100"/>
                <w:position w:val="0"/>
              </w:rPr>
              <w:t>-</w:t>
            </w:r>
          </w:p>
        </w:tc>
        <w:tc>
          <w:tcPr>
            <w:gridSpan w:val="3"/>
            <w:vMerge/>
            <w:tcBorders>
              <w:left w:val="single" w:sz="4"/>
            </w:tcBorders>
            <w:shd w:val="clear" w:color="auto" w:fill="D3D3D3"/>
            <w:vAlign w:val="center"/>
          </w:tcPr>
          <w:p>
            <w:pPr/>
          </w:p>
        </w:tc>
        <w:tc>
          <w:tcPr>
            <w:gridSpan w:val="2"/>
            <w:vMerge/>
            <w:tcBorders>
              <w:left w:val="single" w:sz="4"/>
              <w:right w:val="single" w:sz="4"/>
            </w:tcBorders>
            <w:shd w:val="clear" w:color="auto" w:fill="FFFFFF"/>
            <w:vAlign w:val="center"/>
          </w:tcPr>
          <w:p>
            <w:pPr/>
          </w:p>
        </w:tc>
      </w:tr>
      <w:tr>
        <w:trPr>
          <w:trHeight w:val="172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83" w:lineRule="exact"/>
              <w:ind w:left="0" w:right="0" w:firstLine="0"/>
              <w:jc w:val="center"/>
            </w:pPr>
            <w:r>
              <w:rPr>
                <w:color w:val="000000"/>
                <w:spacing w:val="0"/>
                <w:w w:val="100"/>
                <w:position w:val="0"/>
              </w:rPr>
              <w:t>承诺投资项目和超募资 金投向</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88" w:lineRule="exact"/>
              <w:ind w:left="0" w:right="0" w:firstLine="0"/>
              <w:jc w:val="center"/>
            </w:pPr>
            <w:r>
              <w:rPr>
                <w:color w:val="000000"/>
                <w:spacing w:val="0"/>
                <w:w w:val="100"/>
                <w:position w:val="0"/>
              </w:rPr>
              <w:t>是否已变更 项目(含部 分变更)</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88" w:lineRule="exact"/>
              <w:ind w:left="0" w:right="0" w:firstLine="0"/>
              <w:jc w:val="left"/>
            </w:pPr>
            <w:r>
              <w:rPr>
                <w:color w:val="000000"/>
                <w:spacing w:val="0"/>
                <w:w w:val="100"/>
                <w:position w:val="0"/>
              </w:rPr>
              <w:t>募集资金承 诺投资总额</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83" w:lineRule="exact"/>
              <w:ind w:left="0" w:right="0" w:firstLine="0"/>
              <w:jc w:val="center"/>
            </w:pPr>
            <w:r>
              <w:rPr>
                <w:color w:val="000000"/>
                <w:spacing w:val="0"/>
                <w:w w:val="100"/>
                <w:position w:val="0"/>
              </w:rPr>
              <w:t>调整后投资总 额(</w:t>
            </w:r>
            <w:r>
              <w:rPr>
                <w:rFonts w:ascii="Times New Roman" w:eastAsia="Times New Roman" w:hAnsi="Times New Roman" w:cs="Times New Roman"/>
                <w:color w:val="000000"/>
                <w:spacing w:val="0"/>
                <w:w w:val="100"/>
                <w:position w:val="0"/>
              </w:rPr>
              <w:t>1</w:t>
            </w:r>
            <w:r>
              <w:rPr>
                <w:color w:val="000000"/>
                <w:spacing w:val="0"/>
                <w:w w:val="100"/>
                <w:position w:val="0"/>
              </w:rPr>
              <w:t>)</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88" w:lineRule="exact"/>
              <w:ind w:left="0" w:right="0" w:firstLine="0"/>
              <w:jc w:val="center"/>
            </w:pPr>
            <w:r>
              <w:rPr>
                <w:color w:val="000000"/>
                <w:spacing w:val="0"/>
                <w:w w:val="100"/>
                <w:position w:val="0"/>
              </w:rPr>
              <w:t>报告期内投 入金额</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69" w:lineRule="exact"/>
              <w:ind w:left="0" w:right="0" w:firstLine="0"/>
              <w:jc w:val="left"/>
            </w:pPr>
            <w:r>
              <w:rPr>
                <w:color w:val="000000"/>
                <w:spacing w:val="0"/>
                <w:w w:val="100"/>
                <w:position w:val="0"/>
              </w:rPr>
              <w:t>截至期末累 计投入金额</w:t>
            </w:r>
          </w:p>
          <w:p>
            <w:pPr>
              <w:pStyle w:val="Style28"/>
              <w:keepNext w:val="0"/>
              <w:keepLines w:val="0"/>
              <w:widowControl w:val="0"/>
              <w:shd w:val="clear" w:color="auto" w:fill="auto"/>
              <w:bidi w:val="0"/>
              <w:spacing w:before="0" w:after="0" w:line="254" w:lineRule="auto"/>
              <w:ind w:left="0" w:right="0" w:firstLine="0"/>
              <w:jc w:val="center"/>
            </w:pPr>
            <w:r>
              <w:rPr>
                <w:rFonts w:ascii="Times New Roman" w:eastAsia="Times New Roman" w:hAnsi="Times New Roman" w:cs="Times New Roman"/>
                <w:color w:val="000000"/>
                <w:spacing w:val="0"/>
                <w:w w:val="100"/>
                <w:position w:val="0"/>
              </w:rPr>
              <w:t>(2)</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83" w:lineRule="exact"/>
              <w:ind w:left="0" w:right="0" w:firstLine="0"/>
              <w:jc w:val="left"/>
            </w:pPr>
            <w:r>
              <w:rPr>
                <w:color w:val="000000"/>
                <w:spacing w:val="0"/>
                <w:w w:val="100"/>
                <w:position w:val="0"/>
              </w:rPr>
              <w:t>截至期末 投资进度</w:t>
            </w:r>
          </w:p>
          <w:p>
            <w:pPr>
              <w:pStyle w:val="Style28"/>
              <w:keepNext w:val="0"/>
              <w:keepLines w:val="0"/>
              <w:widowControl w:val="0"/>
              <w:shd w:val="clear" w:color="auto" w:fill="auto"/>
              <w:bidi w:val="0"/>
              <w:spacing w:before="0" w:after="0" w:line="283"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(3)</w:t>
            </w:r>
          </w:p>
          <w:p>
            <w:pPr>
              <w:pStyle w:val="Style28"/>
              <w:keepNext w:val="0"/>
              <w:keepLines w:val="0"/>
              <w:widowControl w:val="0"/>
              <w:shd w:val="clear" w:color="auto" w:fill="auto"/>
              <w:bidi w:val="0"/>
              <w:spacing w:before="0" w:after="0" w:line="283" w:lineRule="exact"/>
              <w:ind w:left="0" w:right="0" w:firstLine="0"/>
              <w:jc w:val="center"/>
            </w:pPr>
            <w:r>
              <w:rPr>
                <w:color w:val="000000"/>
                <w:spacing w:val="0"/>
                <w:w w:val="100"/>
                <w:position w:val="0"/>
              </w:rPr>
              <w:t xml:space="preserve">= </w:t>
            </w:r>
            <w:r>
              <w:rPr>
                <w:rFonts w:ascii="Times New Roman" w:eastAsia="Times New Roman" w:hAnsi="Times New Roman" w:cs="Times New Roman"/>
                <w:color w:val="000000"/>
                <w:spacing w:val="0"/>
                <w:w w:val="100"/>
                <w:position w:val="0"/>
              </w:rPr>
              <w:t>(2)/(1)</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86" w:lineRule="exact"/>
              <w:ind w:left="0" w:right="0" w:firstLine="0"/>
              <w:jc w:val="center"/>
            </w:pPr>
            <w:r>
              <w:rPr>
                <w:color w:val="000000"/>
                <w:spacing w:val="0"/>
                <w:w w:val="100"/>
                <w:position w:val="0"/>
              </w:rPr>
              <w:t>项目达到 预定可使 用状态日</w:t>
            </w:r>
          </w:p>
          <w:p>
            <w:pPr>
              <w:pStyle w:val="Style28"/>
              <w:keepNext w:val="0"/>
              <w:keepLines w:val="0"/>
              <w:widowControl w:val="0"/>
              <w:shd w:val="clear" w:color="auto" w:fill="auto"/>
              <w:bidi w:val="0"/>
              <w:spacing w:before="0" w:after="0" w:line="286" w:lineRule="exact"/>
              <w:ind w:left="0" w:right="0" w:firstLine="0"/>
              <w:jc w:val="center"/>
            </w:pPr>
            <w:r>
              <w:rPr>
                <w:color w:val="000000"/>
                <w:spacing w:val="0"/>
                <w:w w:val="100"/>
                <w:position w:val="0"/>
              </w:rPr>
              <w:t>期</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93" w:lineRule="exact"/>
              <w:ind w:left="0" w:right="0" w:firstLine="0"/>
              <w:jc w:val="center"/>
            </w:pPr>
            <w:r>
              <w:rPr>
                <w:color w:val="000000"/>
                <w:spacing w:val="0"/>
                <w:w w:val="100"/>
                <w:position w:val="0"/>
              </w:rPr>
              <w:t>报告期内实 现的效益 (净利润)</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88" w:lineRule="exact"/>
              <w:ind w:left="0" w:right="0" w:firstLine="0"/>
              <w:jc w:val="left"/>
            </w:pPr>
            <w:r>
              <w:rPr>
                <w:color w:val="000000"/>
                <w:spacing w:val="0"/>
                <w:w w:val="100"/>
                <w:position w:val="0"/>
              </w:rPr>
              <w:t>是否达到 预计效益</w:t>
            </w:r>
          </w:p>
        </w:tc>
        <w:tc>
          <w:tcPr>
            <w:tcBorders>
              <w:top w:val="single" w:sz="4"/>
              <w:left w:val="single" w:sz="4"/>
              <w:bottom w:val="single" w:sz="4"/>
              <w:right w:val="single" w:sz="4"/>
            </w:tcBorders>
            <w:shd w:val="clear" w:color="auto" w:fill="D3D3D3"/>
            <w:vAlign w:val="top"/>
          </w:tcPr>
          <w:p>
            <w:pPr>
              <w:pStyle w:val="Style28"/>
              <w:keepNext w:val="0"/>
              <w:keepLines w:val="0"/>
              <w:widowControl w:val="0"/>
              <w:shd w:val="clear" w:color="auto" w:fill="auto"/>
              <w:bidi w:val="0"/>
              <w:spacing w:before="0" w:after="0" w:line="285" w:lineRule="exact"/>
              <w:ind w:left="0" w:right="0" w:firstLine="0"/>
              <w:jc w:val="left"/>
            </w:pPr>
            <w:r>
              <w:rPr>
                <w:color w:val="000000"/>
                <w:spacing w:val="0"/>
                <w:w w:val="100"/>
                <w:position w:val="0"/>
              </w:rPr>
              <w:t>项目 可行 性是 否发 生重 大变</w:t>
            </w:r>
          </w:p>
        </w:tc>
      </w:tr>
    </w:tbl>
    <w:p>
      <w:pPr>
        <w:spacing w:lineRule="exact" w:line="1"/>
        <w:rPr>
          <w:sz w:val="2"/>
          <w:szCs w:val="2"/>
        </w:rPr>
      </w:pPr>
      <w:r>
        <w:br w:type="page"/>
      </w:r>
    </w:p>
    <w:tbl>
      <w:tblPr>
        <w:tblOverlap w:val="never"/>
        <w:jc w:val="center"/>
        <w:tblLayout w:type="fixed"/>
      </w:tblPr>
      <w:tblGrid>
        <w:gridCol w:w="2342"/>
        <w:gridCol w:w="1229"/>
        <w:gridCol w:w="1334"/>
        <w:gridCol w:w="1445"/>
        <w:gridCol w:w="1315"/>
        <w:gridCol w:w="1325"/>
        <w:gridCol w:w="1114"/>
        <w:gridCol w:w="1104"/>
        <w:gridCol w:w="1186"/>
        <w:gridCol w:w="946"/>
        <w:gridCol w:w="686"/>
      </w:tblGrid>
      <w:tr>
        <w:trPr>
          <w:trHeight w:val="35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化</w:t>
            </w:r>
          </w:p>
        </w:tc>
      </w:tr>
      <w:tr>
        <w:trPr>
          <w:trHeight w:val="350"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w:t>
            </w: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自动化拣选中心项目</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2,505,120.4</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2,505,120.4</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463,574.0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463,574.0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（注</w:t>
            </w:r>
            <w:r>
              <w:rPr>
                <w:rFonts w:ascii="Times New Roman" w:eastAsia="Times New Roman" w:hAnsi="Times New Roman" w:cs="Times New Roman"/>
                <w:color w:val="000000"/>
                <w:spacing w:val="0"/>
                <w:w w:val="100"/>
                <w:position w:val="0"/>
              </w:rPr>
              <w:t>9</w:t>
            </w:r>
            <w:r>
              <w:rPr>
                <w:color w:val="000000"/>
                <w:spacing w:val="0"/>
                <w:w w:val="100"/>
                <w:position w:val="0"/>
              </w:rPr>
              <w:t>）</w:t>
            </w:r>
          </w:p>
        </w:tc>
        <w:tc>
          <w:tcPr>
            <w:vMerge w:val="restart"/>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否</w:t>
            </w:r>
          </w:p>
        </w:tc>
      </w:tr>
      <w:tr>
        <w:trPr>
          <w:trHeight w:val="350"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区域配送中心建设项目</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2,728,332.8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2,728,332.8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318,376.9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318,376.9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547"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物流运营业务发展项目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3,500,000.0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3,242,096.0</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（注</w:t>
            </w:r>
            <w:r>
              <w:rPr>
                <w:rFonts w:ascii="Times New Roman" w:eastAsia="Times New Roman" w:hAnsi="Times New Roman" w:cs="Times New Roman"/>
                <w:color w:val="000000"/>
                <w:spacing w:val="0"/>
                <w:w w:val="100"/>
                <w:position w:val="0"/>
              </w:rPr>
              <w:t>8</w:t>
            </w:r>
            <w:r>
              <w:rPr>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477,596.6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477,596.6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12"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租赁店项目</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5,000,000.0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5,000,000.0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264,097.8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264,097.8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-22,379.2</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（注</w:t>
            </w:r>
          </w:p>
          <w:p>
            <w:pPr>
              <w:pStyle w:val="Style28"/>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10</w:t>
            </w:r>
            <w:r>
              <w:rPr>
                <w:color w:val="000000"/>
                <w:spacing w:val="0"/>
                <w:w w:val="100"/>
                <w:position w:val="0"/>
              </w:rPr>
              <w:t>）</w:t>
            </w:r>
          </w:p>
        </w:tc>
        <w:tc>
          <w:tcPr>
            <w:vMerge w:val="restart"/>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否</w:t>
            </w:r>
          </w:p>
        </w:tc>
      </w:tr>
      <w:tr>
        <w:trPr>
          <w:trHeight w:val="350"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改造店项目</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1,214,100.0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1,214,100.0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83,372.7</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83,372.7</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167,232.3</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50"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购置店项目</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3,000,000.0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3,000,000.0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55,000.0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55,000.0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1,204.2</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581" w:hRule="exact"/>
        </w:trPr>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88" w:lineRule="exact"/>
              <w:ind w:left="0" w:right="0" w:firstLine="0"/>
              <w:jc w:val="left"/>
            </w:pPr>
            <w:r>
              <w:rPr>
                <w:color w:val="000000"/>
                <w:spacing w:val="0"/>
                <w:w w:val="100"/>
                <w:position w:val="0"/>
              </w:rPr>
              <w:t>苏宁易购云店品牌推广 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847,501.3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847,501.3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407,591.8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407,591.8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581" w:hRule="exact"/>
        </w:trPr>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40" w:line="240" w:lineRule="auto"/>
              <w:ind w:left="0" w:right="0" w:firstLine="0"/>
              <w:jc w:val="left"/>
            </w:pPr>
            <w:r>
              <w:rPr>
                <w:color w:val="000000"/>
                <w:spacing w:val="0"/>
                <w:w w:val="100"/>
                <w:position w:val="0"/>
              </w:rPr>
              <w:t>补充金融公司资本金项</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2,500,000.0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2,500,000.0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2,500,000.0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vMerge w:val="restart"/>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（注</w:t>
            </w:r>
          </w:p>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w:t>
            </w:r>
            <w:r>
              <w:rPr>
                <w:color w:val="000000"/>
                <w:spacing w:val="0"/>
                <w:w w:val="100"/>
                <w:position w:val="0"/>
              </w:rPr>
              <w:t>）</w:t>
            </w:r>
          </w:p>
        </w:tc>
        <w:tc>
          <w:tcPr>
            <w:vMerge w:val="restart"/>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否</w:t>
            </w:r>
          </w:p>
        </w:tc>
      </w:tr>
      <w:tr>
        <w:trPr>
          <w:trHeight w:val="350"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补充易付宝资本金项目</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850,000.0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850,000.0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850,000.0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850,000.0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center"/>
          </w:tcPr>
          <w:p>
            <w:pPr/>
          </w:p>
        </w:tc>
      </w:tr>
      <w:tr>
        <w:trPr>
          <w:trHeight w:val="346"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云计算项目</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1,100,574.0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1,100,574.0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97,828.2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97,828.2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（注</w:t>
            </w:r>
          </w:p>
          <w:p>
            <w:pPr>
              <w:pStyle w:val="Style28"/>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12</w:t>
            </w:r>
            <w:r>
              <w:rPr>
                <w:color w:val="000000"/>
                <w:spacing w:val="0"/>
                <w:w w:val="100"/>
                <w:position w:val="0"/>
              </w:rPr>
              <w:t>）</w:t>
            </w:r>
          </w:p>
        </w:tc>
        <w:tc>
          <w:tcPr>
            <w:vMerge w:val="restart"/>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否</w:t>
            </w:r>
          </w:p>
        </w:tc>
      </w:tr>
      <w:tr>
        <w:trPr>
          <w:trHeight w:val="350"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大数据项目</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491,023.0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491,023.0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41,761.4</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41,761.4</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50"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智能家居项目</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106,561.9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106,561.9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11,378.3</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11,378.3</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864"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偿还银行贷款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2,500,000.0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2,500,000.0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2,500,000.0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（注</w:t>
            </w:r>
          </w:p>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否</w:t>
            </w:r>
          </w:p>
        </w:tc>
      </w:tr>
      <w:tr>
        <w:trPr>
          <w:trHeight w:val="869"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补充流动资金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3,000,000.0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3,000,000.0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3,000,000.0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（注</w:t>
            </w:r>
          </w:p>
          <w:p>
            <w:pPr>
              <w:pStyle w:val="Style28"/>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14</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否</w:t>
            </w:r>
          </w:p>
        </w:tc>
      </w:tr>
      <w:tr>
        <w:trPr>
          <w:trHeight w:val="322"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承诺投资项目小计</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29,343,213.4</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29,085,309.4</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11,070,577.7</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11,070,577.7</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146,057.3</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322" w:hRule="exact"/>
        </w:trPr>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归还银行贷款（如有）</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350" w:hRule="exact"/>
        </w:trPr>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补充流动资金（如有）</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350" w:hRule="exact"/>
        </w:trPr>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超募资金投向小计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355"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29,343,213.4</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29,085,309.4</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11,070,577.7</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11,070,577.7</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146,057.3</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2342"/>
        <w:gridCol w:w="11683"/>
      </w:tblGrid>
      <w:tr>
        <w:trPr>
          <w:trHeight w:val="874"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83" w:lineRule="exact"/>
              <w:ind w:left="0" w:right="0" w:firstLine="0"/>
              <w:jc w:val="both"/>
            </w:pPr>
            <w:r>
              <w:rPr>
                <w:color w:val="000000"/>
                <w:spacing w:val="0"/>
                <w:w w:val="100"/>
                <w:position w:val="0"/>
              </w:rPr>
              <w:t>未达到计划进度或预计 收益的情况和原因（分 具体项目）</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581" w:hRule="exact"/>
        </w:trPr>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78" w:lineRule="exact"/>
              <w:ind w:left="0" w:right="0" w:firstLine="0"/>
              <w:jc w:val="both"/>
            </w:pPr>
            <w:r>
              <w:rPr>
                <w:color w:val="000000"/>
                <w:spacing w:val="0"/>
                <w:w w:val="100"/>
                <w:position w:val="0"/>
              </w:rPr>
              <w:t>项目可行性发生重大变 化的情况说明</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581"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78" w:lineRule="exact"/>
              <w:ind w:left="0" w:right="0" w:firstLine="0"/>
              <w:jc w:val="both"/>
            </w:pPr>
            <w:r>
              <w:rPr>
                <w:color w:val="000000"/>
                <w:spacing w:val="0"/>
                <w:w w:val="100"/>
                <w:position w:val="0"/>
              </w:rPr>
              <w:t>超募资金的金额、用途 及使用进展情况</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581" w:hRule="exact"/>
        </w:trPr>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78" w:lineRule="exact"/>
              <w:ind w:left="0" w:right="0" w:firstLine="0"/>
              <w:jc w:val="both"/>
            </w:pPr>
            <w:r>
              <w:rPr>
                <w:color w:val="000000"/>
                <w:spacing w:val="0"/>
                <w:w w:val="100"/>
                <w:position w:val="0"/>
              </w:rPr>
              <w:t>募集资金投资项目实施 地点变更情况</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576" w:hRule="exact"/>
        </w:trPr>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78" w:lineRule="exact"/>
              <w:ind w:left="0" w:right="0" w:firstLine="0"/>
              <w:jc w:val="both"/>
            </w:pPr>
            <w:r>
              <w:rPr>
                <w:color w:val="000000"/>
                <w:spacing w:val="0"/>
                <w:w w:val="100"/>
                <w:position w:val="0"/>
              </w:rPr>
              <w:t>募集资金投资项目实施 方式调整情况</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172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78" w:lineRule="exact"/>
              <w:ind w:left="0" w:right="0" w:firstLine="0"/>
              <w:jc w:val="both"/>
            </w:pPr>
            <w:r>
              <w:rPr>
                <w:color w:val="000000"/>
                <w:spacing w:val="0"/>
                <w:w w:val="100"/>
                <w:position w:val="0"/>
              </w:rPr>
              <w:t>募集资金投资项目先期 投入及置换情况</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81" w:lineRule="exact"/>
              <w:ind w:left="0" w:right="0" w:firstLine="0"/>
              <w:jc w:val="both"/>
            </w:pPr>
            <w:r>
              <w:rPr>
                <w:color w:val="000000"/>
                <w:spacing w:val="0"/>
                <w:w w:val="100"/>
                <w:position w:val="0"/>
              </w:rPr>
              <w:t>经公司第五届董事会第三十六次会议审议通过，公司保荐机构、独立董事、监事会发表明确同意意见后，同意公司以募 集资金置换预先已投入物流平台建设项目、苏宁易购云店发展项目（购置店项目）、互联网金融项目（补充金融公司资 本金项目）及</w:t>
            </w:r>
            <w:r>
              <w:rPr>
                <w:rFonts w:ascii="Times New Roman" w:eastAsia="Times New Roman" w:hAnsi="Times New Roman" w:cs="Times New Roman"/>
                <w:color w:val="000000"/>
                <w:spacing w:val="0"/>
                <w:w w:val="100"/>
                <w:position w:val="0"/>
              </w:rPr>
              <w:t>IT</w:t>
            </w:r>
            <w:r>
              <w:rPr>
                <w:color w:val="000000"/>
                <w:spacing w:val="0"/>
                <w:w w:val="100"/>
                <w:position w:val="0"/>
              </w:rPr>
              <w:t>项目的自筹资金合计</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,299,020.5</w:t>
            </w:r>
            <w:r>
              <w:rPr>
                <w:color w:val="000000"/>
                <w:spacing w:val="0"/>
                <w:w w:val="100"/>
                <w:position w:val="0"/>
              </w:rPr>
              <w:t>千元，具体内容详见公司</w:t>
            </w:r>
            <w:r>
              <w:rPr>
                <w:rFonts w:ascii="Times New Roman" w:eastAsia="Times New Roman" w:hAnsi="Times New Roman" w:cs="Times New Roman"/>
                <w:color w:val="000000"/>
                <w:spacing w:val="0"/>
                <w:w w:val="100"/>
                <w:position w:val="0"/>
              </w:rPr>
              <w:t>2016-058</w:t>
            </w:r>
            <w:r>
              <w:rPr>
                <w:color w:val="000000"/>
                <w:spacing w:val="0"/>
                <w:w w:val="100"/>
                <w:position w:val="0"/>
              </w:rPr>
              <w:t>号公告。</w:t>
            </w:r>
          </w:p>
          <w:p>
            <w:pPr>
              <w:pStyle w:val="Style28"/>
              <w:keepNext w:val="0"/>
              <w:keepLines w:val="0"/>
              <w:widowControl w:val="0"/>
              <w:shd w:val="clear" w:color="auto" w:fill="auto"/>
              <w:bidi w:val="0"/>
              <w:spacing w:before="0" w:after="0" w:line="281" w:lineRule="exact"/>
              <w:ind w:left="0" w:right="0" w:firstLine="0"/>
              <w:jc w:val="both"/>
            </w:pPr>
            <w:r>
              <w:rPr>
                <w:color w:val="000000"/>
                <w:spacing w:val="0"/>
                <w:w w:val="100"/>
                <w:position w:val="0"/>
              </w:rPr>
              <w:t xml:space="preserve">经公司第五届董事会第三十七次会议审议通过，公司保荐机构、独立董事、监事会发表明确同意意见后，同意公司以募 集资金置换预先已投入苏宁易购云店发展项目之租赁店项目、改造店项目、苏宁易购云店品牌推广项目的自筹资金合计 </w:t>
            </w:r>
            <w:r>
              <w:rPr>
                <w:rFonts w:ascii="Times New Roman" w:eastAsia="Times New Roman" w:hAnsi="Times New Roman" w:cs="Times New Roman"/>
                <w:color w:val="000000"/>
                <w:spacing w:val="0"/>
                <w:w w:val="100"/>
                <w:position w:val="0"/>
              </w:rPr>
              <w:t>537,566.1</w:t>
            </w:r>
            <w:r>
              <w:rPr>
                <w:color w:val="000000"/>
                <w:spacing w:val="0"/>
                <w:w w:val="100"/>
                <w:position w:val="0"/>
              </w:rPr>
              <w:t>千元，具体内容详见公司</w:t>
            </w:r>
            <w:r>
              <w:rPr>
                <w:rFonts w:ascii="Times New Roman" w:eastAsia="Times New Roman" w:hAnsi="Times New Roman" w:cs="Times New Roman"/>
                <w:color w:val="000000"/>
                <w:spacing w:val="0"/>
                <w:w w:val="100"/>
                <w:position w:val="0"/>
              </w:rPr>
              <w:t>2016-063</w:t>
            </w:r>
            <w:r>
              <w:rPr>
                <w:color w:val="000000"/>
                <w:spacing w:val="0"/>
                <w:w w:val="100"/>
                <w:position w:val="0"/>
              </w:rPr>
              <w:t>号公告。</w:t>
            </w:r>
          </w:p>
        </w:tc>
      </w:tr>
      <w:tr>
        <w:trPr>
          <w:trHeight w:val="581"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78" w:lineRule="exact"/>
              <w:ind w:left="0" w:right="0" w:firstLine="0"/>
              <w:jc w:val="both"/>
            </w:pPr>
            <w:r>
              <w:rPr>
                <w:color w:val="000000"/>
                <w:spacing w:val="0"/>
                <w:w w:val="100"/>
                <w:position w:val="0"/>
              </w:rPr>
              <w:t>用闲置募集资金暂时补 充流动资金情况</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581" w:hRule="exact"/>
        </w:trPr>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93" w:lineRule="exact"/>
              <w:ind w:left="0" w:right="0" w:firstLine="0"/>
              <w:jc w:val="both"/>
            </w:pPr>
            <w:r>
              <w:rPr>
                <w:color w:val="000000"/>
                <w:spacing w:val="0"/>
                <w:w w:val="100"/>
                <w:position w:val="0"/>
              </w:rPr>
              <w:t>项目实施出现募集资金 结余的金额及原因</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143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78" w:lineRule="exact"/>
              <w:ind w:left="0" w:right="0" w:firstLine="0"/>
              <w:jc w:val="both"/>
            </w:pPr>
            <w:r>
              <w:rPr>
                <w:color w:val="000000"/>
                <w:spacing w:val="0"/>
                <w:w w:val="100"/>
                <w:position w:val="0"/>
              </w:rPr>
              <w:t>尚未使用的募集资金用 途及去向</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84" w:lineRule="exact"/>
              <w:ind w:left="0" w:right="0" w:firstLine="0"/>
              <w:jc w:val="both"/>
            </w:pPr>
            <w:r>
              <w:rPr>
                <w:color w:val="000000"/>
                <w:spacing w:val="0"/>
                <w:w w:val="100"/>
                <w:position w:val="0"/>
              </w:rPr>
              <w:t>公司尚未使用的募集资金用于物流平台建设项目、苏宁易购云店发展项目及</w:t>
            </w:r>
            <w:r>
              <w:rPr>
                <w:rFonts w:ascii="Times New Roman" w:eastAsia="Times New Roman" w:hAnsi="Times New Roman" w:cs="Times New Roman"/>
                <w:color w:val="000000"/>
                <w:spacing w:val="0"/>
                <w:w w:val="100"/>
                <w:position w:val="0"/>
              </w:rPr>
              <w:t>IT</w:t>
            </w:r>
            <w:r>
              <w:rPr>
                <w:color w:val="000000"/>
                <w:spacing w:val="0"/>
                <w:w w:val="100"/>
                <w:position w:val="0"/>
              </w:rPr>
              <w:t>项目，未使用募集资金全部存放于公司募 集资金监管银行募集资金专户中，此外为提高资金收益，公司根据</w:t>
            </w:r>
            <w:r>
              <w:rPr>
                <w:rFonts w:ascii="Times New Roman" w:eastAsia="Times New Roman" w:hAnsi="Times New Roman" w:cs="Times New Roman"/>
                <w:color w:val="000000"/>
                <w:spacing w:val="0"/>
                <w:w w:val="100"/>
                <w:position w:val="0"/>
              </w:rPr>
              <w:t>2016</w:t>
            </w:r>
            <w:r>
              <w:rPr>
                <w:color w:val="000000"/>
                <w:spacing w:val="0"/>
                <w:w w:val="100"/>
                <w:position w:val="0"/>
              </w:rPr>
              <w:t>年第一次临时股东大会审议通过《关于使用闲置 募集资金购买理财产品的议案》，将暂未使用资金部分购买了固定收益类型银行理财产品。截至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 司将暂未使用募集资金</w:t>
            </w:r>
            <w:r>
              <w:rPr>
                <w:rFonts w:ascii="Times New Roman" w:eastAsia="Times New Roman" w:hAnsi="Times New Roman" w:cs="Times New Roman"/>
                <w:color w:val="000000"/>
                <w:spacing w:val="0"/>
                <w:w w:val="100"/>
                <w:position w:val="0"/>
              </w:rPr>
              <w:t>3,761,000.0</w:t>
            </w:r>
            <w:r>
              <w:rPr>
                <w:color w:val="000000"/>
                <w:spacing w:val="0"/>
                <w:w w:val="100"/>
                <w:position w:val="0"/>
              </w:rPr>
              <w:t>千元以定期存单的方式存放，</w:t>
            </w:r>
            <w:r>
              <w:rPr>
                <w:rFonts w:ascii="Times New Roman" w:eastAsia="Times New Roman" w:hAnsi="Times New Roman" w:cs="Times New Roman"/>
                <w:color w:val="000000"/>
                <w:spacing w:val="0"/>
                <w:w w:val="100"/>
                <w:position w:val="0"/>
              </w:rPr>
              <w:t>12,548,698.1</w:t>
            </w:r>
            <w:r>
              <w:rPr>
                <w:color w:val="000000"/>
                <w:spacing w:val="0"/>
                <w:w w:val="100"/>
                <w:position w:val="0"/>
              </w:rPr>
              <w:t>千元认购商业银行保本型银行理财产品，剩 余</w:t>
            </w:r>
            <w:r>
              <w:rPr>
                <w:rFonts w:ascii="Times New Roman" w:eastAsia="Times New Roman" w:hAnsi="Times New Roman" w:cs="Times New Roman"/>
                <w:color w:val="000000"/>
                <w:spacing w:val="0"/>
                <w:w w:val="100"/>
                <w:position w:val="0"/>
              </w:rPr>
              <w:t>1,705,012.3</w:t>
            </w:r>
            <w:r>
              <w:rPr>
                <w:color w:val="000000"/>
                <w:spacing w:val="0"/>
                <w:w w:val="100"/>
                <w:position w:val="0"/>
              </w:rPr>
              <w:t>千元以活期存款方式存放，不存在存单抵押、质押及其他所有权、使用权受到限制的情况。</w:t>
            </w:r>
          </w:p>
        </w:tc>
      </w:tr>
      <w:tr>
        <w:trPr>
          <w:trHeight w:val="586" w:hRule="exact"/>
        </w:trPr>
        <w:tc>
          <w:tcPr>
            <w:tcBorders>
              <w:top w:val="single" w:sz="4"/>
              <w:left w:val="single" w:sz="4"/>
              <w:bottom w:val="single" w:sz="4"/>
            </w:tcBorders>
            <w:shd w:val="clear" w:color="auto" w:fill="D3D3D3"/>
            <w:vAlign w:val="bottom"/>
          </w:tcPr>
          <w:p>
            <w:pPr>
              <w:pStyle w:val="Style28"/>
              <w:keepNext w:val="0"/>
              <w:keepLines w:val="0"/>
              <w:widowControl w:val="0"/>
              <w:shd w:val="clear" w:color="auto" w:fill="auto"/>
              <w:bidi w:val="0"/>
              <w:spacing w:before="0" w:after="0" w:line="278" w:lineRule="exact"/>
              <w:ind w:left="0" w:right="0" w:firstLine="0"/>
              <w:jc w:val="both"/>
            </w:pPr>
            <w:r>
              <w:rPr>
                <w:color w:val="000000"/>
                <w:spacing w:val="0"/>
                <w:w w:val="100"/>
                <w:position w:val="0"/>
              </w:rPr>
              <w:t>募集资金使用及披露中 存在的问题或其他情况</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bl>
    <w:p>
      <w:pPr>
        <w:sectPr>
          <w:headerReference w:type="default" r:id="rId23"/>
          <w:footerReference w:type="default" r:id="rId24"/>
          <w:headerReference w:type="even" r:id="rId25"/>
          <w:footerReference w:type="even" r:id="rId26"/>
          <w:footnotePr>
            <w:pos w:val="pageBottom"/>
            <w:numFmt w:val="decimal"/>
            <w:numRestart w:val="continuous"/>
          </w:footnotePr>
          <w:pgSz w:w="16840" w:h="11900" w:orient="landscape"/>
          <w:pgMar w:top="1031" w:right="1304" w:bottom="1116" w:left="1324" w:header="0" w:footer="3" w:gutter="0"/>
          <w:cols w:space="720"/>
          <w:noEndnote/>
          <w:rtlGutter w:val="0"/>
          <w:docGrid w:linePitch="360"/>
        </w:sectPr>
      </w:pPr>
    </w:p>
    <w:p>
      <w:pPr>
        <w:pStyle w:val="Style32"/>
        <w:keepNext w:val="0"/>
        <w:keepLines w:val="0"/>
        <w:widowControl w:val="0"/>
        <w:shd w:val="clear" w:color="auto" w:fill="auto"/>
        <w:bidi w:val="0"/>
        <w:spacing w:before="160" w:after="0" w:line="468" w:lineRule="exact"/>
        <w:ind w:left="0" w:right="0" w:firstLine="460"/>
        <w:jc w:val="both"/>
      </w:pPr>
      <w:r>
        <w:rPr>
          <w:color w:val="000000"/>
          <w:spacing w:val="0"/>
          <w:w w:val="100"/>
          <w:position w:val="0"/>
        </w:rPr>
        <w:t>注</w:t>
      </w:r>
      <w:r>
        <w:rPr>
          <w:rFonts w:ascii="Times New Roman" w:eastAsia="Times New Roman" w:hAnsi="Times New Roman" w:cs="Times New Roman"/>
          <w:color w:val="000000"/>
          <w:spacing w:val="0"/>
          <w:w w:val="100"/>
          <w:position w:val="0"/>
        </w:rPr>
        <w:t>8</w:t>
      </w:r>
      <w:r>
        <w:rPr>
          <w:color w:val="000000"/>
          <w:spacing w:val="0"/>
          <w:w w:val="100"/>
          <w:position w:val="0"/>
        </w:rPr>
        <w:t>：由于公司实际募集资金净额少于</w:t>
      </w:r>
      <w:r>
        <w:rPr>
          <w:rFonts w:ascii="Times New Roman" w:eastAsia="Times New Roman" w:hAnsi="Times New Roman" w:cs="Times New Roman"/>
          <w:color w:val="000000"/>
          <w:spacing w:val="0"/>
          <w:w w:val="100"/>
          <w:position w:val="0"/>
        </w:rPr>
        <w:t>2015</w:t>
      </w:r>
      <w:r>
        <w:rPr>
          <w:color w:val="000000"/>
          <w:spacing w:val="0"/>
          <w:w w:val="100"/>
          <w:position w:val="0"/>
        </w:rPr>
        <w:t>年非公开发行股票方案中计划使用募集资金金额， 根据公司</w:t>
      </w:r>
      <w:r>
        <w:rPr>
          <w:rFonts w:ascii="Times New Roman" w:eastAsia="Times New Roman" w:hAnsi="Times New Roman" w:cs="Times New Roman"/>
          <w:color w:val="000000"/>
          <w:spacing w:val="0"/>
          <w:w w:val="100"/>
          <w:position w:val="0"/>
        </w:rPr>
        <w:t>2015</w:t>
      </w:r>
      <w:r>
        <w:rPr>
          <w:color w:val="000000"/>
          <w:spacing w:val="0"/>
          <w:w w:val="100"/>
          <w:position w:val="0"/>
        </w:rPr>
        <w:t>年第三次临时股东大会决议，若本次发行实际募集资金净额（扣除发行费后）少于本 次募投项目拟投入募集资金总额，公司将根据实际募集资金净额，按照项目的轻重缓急等情况，调 整并最终决定募集资金的具体投资项目、优先顺序及各项目的具体投资金额，募集资金不足部分由 公司以自有资金解决。鉴于此，公司按前述原则对物流平台建设项目之物流运营业务发展项目募集 资金投入金额进行了调整，调整后的募集资金投入额为</w:t>
      </w:r>
      <w:r>
        <w:rPr>
          <w:rFonts w:ascii="Times New Roman" w:eastAsia="Times New Roman" w:hAnsi="Times New Roman" w:cs="Times New Roman"/>
          <w:color w:val="000000"/>
          <w:spacing w:val="0"/>
          <w:w w:val="100"/>
          <w:position w:val="0"/>
        </w:rPr>
        <w:t>3,242,096.0</w:t>
      </w:r>
      <w:r>
        <w:rPr>
          <w:color w:val="000000"/>
          <w:spacing w:val="0"/>
          <w:w w:val="100"/>
          <w:position w:val="0"/>
        </w:rPr>
        <w:t>千元。</w:t>
      </w:r>
    </w:p>
    <w:p>
      <w:pPr>
        <w:pStyle w:val="Style32"/>
        <w:keepNext w:val="0"/>
        <w:keepLines w:val="0"/>
        <w:widowControl w:val="0"/>
        <w:shd w:val="clear" w:color="auto" w:fill="auto"/>
        <w:bidi w:val="0"/>
        <w:spacing w:before="0" w:after="0" w:line="468" w:lineRule="exact"/>
        <w:ind w:left="0" w:right="0" w:firstLine="460"/>
        <w:jc w:val="both"/>
      </w:pPr>
      <w:r>
        <w:rPr>
          <w:color w:val="000000"/>
          <w:spacing w:val="0"/>
          <w:w w:val="100"/>
          <w:position w:val="0"/>
        </w:rPr>
        <w:t>注</w:t>
      </w:r>
      <w:r>
        <w:rPr>
          <w:rFonts w:ascii="Times New Roman" w:eastAsia="Times New Roman" w:hAnsi="Times New Roman" w:cs="Times New Roman"/>
          <w:color w:val="000000"/>
          <w:spacing w:val="0"/>
          <w:w w:val="100"/>
          <w:position w:val="0"/>
        </w:rPr>
        <w:t>9</w:t>
      </w:r>
      <w:r>
        <w:rPr>
          <w:color w:val="000000"/>
          <w:spacing w:val="0"/>
          <w:w w:val="100"/>
          <w:position w:val="0"/>
        </w:rPr>
        <w:t>：通过自动化拣选中心项目、区域配送中心建设项目建设，公司可高效地进行资源配置与调 度，降低实际运作成本。未来随着物流社会化运作，在满足自用基础上，公司将部分物流仓储对外 租赁，获取租金收入。物流运营发展项目符合未来公司战略发展方向，具有良好的市场发展前景和 经济效益，项目完成后，能够进一步提升公司的服务客户、平台商户的能力和物流响应时间，有效 降低物流运营成本，增强公司竞争力。</w:t>
      </w:r>
    </w:p>
    <w:p>
      <w:pPr>
        <w:pStyle w:val="Style32"/>
        <w:keepNext w:val="0"/>
        <w:keepLines w:val="0"/>
        <w:widowControl w:val="0"/>
        <w:shd w:val="clear" w:color="auto" w:fill="auto"/>
        <w:bidi w:val="0"/>
        <w:spacing w:before="0" w:after="0" w:line="468" w:lineRule="exact"/>
        <w:ind w:left="0" w:right="0" w:firstLine="460"/>
        <w:jc w:val="both"/>
      </w:pPr>
      <w:r>
        <w:rPr>
          <w:color w:val="000000"/>
          <w:spacing w:val="0"/>
          <w:w w:val="100"/>
          <w:position w:val="0"/>
        </w:rPr>
        <w:t>注</w:t>
      </w:r>
      <w:r>
        <w:rPr>
          <w:rFonts w:ascii="Times New Roman" w:eastAsia="Times New Roman" w:hAnsi="Times New Roman" w:cs="Times New Roman"/>
          <w:color w:val="000000"/>
          <w:spacing w:val="0"/>
          <w:w w:val="100"/>
          <w:position w:val="0"/>
        </w:rPr>
        <w:t>10</w:t>
      </w:r>
      <w:r>
        <w:rPr>
          <w:color w:val="000000"/>
          <w:spacing w:val="0"/>
          <w:w w:val="100"/>
          <w:position w:val="0"/>
        </w:rPr>
        <w:t>：租赁店项目、改造店项目、购置店项目全部投资后，将大大充实公司实体门店网络，增 强公司在</w:t>
      </w:r>
      <w:r>
        <w:rPr>
          <w:rFonts w:ascii="Times New Roman" w:eastAsia="Times New Roman" w:hAnsi="Times New Roman" w:cs="Times New Roman"/>
          <w:color w:val="000000"/>
          <w:spacing w:val="0"/>
          <w:w w:val="100"/>
          <w:position w:val="0"/>
        </w:rPr>
        <w:t>“</w:t>
      </w:r>
      <w:r>
        <w:rPr>
          <w:color w:val="000000"/>
          <w:spacing w:val="0"/>
          <w:w w:val="100"/>
          <w:position w:val="0"/>
        </w:rPr>
        <w:t>互联网</w:t>
      </w:r>
      <w:r>
        <w:rPr>
          <w:rFonts w:ascii="Times New Roman" w:eastAsia="Times New Roman" w:hAnsi="Times New Roman" w:cs="Times New Roman"/>
          <w:color w:val="000000"/>
          <w:spacing w:val="0"/>
          <w:w w:val="100"/>
          <w:position w:val="0"/>
        </w:rPr>
        <w:t>+”</w:t>
      </w:r>
      <w:r>
        <w:rPr>
          <w:color w:val="000000"/>
          <w:spacing w:val="0"/>
          <w:w w:val="100"/>
          <w:position w:val="0"/>
        </w:rPr>
        <w:t>竞争环境下的竞争力，实现公司线上线下融合，进一步提升公司盈利能力；苏宁 易购云店品牌推广项目不直接产生经济效益，项目完成后，将有助于提升苏宁易购云店的消费者认 同，公司的品牌价值与形象将得到大幅提升。截至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日，租赁店项目开设苏宁易购云 店</w:t>
      </w:r>
      <w:r>
        <w:rPr>
          <w:rFonts w:ascii="Times New Roman" w:eastAsia="Times New Roman" w:hAnsi="Times New Roman" w:cs="Times New Roman"/>
          <w:color w:val="000000"/>
          <w:spacing w:val="0"/>
          <w:w w:val="100"/>
          <w:position w:val="0"/>
        </w:rPr>
        <w:t>63</w:t>
      </w:r>
      <w:r>
        <w:rPr>
          <w:color w:val="000000"/>
          <w:spacing w:val="0"/>
          <w:w w:val="100"/>
          <w:position w:val="0"/>
        </w:rPr>
        <w:t>家，报告期内实现净利润</w:t>
      </w:r>
      <w:r>
        <w:rPr>
          <w:rFonts w:ascii="Times New Roman" w:eastAsia="Times New Roman" w:hAnsi="Times New Roman" w:cs="Times New Roman"/>
          <w:color w:val="000000"/>
          <w:spacing w:val="0"/>
          <w:w w:val="100"/>
          <w:position w:val="0"/>
        </w:rPr>
        <w:t>-22,379.2</w:t>
      </w:r>
      <w:r>
        <w:rPr>
          <w:color w:val="000000"/>
          <w:spacing w:val="0"/>
          <w:w w:val="100"/>
          <w:position w:val="0"/>
        </w:rPr>
        <w:t>千元，随着新开店的逐步成熟，效益将逐步提高；改造店项 目开设苏宁易购云店</w:t>
      </w:r>
      <w:r>
        <w:rPr>
          <w:rFonts w:ascii="Times New Roman" w:eastAsia="Times New Roman" w:hAnsi="Times New Roman" w:cs="Times New Roman"/>
          <w:color w:val="000000"/>
          <w:spacing w:val="0"/>
          <w:w w:val="100"/>
          <w:position w:val="0"/>
        </w:rPr>
        <w:t>64</w:t>
      </w:r>
      <w:r>
        <w:rPr>
          <w:color w:val="000000"/>
          <w:spacing w:val="0"/>
          <w:w w:val="100"/>
          <w:position w:val="0"/>
        </w:rPr>
        <w:t>家，报告期内实现净利润</w:t>
      </w:r>
      <w:r>
        <w:rPr>
          <w:rFonts w:ascii="Times New Roman" w:eastAsia="Times New Roman" w:hAnsi="Times New Roman" w:cs="Times New Roman"/>
          <w:color w:val="000000"/>
          <w:spacing w:val="0"/>
          <w:w w:val="100"/>
          <w:position w:val="0"/>
        </w:rPr>
        <w:t>167,232.3</w:t>
      </w:r>
      <w:r>
        <w:rPr>
          <w:color w:val="000000"/>
          <w:spacing w:val="0"/>
          <w:w w:val="100"/>
          <w:position w:val="0"/>
        </w:rPr>
        <w:t>千元，云店有着较强的规模盈利能力， 公司将加快云店的升级改造；购置店项目投入</w:t>
      </w:r>
      <w:r>
        <w:rPr>
          <w:rFonts w:ascii="Times New Roman" w:eastAsia="Times New Roman" w:hAnsi="Times New Roman" w:cs="Times New Roman"/>
          <w:color w:val="000000"/>
          <w:spacing w:val="0"/>
          <w:w w:val="100"/>
          <w:position w:val="0"/>
        </w:rPr>
        <w:t>1</w:t>
      </w:r>
      <w:r>
        <w:rPr>
          <w:color w:val="000000"/>
          <w:spacing w:val="0"/>
          <w:w w:val="100"/>
          <w:position w:val="0"/>
        </w:rPr>
        <w:t>家，报告期内实现净利润</w:t>
      </w:r>
      <w:r>
        <w:rPr>
          <w:rFonts w:ascii="Times New Roman" w:eastAsia="Times New Roman" w:hAnsi="Times New Roman" w:cs="Times New Roman"/>
          <w:color w:val="000000"/>
          <w:spacing w:val="0"/>
          <w:w w:val="100"/>
          <w:position w:val="0"/>
        </w:rPr>
        <w:t>1,204.2</w:t>
      </w:r>
      <w:r>
        <w:rPr>
          <w:color w:val="000000"/>
          <w:spacing w:val="0"/>
          <w:w w:val="100"/>
          <w:position w:val="0"/>
        </w:rPr>
        <w:t>千元。</w:t>
      </w:r>
    </w:p>
    <w:p>
      <w:pPr>
        <w:pStyle w:val="Style32"/>
        <w:keepNext w:val="0"/>
        <w:keepLines w:val="0"/>
        <w:widowControl w:val="0"/>
        <w:shd w:val="clear" w:color="auto" w:fill="auto"/>
        <w:bidi w:val="0"/>
        <w:spacing w:before="0" w:after="0" w:line="468" w:lineRule="exact"/>
        <w:ind w:left="0" w:right="0" w:firstLine="460"/>
        <w:jc w:val="both"/>
      </w:pPr>
      <w:r>
        <w:rPr>
          <w:color w:val="000000"/>
          <w:spacing w:val="0"/>
          <w:w w:val="100"/>
          <w:position w:val="0"/>
        </w:rPr>
        <w:t>注</w:t>
      </w:r>
      <w:r>
        <w:rPr>
          <w:rFonts w:ascii="Times New Roman" w:eastAsia="Times New Roman" w:hAnsi="Times New Roman" w:cs="Times New Roman"/>
          <w:color w:val="000000"/>
          <w:spacing w:val="0"/>
          <w:w w:val="100"/>
          <w:position w:val="0"/>
        </w:rPr>
        <w:t>11</w:t>
      </w:r>
      <w:r>
        <w:rPr>
          <w:color w:val="000000"/>
          <w:spacing w:val="0"/>
          <w:w w:val="100"/>
          <w:position w:val="0"/>
        </w:rPr>
        <w:t>：补充金融公司资本金项目为增资苏宁商业保理有限公司（以下简称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苏宁保理公司</w:t>
      </w:r>
      <w:r>
        <w:rPr>
          <w:rFonts w:ascii="Times New Roman" w:eastAsia="Times New Roman" w:hAnsi="Times New Roman" w:cs="Times New Roman"/>
          <w:color w:val="000000"/>
          <w:spacing w:val="0"/>
          <w:w w:val="100"/>
          <w:position w:val="0"/>
        </w:rPr>
        <w:t>”</w:t>
      </w:r>
      <w:r>
        <w:rPr>
          <w:color w:val="000000"/>
          <w:spacing w:val="0"/>
          <w:w w:val="100"/>
          <w:position w:val="0"/>
        </w:rPr>
        <w:t>）、 重庆苏宁小额贷款有限公司（以下简称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苏宁小贷公司</w:t>
      </w:r>
      <w:r>
        <w:rPr>
          <w:rFonts w:ascii="Times New Roman" w:eastAsia="Times New Roman" w:hAnsi="Times New Roman" w:cs="Times New Roman"/>
          <w:color w:val="000000"/>
          <w:spacing w:val="0"/>
          <w:w w:val="100"/>
          <w:position w:val="0"/>
        </w:rPr>
        <w:t>”</w:t>
      </w:r>
      <w:r>
        <w:rPr>
          <w:color w:val="000000"/>
          <w:spacing w:val="0"/>
          <w:w w:val="100"/>
          <w:position w:val="0"/>
        </w:rPr>
        <w:t>），报告期内公司分别增资苏宁保理公司、 苏宁小贷公司</w:t>
      </w:r>
      <w:r>
        <w:rPr>
          <w:rFonts w:ascii="Times New Roman" w:eastAsia="Times New Roman" w:hAnsi="Times New Roman" w:cs="Times New Roman"/>
          <w:color w:val="000000"/>
          <w:spacing w:val="0"/>
          <w:w w:val="100"/>
          <w:position w:val="0"/>
        </w:rPr>
        <w:t>16</w:t>
      </w:r>
      <w:r>
        <w:rPr>
          <w:color w:val="000000"/>
          <w:spacing w:val="0"/>
          <w:w w:val="100"/>
          <w:position w:val="0"/>
        </w:rPr>
        <w:t>亿元、</w:t>
      </w:r>
      <w:r>
        <w:rPr>
          <w:rFonts w:ascii="Times New Roman" w:eastAsia="Times New Roman" w:hAnsi="Times New Roman" w:cs="Times New Roman"/>
          <w:color w:val="000000"/>
          <w:spacing w:val="0"/>
          <w:w w:val="100"/>
          <w:position w:val="0"/>
        </w:rPr>
        <w:t>9</w:t>
      </w:r>
      <w:r>
        <w:rPr>
          <w:color w:val="000000"/>
          <w:spacing w:val="0"/>
          <w:w w:val="100"/>
          <w:position w:val="0"/>
        </w:rPr>
        <w:t>亿元；补充易付宝资本金项目为增资南京苏宁易付宝网络科技有限公司 （以下简称</w:t>
      </w:r>
      <w:r>
        <w:rPr>
          <w:rFonts w:ascii="Times New Roman" w:eastAsia="Times New Roman" w:hAnsi="Times New Roman" w:cs="Times New Roman"/>
          <w:color w:val="000000"/>
          <w:spacing w:val="0"/>
          <w:w w:val="100"/>
          <w:position w:val="0"/>
        </w:rPr>
        <w:t>“</w:t>
      </w:r>
      <w:r>
        <w:rPr>
          <w:color w:val="000000"/>
          <w:spacing w:val="0"/>
          <w:w w:val="100"/>
          <w:position w:val="0"/>
        </w:rPr>
        <w:t>苏宁易付宝公司</w:t>
      </w:r>
      <w:r>
        <w:rPr>
          <w:rFonts w:ascii="Times New Roman" w:eastAsia="Times New Roman" w:hAnsi="Times New Roman" w:cs="Times New Roman"/>
          <w:color w:val="000000"/>
          <w:spacing w:val="0"/>
          <w:w w:val="100"/>
          <w:position w:val="0"/>
        </w:rPr>
        <w:t>”</w:t>
      </w:r>
      <w:r>
        <w:rPr>
          <w:color w:val="000000"/>
          <w:spacing w:val="0"/>
          <w:w w:val="100"/>
          <w:position w:val="0"/>
        </w:rPr>
        <w:t>），报告期内公司已增资苏宁易付宝公司</w:t>
      </w:r>
      <w:r>
        <w:rPr>
          <w:rFonts w:ascii="Times New Roman" w:eastAsia="Times New Roman" w:hAnsi="Times New Roman" w:cs="Times New Roman"/>
          <w:color w:val="000000"/>
          <w:spacing w:val="0"/>
          <w:w w:val="100"/>
          <w:position w:val="0"/>
        </w:rPr>
        <w:t>8.5</w:t>
      </w:r>
      <w:r>
        <w:rPr>
          <w:color w:val="000000"/>
          <w:spacing w:val="0"/>
          <w:w w:val="100"/>
          <w:position w:val="0"/>
        </w:rPr>
        <w:t>亿元。</w:t>
      </w:r>
    </w:p>
    <w:p>
      <w:pPr>
        <w:pStyle w:val="Style32"/>
        <w:keepNext w:val="0"/>
        <w:keepLines w:val="0"/>
        <w:widowControl w:val="0"/>
        <w:shd w:val="clear" w:color="auto" w:fill="auto"/>
        <w:bidi w:val="0"/>
        <w:spacing w:before="0" w:after="0" w:line="468" w:lineRule="exact"/>
        <w:ind w:left="0" w:right="0" w:firstLine="460"/>
        <w:jc w:val="both"/>
      </w:pPr>
      <w:r>
        <w:rPr>
          <w:color w:val="000000"/>
          <w:spacing w:val="0"/>
          <w:w w:val="100"/>
          <w:position w:val="0"/>
        </w:rPr>
        <w:t>为加强募集资金管理，</w:t>
      </w:r>
      <w:r>
        <w:rPr>
          <w:rFonts w:ascii="Times New Roman" w:eastAsia="Times New Roman" w:hAnsi="Times New Roman" w:cs="Times New Roman"/>
          <w:color w:val="000000"/>
          <w:spacing w:val="0"/>
          <w:w w:val="100"/>
          <w:position w:val="0"/>
        </w:rPr>
        <w:t>2015</w:t>
      </w:r>
      <w:r>
        <w:rPr>
          <w:color w:val="000000"/>
          <w:spacing w:val="0"/>
          <w:w w:val="100"/>
          <w:position w:val="0"/>
        </w:rPr>
        <w:t>年非公开发行股票募集资金项目之补充金融公司资本金项目、补充 易付宝公司资本金项目通过公司实施增资后开设募集资金账户进行专项管理，截至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日，苏宁小贷公司募集资金专户余额（含利息收入）</w:t>
      </w:r>
      <w:r>
        <w:rPr>
          <w:rFonts w:ascii="Times New Roman" w:eastAsia="Times New Roman" w:hAnsi="Times New Roman" w:cs="Times New Roman"/>
          <w:color w:val="000000"/>
          <w:spacing w:val="0"/>
          <w:w w:val="100"/>
          <w:position w:val="0"/>
        </w:rPr>
        <w:t>4,668.0</w:t>
      </w:r>
      <w:r>
        <w:rPr>
          <w:color w:val="000000"/>
          <w:spacing w:val="0"/>
          <w:w w:val="100"/>
          <w:position w:val="0"/>
        </w:rPr>
        <w:t>千元；苏宁保理公司募集资金专户余额 （含利息收入</w:t>
      </w:r>
      <w:r>
        <w:rPr>
          <w:color w:val="000000"/>
          <w:spacing w:val="0"/>
          <w:w w:val="100"/>
          <w:position w:val="0"/>
        </w:rPr>
        <w:t>）</w:t>
      </w:r>
      <w:r>
        <w:rPr>
          <w:rFonts w:ascii="Times New Roman" w:eastAsia="Times New Roman" w:hAnsi="Times New Roman" w:cs="Times New Roman"/>
          <w:color w:val="000000"/>
          <w:spacing w:val="0"/>
          <w:w w:val="100"/>
          <w:position w:val="0"/>
        </w:rPr>
        <w:t>7.5</w:t>
      </w:r>
      <w:r>
        <w:rPr>
          <w:color w:val="000000"/>
          <w:spacing w:val="0"/>
          <w:w w:val="100"/>
          <w:position w:val="0"/>
        </w:rPr>
        <w:t>千元；苏宁易付宝公司募集资金专户余额（含募集资金账户理财余额）（含利息 收入）</w:t>
      </w:r>
      <w:r>
        <w:rPr>
          <w:rFonts w:ascii="Times New Roman" w:eastAsia="Times New Roman" w:hAnsi="Times New Roman" w:cs="Times New Roman"/>
          <w:color w:val="000000"/>
          <w:spacing w:val="0"/>
          <w:w w:val="100"/>
          <w:position w:val="0"/>
        </w:rPr>
        <w:t>92,287.1</w:t>
      </w:r>
      <w:r>
        <w:rPr>
          <w:color w:val="000000"/>
          <w:spacing w:val="0"/>
          <w:w w:val="100"/>
          <w:position w:val="0"/>
        </w:rPr>
        <w:t>千元。</w:t>
      </w:r>
    </w:p>
    <w:p>
      <w:pPr>
        <w:pStyle w:val="Style32"/>
        <w:keepNext w:val="0"/>
        <w:keepLines w:val="0"/>
        <w:widowControl w:val="0"/>
        <w:shd w:val="clear" w:color="auto" w:fill="auto"/>
        <w:bidi w:val="0"/>
        <w:spacing w:before="0" w:after="0" w:line="469" w:lineRule="exact"/>
        <w:ind w:left="0" w:right="0" w:firstLine="46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月，苏宁保理公司已使用募集资金</w:t>
      </w:r>
      <w:r>
        <w:rPr>
          <w:rFonts w:ascii="Times New Roman" w:eastAsia="Times New Roman" w:hAnsi="Times New Roman" w:cs="Times New Roman"/>
          <w:color w:val="000000"/>
          <w:spacing w:val="0"/>
          <w:w w:val="100"/>
          <w:position w:val="0"/>
        </w:rPr>
        <w:t>16</w:t>
      </w:r>
      <w:r>
        <w:rPr>
          <w:color w:val="000000"/>
          <w:spacing w:val="0"/>
          <w:w w:val="100"/>
          <w:position w:val="0"/>
        </w:rPr>
        <w:t>亿元，全部用于为公司供应链客户提供保 理业务；苏宁小贷公司已使用募集资金</w:t>
      </w:r>
      <w:r>
        <w:rPr>
          <w:rFonts w:ascii="Times New Roman" w:eastAsia="Times New Roman" w:hAnsi="Times New Roman" w:cs="Times New Roman"/>
          <w:color w:val="000000"/>
          <w:spacing w:val="0"/>
          <w:w w:val="100"/>
          <w:position w:val="0"/>
        </w:rPr>
        <w:t>8.96</w:t>
      </w:r>
      <w:r>
        <w:rPr>
          <w:color w:val="000000"/>
          <w:spacing w:val="0"/>
          <w:w w:val="100"/>
          <w:position w:val="0"/>
        </w:rPr>
        <w:t>亿元，均已用于供应链融资业务发展所需，剩余资金存 放于专户中；苏宁易付宝已使用募集资金</w:t>
      </w:r>
      <w:r>
        <w:rPr>
          <w:rFonts w:ascii="Times New Roman" w:eastAsia="Times New Roman" w:hAnsi="Times New Roman" w:cs="Times New Roman"/>
          <w:color w:val="000000"/>
          <w:spacing w:val="0"/>
          <w:w w:val="100"/>
          <w:position w:val="0"/>
        </w:rPr>
        <w:t>5.99</w:t>
      </w:r>
      <w:r>
        <w:rPr>
          <w:color w:val="000000"/>
          <w:spacing w:val="0"/>
          <w:w w:val="100"/>
          <w:position w:val="0"/>
        </w:rPr>
        <w:t>亿元用于自身业务发展，剩余资金存放于专户中。</w:t>
      </w:r>
    </w:p>
    <w:p>
      <w:pPr>
        <w:pStyle w:val="Style32"/>
        <w:keepNext w:val="0"/>
        <w:keepLines w:val="0"/>
        <w:widowControl w:val="0"/>
        <w:shd w:val="clear" w:color="auto" w:fill="auto"/>
        <w:bidi w:val="0"/>
        <w:spacing w:before="0" w:after="0" w:line="469" w:lineRule="exact"/>
        <w:ind w:left="0" w:right="0" w:firstLine="460"/>
        <w:jc w:val="left"/>
      </w:pPr>
      <w:r>
        <w:rPr>
          <w:color w:val="000000"/>
          <w:spacing w:val="0"/>
          <w:w w:val="100"/>
          <w:position w:val="0"/>
        </w:rPr>
        <w:t>补充金融公司资本金项目符合未来公司战略发展方向，具有良好的市场发展前景和经济效益， 项目完成后，能够进一步提升公司的供应链稳定性、增加利润增长点、增强公司竞争能力，从而完 善苏宁生态圈的建设；补充易付宝资本金项目具有良好的市场发展前景和经济效益，项目完成后， 能够进一步提升用户体验和粘性，并有效提高对平台商户服务水平，从而完善苏宁生态圈的建设。</w:t>
      </w:r>
    </w:p>
    <w:p>
      <w:pPr>
        <w:pStyle w:val="Style32"/>
        <w:keepNext w:val="0"/>
        <w:keepLines w:val="0"/>
        <w:widowControl w:val="0"/>
        <w:shd w:val="clear" w:color="auto" w:fill="auto"/>
        <w:bidi w:val="0"/>
        <w:spacing w:before="0" w:after="0" w:line="469" w:lineRule="exact"/>
        <w:ind w:left="0" w:right="0" w:firstLine="460"/>
        <w:jc w:val="left"/>
      </w:pPr>
      <w:r>
        <w:rPr>
          <w:color w:val="000000"/>
          <w:spacing w:val="0"/>
          <w:w w:val="100"/>
          <w:position w:val="0"/>
        </w:rPr>
        <w:t>注</w:t>
      </w:r>
      <w:r>
        <w:rPr>
          <w:rFonts w:ascii="Times New Roman" w:eastAsia="Times New Roman" w:hAnsi="Times New Roman" w:cs="Times New Roman"/>
          <w:color w:val="000000"/>
          <w:spacing w:val="0"/>
          <w:w w:val="100"/>
          <w:position w:val="0"/>
        </w:rPr>
        <w:t>12</w:t>
      </w:r>
      <w:r>
        <w:rPr>
          <w:color w:val="000000"/>
          <w:spacing w:val="0"/>
          <w:w w:val="100"/>
          <w:position w:val="0"/>
        </w:rPr>
        <w:t>：云计算项目、大数据项目及智能家居项目不直接产生经济效益。云计算项目完成后，公 司的云计算研发实力将进一步增强，云计算研发的投入为公司互联网转型提供了技术和平台支撑， 为公司经营规模的持续增长带来了强有力的后台</w:t>
      </w:r>
      <w:r>
        <w:rPr>
          <w:rFonts w:ascii="Times New Roman" w:eastAsia="Times New Roman" w:hAnsi="Times New Roman" w:cs="Times New Roman"/>
          <w:color w:val="000000"/>
          <w:spacing w:val="0"/>
          <w:w w:val="100"/>
          <w:position w:val="0"/>
        </w:rPr>
        <w:t>IT</w:t>
      </w:r>
      <w:r>
        <w:rPr>
          <w:color w:val="000000"/>
          <w:spacing w:val="0"/>
          <w:w w:val="100"/>
          <w:position w:val="0"/>
        </w:rPr>
        <w:t>技术保障；大数据项目完成后，公司在大数据收 集、整理、加工、分析等方面进行系统化建设，为企业发展提供数据决策性支持，大数据研发的投 入为公司互联网转型提供了技术和平台支撑，为公司经营规模的持续增长带来了强有力的后台</w:t>
      </w:r>
      <w:r>
        <w:rPr>
          <w:rFonts w:ascii="Times New Roman" w:eastAsia="Times New Roman" w:hAnsi="Times New Roman" w:cs="Times New Roman"/>
          <w:color w:val="000000"/>
          <w:spacing w:val="0"/>
          <w:w w:val="100"/>
          <w:position w:val="0"/>
        </w:rPr>
        <w:t>IT</w:t>
      </w:r>
      <w:r>
        <w:rPr>
          <w:color w:val="000000"/>
          <w:spacing w:val="0"/>
          <w:w w:val="100"/>
          <w:position w:val="0"/>
        </w:rPr>
        <w:t>技 术保障；智能家居项目的实施，一方面，公司将实现在智能家居的布局，分享智能家居行业巨大的 市场空间；另一方面，本项目将有助于建立苏宁云商生产商、零售商、消费者的完整的生态圈，从 而进一步提升公司的市场竞争力。</w:t>
      </w:r>
    </w:p>
    <w:p>
      <w:pPr>
        <w:pStyle w:val="Style32"/>
        <w:keepNext w:val="0"/>
        <w:keepLines w:val="0"/>
        <w:widowControl w:val="0"/>
        <w:shd w:val="clear" w:color="auto" w:fill="auto"/>
        <w:bidi w:val="0"/>
        <w:spacing w:before="0" w:after="0" w:line="469" w:lineRule="exact"/>
        <w:ind w:left="0" w:right="0" w:firstLine="460"/>
        <w:jc w:val="left"/>
      </w:pPr>
      <w:r>
        <w:rPr>
          <w:color w:val="000000"/>
          <w:spacing w:val="0"/>
          <w:w w:val="100"/>
          <w:position w:val="0"/>
        </w:rPr>
        <w:t>注</w:t>
      </w:r>
      <w:r>
        <w:rPr>
          <w:rFonts w:ascii="Times New Roman" w:eastAsia="Times New Roman" w:hAnsi="Times New Roman" w:cs="Times New Roman"/>
          <w:color w:val="000000"/>
          <w:spacing w:val="0"/>
          <w:w w:val="100"/>
          <w:position w:val="0"/>
        </w:rPr>
        <w:t>13</w:t>
      </w:r>
      <w:r>
        <w:rPr>
          <w:color w:val="000000"/>
          <w:spacing w:val="0"/>
          <w:w w:val="100"/>
          <w:position w:val="0"/>
        </w:rPr>
        <w:t>：本次募集资金用于偿还部分银行贷款后，公司资产负债率将有所下降，资产负债结构将 得到优化，短期财务费用将有所下降，公司盈利能力将得到加强，从而保证公司业务的可持续扩张。</w:t>
      </w:r>
    </w:p>
    <w:p>
      <w:pPr>
        <w:pStyle w:val="Style32"/>
        <w:keepNext w:val="0"/>
        <w:keepLines w:val="0"/>
        <w:widowControl w:val="0"/>
        <w:shd w:val="clear" w:color="auto" w:fill="auto"/>
        <w:bidi w:val="0"/>
        <w:spacing w:before="0" w:after="220" w:line="469" w:lineRule="exact"/>
        <w:ind w:left="0" w:right="0" w:firstLine="460"/>
        <w:jc w:val="left"/>
      </w:pPr>
      <w:r>
        <w:rPr>
          <w:color w:val="000000"/>
          <w:spacing w:val="0"/>
          <w:w w:val="100"/>
          <w:position w:val="0"/>
        </w:rPr>
        <w:t>注</w:t>
      </w:r>
      <w:r>
        <w:rPr>
          <w:rFonts w:ascii="Times New Roman" w:eastAsia="Times New Roman" w:hAnsi="Times New Roman" w:cs="Times New Roman"/>
          <w:color w:val="000000"/>
          <w:spacing w:val="0"/>
          <w:w w:val="100"/>
          <w:position w:val="0"/>
        </w:rPr>
        <w:t>14</w:t>
      </w:r>
      <w:r>
        <w:rPr>
          <w:color w:val="000000"/>
          <w:spacing w:val="0"/>
          <w:w w:val="100"/>
          <w:position w:val="0"/>
        </w:rPr>
        <w:t>：补充流动资金项目募集资金主要用于丰富商品，提高</w:t>
      </w:r>
      <w:r>
        <w:rPr>
          <w:rFonts w:ascii="Times New Roman" w:eastAsia="Times New Roman" w:hAnsi="Times New Roman" w:cs="Times New Roman"/>
          <w:color w:val="000000"/>
          <w:spacing w:val="0"/>
          <w:w w:val="100"/>
          <w:position w:val="0"/>
        </w:rPr>
        <w:t>3C</w:t>
      </w:r>
      <w:r>
        <w:rPr>
          <w:color w:val="000000"/>
          <w:spacing w:val="0"/>
          <w:w w:val="100"/>
          <w:position w:val="0"/>
        </w:rPr>
        <w:t>、</w:t>
      </w:r>
      <w:r>
        <w:rPr>
          <w:color w:val="000000"/>
          <w:spacing w:val="0"/>
          <w:w w:val="100"/>
          <w:position w:val="0"/>
        </w:rPr>
        <w:t>母婴、超市采购规模，以支持 全品类经营发展；扩大公司差异化采购能力，提升产品经营的附加值；围绕</w:t>
      </w:r>
      <w:r>
        <w:rPr>
          <w:rFonts w:ascii="Times New Roman" w:eastAsia="Times New Roman" w:hAnsi="Times New Roman" w:cs="Times New Roman"/>
          <w:color w:val="000000"/>
          <w:spacing w:val="0"/>
          <w:w w:val="100"/>
          <w:position w:val="0"/>
        </w:rPr>
        <w:t>020</w:t>
      </w:r>
      <w:r>
        <w:rPr>
          <w:color w:val="000000"/>
          <w:spacing w:val="0"/>
          <w:w w:val="100"/>
          <w:position w:val="0"/>
        </w:rPr>
        <w:t>平台的各个环节， 加大推广投入，提升</w:t>
      </w:r>
      <w:r>
        <w:rPr>
          <w:rFonts w:ascii="Times New Roman" w:eastAsia="Times New Roman" w:hAnsi="Times New Roman" w:cs="Times New Roman"/>
          <w:color w:val="000000"/>
          <w:spacing w:val="0"/>
          <w:w w:val="100"/>
          <w:position w:val="0"/>
        </w:rPr>
        <w:t>020</w:t>
      </w:r>
      <w:r>
        <w:rPr>
          <w:color w:val="000000"/>
          <w:spacing w:val="0"/>
          <w:w w:val="100"/>
          <w:position w:val="0"/>
        </w:rPr>
        <w:t>平台的市场竞争力；进一步加大对开放平台运营能力的投入，制定积极的 商户政策，扶植商户发展，提升开放平台的竞争力。</w:t>
      </w:r>
    </w:p>
    <w:p>
      <w:pPr>
        <w:pStyle w:val="Style38"/>
        <w:keepNext/>
        <w:keepLines/>
        <w:widowControl w:val="0"/>
        <w:shd w:val="clear" w:color="auto" w:fill="auto"/>
        <w:tabs>
          <w:tab w:pos="478" w:val="left"/>
        </w:tabs>
        <w:bidi w:val="0"/>
        <w:spacing w:before="0" w:after="140" w:line="469" w:lineRule="exact"/>
        <w:ind w:left="0" w:right="0" w:firstLine="0"/>
        <w:jc w:val="left"/>
      </w:pPr>
      <w:bookmarkStart w:id="206" w:name="bookmark206"/>
      <w:bookmarkStart w:id="207" w:name="bookmark207"/>
      <w:bookmarkStart w:id="208" w:name="bookmark208"/>
      <w:bookmarkStart w:id="209" w:name="bookmark209"/>
      <w:r>
        <w:rPr>
          <w:color w:val="000000"/>
          <w:spacing w:val="0"/>
          <w:w w:val="100"/>
          <w:position w:val="0"/>
        </w:rPr>
        <w:t>（</w:t>
      </w:r>
      <w:bookmarkEnd w:id="208"/>
      <w:r>
        <w:rPr>
          <w:rFonts w:ascii="Times New Roman" w:eastAsia="Times New Roman" w:hAnsi="Times New Roman" w:cs="Times New Roman"/>
          <w:color w:val="000000"/>
          <w:spacing w:val="0"/>
          <w:w w:val="100"/>
          <w:position w:val="0"/>
        </w:rPr>
        <w:t>3</w:t>
      </w:r>
      <w:r>
        <w:rPr>
          <w:color w:val="000000"/>
          <w:spacing w:val="0"/>
          <w:w w:val="100"/>
          <w:position w:val="0"/>
        </w:rPr>
        <w:t>）</w:t>
        <w:tab/>
        <w:t>募集资金变更项目情况</w:t>
      </w:r>
      <w:bookmarkEnd w:id="206"/>
      <w:bookmarkEnd w:id="207"/>
      <w:bookmarkEnd w:id="209"/>
    </w:p>
    <w:p>
      <w:pPr>
        <w:pStyle w:val="Style32"/>
        <w:keepNext w:val="0"/>
        <w:keepLines w:val="0"/>
        <w:widowControl w:val="0"/>
        <w:shd w:val="clear" w:color="auto" w:fill="auto"/>
        <w:bidi w:val="0"/>
        <w:spacing w:before="0" w:after="140" w:line="469" w:lineRule="exact"/>
        <w:ind w:left="0" w:right="0" w:firstLine="46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2"/>
        <w:keepNext w:val="0"/>
        <w:keepLines w:val="0"/>
        <w:widowControl w:val="0"/>
        <w:shd w:val="clear" w:color="auto" w:fill="auto"/>
        <w:bidi w:val="0"/>
        <w:spacing w:before="0" w:after="140" w:line="469" w:lineRule="exact"/>
        <w:ind w:left="0" w:right="0" w:firstLine="460"/>
        <w:jc w:val="left"/>
      </w:pPr>
      <w:r>
        <w:rPr>
          <w:color w:val="000000"/>
          <w:spacing w:val="0"/>
          <w:w w:val="100"/>
          <w:position w:val="0"/>
        </w:rPr>
        <w:t>公司报告期不存在募集资金变更项目情况。</w:t>
      </w:r>
    </w:p>
    <w:p>
      <w:pPr>
        <w:pStyle w:val="Style38"/>
        <w:keepNext/>
        <w:keepLines/>
        <w:widowControl w:val="0"/>
        <w:shd w:val="clear" w:color="auto" w:fill="auto"/>
        <w:tabs>
          <w:tab w:pos="478" w:val="left"/>
        </w:tabs>
        <w:bidi w:val="0"/>
        <w:spacing w:before="0" w:after="220" w:line="469" w:lineRule="exact"/>
        <w:ind w:left="0" w:right="0" w:firstLine="0"/>
        <w:jc w:val="left"/>
      </w:pPr>
      <w:bookmarkStart w:id="210" w:name="bookmark210"/>
      <w:bookmarkStart w:id="211" w:name="bookmark211"/>
      <w:bookmarkStart w:id="212" w:name="bookmark212"/>
      <w:bookmarkStart w:id="213" w:name="bookmark213"/>
      <w:r>
        <w:rPr>
          <w:color w:val="000000"/>
          <w:spacing w:val="0"/>
          <w:w w:val="100"/>
          <w:position w:val="0"/>
        </w:rPr>
        <w:t>（</w:t>
      </w:r>
      <w:bookmarkEnd w:id="212"/>
      <w:r>
        <w:rPr>
          <w:rFonts w:ascii="Times New Roman" w:eastAsia="Times New Roman" w:hAnsi="Times New Roman" w:cs="Times New Roman"/>
          <w:color w:val="000000"/>
          <w:spacing w:val="0"/>
          <w:w w:val="100"/>
          <w:position w:val="0"/>
        </w:rPr>
        <w:t>4</w:t>
      </w:r>
      <w:r>
        <w:rPr>
          <w:color w:val="000000"/>
          <w:spacing w:val="0"/>
          <w:w w:val="100"/>
          <w:position w:val="0"/>
        </w:rPr>
        <w:t>）</w:t>
        <w:tab/>
        <w:t>募集资金理财状况</w:t>
      </w:r>
      <w:bookmarkEnd w:id="210"/>
      <w:bookmarkEnd w:id="211"/>
      <w:bookmarkEnd w:id="213"/>
    </w:p>
    <w:p>
      <w:pPr>
        <w:pStyle w:val="Style32"/>
        <w:keepNext w:val="0"/>
        <w:keepLines w:val="0"/>
        <w:widowControl w:val="0"/>
        <w:shd w:val="clear" w:color="auto" w:fill="auto"/>
        <w:bidi w:val="0"/>
        <w:spacing w:before="0" w:after="0" w:line="469" w:lineRule="exact"/>
        <w:ind w:left="0" w:right="0" w:firstLine="460"/>
        <w:jc w:val="left"/>
      </w:pPr>
      <w:r>
        <w:rPr>
          <w:rFonts w:ascii="Arial" w:eastAsia="Arial" w:hAnsi="Arial" w:cs="Arial"/>
          <w:color w:val="000000"/>
          <w:spacing w:val="0"/>
          <w:w w:val="100"/>
          <w:position w:val="0"/>
        </w:rPr>
        <w:t xml:space="preserve">■ </w:t>
      </w:r>
      <w:r>
        <w:rPr>
          <w:rFonts w:ascii="Times New Roman" w:eastAsia="Times New Roman" w:hAnsi="Times New Roman" w:cs="Times New Roman"/>
          <w:color w:val="000000"/>
          <w:spacing w:val="0"/>
          <w:w w:val="100"/>
          <w:position w:val="0"/>
        </w:rPr>
        <w:t>2011</w:t>
      </w:r>
      <w:r>
        <w:rPr>
          <w:color w:val="000000"/>
          <w:spacing w:val="0"/>
          <w:w w:val="100"/>
          <w:position w:val="0"/>
        </w:rPr>
        <w:t>年非公开发行股票募集资金理财情况</w:t>
      </w:r>
    </w:p>
    <w:p>
      <w:pPr>
        <w:pStyle w:val="Style32"/>
        <w:keepNext w:val="0"/>
        <w:keepLines w:val="0"/>
        <w:widowControl w:val="0"/>
        <w:shd w:val="clear" w:color="auto" w:fill="auto"/>
        <w:bidi w:val="0"/>
        <w:spacing w:before="0" w:after="0" w:line="456" w:lineRule="exact"/>
        <w:ind w:left="0" w:right="0" w:firstLine="460"/>
        <w:jc w:val="both"/>
      </w:pPr>
      <w:r>
        <w:rPr>
          <w:color w:val="000000"/>
          <w:spacing w:val="0"/>
          <w:w w:val="100"/>
          <w:position w:val="0"/>
        </w:rPr>
        <w:t>第五届董事会第二十八次会议审议通过《关于使用闲置募集资金购买银行理财产品的议案》， 同意公司在满足</w:t>
      </w:r>
      <w:r>
        <w:rPr>
          <w:rFonts w:ascii="Times New Roman" w:eastAsia="Times New Roman" w:hAnsi="Times New Roman" w:cs="Times New Roman"/>
          <w:color w:val="000000"/>
          <w:spacing w:val="0"/>
          <w:w w:val="100"/>
          <w:position w:val="0"/>
        </w:rPr>
        <w:t>2011</w:t>
      </w:r>
      <w:r>
        <w:rPr>
          <w:color w:val="000000"/>
          <w:spacing w:val="0"/>
          <w:w w:val="100"/>
          <w:position w:val="0"/>
        </w:rPr>
        <w:t xml:space="preserve">年非公开发行股票募集资金项目建设进度和募集资金日常资金需求的情况下， </w:t>
      </w:r>
      <w:r>
        <w:rPr>
          <w:color w:val="000000"/>
          <w:spacing w:val="0"/>
          <w:w w:val="100"/>
          <w:position w:val="0"/>
        </w:rPr>
        <w:t>公司使用不超过</w:t>
      </w:r>
      <w:r>
        <w:rPr>
          <w:rFonts w:ascii="Times New Roman" w:eastAsia="Times New Roman" w:hAnsi="Times New Roman" w:cs="Times New Roman"/>
          <w:color w:val="000000"/>
          <w:spacing w:val="0"/>
          <w:w w:val="100"/>
          <w:position w:val="0"/>
        </w:rPr>
        <w:t>3</w:t>
      </w:r>
      <w:r>
        <w:rPr>
          <w:color w:val="000000"/>
          <w:spacing w:val="0"/>
          <w:w w:val="100"/>
          <w:position w:val="0"/>
        </w:rPr>
        <w:t>亿元（含）闲置募集资金</w:t>
      </w:r>
      <w:r>
        <w:rPr>
          <w:rFonts w:ascii="Times New Roman" w:eastAsia="Times New Roman" w:hAnsi="Times New Roman" w:cs="Times New Roman"/>
          <w:color w:val="000000"/>
          <w:spacing w:val="0"/>
          <w:w w:val="100"/>
          <w:position w:val="0"/>
        </w:rPr>
        <w:t>（</w:t>
      </w:r>
      <w:r>
        <w:rPr>
          <w:color w:val="000000"/>
          <w:spacing w:val="0"/>
          <w:w w:val="100"/>
          <w:position w:val="0"/>
        </w:rPr>
        <w:t>含募集资金产生的利息</w:t>
      </w:r>
      <w:r>
        <w:rPr>
          <w:rFonts w:ascii="Times New Roman" w:eastAsia="Times New Roman" w:hAnsi="Times New Roman" w:cs="Times New Roman"/>
          <w:color w:val="000000"/>
          <w:spacing w:val="0"/>
          <w:w w:val="100"/>
          <w:position w:val="0"/>
        </w:rPr>
        <w:t>）</w:t>
      </w:r>
      <w:r>
        <w:rPr>
          <w:color w:val="000000"/>
          <w:spacing w:val="0"/>
          <w:w w:val="100"/>
          <w:position w:val="0"/>
        </w:rPr>
        <w:t>购买银行保本型理财产品。在该 投资理财额度内，资金可以在一年内滚动进行使用，即任一时点公司使用闲置募集资金购买银行理 财产品的余额不超过</w:t>
      </w:r>
      <w:r>
        <w:rPr>
          <w:rFonts w:ascii="Times New Roman" w:eastAsia="Times New Roman" w:hAnsi="Times New Roman" w:cs="Times New Roman"/>
          <w:color w:val="000000"/>
          <w:spacing w:val="0"/>
          <w:w w:val="100"/>
          <w:position w:val="0"/>
        </w:rPr>
        <w:t>3</w:t>
      </w:r>
      <w:r>
        <w:rPr>
          <w:color w:val="000000"/>
          <w:spacing w:val="0"/>
          <w:w w:val="100"/>
          <w:position w:val="0"/>
        </w:rPr>
        <w:t>亿元（含）。</w:t>
      </w:r>
    </w:p>
    <w:p>
      <w:pPr>
        <w:pStyle w:val="Style32"/>
        <w:keepNext w:val="0"/>
        <w:keepLines w:val="0"/>
        <w:widowControl w:val="0"/>
        <w:shd w:val="clear" w:color="auto" w:fill="auto"/>
        <w:bidi w:val="0"/>
        <w:spacing w:before="0" w:after="100" w:line="466" w:lineRule="exact"/>
        <w:ind w:left="0" w:right="0" w:firstLine="540"/>
        <w:jc w:val="left"/>
      </w:pPr>
      <w:r>
        <w:rPr>
          <w:color w:val="000000"/>
          <w:spacing w:val="0"/>
          <w:w w:val="100"/>
          <w:position w:val="0"/>
        </w:rPr>
        <w:t>报告期内，公司累计使用闲置募集资金（含利息）</w:t>
      </w:r>
      <w:r>
        <w:rPr>
          <w:rFonts w:ascii="Times New Roman" w:eastAsia="Times New Roman" w:hAnsi="Times New Roman" w:cs="Times New Roman"/>
          <w:color w:val="000000"/>
          <w:spacing w:val="0"/>
          <w:w w:val="100"/>
          <w:position w:val="0"/>
        </w:rPr>
        <w:t>230,000.0</w:t>
      </w:r>
      <w:r>
        <w:rPr>
          <w:color w:val="000000"/>
          <w:spacing w:val="0"/>
          <w:w w:val="100"/>
          <w:position w:val="0"/>
        </w:rPr>
        <w:t>千元购买银行保本型理财产品，报 告期内收到募集资金理财收益</w:t>
      </w:r>
      <w:r>
        <w:rPr>
          <w:rFonts w:ascii="Times New Roman" w:eastAsia="Times New Roman" w:hAnsi="Times New Roman" w:cs="Times New Roman"/>
          <w:color w:val="000000"/>
          <w:spacing w:val="0"/>
          <w:w w:val="100"/>
          <w:position w:val="0"/>
        </w:rPr>
        <w:t>5,129.6</w:t>
      </w:r>
      <w:r>
        <w:rPr>
          <w:color w:val="000000"/>
          <w:spacing w:val="0"/>
          <w:w w:val="100"/>
          <w:position w:val="0"/>
        </w:rPr>
        <w:t>千元。理财明细如下：</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千元</w:t>
      </w:r>
    </w:p>
    <w:tbl>
      <w:tblPr>
        <w:tblOverlap w:val="never"/>
        <w:jc w:val="center"/>
        <w:tblLayout w:type="fixed"/>
      </w:tblPr>
      <w:tblGrid>
        <w:gridCol w:w="2640"/>
        <w:gridCol w:w="1790"/>
        <w:gridCol w:w="1435"/>
        <w:gridCol w:w="1094"/>
        <w:gridCol w:w="1094"/>
        <w:gridCol w:w="1099"/>
        <w:gridCol w:w="710"/>
      </w:tblGrid>
      <w:tr>
        <w:trPr>
          <w:trHeight w:val="298" w:hRule="exact"/>
        </w:trPr>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募集资金开户行</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收益类型</w:t>
            </w:r>
          </w:p>
        </w:tc>
        <w:tc>
          <w:tcPr>
            <w:gridSpan w:val="2"/>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vMerge w:val="restart"/>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78" w:lineRule="exact"/>
              <w:ind w:left="0" w:right="0" w:firstLine="0"/>
              <w:jc w:val="left"/>
            </w:pPr>
            <w:r>
              <w:rPr>
                <w:color w:val="000000"/>
                <w:spacing w:val="0"/>
                <w:w w:val="100"/>
                <w:position w:val="0"/>
              </w:rPr>
              <w:t>报告期内 理财金额</w:t>
            </w:r>
          </w:p>
        </w:tc>
        <w:tc>
          <w:tcPr>
            <w:gridSpan w:val="2"/>
            <w:tcBorders>
              <w:top w:val="single" w:sz="4"/>
              <w:left w:val="single" w:sz="4"/>
              <w:righ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利息</w:t>
            </w:r>
          </w:p>
        </w:tc>
        <w:tc>
          <w:tcPr>
            <w:vMerge/>
            <w:tcBorders>
              <w:left w:val="single" w:sz="4"/>
            </w:tcBorders>
            <w:shd w:val="clear" w:color="auto" w:fill="D3D3D3"/>
            <w:vAlign w:val="top"/>
          </w:tcPr>
          <w:p>
            <w:pP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w:t>
            </w:r>
          </w:p>
        </w:tc>
        <w:tc>
          <w:tcPr>
            <w:tcBorders>
              <w:top w:val="single" w:sz="4"/>
              <w:left w:val="single" w:sz="4"/>
              <w:righ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利息</w:t>
            </w:r>
          </w:p>
        </w:tc>
      </w:tr>
      <w:tr>
        <w:trPr>
          <w:trHeight w:val="355"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光大银行南京分行营业部</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保本型理财产品</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195,020.3</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84,979.7</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230,000.0</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bl>
    <w:p>
      <w:pPr>
        <w:widowControl w:val="0"/>
        <w:spacing w:after="359" w:line="1" w:lineRule="exact"/>
      </w:pPr>
    </w:p>
    <w:p>
      <w:pPr>
        <w:pStyle w:val="Style32"/>
        <w:keepNext w:val="0"/>
        <w:keepLines w:val="0"/>
        <w:widowControl w:val="0"/>
        <w:shd w:val="clear" w:color="auto" w:fill="auto"/>
        <w:bidi w:val="0"/>
        <w:spacing w:before="0" w:after="0" w:line="468" w:lineRule="exact"/>
        <w:ind w:left="0" w:right="0" w:firstLine="540"/>
        <w:jc w:val="left"/>
      </w:pPr>
      <w:r>
        <w:rPr>
          <w:rFonts w:ascii="Arial" w:eastAsia="Arial" w:hAnsi="Arial" w:cs="Arial"/>
          <w:color w:val="000000"/>
          <w:spacing w:val="0"/>
          <w:w w:val="100"/>
          <w:position w:val="0"/>
        </w:rPr>
        <w:t xml:space="preserve">■ </w:t>
      </w:r>
      <w:r>
        <w:rPr>
          <w:rFonts w:ascii="Times New Roman" w:eastAsia="Times New Roman" w:hAnsi="Times New Roman" w:cs="Times New Roman"/>
          <w:color w:val="000000"/>
          <w:spacing w:val="0"/>
          <w:w w:val="100"/>
          <w:position w:val="0"/>
        </w:rPr>
        <w:t>2015</w:t>
      </w:r>
      <w:r>
        <w:rPr>
          <w:color w:val="000000"/>
          <w:spacing w:val="0"/>
          <w:w w:val="100"/>
          <w:position w:val="0"/>
        </w:rPr>
        <w:t>年非公开发行股票募集资金理财情况</w:t>
      </w:r>
    </w:p>
    <w:p>
      <w:pPr>
        <w:pStyle w:val="Style32"/>
        <w:keepNext w:val="0"/>
        <w:keepLines w:val="0"/>
        <w:widowControl w:val="0"/>
        <w:shd w:val="clear" w:color="auto" w:fill="auto"/>
        <w:bidi w:val="0"/>
        <w:spacing w:before="0" w:after="0" w:line="468" w:lineRule="exact"/>
        <w:ind w:left="0" w:right="0" w:firstLine="540"/>
        <w:jc w:val="left"/>
      </w:pPr>
      <w:r>
        <w:rPr>
          <w:color w:val="000000"/>
          <w:spacing w:val="0"/>
          <w:w w:val="100"/>
          <w:position w:val="0"/>
        </w:rPr>
        <w:t>第五届董事会第三十次会议审议通过、</w:t>
      </w:r>
      <w:r>
        <w:rPr>
          <w:rFonts w:ascii="Times New Roman" w:eastAsia="Times New Roman" w:hAnsi="Times New Roman" w:cs="Times New Roman"/>
          <w:color w:val="000000"/>
          <w:spacing w:val="0"/>
          <w:w w:val="100"/>
          <w:position w:val="0"/>
        </w:rPr>
        <w:t>2016</w:t>
      </w:r>
      <w:r>
        <w:rPr>
          <w:color w:val="000000"/>
          <w:spacing w:val="0"/>
          <w:w w:val="100"/>
          <w:position w:val="0"/>
        </w:rPr>
        <w:t>年第一次临时股东大会决议通过《关于使用闲置募 集资金购买理财产品的议案》，同意公司在满足最近十二个月内募集资金项目建设进度需求下，公 司使用不超过</w:t>
      </w:r>
      <w:r>
        <w:rPr>
          <w:rFonts w:ascii="Times New Roman" w:eastAsia="Times New Roman" w:hAnsi="Times New Roman" w:cs="Times New Roman"/>
          <w:color w:val="000000"/>
          <w:spacing w:val="0"/>
          <w:w w:val="100"/>
          <w:position w:val="0"/>
        </w:rPr>
        <w:t>150</w:t>
      </w:r>
      <w:r>
        <w:rPr>
          <w:color w:val="000000"/>
          <w:spacing w:val="0"/>
          <w:w w:val="100"/>
          <w:position w:val="0"/>
        </w:rPr>
        <w:t>亿元（含）募集资金购买商业银行等金融机构发行的保本型理财产品。在该投资 理财额度内，资金可以在一年内滚动进行使用，即任一时点公司使用募集资金购买商业银行等金融 机构发行的保本型理财产品的余额不超过</w:t>
      </w:r>
      <w:r>
        <w:rPr>
          <w:rFonts w:ascii="Times New Roman" w:eastAsia="Times New Roman" w:hAnsi="Times New Roman" w:cs="Times New Roman"/>
          <w:color w:val="000000"/>
          <w:spacing w:val="0"/>
          <w:w w:val="100"/>
          <w:position w:val="0"/>
        </w:rPr>
        <w:t>150</w:t>
      </w:r>
      <w:r>
        <w:rPr>
          <w:color w:val="000000"/>
          <w:spacing w:val="0"/>
          <w:w w:val="100"/>
          <w:position w:val="0"/>
        </w:rPr>
        <w:t>亿元（含）。</w:t>
      </w:r>
    </w:p>
    <w:p>
      <w:pPr>
        <w:pStyle w:val="Style32"/>
        <w:keepNext w:val="0"/>
        <w:keepLines w:val="0"/>
        <w:widowControl w:val="0"/>
        <w:shd w:val="clear" w:color="auto" w:fill="auto"/>
        <w:bidi w:val="0"/>
        <w:spacing w:before="0" w:after="0" w:line="468" w:lineRule="exact"/>
        <w:ind w:left="0" w:right="0" w:firstLine="540"/>
        <w:jc w:val="left"/>
      </w:pPr>
      <w:r>
        <w:rPr>
          <w:rFonts w:ascii="Times New Roman" w:eastAsia="Times New Roman" w:hAnsi="Times New Roman" w:cs="Times New Roman"/>
          <w:color w:val="000000"/>
          <w:spacing w:val="0"/>
          <w:w w:val="100"/>
          <w:position w:val="0"/>
        </w:rPr>
        <w:t>2016</w:t>
      </w:r>
      <w:r>
        <w:rPr>
          <w:color w:val="000000"/>
          <w:spacing w:val="0"/>
          <w:w w:val="100"/>
          <w:position w:val="0"/>
        </w:rPr>
        <w:t>年公司及子公司累计使用闲置募集资金（含利息）</w:t>
      </w:r>
      <w:r>
        <w:rPr>
          <w:rFonts w:ascii="Times New Roman" w:eastAsia="Times New Roman" w:hAnsi="Times New Roman" w:cs="Times New Roman"/>
          <w:color w:val="000000"/>
          <w:spacing w:val="0"/>
          <w:w w:val="100"/>
          <w:position w:val="0"/>
        </w:rPr>
        <w:t>36,541,644.1</w:t>
      </w:r>
      <w:r>
        <w:rPr>
          <w:color w:val="000000"/>
          <w:spacing w:val="0"/>
          <w:w w:val="100"/>
          <w:position w:val="0"/>
        </w:rPr>
        <w:t>千元购买银行理财产品，报 告期内收到募集资金理财收益</w:t>
      </w:r>
      <w:r>
        <w:rPr>
          <w:rFonts w:ascii="Times New Roman" w:eastAsia="Times New Roman" w:hAnsi="Times New Roman" w:cs="Times New Roman"/>
          <w:color w:val="000000"/>
          <w:spacing w:val="0"/>
          <w:w w:val="100"/>
          <w:position w:val="0"/>
        </w:rPr>
        <w:t>79,988.2</w:t>
      </w:r>
      <w:r>
        <w:rPr>
          <w:color w:val="000000"/>
          <w:spacing w:val="0"/>
          <w:w w:val="100"/>
          <w:position w:val="0"/>
        </w:rPr>
        <w:t>千元。</w:t>
      </w:r>
    </w:p>
    <w:p>
      <w:pPr>
        <w:pStyle w:val="Style32"/>
        <w:keepNext w:val="0"/>
        <w:keepLines w:val="0"/>
        <w:widowControl w:val="0"/>
        <w:shd w:val="clear" w:color="auto" w:fill="auto"/>
        <w:bidi w:val="0"/>
        <w:spacing w:before="0" w:after="200" w:line="468" w:lineRule="exact"/>
        <w:ind w:left="0" w:right="0" w:firstLine="54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日，公司募集资金账户理财余额为</w:t>
      </w:r>
      <w:r>
        <w:rPr>
          <w:rFonts w:ascii="Times New Roman" w:eastAsia="Times New Roman" w:hAnsi="Times New Roman" w:cs="Times New Roman"/>
          <w:color w:val="000000"/>
          <w:spacing w:val="0"/>
          <w:w w:val="100"/>
          <w:position w:val="0"/>
        </w:rPr>
        <w:t>12,633,860.0</w:t>
      </w:r>
      <w:r>
        <w:rPr>
          <w:color w:val="000000"/>
          <w:spacing w:val="0"/>
          <w:w w:val="100"/>
          <w:position w:val="0"/>
        </w:rPr>
        <w:t xml:space="preserve">千元，其中募集资金 </w:t>
      </w:r>
      <w:r>
        <w:rPr>
          <w:rFonts w:ascii="Times New Roman" w:eastAsia="Times New Roman" w:hAnsi="Times New Roman" w:cs="Times New Roman"/>
          <w:color w:val="000000"/>
          <w:spacing w:val="0"/>
          <w:w w:val="100"/>
          <w:position w:val="0"/>
        </w:rPr>
        <w:t>12,548,698.1</w:t>
      </w:r>
      <w:r>
        <w:rPr>
          <w:color w:val="000000"/>
          <w:spacing w:val="0"/>
          <w:w w:val="100"/>
          <w:position w:val="0"/>
        </w:rPr>
        <w:t>千元，利息收入</w:t>
      </w:r>
      <w:r>
        <w:rPr>
          <w:rFonts w:ascii="Times New Roman" w:eastAsia="Times New Roman" w:hAnsi="Times New Roman" w:cs="Times New Roman"/>
          <w:color w:val="000000"/>
          <w:spacing w:val="0"/>
          <w:w w:val="100"/>
          <w:position w:val="0"/>
        </w:rPr>
        <w:t>85,161.9</w:t>
      </w:r>
      <w:r>
        <w:rPr>
          <w:color w:val="000000"/>
          <w:spacing w:val="0"/>
          <w:w w:val="100"/>
          <w:position w:val="0"/>
        </w:rPr>
        <w:t>千元，理财明细如下：</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单位：千元</w:t>
      </w:r>
    </w:p>
    <w:tbl>
      <w:tblPr>
        <w:tblOverlap w:val="never"/>
        <w:jc w:val="center"/>
        <w:tblLayout w:type="fixed"/>
      </w:tblPr>
      <w:tblGrid>
        <w:gridCol w:w="3960"/>
        <w:gridCol w:w="1450"/>
        <w:gridCol w:w="1613"/>
        <w:gridCol w:w="1637"/>
        <w:gridCol w:w="1210"/>
      </w:tblGrid>
      <w:tr>
        <w:trPr>
          <w:trHeight w:val="307" w:hRule="exact"/>
        </w:trPr>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募集资金开户行</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收益类型</w:t>
            </w:r>
          </w:p>
        </w:tc>
        <w:tc>
          <w:tcPr>
            <w:vMerge w:val="restart"/>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88" w:lineRule="exact"/>
              <w:ind w:left="0" w:right="0" w:firstLine="0"/>
              <w:jc w:val="center"/>
            </w:pPr>
            <w:r>
              <w:rPr>
                <w:color w:val="000000"/>
                <w:spacing w:val="0"/>
                <w:w w:val="100"/>
                <w:position w:val="0"/>
              </w:rPr>
              <w:t>报告期内理财 金额</w:t>
            </w:r>
          </w:p>
        </w:tc>
        <w:tc>
          <w:tcPr>
            <w:gridSpan w:val="2"/>
            <w:tcBorders>
              <w:top w:val="single" w:sz="4"/>
              <w:left w:val="single" w:sz="4"/>
              <w:righ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top"/>
          </w:tcPr>
          <w:p>
            <w:pP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rPr>
              <w:t>募集资金</w:t>
            </w:r>
          </w:p>
        </w:tc>
        <w:tc>
          <w:tcPr>
            <w:tcBorders>
              <w:top w:val="single" w:sz="4"/>
              <w:left w:val="single" w:sz="4"/>
              <w:righ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rPr>
              <w:t>利息收入</w:t>
            </w:r>
          </w:p>
        </w:tc>
      </w:tr>
      <w:tr>
        <w:trPr>
          <w:trHeight w:val="2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光大银行南京分行营业部</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保本浮动</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9,967,000.0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3,720,420.8</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26,579.2</w:t>
            </w:r>
          </w:p>
        </w:tc>
      </w:tr>
      <w:tr>
        <w:trPr>
          <w:trHeight w:val="2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光大银行南京分行营业部</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保本固定</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2,450,000.0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2,117,740.4</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32,259.6</w:t>
            </w:r>
          </w:p>
        </w:tc>
      </w:tr>
      <w:tr>
        <w:trPr>
          <w:trHeight w:val="29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广发银行南京玄武支行</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保本浮动</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2,746,000.0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571,600.0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w:t>
            </w:r>
          </w:p>
        </w:tc>
      </w:tr>
      <w:tr>
        <w:trPr>
          <w:trHeight w:val="2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华夏银行南京分行</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保本浮动</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2,607,000.0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1,499,000.0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29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建设银行南京徐庄软件园支行</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保本浮动</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4,100,000.0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699,999.9</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w:t>
            </w:r>
          </w:p>
        </w:tc>
      </w:tr>
      <w:tr>
        <w:trPr>
          <w:trHeight w:val="30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江苏银行南京城西支行</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保本浮动</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1,961,060.0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787,949.5</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8,210.5</w:t>
            </w:r>
          </w:p>
        </w:tc>
      </w:tr>
      <w:tr>
        <w:trPr>
          <w:trHeight w:val="2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交通银行南京鼓楼支行</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保本浮动</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2,300,000.0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29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民生银行南京新街口支行</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保本浮动</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1,350,000.0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449,999.9</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w:t>
            </w:r>
          </w:p>
        </w:tc>
      </w:tr>
      <w:tr>
        <w:trPr>
          <w:trHeight w:val="2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农业银行南京洪武路支行</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保本浮动</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1,500,000.0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100,000.0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29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农业银行南京洪武路支行</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保本固定</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73,123.8</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29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浦发银行南京分行城北支行</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保本固定</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460,000.0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248,270.8</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1,729.2</w:t>
            </w:r>
          </w:p>
        </w:tc>
      </w:tr>
      <w:tr>
        <w:trPr>
          <w:trHeight w:val="2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浦发银行南京分行城北支行</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保本浮动</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200,000.0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200,000.0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302"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兴业银行南京中央路支行</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保本浮动</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970,000.0</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723,716.8</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16,283.2</w:t>
            </w:r>
          </w:p>
        </w:tc>
      </w:tr>
    </w:tbl>
    <w:p>
      <w:pPr>
        <w:spacing w:lineRule="exact" w:line="1"/>
        <w:rPr>
          <w:sz w:val="2"/>
          <w:szCs w:val="2"/>
        </w:rPr>
      </w:pPr>
      <w:r>
        <w:br w:type="page"/>
      </w:r>
    </w:p>
    <w:tbl>
      <w:tblPr>
        <w:tblOverlap w:val="never"/>
        <w:jc w:val="center"/>
        <w:tblLayout w:type="fixed"/>
      </w:tblPr>
      <w:tblGrid>
        <w:gridCol w:w="3955"/>
        <w:gridCol w:w="1450"/>
        <w:gridCol w:w="1613"/>
        <w:gridCol w:w="1637"/>
        <w:gridCol w:w="1210"/>
      </w:tblGrid>
      <w:tr>
        <w:trPr>
          <w:trHeight w:val="302" w:hRule="exact"/>
        </w:trPr>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募集资金开户行</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收益类型</w:t>
            </w:r>
          </w:p>
        </w:tc>
        <w:tc>
          <w:tcPr>
            <w:vMerge w:val="restart"/>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83" w:lineRule="exact"/>
              <w:ind w:left="0" w:right="0" w:firstLine="0"/>
              <w:jc w:val="center"/>
            </w:pPr>
            <w:r>
              <w:rPr>
                <w:color w:val="000000"/>
                <w:spacing w:val="0"/>
                <w:w w:val="100"/>
                <w:position w:val="0"/>
              </w:rPr>
              <w:t>报告期内理财 金额</w:t>
            </w:r>
          </w:p>
        </w:tc>
        <w:tc>
          <w:tcPr>
            <w:gridSpan w:val="2"/>
            <w:tcBorders>
              <w:top w:val="single" w:sz="4"/>
              <w:left w:val="single" w:sz="4"/>
              <w:righ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top"/>
          </w:tcPr>
          <w:p>
            <w:pPr/>
          </w:p>
        </w:tc>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rPr>
              <w:t>募集资金</w:t>
            </w:r>
          </w:p>
        </w:tc>
        <w:tc>
          <w:tcPr>
            <w:tcBorders>
              <w:top w:val="single" w:sz="4"/>
              <w:left w:val="single" w:sz="4"/>
              <w:righ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rPr>
              <w:t>利息收入</w:t>
            </w:r>
          </w:p>
        </w:tc>
      </w:tr>
      <w:tr>
        <w:trPr>
          <w:trHeight w:val="2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中国银行南京鼓楼支行</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保本浮动</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1,430,000.0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1,430,000.0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2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中国银行南京鼓楼支行</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保本固定</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635,870.3</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302" w:hRule="exact"/>
        </w:trPr>
        <w:tc>
          <w:tcPr>
            <w:gridSpan w:val="2"/>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32,750,054.1</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12,548,698.1</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85,161.9</w:t>
            </w:r>
          </w:p>
        </w:tc>
      </w:tr>
    </w:tbl>
    <w:p>
      <w:pPr>
        <w:pStyle w:val="Style25"/>
        <w:keepNext w:val="0"/>
        <w:keepLines w:val="0"/>
        <w:widowControl w:val="0"/>
        <w:shd w:val="clear" w:color="auto" w:fill="auto"/>
        <w:bidi w:val="0"/>
        <w:spacing w:before="0" w:after="0" w:line="240" w:lineRule="auto"/>
        <w:ind w:left="533"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日，子公司募集资金账户理财余额为</w:t>
      </w:r>
      <w:r>
        <w:rPr>
          <w:rFonts w:ascii="Times New Roman" w:eastAsia="Times New Roman" w:hAnsi="Times New Roman" w:cs="Times New Roman"/>
          <w:color w:val="000000"/>
          <w:spacing w:val="0"/>
          <w:w w:val="100"/>
          <w:position w:val="0"/>
        </w:rPr>
        <w:t>704,600.0</w:t>
      </w:r>
      <w:r>
        <w:rPr>
          <w:color w:val="000000"/>
          <w:spacing w:val="0"/>
          <w:w w:val="100"/>
          <w:position w:val="0"/>
        </w:rPr>
        <w:t>千元，其中募集资金</w:t>
      </w:r>
    </w:p>
    <w:p>
      <w:pPr>
        <w:widowControl w:val="0"/>
        <w:spacing w:after="139" w:line="1" w:lineRule="exact"/>
      </w:pPr>
    </w:p>
    <w:p>
      <w:pPr>
        <w:pStyle w:val="Style32"/>
        <w:keepNext w:val="0"/>
        <w:keepLines w:val="0"/>
        <w:widowControl w:val="0"/>
        <w:shd w:val="clear" w:color="auto" w:fill="auto"/>
        <w:bidi w:val="0"/>
        <w:spacing w:before="0" w:after="200" w:line="240" w:lineRule="auto"/>
        <w:ind w:left="0" w:right="0" w:firstLine="0"/>
        <w:jc w:val="left"/>
      </w:pPr>
      <w:r>
        <w:rPr>
          <w:rFonts w:ascii="Times New Roman" w:eastAsia="Times New Roman" w:hAnsi="Times New Roman" w:cs="Times New Roman"/>
          <w:color w:val="000000"/>
          <w:spacing w:val="0"/>
          <w:w w:val="100"/>
          <w:position w:val="0"/>
        </w:rPr>
        <w:t>701,598.8</w:t>
      </w:r>
      <w:r>
        <w:rPr>
          <w:color w:val="000000"/>
          <w:spacing w:val="0"/>
          <w:w w:val="100"/>
          <w:position w:val="0"/>
        </w:rPr>
        <w:t>千元，利息收入</w:t>
      </w:r>
      <w:r>
        <w:rPr>
          <w:rFonts w:ascii="Times New Roman" w:eastAsia="Times New Roman" w:hAnsi="Times New Roman" w:cs="Times New Roman"/>
          <w:color w:val="000000"/>
          <w:spacing w:val="0"/>
          <w:w w:val="100"/>
          <w:position w:val="0"/>
        </w:rPr>
        <w:t>3,001.2</w:t>
      </w:r>
      <w:r>
        <w:rPr>
          <w:color w:val="000000"/>
          <w:spacing w:val="0"/>
          <w:w w:val="100"/>
          <w:position w:val="0"/>
        </w:rPr>
        <w:t>千元，理财明细如下:</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单位：千元</w:t>
      </w:r>
    </w:p>
    <w:tbl>
      <w:tblPr>
        <w:tblOverlap w:val="never"/>
        <w:jc w:val="center"/>
        <w:tblLayout w:type="fixed"/>
      </w:tblPr>
      <w:tblGrid>
        <w:gridCol w:w="3514"/>
        <w:gridCol w:w="1421"/>
        <w:gridCol w:w="1987"/>
        <w:gridCol w:w="1704"/>
        <w:gridCol w:w="1243"/>
      </w:tblGrid>
      <w:tr>
        <w:trPr>
          <w:trHeight w:val="298" w:hRule="exact"/>
        </w:trPr>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募集资金开户行</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收益类型</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报告期内理财金额</w:t>
            </w:r>
          </w:p>
        </w:tc>
        <w:tc>
          <w:tcPr>
            <w:gridSpan w:val="2"/>
            <w:tcBorders>
              <w:top w:val="single" w:sz="4"/>
              <w:left w:val="single" w:sz="4"/>
              <w:righ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募集资金</w:t>
            </w:r>
          </w:p>
        </w:tc>
        <w:tc>
          <w:tcPr>
            <w:tcBorders>
              <w:top w:val="single" w:sz="4"/>
              <w:left w:val="single" w:sz="4"/>
              <w:righ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利息</w:t>
            </w:r>
          </w:p>
        </w:tc>
      </w:tr>
      <w:tr>
        <w:trPr>
          <w:trHeight w:val="2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广发银行南京玄武支行</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保本浮动</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220,000.0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29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建设银行南京徐庄软件园支行</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保本浮动</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207,600.0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207,600.0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34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农业银行南京洪武路支行</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保本浮动</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29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兴业银行天津分行营业部</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保本浮动</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350,000.0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33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中国银行南京鼓楼支行</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保本固定</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250,000.00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249,479.5</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520.5</w:t>
            </w:r>
          </w:p>
        </w:tc>
      </w:tr>
      <w:tr>
        <w:trPr>
          <w:trHeight w:val="33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中国银行南京鼓楼支行</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保本浮动</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1,284,000.00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244,519.3</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2,480.7</w:t>
            </w:r>
          </w:p>
        </w:tc>
      </w:tr>
      <w:tr>
        <w:trPr>
          <w:trHeight w:val="2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中信银行南京城中支行</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保本浮动</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949,990.0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322" w:hRule="exact"/>
        </w:trPr>
        <w:tc>
          <w:tcPr>
            <w:gridSpan w:val="2"/>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3,561,590.0</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701,598.8</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3,001.2</w:t>
            </w:r>
          </w:p>
        </w:tc>
      </w:tr>
    </w:tbl>
    <w:p>
      <w:pPr>
        <w:pStyle w:val="Style25"/>
        <w:keepNext w:val="0"/>
        <w:keepLines w:val="0"/>
        <w:widowControl w:val="0"/>
        <w:shd w:val="clear" w:color="auto" w:fill="auto"/>
        <w:bidi w:val="0"/>
        <w:spacing w:before="0" w:after="0" w:line="240" w:lineRule="auto"/>
        <w:ind w:left="91" w:right="0" w:firstLine="0"/>
        <w:jc w:val="left"/>
      </w:pPr>
      <w:r>
        <w:rPr>
          <w:rFonts w:ascii="Times New Roman" w:eastAsia="Times New Roman" w:hAnsi="Times New Roman" w:cs="Times New Roman"/>
          <w:b/>
          <w:bCs/>
          <w:color w:val="000000"/>
          <w:spacing w:val="0"/>
          <w:w w:val="100"/>
          <w:position w:val="0"/>
        </w:rPr>
        <w:t>5</w:t>
      </w:r>
      <w:r>
        <w:rPr>
          <w:b/>
          <w:bCs/>
          <w:color w:val="000000"/>
          <w:spacing w:val="0"/>
          <w:w w:val="100"/>
          <w:position w:val="0"/>
        </w:rPr>
        <w:t>、公司投资理财情况</w:t>
      </w:r>
    </w:p>
    <w:p>
      <w:pPr>
        <w:widowControl w:val="0"/>
        <w:spacing w:after="59" w:line="1" w:lineRule="exact"/>
      </w:pPr>
    </w:p>
    <w:p>
      <w:pPr>
        <w:pStyle w:val="Style32"/>
        <w:keepNext w:val="0"/>
        <w:keepLines w:val="0"/>
        <w:widowControl w:val="0"/>
        <w:shd w:val="clear" w:color="auto" w:fill="auto"/>
        <w:bidi w:val="0"/>
        <w:spacing w:before="0" w:after="0" w:line="467" w:lineRule="exact"/>
        <w:ind w:left="0" w:right="0" w:firstLine="540"/>
        <w:jc w:val="left"/>
      </w:pPr>
      <w:r>
        <w:rPr>
          <w:color w:val="000000"/>
          <w:spacing w:val="0"/>
          <w:w w:val="100"/>
          <w:position w:val="0"/>
        </w:rPr>
        <w:t>报告期内，公司为提升资金使用效益，增加财务收益，公司用自有资金进行投资理财，相关情 况说明如下：</w:t>
      </w:r>
    </w:p>
    <w:p>
      <w:pPr>
        <w:pStyle w:val="Style32"/>
        <w:keepNext w:val="0"/>
        <w:keepLines w:val="0"/>
        <w:widowControl w:val="0"/>
        <w:shd w:val="clear" w:color="auto" w:fill="auto"/>
        <w:bidi w:val="0"/>
        <w:spacing w:before="0" w:after="0" w:line="467" w:lineRule="exact"/>
        <w:ind w:left="0" w:right="0" w:firstLine="54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）第五届董事会第二十九次会议审议、</w:t>
      </w:r>
      <w:r>
        <w:rPr>
          <w:rFonts w:ascii="Times New Roman" w:eastAsia="Times New Roman" w:hAnsi="Times New Roman" w:cs="Times New Roman"/>
          <w:color w:val="000000"/>
          <w:spacing w:val="0"/>
          <w:w w:val="100"/>
          <w:position w:val="0"/>
        </w:rPr>
        <w:t>2015</w:t>
      </w:r>
      <w:r>
        <w:rPr>
          <w:color w:val="000000"/>
          <w:spacing w:val="0"/>
          <w:w w:val="100"/>
          <w:position w:val="0"/>
        </w:rPr>
        <w:t>年年度股东大会决议通过了《关于使用自有资金 进行投资理财的议案》，同意公司在保证日常资金需求和资金安全的前提下，使用不超过</w:t>
      </w:r>
      <w:r>
        <w:rPr>
          <w:rFonts w:ascii="Times New Roman" w:eastAsia="Times New Roman" w:hAnsi="Times New Roman" w:cs="Times New Roman"/>
          <w:color w:val="000000"/>
          <w:spacing w:val="0"/>
          <w:w w:val="100"/>
          <w:position w:val="0"/>
        </w:rPr>
        <w:t>150</w:t>
      </w:r>
      <w:r>
        <w:rPr>
          <w:color w:val="000000"/>
          <w:spacing w:val="0"/>
          <w:w w:val="100"/>
          <w:position w:val="0"/>
        </w:rPr>
        <w:t>亿元 （含）的自有资金进行投资理财，在本额度内，资金可以滚动使用，即任一时点公司对外投资理财 的额度不超过</w:t>
      </w:r>
      <w:r>
        <w:rPr>
          <w:rFonts w:ascii="Times New Roman" w:eastAsia="Times New Roman" w:hAnsi="Times New Roman" w:cs="Times New Roman"/>
          <w:color w:val="000000"/>
          <w:spacing w:val="0"/>
          <w:w w:val="100"/>
          <w:position w:val="0"/>
        </w:rPr>
        <w:t>150</w:t>
      </w:r>
      <w:r>
        <w:rPr>
          <w:color w:val="000000"/>
          <w:spacing w:val="0"/>
          <w:w w:val="100"/>
          <w:position w:val="0"/>
        </w:rPr>
        <w:t>亿元（含），单笔理财最长投资期限不超过</w:t>
      </w:r>
      <w:r>
        <w:rPr>
          <w:rFonts w:ascii="Times New Roman" w:eastAsia="Times New Roman" w:hAnsi="Times New Roman" w:cs="Times New Roman"/>
          <w:color w:val="000000"/>
          <w:spacing w:val="0"/>
          <w:w w:val="100"/>
          <w:position w:val="0"/>
        </w:rPr>
        <w:t>12</w:t>
      </w:r>
      <w:r>
        <w:rPr>
          <w:color w:val="000000"/>
          <w:spacing w:val="0"/>
          <w:w w:val="100"/>
          <w:position w:val="0"/>
        </w:rPr>
        <w:t>个月。</w:t>
      </w:r>
    </w:p>
    <w:p>
      <w:pPr>
        <w:pStyle w:val="Style32"/>
        <w:keepNext w:val="0"/>
        <w:keepLines w:val="0"/>
        <w:widowControl w:val="0"/>
        <w:shd w:val="clear" w:color="auto" w:fill="auto"/>
        <w:bidi w:val="0"/>
        <w:spacing w:before="0" w:after="140" w:line="467" w:lineRule="exact"/>
        <w:ind w:left="0" w:right="0" w:firstLine="54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日，公司投资理财余额为</w:t>
      </w:r>
      <w:r>
        <w:rPr>
          <w:rFonts w:ascii="Times New Roman" w:eastAsia="Times New Roman" w:hAnsi="Times New Roman" w:cs="Times New Roman"/>
          <w:color w:val="000000"/>
          <w:spacing w:val="0"/>
          <w:w w:val="100"/>
          <w:position w:val="0"/>
        </w:rPr>
        <w:t>144.39</w:t>
      </w:r>
      <w:r>
        <w:rPr>
          <w:color w:val="000000"/>
          <w:spacing w:val="0"/>
          <w:w w:val="100"/>
          <w:position w:val="0"/>
        </w:rPr>
        <w:t>亿元。具体明细如下：</w:t>
      </w:r>
    </w:p>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单位：万元</w:t>
      </w:r>
    </w:p>
    <w:tbl>
      <w:tblPr>
        <w:tblOverlap w:val="never"/>
        <w:jc w:val="center"/>
        <w:tblLayout w:type="fixed"/>
      </w:tblPr>
      <w:tblGrid>
        <w:gridCol w:w="4507"/>
        <w:gridCol w:w="3437"/>
        <w:gridCol w:w="1920"/>
      </w:tblGrid>
      <w:tr>
        <w:trPr>
          <w:trHeight w:val="298" w:hRule="exact"/>
        </w:trPr>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理财机构名称</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产品收益类型（注）</w:t>
            </w:r>
          </w:p>
        </w:tc>
        <w:tc>
          <w:tcPr>
            <w:tcBorders>
              <w:top w:val="single" w:sz="4"/>
              <w:left w:val="single" w:sz="4"/>
              <w:righ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认购金额</w:t>
            </w:r>
          </w:p>
        </w:tc>
      </w:tr>
      <w:tr>
        <w:trPr>
          <w:trHeight w:val="2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德邦证券股份有限公司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非保本型（固定收益类）</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50,250</w:t>
            </w:r>
          </w:p>
        </w:tc>
      </w:tr>
      <w:tr>
        <w:trPr>
          <w:trHeight w:val="29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工商银行南京汉府支行</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非保本型（固定收益类）</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150,000</w:t>
            </w:r>
          </w:p>
        </w:tc>
      </w:tr>
      <w:tr>
        <w:trPr>
          <w:trHeight w:val="2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光大银行南京分行营业部</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非保本型（固定收益类）</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60,000</w:t>
            </w:r>
          </w:p>
        </w:tc>
      </w:tr>
      <w:tr>
        <w:trPr>
          <w:trHeight w:val="29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广发证券南京洪武路证券营业部</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非保本型（固定收益类）</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60,000</w:t>
            </w:r>
          </w:p>
        </w:tc>
      </w:tr>
      <w:tr>
        <w:trPr>
          <w:trHeight w:val="2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杭州银行南京分行</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非保本型（固定收益类）</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90,000</w:t>
            </w:r>
          </w:p>
        </w:tc>
      </w:tr>
      <w:tr>
        <w:trPr>
          <w:trHeight w:val="29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华泰证券南京分公司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非保本型（固定收益类）</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29,600</w:t>
            </w:r>
          </w:p>
        </w:tc>
      </w:tr>
      <w:tr>
        <w:trPr>
          <w:trHeight w:val="2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建设银行南京徐庄软件园支行</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非保本型（固定收益类）</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56,720</w:t>
            </w:r>
          </w:p>
        </w:tc>
      </w:tr>
      <w:tr>
        <w:trPr>
          <w:trHeight w:val="2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江苏银行南京城西支行</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保本浮动</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20,000</w:t>
            </w:r>
          </w:p>
        </w:tc>
      </w:tr>
      <w:tr>
        <w:trPr>
          <w:trHeight w:val="29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交通银行南京鼓楼支行</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保本浮动</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130,000</w:t>
            </w:r>
          </w:p>
        </w:tc>
      </w:tr>
      <w:tr>
        <w:trPr>
          <w:trHeight w:val="29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交通银行上海陆家嘴支行</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保本浮动</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w:t>
            </w:r>
          </w:p>
        </w:tc>
      </w:tr>
      <w:tr>
        <w:trPr>
          <w:trHeight w:val="298"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宁波银行南京鼓楼支行</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非保本型（固定收益类）</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110,000</w:t>
            </w:r>
          </w:p>
        </w:tc>
      </w:tr>
    </w:tbl>
    <w:p>
      <w:pPr>
        <w:spacing w:lineRule="exact" w:line="1"/>
        <w:rPr>
          <w:sz w:val="2"/>
          <w:szCs w:val="2"/>
        </w:rPr>
      </w:pPr>
      <w:r>
        <w:br w:type="page"/>
      </w:r>
    </w:p>
    <w:tbl>
      <w:tblPr>
        <w:tblOverlap w:val="never"/>
        <w:jc w:val="center"/>
        <w:tblLayout w:type="fixed"/>
      </w:tblPr>
      <w:tblGrid>
        <w:gridCol w:w="4507"/>
        <w:gridCol w:w="3437"/>
        <w:gridCol w:w="1920"/>
      </w:tblGrid>
      <w:tr>
        <w:trPr>
          <w:trHeight w:val="298" w:hRule="exact"/>
        </w:trPr>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理财机构名称</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产品收益类型（注）</w:t>
            </w:r>
          </w:p>
        </w:tc>
        <w:tc>
          <w:tcPr>
            <w:tcBorders>
              <w:top w:val="single" w:sz="4"/>
              <w:left w:val="single" w:sz="4"/>
              <w:righ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认购金额</w:t>
            </w:r>
          </w:p>
        </w:tc>
      </w:tr>
      <w:tr>
        <w:trPr>
          <w:trHeight w:val="2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兴业银行南京中央路支行</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非保本型（固定收益类）</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50,000</w:t>
            </w:r>
          </w:p>
        </w:tc>
      </w:tr>
      <w:tr>
        <w:trPr>
          <w:trHeight w:val="29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招商银行南京城西支行</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非保本型（固定收益类）</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138,145</w:t>
            </w:r>
          </w:p>
        </w:tc>
      </w:tr>
      <w:tr>
        <w:trPr>
          <w:trHeight w:val="29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浙商银行南京分行营业部</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非保本型（固定收益类）</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162,000</w:t>
            </w:r>
          </w:p>
        </w:tc>
      </w:tr>
      <w:tr>
        <w:trPr>
          <w:trHeight w:val="29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中国银行南京鼓楼支行</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非保本型（固定收益类）</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50,000</w:t>
            </w:r>
          </w:p>
        </w:tc>
      </w:tr>
      <w:tr>
        <w:trPr>
          <w:trHeight w:val="29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中航信托股份有限公司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非保本型（固定收益类）</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110,000</w:t>
            </w:r>
          </w:p>
        </w:tc>
      </w:tr>
      <w:tr>
        <w:trPr>
          <w:trHeight w:val="29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中信证券北京总部证券营业部</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保本浮动</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10,000</w:t>
            </w:r>
          </w:p>
        </w:tc>
      </w:tr>
      <w:tr>
        <w:trPr>
          <w:trHeight w:val="29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中信证券南京高楼门营业部</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保本固定</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50,000</w:t>
            </w:r>
          </w:p>
        </w:tc>
      </w:tr>
      <w:tr>
        <w:trPr>
          <w:trHeight w:val="29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中信证券经纪（香港）有限公司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非保本型（固定收益类）</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112,200</w:t>
            </w:r>
          </w:p>
        </w:tc>
      </w:tr>
      <w:tr>
        <w:trPr>
          <w:trHeight w:val="298" w:hRule="exact"/>
        </w:trPr>
        <w:tc>
          <w:tcPr>
            <w:gridSpan w:val="2"/>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1,443,915</w:t>
            </w:r>
          </w:p>
        </w:tc>
      </w:tr>
    </w:tbl>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注：公司认购的银行等金融机构发行的非保本浮动型投资理财产品，其理财产品投向均为固定收益类资</w:t>
      </w:r>
    </w:p>
    <w:p>
      <w:pPr>
        <w:pStyle w:val="Style32"/>
        <w:keepNext w:val="0"/>
        <w:keepLines w:val="0"/>
        <w:widowControl w:val="0"/>
        <w:shd w:val="clear" w:color="auto" w:fill="auto"/>
        <w:bidi w:val="0"/>
        <w:spacing w:before="0" w:after="0" w:line="469" w:lineRule="exact"/>
        <w:ind w:left="0" w:right="0" w:firstLine="0"/>
        <w:jc w:val="left"/>
        <w:rPr>
          <w:sz w:val="20"/>
          <w:szCs w:val="20"/>
        </w:rPr>
      </w:pPr>
      <w:r>
        <w:rPr>
          <w:color w:val="000000"/>
          <w:spacing w:val="0"/>
          <w:w w:val="100"/>
          <w:position w:val="0"/>
          <w:sz w:val="20"/>
          <w:szCs w:val="20"/>
        </w:rPr>
        <w:t>产，如国债、央票、高等级信用债等债权类资产，风险较低，收益稳定。公司与金融机构保持长期良好 的合作关系，内部建立有效的投资决策流程，保障投资理财的顺利开展。</w:t>
      </w:r>
    </w:p>
    <w:p>
      <w:pPr>
        <w:pStyle w:val="Style32"/>
        <w:keepNext w:val="0"/>
        <w:keepLines w:val="0"/>
        <w:widowControl w:val="0"/>
        <w:shd w:val="clear" w:color="auto" w:fill="auto"/>
        <w:bidi w:val="0"/>
        <w:spacing w:before="0" w:after="0" w:line="469" w:lineRule="exact"/>
        <w:ind w:left="0" w:right="0" w:firstLine="54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）第五届董事会第三十八次会议审议通过《关于使用自有资金投资货币市场基金的议案》， 同意公司在满足日常资金需求的情况下，使用自有资金规模不超过</w:t>
      </w:r>
      <w:r>
        <w:rPr>
          <w:rFonts w:ascii="Times New Roman" w:eastAsia="Times New Roman" w:hAnsi="Times New Roman" w:cs="Times New Roman"/>
          <w:color w:val="000000"/>
          <w:spacing w:val="0"/>
          <w:w w:val="100"/>
          <w:position w:val="0"/>
        </w:rPr>
        <w:t>50</w:t>
      </w:r>
      <w:r>
        <w:rPr>
          <w:color w:val="000000"/>
          <w:spacing w:val="0"/>
          <w:w w:val="100"/>
          <w:position w:val="0"/>
        </w:rPr>
        <w:t>亿元（含）用于投资货币市场 基金。</w:t>
      </w:r>
    </w:p>
    <w:p>
      <w:pPr>
        <w:pStyle w:val="Style32"/>
        <w:keepNext w:val="0"/>
        <w:keepLines w:val="0"/>
        <w:widowControl w:val="0"/>
        <w:shd w:val="clear" w:color="auto" w:fill="auto"/>
        <w:bidi w:val="0"/>
        <w:spacing w:before="0" w:after="140" w:line="469" w:lineRule="exact"/>
        <w:ind w:left="0" w:right="0" w:firstLine="54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月，公司投资货币市场基金余额为</w:t>
      </w:r>
      <w:r>
        <w:rPr>
          <w:rFonts w:ascii="Times New Roman" w:eastAsia="Times New Roman" w:hAnsi="Times New Roman" w:cs="Times New Roman"/>
          <w:color w:val="000000"/>
          <w:spacing w:val="0"/>
          <w:w w:val="100"/>
          <w:position w:val="0"/>
        </w:rPr>
        <w:t>14.51</w:t>
      </w:r>
      <w:r>
        <w:rPr>
          <w:color w:val="000000"/>
          <w:spacing w:val="0"/>
          <w:w w:val="100"/>
          <w:position w:val="0"/>
        </w:rPr>
        <w:t>亿元。具体明细如下：</w:t>
      </w:r>
    </w:p>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单位：万元</w:t>
      </w:r>
    </w:p>
    <w:tbl>
      <w:tblPr>
        <w:tblOverlap w:val="never"/>
        <w:jc w:val="center"/>
        <w:tblLayout w:type="fixed"/>
      </w:tblPr>
      <w:tblGrid>
        <w:gridCol w:w="3614"/>
        <w:gridCol w:w="3125"/>
        <w:gridCol w:w="3125"/>
      </w:tblGrid>
      <w:tr>
        <w:trPr>
          <w:trHeight w:val="298"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产品名称</w:t>
            </w:r>
          </w:p>
        </w:tc>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收益类型</w:t>
            </w:r>
          </w:p>
        </w:tc>
        <w:tc>
          <w:tcPr>
            <w:tcBorders>
              <w:top w:val="single" w:sz="4"/>
              <w:left w:val="single" w:sz="4"/>
              <w:righ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认购金额</w:t>
            </w:r>
          </w:p>
        </w:tc>
      </w:tr>
      <w:tr>
        <w:trPr>
          <w:trHeight w:val="2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方正富邦一现金管家</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非保本型（固定收益类）</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2400" w:right="0" w:firstLine="0"/>
              <w:jc w:val="both"/>
            </w:pPr>
            <w:r>
              <w:rPr>
                <w:rFonts w:ascii="Times New Roman" w:eastAsia="Times New Roman" w:hAnsi="Times New Roman" w:cs="Times New Roman"/>
                <w:color w:val="000000"/>
                <w:spacing w:val="0"/>
                <w:w w:val="100"/>
                <w:position w:val="0"/>
              </w:rPr>
              <w:t>60,000</w:t>
            </w:r>
          </w:p>
        </w:tc>
      </w:tr>
      <w:tr>
        <w:trPr>
          <w:trHeight w:val="29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广发货币</w:t>
            </w:r>
            <w:r>
              <w:rPr>
                <w:rFonts w:ascii="Times New Roman" w:eastAsia="Times New Roman" w:hAnsi="Times New Roman" w:cs="Times New Roman"/>
                <w:color w:val="000000"/>
                <w:spacing w:val="0"/>
                <w:w w:val="100"/>
                <w:position w:val="0"/>
              </w:rPr>
              <w:t>B</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非保本型（固定收益类）</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2400" w:right="0" w:firstLine="0"/>
              <w:jc w:val="both"/>
            </w:pPr>
            <w:r>
              <w:rPr>
                <w:rFonts w:ascii="Times New Roman" w:eastAsia="Times New Roman" w:hAnsi="Times New Roman" w:cs="Times New Roman"/>
                <w:color w:val="000000"/>
                <w:spacing w:val="0"/>
                <w:w w:val="100"/>
                <w:position w:val="0"/>
              </w:rPr>
              <w:t>10,000</w:t>
            </w:r>
          </w:p>
        </w:tc>
      </w:tr>
      <w:tr>
        <w:trPr>
          <w:trHeight w:val="29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广发天天红</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非保本型（固定收益类）</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620</w:t>
            </w:r>
          </w:p>
        </w:tc>
      </w:tr>
      <w:tr>
        <w:trPr>
          <w:trHeight w:val="29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汇添富（易付宝）</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非保本型（固定收益类）</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4,445</w:t>
            </w:r>
          </w:p>
        </w:tc>
      </w:tr>
      <w:tr>
        <w:trPr>
          <w:trHeight w:val="29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南方天天利</w:t>
            </w:r>
            <w:r>
              <w:rPr>
                <w:rFonts w:ascii="Times New Roman" w:eastAsia="Times New Roman" w:hAnsi="Times New Roman" w:cs="Times New Roman"/>
                <w:color w:val="000000"/>
                <w:spacing w:val="0"/>
                <w:w w:val="100"/>
                <w:position w:val="0"/>
              </w:rPr>
              <w:t>B</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非保本型（固定收益类）</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2400" w:right="0" w:firstLine="0"/>
              <w:jc w:val="both"/>
            </w:pPr>
            <w:r>
              <w:rPr>
                <w:rFonts w:ascii="Times New Roman" w:eastAsia="Times New Roman" w:hAnsi="Times New Roman" w:cs="Times New Roman"/>
                <w:color w:val="000000"/>
                <w:spacing w:val="0"/>
                <w:w w:val="100"/>
                <w:position w:val="0"/>
              </w:rPr>
              <w:t>10,000</w:t>
            </w:r>
          </w:p>
        </w:tc>
      </w:tr>
      <w:tr>
        <w:trPr>
          <w:trHeight w:val="29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鹏华添利宝</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非保本型（固定收益类）</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2400" w:right="0" w:firstLine="0"/>
              <w:jc w:val="both"/>
            </w:pPr>
            <w:r>
              <w:rPr>
                <w:rFonts w:ascii="Times New Roman" w:eastAsia="Times New Roman" w:hAnsi="Times New Roman" w:cs="Times New Roman"/>
                <w:color w:val="000000"/>
                <w:spacing w:val="0"/>
                <w:w w:val="100"/>
                <w:position w:val="0"/>
              </w:rPr>
              <w:t>40,000</w:t>
            </w:r>
          </w:p>
        </w:tc>
      </w:tr>
      <w:tr>
        <w:trPr>
          <w:trHeight w:val="2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招商现金增值货币</w:t>
            </w:r>
            <w:r>
              <w:rPr>
                <w:rFonts w:ascii="Times New Roman" w:eastAsia="Times New Roman" w:hAnsi="Times New Roman" w:cs="Times New Roman"/>
                <w:color w:val="000000"/>
                <w:spacing w:val="0"/>
                <w:w w:val="100"/>
                <w:position w:val="0"/>
              </w:rPr>
              <w:t>B</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非保本型（固定收益类）</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2400" w:right="0" w:firstLine="0"/>
              <w:jc w:val="both"/>
            </w:pPr>
            <w:r>
              <w:rPr>
                <w:rFonts w:ascii="Times New Roman" w:eastAsia="Times New Roman" w:hAnsi="Times New Roman" w:cs="Times New Roman"/>
                <w:color w:val="000000"/>
                <w:spacing w:val="0"/>
                <w:w w:val="100"/>
                <w:position w:val="0"/>
              </w:rPr>
              <w:t>20,000</w:t>
            </w:r>
          </w:p>
        </w:tc>
      </w:tr>
      <w:tr>
        <w:trPr>
          <w:trHeight w:val="302" w:hRule="exact"/>
        </w:trPr>
        <w:tc>
          <w:tcPr>
            <w:gridSpan w:val="2"/>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145,065</w:t>
            </w:r>
          </w:p>
        </w:tc>
      </w:tr>
    </w:tbl>
    <w:p>
      <w:pPr>
        <w:pStyle w:val="Style25"/>
        <w:keepNext w:val="0"/>
        <w:keepLines w:val="0"/>
        <w:widowControl w:val="0"/>
        <w:shd w:val="clear" w:color="auto" w:fill="auto"/>
        <w:bidi w:val="0"/>
        <w:spacing w:before="0" w:after="0" w:line="240" w:lineRule="auto"/>
        <w:ind w:left="648"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）公司第五届董事会第十八次会议审议、</w:t>
      </w:r>
      <w:r>
        <w:rPr>
          <w:rFonts w:ascii="Times New Roman" w:eastAsia="Times New Roman" w:hAnsi="Times New Roman" w:cs="Times New Roman"/>
          <w:color w:val="000000"/>
          <w:spacing w:val="0"/>
          <w:w w:val="100"/>
          <w:position w:val="0"/>
        </w:rPr>
        <w:t>2014</w:t>
      </w:r>
      <w:r>
        <w:rPr>
          <w:color w:val="000000"/>
          <w:spacing w:val="0"/>
          <w:w w:val="100"/>
          <w:position w:val="0"/>
        </w:rPr>
        <w:t>年年度股东大会决议通过《关于使用自有资金</w:t>
      </w:r>
    </w:p>
    <w:p>
      <w:pPr>
        <w:widowControl w:val="0"/>
        <w:spacing w:after="139" w:line="1" w:lineRule="exact"/>
      </w:pPr>
    </w:p>
    <w:p>
      <w:pPr>
        <w:pStyle w:val="Style32"/>
        <w:keepNext w:val="0"/>
        <w:keepLines w:val="0"/>
        <w:widowControl w:val="0"/>
        <w:shd w:val="clear" w:color="auto" w:fill="auto"/>
        <w:bidi w:val="0"/>
        <w:spacing w:before="0" w:after="200" w:line="240" w:lineRule="auto"/>
        <w:ind w:left="0" w:right="0" w:firstLine="0"/>
        <w:jc w:val="left"/>
      </w:pPr>
      <w:r>
        <w:rPr>
          <w:color w:val="000000"/>
          <w:spacing w:val="0"/>
          <w:w w:val="100"/>
          <w:position w:val="0"/>
        </w:rPr>
        <w:t>进行风险投资的议案》，公司使用自有资金不超过</w:t>
      </w:r>
      <w:r>
        <w:rPr>
          <w:rFonts w:ascii="Times New Roman" w:eastAsia="Times New Roman" w:hAnsi="Times New Roman" w:cs="Times New Roman"/>
          <w:color w:val="000000"/>
          <w:spacing w:val="0"/>
          <w:w w:val="100"/>
          <w:position w:val="0"/>
        </w:rPr>
        <w:t>10</w:t>
      </w:r>
      <w:r>
        <w:rPr>
          <w:color w:val="000000"/>
          <w:spacing w:val="0"/>
          <w:w w:val="100"/>
          <w:position w:val="0"/>
        </w:rPr>
        <w:t>亿元（含）进行风险投资。</w:t>
      </w:r>
    </w:p>
    <w:p>
      <w:pPr>
        <w:pStyle w:val="Style32"/>
        <w:keepNext w:val="0"/>
        <w:keepLines w:val="0"/>
        <w:widowControl w:val="0"/>
        <w:shd w:val="clear" w:color="auto" w:fill="auto"/>
        <w:bidi w:val="0"/>
        <w:spacing w:before="0" w:after="200" w:line="240" w:lineRule="auto"/>
        <w:ind w:left="0" w:right="0" w:firstLine="540"/>
        <w:jc w:val="left"/>
      </w:pPr>
      <w:r>
        <w:rPr>
          <w:color w:val="000000"/>
          <w:spacing w:val="0"/>
          <w:w w:val="100"/>
          <w:position w:val="0"/>
        </w:rPr>
        <w:t>报告期内公司未开展股票、证券投资基金等证券投资。为进一步提高资金收益，将资金委托给</w:t>
      </w: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相关金融机构，由受托人进行资产的投资配置，投向均为高流动性资产。具体明细如下：</w:t>
      </w:r>
    </w:p>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单位：万元</w:t>
      </w:r>
    </w:p>
    <w:tbl>
      <w:tblPr>
        <w:tblOverlap w:val="never"/>
        <w:jc w:val="center"/>
        <w:tblLayout w:type="fixed"/>
      </w:tblPr>
      <w:tblGrid>
        <w:gridCol w:w="5074"/>
        <w:gridCol w:w="2410"/>
        <w:gridCol w:w="2381"/>
      </w:tblGrid>
      <w:tr>
        <w:trPr>
          <w:trHeight w:val="298" w:hRule="exact"/>
        </w:trPr>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理财机构名称</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收益类型</w:t>
            </w:r>
          </w:p>
        </w:tc>
        <w:tc>
          <w:tcPr>
            <w:tcBorders>
              <w:top w:val="single" w:sz="4"/>
              <w:left w:val="single" w:sz="4"/>
              <w:righ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认购金额</w:t>
            </w:r>
          </w:p>
        </w:tc>
      </w:tr>
      <w:tr>
        <w:trPr>
          <w:trHeight w:val="29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苏宁富宝投资管理有限公司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非保本浮动收益型</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w:t>
            </w:r>
          </w:p>
        </w:tc>
      </w:tr>
      <w:tr>
        <w:trPr>
          <w:trHeight w:val="298"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中信证券北京总部证券营业部</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非保本浮动收益型</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bl>
    <w:p>
      <w:pPr>
        <w:sectPr>
          <w:headerReference w:type="default" r:id="rId27"/>
          <w:footerReference w:type="default" r:id="rId28"/>
          <w:headerReference w:type="even" r:id="rId29"/>
          <w:footerReference w:type="even" r:id="rId30"/>
          <w:footnotePr>
            <w:pos w:val="pageBottom"/>
            <w:numFmt w:val="decimal"/>
            <w:numRestart w:val="continuous"/>
          </w:footnotePr>
          <w:pgSz w:w="11900" w:h="16840"/>
          <w:pgMar w:top="1330" w:right="1012" w:bottom="1536" w:left="1020" w:header="0" w:footer="3" w:gutter="0"/>
          <w:cols w:space="720"/>
          <w:noEndnote/>
          <w:rtlGutter w:val="0"/>
          <w:docGrid w:linePitch="360"/>
        </w:sectPr>
      </w:pPr>
    </w:p>
    <w:p>
      <w:pPr>
        <w:pStyle w:val="Style32"/>
        <w:keepNext w:val="0"/>
        <w:keepLines w:val="0"/>
        <w:widowControl w:val="0"/>
        <w:shd w:val="clear" w:color="auto" w:fill="auto"/>
        <w:bidi w:val="0"/>
        <w:spacing w:before="0" w:after="320" w:line="240" w:lineRule="auto"/>
        <w:ind w:left="0" w:right="0" w:firstLine="0"/>
        <w:jc w:val="left"/>
        <w:rPr>
          <w:sz w:val="24"/>
          <w:szCs w:val="24"/>
        </w:rPr>
      </w:pPr>
      <w:bookmarkStart w:id="214" w:name="bookmark214"/>
      <w:r>
        <w:rPr>
          <w:b/>
          <w:bCs/>
          <w:color w:val="000000"/>
          <w:spacing w:val="0"/>
          <w:w w:val="100"/>
          <w:position w:val="0"/>
          <w:sz w:val="24"/>
          <w:szCs w:val="24"/>
        </w:rPr>
        <w:t>六</w:t>
      </w:r>
      <w:bookmarkEnd w:id="214"/>
      <w:r>
        <w:rPr>
          <w:b/>
          <w:bCs/>
          <w:color w:val="000000"/>
          <w:spacing w:val="0"/>
          <w:w w:val="100"/>
          <w:position w:val="0"/>
          <w:sz w:val="24"/>
          <w:szCs w:val="24"/>
        </w:rPr>
        <w:t>、重大资产和股权出售</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1</w:t>
      </w:r>
      <w:r>
        <w:rPr>
          <w:b/>
          <w:bCs/>
          <w:color w:val="000000"/>
          <w:spacing w:val="0"/>
          <w:w w:val="100"/>
          <w:position w:val="0"/>
        </w:rPr>
        <w:t>、出售重大资产情况</w:t>
      </w:r>
    </w:p>
    <w:tbl>
      <w:tblPr>
        <w:tblOverlap w:val="never"/>
        <w:jc w:val="center"/>
        <w:tblLayout w:type="fixed"/>
      </w:tblPr>
      <w:tblGrid>
        <w:gridCol w:w="922"/>
        <w:gridCol w:w="917"/>
        <w:gridCol w:w="917"/>
        <w:gridCol w:w="917"/>
        <w:gridCol w:w="917"/>
        <w:gridCol w:w="917"/>
        <w:gridCol w:w="917"/>
        <w:gridCol w:w="917"/>
        <w:gridCol w:w="917"/>
        <w:gridCol w:w="917"/>
        <w:gridCol w:w="917"/>
        <w:gridCol w:w="917"/>
        <w:gridCol w:w="917"/>
        <w:gridCol w:w="917"/>
        <w:gridCol w:w="922"/>
      </w:tblGrid>
      <w:tr>
        <w:trPr>
          <w:trHeight w:val="298"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交易对</w:t>
            </w:r>
          </w:p>
        </w:tc>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被出售</w:t>
            </w:r>
          </w:p>
        </w:tc>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出售日</w:t>
            </w:r>
          </w:p>
        </w:tc>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交易价</w:t>
            </w:r>
          </w:p>
        </w:tc>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本期初</w:t>
            </w:r>
          </w:p>
        </w:tc>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出售对</w:t>
            </w:r>
          </w:p>
        </w:tc>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资产出</w:t>
            </w:r>
          </w:p>
        </w:tc>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资产出</w:t>
            </w:r>
          </w:p>
        </w:tc>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是否为</w:t>
            </w:r>
          </w:p>
        </w:tc>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与交易</w:t>
            </w:r>
          </w:p>
        </w:tc>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所涉及</w:t>
            </w:r>
          </w:p>
        </w:tc>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所涉及</w:t>
            </w:r>
          </w:p>
        </w:tc>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是否按</w:t>
            </w:r>
          </w:p>
        </w:tc>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披露日</w:t>
            </w:r>
          </w:p>
        </w:tc>
        <w:tc>
          <w:tcPr>
            <w:tcBorders>
              <w:top w:val="single" w:sz="4"/>
              <w:left w:val="single" w:sz="4"/>
              <w:righ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披露索</w:t>
            </w:r>
          </w:p>
        </w:tc>
      </w:tr>
      <w:tr>
        <w:trPr>
          <w:trHeight w:val="283" w:hRule="exact"/>
        </w:trPr>
        <w:tc>
          <w:tcPr>
            <w:tcBorders>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方</w:t>
            </w:r>
          </w:p>
        </w:tc>
        <w:tc>
          <w:tcPr>
            <w:tcBorders>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rPr>
              <w:t>资产</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格（万</w:t>
            </w:r>
          </w:p>
        </w:tc>
        <w:tc>
          <w:tcPr>
            <w:tcBorders>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起至出</w:t>
            </w:r>
          </w:p>
        </w:tc>
        <w:tc>
          <w:tcPr>
            <w:tcBorders>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w:t>
            </w:r>
          </w:p>
        </w:tc>
        <w:tc>
          <w:tcPr>
            <w:tcBorders>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售为上</w:t>
            </w:r>
          </w:p>
        </w:tc>
        <w:tc>
          <w:tcPr>
            <w:tcBorders>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售定价</w:t>
            </w:r>
          </w:p>
        </w:tc>
        <w:tc>
          <w:tcPr>
            <w:tcBorders>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关联交</w:t>
            </w:r>
          </w:p>
        </w:tc>
        <w:tc>
          <w:tcPr>
            <w:tcBorders>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对方的</w:t>
            </w:r>
          </w:p>
        </w:tc>
        <w:tc>
          <w:tcPr>
            <w:tcBorders>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的资产</w:t>
            </w:r>
          </w:p>
        </w:tc>
        <w:tc>
          <w:tcPr>
            <w:tcBorders>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的债权</w:t>
            </w:r>
          </w:p>
        </w:tc>
        <w:tc>
          <w:tcPr>
            <w:tcBorders>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计划如</w:t>
            </w:r>
          </w:p>
        </w:tc>
        <w:tc>
          <w:tcPr>
            <w:tcBorders>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w:t>
            </w:r>
          </w:p>
        </w:tc>
        <w:tc>
          <w:tcPr>
            <w:tcBorders>
              <w:left w:val="single" w:sz="4"/>
              <w:righ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340" w:firstLine="0"/>
              <w:jc w:val="right"/>
            </w:pPr>
            <w:r>
              <w:rPr>
                <w:color w:val="000000"/>
                <w:spacing w:val="0"/>
                <w:w w:val="100"/>
                <w:position w:val="0"/>
              </w:rPr>
              <w:t>引</w:t>
            </w:r>
          </w:p>
        </w:tc>
      </w:tr>
      <w:tr>
        <w:trPr>
          <w:trHeight w:val="288"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元）</w:t>
            </w:r>
          </w:p>
        </w:tc>
        <w:tc>
          <w:tcPr>
            <w:tcBorders>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售日该</w:t>
            </w:r>
          </w:p>
        </w:tc>
        <w:tc>
          <w:tcPr>
            <w:tcBorders>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rPr>
              <w:t>影响</w:t>
            </w:r>
          </w:p>
        </w:tc>
        <w:tc>
          <w:tcPr>
            <w:tcBorders>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市公司</w:t>
            </w:r>
          </w:p>
        </w:tc>
        <w:tc>
          <w:tcPr>
            <w:tcBorders>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原则</w:t>
            </w:r>
          </w:p>
        </w:tc>
        <w:tc>
          <w:tcPr>
            <w:tcBorders>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易</w:t>
            </w:r>
          </w:p>
        </w:tc>
        <w:tc>
          <w:tcPr>
            <w:tcBorders>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关联关</w:t>
            </w:r>
          </w:p>
        </w:tc>
        <w:tc>
          <w:tcPr>
            <w:tcBorders>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产权是</w:t>
            </w:r>
          </w:p>
        </w:tc>
        <w:tc>
          <w:tcPr>
            <w:tcBorders>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债务是</w:t>
            </w:r>
          </w:p>
        </w:tc>
        <w:tc>
          <w:tcPr>
            <w:tcBorders>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期实</w:t>
            </w:r>
          </w:p>
        </w:tc>
        <w:tc>
          <w:tcPr>
            <w:tcBorders>
              <w:left w:val="single" w:sz="4"/>
            </w:tcBorders>
            <w:shd w:val="clear" w:color="auto" w:fill="D3D3D3"/>
            <w:vAlign w:val="top"/>
          </w:tcPr>
          <w:p>
            <w:pPr>
              <w:widowControl w:val="0"/>
              <w:rPr>
                <w:sz w:val="10"/>
                <w:szCs w:val="10"/>
              </w:rPr>
            </w:pPr>
          </w:p>
        </w:tc>
        <w:tc>
          <w:tcPr>
            <w:tcBorders>
              <w:left w:val="single" w:sz="4"/>
              <w:right w:val="single" w:sz="4"/>
            </w:tcBorders>
            <w:shd w:val="clear" w:color="auto" w:fill="D3D3D3"/>
            <w:vAlign w:val="top"/>
          </w:tcPr>
          <w:p>
            <w:pPr>
              <w:widowControl w:val="0"/>
              <w:rPr>
                <w:sz w:val="10"/>
                <w:szCs w:val="10"/>
              </w:rPr>
            </w:pPr>
          </w:p>
        </w:tc>
      </w:tr>
      <w:tr>
        <w:trPr>
          <w:trHeight w:val="283"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资产为</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贡献的</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系（适</w:t>
            </w:r>
          </w:p>
        </w:tc>
        <w:tc>
          <w:tcPr>
            <w:tcBorders>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否已全</w:t>
            </w:r>
          </w:p>
        </w:tc>
        <w:tc>
          <w:tcPr>
            <w:tcBorders>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否已全</w:t>
            </w:r>
          </w:p>
        </w:tc>
        <w:tc>
          <w:tcPr>
            <w:tcBorders>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施，如</w:t>
            </w:r>
          </w:p>
        </w:tc>
        <w:tc>
          <w:tcPr>
            <w:tcBorders>
              <w:left w:val="single" w:sz="4"/>
            </w:tcBorders>
            <w:shd w:val="clear" w:color="auto" w:fill="D3D3D3"/>
            <w:vAlign w:val="top"/>
          </w:tcPr>
          <w:p>
            <w:pPr>
              <w:widowControl w:val="0"/>
              <w:rPr>
                <w:sz w:val="10"/>
                <w:szCs w:val="10"/>
              </w:rPr>
            </w:pPr>
          </w:p>
        </w:tc>
        <w:tc>
          <w:tcPr>
            <w:tcBorders>
              <w:left w:val="single" w:sz="4"/>
              <w:right w:val="single" w:sz="4"/>
            </w:tcBorders>
            <w:shd w:val="clear" w:color="auto" w:fill="D3D3D3"/>
            <w:vAlign w:val="top"/>
          </w:tcPr>
          <w:p>
            <w:pPr>
              <w:widowControl w:val="0"/>
              <w:rPr>
                <w:sz w:val="10"/>
                <w:szCs w:val="10"/>
              </w:rPr>
            </w:pPr>
          </w:p>
        </w:tc>
      </w:tr>
      <w:tr>
        <w:trPr>
          <w:trHeight w:val="283"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上市公</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净利润</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用关联</w:t>
            </w:r>
          </w:p>
        </w:tc>
        <w:tc>
          <w:tcPr>
            <w:tcBorders>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部过户</w:t>
            </w:r>
          </w:p>
        </w:tc>
        <w:tc>
          <w:tcPr>
            <w:tcBorders>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部转移</w:t>
            </w:r>
          </w:p>
        </w:tc>
        <w:tc>
          <w:tcPr>
            <w:tcBorders>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未按计</w:t>
            </w:r>
          </w:p>
        </w:tc>
        <w:tc>
          <w:tcPr>
            <w:tcBorders>
              <w:left w:val="single" w:sz="4"/>
            </w:tcBorders>
            <w:shd w:val="clear" w:color="auto" w:fill="D3D3D3"/>
            <w:vAlign w:val="top"/>
          </w:tcPr>
          <w:p>
            <w:pPr>
              <w:widowControl w:val="0"/>
              <w:rPr>
                <w:sz w:val="10"/>
                <w:szCs w:val="10"/>
              </w:rPr>
            </w:pPr>
          </w:p>
        </w:tc>
        <w:tc>
          <w:tcPr>
            <w:tcBorders>
              <w:left w:val="single" w:sz="4"/>
              <w:right w:val="single" w:sz="4"/>
            </w:tcBorders>
            <w:shd w:val="clear" w:color="auto" w:fill="D3D3D3"/>
            <w:vAlign w:val="top"/>
          </w:tcPr>
          <w:p>
            <w:pPr>
              <w:widowControl w:val="0"/>
              <w:rPr>
                <w:sz w:val="10"/>
                <w:szCs w:val="10"/>
              </w:rPr>
            </w:pPr>
          </w:p>
        </w:tc>
      </w:tr>
      <w:tr>
        <w:trPr>
          <w:trHeight w:val="288"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司贡献</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占净利</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交易情</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划实</w:t>
            </w:r>
          </w:p>
        </w:tc>
        <w:tc>
          <w:tcPr>
            <w:tcBorders>
              <w:left w:val="single" w:sz="4"/>
            </w:tcBorders>
            <w:shd w:val="clear" w:color="auto" w:fill="D3D3D3"/>
            <w:vAlign w:val="top"/>
          </w:tcPr>
          <w:p>
            <w:pPr>
              <w:widowControl w:val="0"/>
              <w:rPr>
                <w:sz w:val="10"/>
                <w:szCs w:val="10"/>
              </w:rPr>
            </w:pPr>
          </w:p>
        </w:tc>
        <w:tc>
          <w:tcPr>
            <w:tcBorders>
              <w:left w:val="single" w:sz="4"/>
              <w:right w:val="single" w:sz="4"/>
            </w:tcBorders>
            <w:shd w:val="clear" w:color="auto" w:fill="D3D3D3"/>
            <w:vAlign w:val="top"/>
          </w:tcPr>
          <w:p>
            <w:pPr>
              <w:widowControl w:val="0"/>
              <w:rPr>
                <w:sz w:val="10"/>
                <w:szCs w:val="10"/>
              </w:rPr>
            </w:pPr>
          </w:p>
        </w:tc>
      </w:tr>
      <w:tr>
        <w:trPr>
          <w:trHeight w:val="283"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的净利</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润总额</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施，应</w:t>
            </w:r>
          </w:p>
        </w:tc>
        <w:tc>
          <w:tcPr>
            <w:tcBorders>
              <w:left w:val="single" w:sz="4"/>
            </w:tcBorders>
            <w:shd w:val="clear" w:color="auto" w:fill="D3D3D3"/>
            <w:vAlign w:val="top"/>
          </w:tcPr>
          <w:p>
            <w:pPr>
              <w:widowControl w:val="0"/>
              <w:rPr>
                <w:sz w:val="10"/>
                <w:szCs w:val="10"/>
              </w:rPr>
            </w:pPr>
          </w:p>
        </w:tc>
        <w:tc>
          <w:tcPr>
            <w:tcBorders>
              <w:left w:val="single" w:sz="4"/>
              <w:right w:val="single" w:sz="4"/>
            </w:tcBorders>
            <w:shd w:val="clear" w:color="auto" w:fill="D3D3D3"/>
            <w:vAlign w:val="top"/>
          </w:tcPr>
          <w:p>
            <w:pPr>
              <w:widowControl w:val="0"/>
              <w:rPr>
                <w:sz w:val="10"/>
                <w:szCs w:val="10"/>
              </w:rPr>
            </w:pPr>
          </w:p>
        </w:tc>
      </w:tr>
      <w:tr>
        <w:trPr>
          <w:trHeight w:val="114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润</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的比例</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bottom"/>
          </w:tcPr>
          <w:p>
            <w:pPr>
              <w:pStyle w:val="Style28"/>
              <w:keepNext w:val="0"/>
              <w:keepLines w:val="0"/>
              <w:widowControl w:val="0"/>
              <w:shd w:val="clear" w:color="auto" w:fill="auto"/>
              <w:bidi w:val="0"/>
              <w:spacing w:before="0" w:after="0" w:line="285" w:lineRule="exact"/>
              <w:ind w:left="0" w:right="0" w:firstLine="0"/>
              <w:jc w:val="center"/>
            </w:pPr>
            <w:r>
              <w:rPr>
                <w:color w:val="000000"/>
                <w:spacing w:val="0"/>
                <w:w w:val="100"/>
                <w:position w:val="0"/>
              </w:rPr>
              <w:t>当说明 原因及 公司已 采取的</w:t>
            </w:r>
          </w:p>
        </w:tc>
        <w:tc>
          <w:tcPr>
            <w:tcBorders>
              <w:left w:val="single" w:sz="4"/>
            </w:tcBorders>
            <w:shd w:val="clear" w:color="auto" w:fill="D3D3D3"/>
            <w:vAlign w:val="top"/>
          </w:tcPr>
          <w:p>
            <w:pPr>
              <w:widowControl w:val="0"/>
              <w:rPr>
                <w:sz w:val="10"/>
                <w:szCs w:val="10"/>
              </w:rPr>
            </w:pPr>
          </w:p>
        </w:tc>
        <w:tc>
          <w:tcPr>
            <w:tcBorders>
              <w:left w:val="single" w:sz="4"/>
              <w:right w:val="single" w:sz="4"/>
            </w:tcBorders>
            <w:shd w:val="clear" w:color="auto" w:fill="D3D3D3"/>
            <w:vAlign w:val="top"/>
          </w:tcPr>
          <w:p>
            <w:pPr>
              <w:widowControl w:val="0"/>
              <w:rPr>
                <w:sz w:val="10"/>
                <w:szCs w:val="10"/>
              </w:rPr>
            </w:pPr>
          </w:p>
        </w:tc>
      </w:tr>
      <w:tr>
        <w:trPr>
          <w:trHeight w:val="293"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措施</w:t>
            </w:r>
          </w:p>
        </w:tc>
        <w:tc>
          <w:tcPr>
            <w:tcBorders>
              <w:left w:val="single" w:sz="4"/>
            </w:tcBorders>
            <w:shd w:val="clear" w:color="auto" w:fill="D3D3D3"/>
            <w:vAlign w:val="top"/>
          </w:tcPr>
          <w:p>
            <w:pPr>
              <w:widowControl w:val="0"/>
              <w:rPr>
                <w:sz w:val="10"/>
                <w:szCs w:val="10"/>
              </w:rPr>
            </w:pPr>
          </w:p>
        </w:tc>
        <w:tc>
          <w:tcPr>
            <w:tcBorders>
              <w:left w:val="single" w:sz="4"/>
              <w:right w:val="single" w:sz="4"/>
            </w:tcBorders>
            <w:shd w:val="clear" w:color="auto" w:fill="D3D3D3"/>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中信金</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w:t>
            </w:r>
            <w:r>
              <w:rPr>
                <w:color w:val="000000"/>
                <w:spacing w:val="0"/>
                <w:w w:val="100"/>
                <w:position w:val="0"/>
              </w:rPr>
              <w:t>处供应</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181,440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公司实</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55.93%</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根据资</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w:t>
            </w:r>
          </w:p>
        </w:tc>
      </w:tr>
      <w:tr>
        <w:trPr>
          <w:trHeight w:val="288" w:hRule="exact"/>
        </w:trPr>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石基金</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链仓储</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施完成</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产评估</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23</w:t>
            </w:r>
          </w:p>
        </w:tc>
        <w:tc>
          <w:tcPr>
            <w:tcBorders>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讯网</w:t>
            </w:r>
          </w:p>
        </w:tc>
      </w:tr>
      <w:tr>
        <w:trPr>
          <w:trHeight w:val="283" w:hRule="exact"/>
        </w:trPr>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管理有</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物业的</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以</w:t>
            </w:r>
            <w:r>
              <w:rPr>
                <w:rFonts w:ascii="Times New Roman" w:eastAsia="Times New Roman" w:hAnsi="Times New Roman" w:cs="Times New Roman"/>
                <w:color w:val="000000"/>
                <w:spacing w:val="0"/>
                <w:w w:val="100"/>
                <w:position w:val="0"/>
              </w:rPr>
              <w:t>6</w:t>
            </w:r>
            <w:r>
              <w:rPr>
                <w:color w:val="000000"/>
                <w:spacing w:val="0"/>
                <w:w w:val="100"/>
                <w:position w:val="0"/>
              </w:rPr>
              <w:t>处</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值协商</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2016-049</w:t>
            </w:r>
          </w:p>
        </w:tc>
      </w:tr>
      <w:tr>
        <w:trPr>
          <w:trHeight w:val="288" w:hRule="exact"/>
        </w:trPr>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房屋所</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供应链</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号公告</w:t>
            </w:r>
          </w:p>
        </w:tc>
      </w:tr>
      <w:tr>
        <w:trPr>
          <w:trHeight w:val="283" w:hRule="exact"/>
        </w:trPr>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的相关</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有权以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仓储物</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28</w:t>
            </w:r>
          </w:p>
        </w:tc>
        <w:tc>
          <w:tcPr>
            <w:tcBorders>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w:t>
            </w:r>
          </w:p>
        </w:tc>
      </w:tr>
      <w:tr>
        <w:trPr>
          <w:trHeight w:val="283" w:hRule="exact"/>
        </w:trPr>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方拟发</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及对应</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业为标</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以部分</w:t>
            </w:r>
          </w:p>
        </w:tc>
      </w:tr>
      <w:tr>
        <w:trPr>
          <w:trHeight w:val="283" w:hRule="exact"/>
        </w:trPr>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起设</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的土地</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的的创</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供应链</w:t>
            </w:r>
          </w:p>
        </w:tc>
      </w:tr>
      <w:tr>
        <w:trPr>
          <w:trHeight w:val="283" w:hRule="exact"/>
        </w:trPr>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立、并</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使用权</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新型资</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仓储物</w:t>
            </w:r>
          </w:p>
        </w:tc>
      </w:tr>
      <w:tr>
        <w:trPr>
          <w:trHeight w:val="288" w:hRule="exact"/>
        </w:trPr>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拟由苏</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分别出</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产运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业为标</w:t>
            </w:r>
          </w:p>
        </w:tc>
      </w:tr>
      <w:tr>
        <w:trPr>
          <w:trHeight w:val="283" w:hRule="exact"/>
        </w:trPr>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宁金石</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资设立</w:t>
            </w:r>
            <w:r>
              <w:rPr>
                <w:rFonts w:ascii="Times New Roman" w:eastAsia="Times New Roman" w:hAnsi="Times New Roman" w:cs="Times New Roman"/>
                <w:color w:val="000000"/>
                <w:spacing w:val="0"/>
                <w:w w:val="100"/>
                <w:position w:val="0"/>
              </w:rPr>
              <w:t>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作，盘</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的资产</w:t>
            </w:r>
          </w:p>
        </w:tc>
      </w:tr>
      <w:tr>
        <w:trPr>
          <w:trHeight w:val="288" w:hRule="exact"/>
        </w:trPr>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（天</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家全资</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活了供</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开展创</w:t>
            </w:r>
          </w:p>
        </w:tc>
      </w:tr>
      <w:tr>
        <w:trPr>
          <w:trHeight w:val="283" w:hRule="exact"/>
        </w:trPr>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津）基</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应链仓</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新型资</w:t>
            </w:r>
          </w:p>
        </w:tc>
      </w:tr>
      <w:tr>
        <w:trPr>
          <w:trHeight w:val="283" w:hRule="exact"/>
        </w:trPr>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金管理</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储存量</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产运作</w:t>
            </w:r>
          </w:p>
        </w:tc>
      </w:tr>
      <w:tr>
        <w:trPr>
          <w:trHeight w:val="293" w:hRule="exact"/>
        </w:trPr>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资产，</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模式的</w:t>
            </w:r>
          </w:p>
        </w:tc>
      </w:tr>
      <w:tr>
        <w:trPr>
          <w:trHeight w:val="283" w:hRule="exact"/>
        </w:trPr>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司和</w:t>
            </w:r>
            <w:r>
              <w:rPr>
                <w:rFonts w:ascii="Times New Roman" w:eastAsia="Times New Roman" w:hAnsi="Times New Roman" w:cs="Times New Roman"/>
                <w:color w:val="000000"/>
                <w:spacing w:val="0"/>
                <w:w w:val="100"/>
                <w:position w:val="0"/>
              </w:rPr>
              <w:t>/</w:t>
            </w:r>
            <w:r>
              <w:rPr>
                <w:color w:val="000000"/>
                <w:spacing w:val="0"/>
                <w:w w:val="100"/>
                <w:position w:val="0"/>
              </w:rPr>
              <w:t>或</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获得充</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w:t>
            </w:r>
          </w:p>
        </w:tc>
      </w:tr>
      <w:tr>
        <w:trPr>
          <w:trHeight w:val="283" w:hRule="exact"/>
        </w:trPr>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其他专</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沛的现</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告》、</w:t>
            </w:r>
          </w:p>
        </w:tc>
      </w:tr>
      <w:tr>
        <w:trPr>
          <w:trHeight w:val="312" w:hRule="exact"/>
        </w:trPr>
        <w:tc>
          <w:tcPr>
            <w:tcBorders>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业机构</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金回笼</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2016-055</w:t>
            </w:r>
          </w:p>
        </w:tc>
      </w:tr>
    </w:tbl>
    <w:p>
      <w:pPr>
        <w:spacing w:lineRule="exact" w:line="1"/>
        <w:rPr>
          <w:sz w:val="2"/>
          <w:szCs w:val="2"/>
        </w:rPr>
      </w:pPr>
      <w:r>
        <w:br w:type="page"/>
      </w:r>
    </w:p>
    <w:tbl>
      <w:tblPr>
        <w:tblOverlap w:val="never"/>
        <w:jc w:val="center"/>
        <w:tblLayout w:type="fixed"/>
      </w:tblPr>
      <w:tblGrid>
        <w:gridCol w:w="922"/>
        <w:gridCol w:w="917"/>
        <w:gridCol w:w="917"/>
        <w:gridCol w:w="917"/>
        <w:gridCol w:w="917"/>
        <w:gridCol w:w="917"/>
        <w:gridCol w:w="917"/>
        <w:gridCol w:w="917"/>
        <w:gridCol w:w="917"/>
        <w:gridCol w:w="917"/>
        <w:gridCol w:w="917"/>
        <w:gridCol w:w="917"/>
        <w:gridCol w:w="917"/>
        <w:gridCol w:w="926"/>
        <w:gridCol w:w="912"/>
      </w:tblGrid>
      <w:tr>
        <w:trPr>
          <w:trHeight w:val="7450"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85" w:lineRule="exact"/>
              <w:ind w:left="0" w:right="0" w:firstLine="0"/>
              <w:jc w:val="left"/>
            </w:pPr>
            <w:r>
              <w:rPr>
                <w:color w:val="000000"/>
                <w:spacing w:val="0"/>
                <w:w w:val="100"/>
                <w:position w:val="0"/>
              </w:rPr>
              <w:t>提供支 持性服 务的资 产支持 专项计 划</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tabs>
                <w:tab w:leader="underscore" w:pos="658" w:val="left"/>
              </w:tabs>
              <w:bidi w:val="0"/>
              <w:spacing w:before="0" w:after="0" w:line="280" w:lineRule="exact"/>
              <w:ind w:left="0" w:right="0" w:firstLine="0"/>
              <w:jc w:val="both"/>
            </w:pPr>
            <w:r>
              <w:rPr>
                <w:color w:val="000000"/>
                <w:spacing w:val="0"/>
                <w:w w:val="100"/>
                <w:position w:val="0"/>
              </w:rPr>
              <w:t xml:space="preserve">以再次 投入优 质物流 仓储资 产，从 而建立 </w:t>
            </w:r>
            <w:r>
              <w:rPr>
                <w:rFonts w:ascii="Times New Roman" w:eastAsia="Times New Roman" w:hAnsi="Times New Roman" w:cs="Times New Roman"/>
                <w:color w:val="000000"/>
                <w:spacing w:val="0"/>
                <w:w w:val="100"/>
                <w:position w:val="0"/>
              </w:rPr>
              <w:t>“</w:t>
            </w:r>
            <w:r>
              <w:rPr>
                <w:color w:val="000000"/>
                <w:spacing w:val="0"/>
                <w:w w:val="100"/>
                <w:position w:val="0"/>
              </w:rPr>
              <w:t>物流仓 储地产 开发</w:t>
            </w:r>
            <w:r>
              <w:rPr>
                <w:color w:val="000000"/>
                <w:spacing w:val="0"/>
                <w:w w:val="100"/>
                <w:position w:val="0"/>
              </w:rPr>
              <w:t>一</w:t>
            </w:r>
            <w:r>
              <w:rPr>
                <w:rFonts w:ascii="Times New Roman" w:eastAsia="Times New Roman" w:hAnsi="Times New Roman" w:cs="Times New Roman"/>
                <w:color w:val="000000"/>
                <w:spacing w:val="0"/>
                <w:w w:val="100"/>
                <w:position w:val="0"/>
              </w:rPr>
              <w:t xml:space="preserve"> </w:t>
            </w:r>
            <w:r>
              <w:rPr>
                <w:color w:val="000000"/>
                <w:spacing w:val="0"/>
                <w:w w:val="100"/>
                <w:position w:val="0"/>
              </w:rPr>
              <w:t>一</w:t>
            </w:r>
            <w:r>
              <w:rPr>
                <w:color w:val="000000"/>
                <w:spacing w:val="0"/>
                <w:w w:val="100"/>
                <w:position w:val="0"/>
              </w:rPr>
              <w:t>物流 仓储地 产运 营</w:t>
              <w:tab/>
            </w:r>
          </w:p>
          <w:p>
            <w:pPr>
              <w:pStyle w:val="Style28"/>
              <w:keepNext w:val="0"/>
              <w:keepLines w:val="0"/>
              <w:widowControl w:val="0"/>
              <w:shd w:val="clear" w:color="auto" w:fill="auto"/>
              <w:bidi w:val="0"/>
              <w:spacing w:before="0" w:after="0" w:line="286" w:lineRule="exact"/>
              <w:ind w:left="0" w:right="0" w:firstLine="0"/>
              <w:jc w:val="both"/>
            </w:pPr>
            <w:r>
              <w:rPr>
                <w:color w:val="000000"/>
                <w:spacing w:val="0"/>
                <w:w w:val="100"/>
                <w:position w:val="0"/>
              </w:rPr>
              <w:t>基金运 作</w:t>
            </w:r>
            <w:r>
              <w:rPr>
                <w:rFonts w:ascii="Times New Roman" w:eastAsia="Times New Roman" w:hAnsi="Times New Roman" w:cs="Times New Roman"/>
                <w:color w:val="000000"/>
                <w:spacing w:val="0"/>
                <w:w w:val="100"/>
                <w:position w:val="0"/>
              </w:rPr>
              <w:t>”</w:t>
            </w:r>
            <w:r>
              <w:rPr>
                <w:color w:val="000000"/>
                <w:spacing w:val="0"/>
                <w:w w:val="100"/>
                <w:position w:val="0"/>
              </w:rPr>
              <w:t>的良 性资产 运营方 式，有 利于公 司持续 巩固在 同行业 中的物 流仓储 战略优 势</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84" w:lineRule="exact"/>
              <w:ind w:left="0" w:right="0" w:firstLine="0"/>
              <w:jc w:val="left"/>
            </w:pPr>
            <w:r>
              <w:rPr>
                <w:color w:val="000000"/>
                <w:spacing w:val="0"/>
                <w:w w:val="100"/>
                <w:position w:val="0"/>
              </w:rPr>
              <w:t>号公告 《关于 实施完 成以部 分供应 链仓储 物业为 标的资 产》</w:t>
            </w:r>
          </w:p>
        </w:tc>
      </w:tr>
    </w:tbl>
    <w:p>
      <w:pPr>
        <w:pStyle w:val="Style25"/>
        <w:keepNext w:val="0"/>
        <w:keepLines w:val="0"/>
        <w:widowControl w:val="0"/>
        <w:shd w:val="clear" w:color="auto" w:fill="auto"/>
        <w:bidi w:val="0"/>
        <w:spacing w:before="0" w:after="0" w:line="470" w:lineRule="exact"/>
        <w:ind w:left="0" w:right="0" w:firstLine="0"/>
        <w:jc w:val="left"/>
        <w:rPr>
          <w:sz w:val="20"/>
          <w:szCs w:val="20"/>
        </w:rPr>
      </w:pPr>
      <w:r>
        <w:rPr>
          <w:color w:val="000000"/>
          <w:spacing w:val="0"/>
          <w:w w:val="100"/>
          <w:position w:val="0"/>
          <w:sz w:val="20"/>
          <w:szCs w:val="20"/>
        </w:rPr>
        <w:t>注</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：公司</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处供应链仓储物业的房屋所有权及对应的土地使用权作为仓储物业自用经营，资产本身按照规则计提折旧。</w:t>
      </w:r>
    </w:p>
    <w:p>
      <w:pPr>
        <w:pStyle w:val="Style32"/>
        <w:keepNext w:val="0"/>
        <w:keepLines w:val="0"/>
        <w:widowControl w:val="0"/>
        <w:shd w:val="clear" w:color="auto" w:fill="auto"/>
        <w:bidi w:val="0"/>
        <w:spacing w:before="0" w:after="0" w:line="470" w:lineRule="exact"/>
        <w:ind w:left="0" w:right="0" w:firstLine="420"/>
        <w:jc w:val="left"/>
        <w:rPr>
          <w:sz w:val="20"/>
          <w:szCs w:val="20"/>
        </w:rPr>
      </w:pPr>
      <w:r>
        <w:rPr>
          <w:color w:val="000000"/>
          <w:spacing w:val="0"/>
          <w:w w:val="100"/>
          <w:position w:val="0"/>
          <w:sz w:val="20"/>
          <w:szCs w:val="20"/>
        </w:rPr>
        <w:t>注</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：本次交易的转让价款根据资产评估值协商确定为</w:t>
      </w:r>
      <w:r>
        <w:rPr>
          <w:rFonts w:ascii="Times New Roman" w:eastAsia="Times New Roman" w:hAnsi="Times New Roman" w:cs="Times New Roman"/>
          <w:color w:val="000000"/>
          <w:spacing w:val="0"/>
          <w:w w:val="100"/>
          <w:position w:val="0"/>
          <w:sz w:val="20"/>
          <w:szCs w:val="20"/>
        </w:rPr>
        <w:t>181,440</w:t>
      </w:r>
      <w:r>
        <w:rPr>
          <w:color w:val="000000"/>
          <w:spacing w:val="0"/>
          <w:w w:val="100"/>
          <w:position w:val="0"/>
          <w:sz w:val="20"/>
          <w:szCs w:val="20"/>
        </w:rPr>
        <w:t>万元，公司根据转让对价、资产账面值以及支付的相关税金、费用等进行测算，本次 交易实现税后净利润</w:t>
      </w:r>
      <w:r>
        <w:rPr>
          <w:rFonts w:ascii="Times New Roman" w:eastAsia="Times New Roman" w:hAnsi="Times New Roman" w:cs="Times New Roman"/>
          <w:color w:val="000000"/>
          <w:spacing w:val="0"/>
          <w:w w:val="100"/>
          <w:position w:val="0"/>
          <w:sz w:val="20"/>
          <w:szCs w:val="20"/>
        </w:rPr>
        <w:t>3.94</w:t>
      </w:r>
      <w:r>
        <w:rPr>
          <w:color w:val="000000"/>
          <w:spacing w:val="0"/>
          <w:w w:val="100"/>
          <w:position w:val="0"/>
          <w:sz w:val="20"/>
          <w:szCs w:val="20"/>
        </w:rPr>
        <w:t>亿元。</w:t>
      </w:r>
      <w:r>
        <w:br w:type="page"/>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2</w:t>
      </w:r>
      <w:r>
        <w:rPr>
          <w:b/>
          <w:bCs/>
          <w:color w:val="000000"/>
          <w:spacing w:val="0"/>
          <w:w w:val="100"/>
          <w:position w:val="0"/>
        </w:rPr>
        <w:t>、出售重大股权情况</w:t>
      </w:r>
    </w:p>
    <w:tbl>
      <w:tblPr>
        <w:tblOverlap w:val="never"/>
        <w:jc w:val="center"/>
        <w:tblLayout w:type="fixed"/>
      </w:tblPr>
      <w:tblGrid>
        <w:gridCol w:w="1008"/>
        <w:gridCol w:w="1003"/>
        <w:gridCol w:w="998"/>
        <w:gridCol w:w="1003"/>
        <w:gridCol w:w="1003"/>
        <w:gridCol w:w="1003"/>
        <w:gridCol w:w="1003"/>
        <w:gridCol w:w="1003"/>
        <w:gridCol w:w="998"/>
        <w:gridCol w:w="1003"/>
        <w:gridCol w:w="1003"/>
        <w:gridCol w:w="1003"/>
        <w:gridCol w:w="1003"/>
        <w:gridCol w:w="1008"/>
      </w:tblGrid>
      <w:tr>
        <w:trPr>
          <w:trHeight w:val="2582" w:hRule="exact"/>
        </w:trPr>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交易对方</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88" w:lineRule="exact"/>
              <w:ind w:left="0" w:right="0" w:firstLine="0"/>
              <w:jc w:val="center"/>
            </w:pPr>
            <w:r>
              <w:rPr>
                <w:color w:val="000000"/>
                <w:spacing w:val="0"/>
                <w:w w:val="100"/>
                <w:position w:val="0"/>
              </w:rPr>
              <w:t>被出售股 权</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出售日</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88" w:lineRule="exact"/>
              <w:ind w:left="0" w:right="0" w:firstLine="0"/>
              <w:jc w:val="left"/>
            </w:pPr>
            <w:r>
              <w:rPr>
                <w:color w:val="000000"/>
                <w:spacing w:val="0"/>
                <w:w w:val="100"/>
                <w:position w:val="0"/>
              </w:rPr>
              <w:t>交易价格 （万元）</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86" w:lineRule="exact"/>
              <w:ind w:left="0" w:right="0" w:firstLine="0"/>
              <w:jc w:val="center"/>
            </w:pPr>
            <w:r>
              <w:rPr>
                <w:color w:val="000000"/>
                <w:spacing w:val="0"/>
                <w:w w:val="100"/>
                <w:position w:val="0"/>
              </w:rPr>
              <w:t>本期初起 至出售日 该股权为 上市公司 贡献的净 利润（万 元）</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302" w:lineRule="exact"/>
              <w:ind w:left="0" w:right="0" w:firstLine="0"/>
              <w:jc w:val="both"/>
            </w:pPr>
            <w:r>
              <w:rPr>
                <w:color w:val="000000"/>
                <w:spacing w:val="0"/>
                <w:w w:val="100"/>
                <w:position w:val="0"/>
              </w:rPr>
              <w:t>出售对公 司的影响</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87" w:lineRule="exact"/>
              <w:ind w:left="0" w:right="0" w:firstLine="0"/>
              <w:jc w:val="left"/>
            </w:pPr>
            <w:r>
              <w:rPr>
                <w:color w:val="000000"/>
                <w:spacing w:val="0"/>
                <w:w w:val="100"/>
                <w:position w:val="0"/>
              </w:rPr>
              <w:t>股权出售 为上市公 司贡献的 净利润占 净利润总 额的比例</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股权出售 定价原则</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88" w:lineRule="exact"/>
              <w:ind w:left="0" w:right="0" w:firstLine="0"/>
              <w:jc w:val="center"/>
            </w:pPr>
            <w:r>
              <w:rPr>
                <w:color w:val="000000"/>
                <w:spacing w:val="0"/>
                <w:w w:val="100"/>
                <w:position w:val="0"/>
              </w:rPr>
              <w:t>是否为关 联交易</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86" w:lineRule="exact"/>
              <w:ind w:left="0" w:right="0" w:firstLine="0"/>
              <w:jc w:val="center"/>
            </w:pPr>
            <w:r>
              <w:rPr>
                <w:color w:val="000000"/>
                <w:spacing w:val="0"/>
                <w:w w:val="100"/>
                <w:position w:val="0"/>
              </w:rPr>
              <w:t>与交易对 方的关联 关系</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85" w:lineRule="exact"/>
              <w:ind w:left="0" w:right="0" w:firstLine="0"/>
              <w:jc w:val="center"/>
            </w:pPr>
            <w:r>
              <w:rPr>
                <w:color w:val="000000"/>
                <w:spacing w:val="0"/>
                <w:w w:val="100"/>
                <w:position w:val="0"/>
              </w:rPr>
              <w:t>所涉及的 股权是否 已全部过 户</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84" w:lineRule="exact"/>
              <w:ind w:left="0" w:right="0" w:firstLine="0"/>
              <w:jc w:val="center"/>
            </w:pPr>
            <w:r>
              <w:rPr>
                <w:color w:val="000000"/>
                <w:spacing w:val="0"/>
                <w:w w:val="100"/>
                <w:position w:val="0"/>
              </w:rPr>
              <w:t>是否按计 划如期实 施，如未 按计划实 施，应当 说明原因 及公司已 采取的措 施</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披露日期</w:t>
            </w:r>
          </w:p>
        </w:tc>
        <w:tc>
          <w:tcPr>
            <w:tcBorders>
              <w:top w:val="single" w:sz="4"/>
              <w:left w:val="single" w:sz="4"/>
              <w:righ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披露索引</w:t>
            </w:r>
          </w:p>
        </w:tc>
      </w:tr>
      <w:tr>
        <w:trPr>
          <w:trHeight w:val="6302"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88" w:lineRule="exact"/>
              <w:ind w:left="0" w:right="0" w:firstLine="0"/>
              <w:jc w:val="both"/>
            </w:pPr>
            <w:r>
              <w:rPr>
                <w:color w:val="000000"/>
                <w:spacing w:val="0"/>
                <w:w w:val="100"/>
                <w:position w:val="0"/>
              </w:rPr>
              <w:t>苏宁电器 集团有限 公司</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87" w:lineRule="exact"/>
              <w:ind w:left="0" w:right="0" w:firstLine="0"/>
              <w:jc w:val="left"/>
            </w:pPr>
            <w:r>
              <w:rPr>
                <w:color w:val="000000"/>
                <w:spacing w:val="0"/>
                <w:w w:val="100"/>
                <w:position w:val="0"/>
              </w:rPr>
              <w:t xml:space="preserve">北京京朝 苏宁电器 有限公司 </w:t>
            </w:r>
            <w:r>
              <w:rPr>
                <w:rFonts w:ascii="Times New Roman" w:eastAsia="Times New Roman" w:hAnsi="Times New Roman" w:cs="Times New Roman"/>
                <w:color w:val="000000"/>
                <w:spacing w:val="0"/>
                <w:w w:val="100"/>
                <w:position w:val="0"/>
              </w:rPr>
              <w:t xml:space="preserve">100% </w:t>
            </w:r>
            <w:r>
              <w:rPr>
                <w:color w:val="000000"/>
                <w:spacing w:val="0"/>
                <w:w w:val="100"/>
                <w:position w:val="0"/>
              </w:rPr>
              <w:t>股 权</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130,483.6</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-2,086.40</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85" w:lineRule="exact"/>
              <w:ind w:left="0" w:right="0" w:firstLine="0"/>
              <w:jc w:val="both"/>
            </w:pPr>
            <w:r>
              <w:rPr>
                <w:color w:val="000000"/>
                <w:spacing w:val="0"/>
                <w:w w:val="100"/>
                <w:position w:val="0"/>
              </w:rPr>
              <w:t>本次交易 完成后， 公司不仅 实现了沉 淀资产的 市场化价 值，回笼 资金用于 核心业务 发展；还 实现了专 业化运 作。通过 物业运营 及零售经 营的专业 化分工协 作，能够 有效提高 商业物业 的运营效 率，相应</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140.26%</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86" w:lineRule="exact"/>
              <w:ind w:left="0" w:right="0" w:firstLine="0"/>
              <w:jc w:val="left"/>
            </w:pPr>
            <w:r>
              <w:rPr>
                <w:color w:val="000000"/>
                <w:spacing w:val="0"/>
                <w:w w:val="100"/>
                <w:position w:val="0"/>
              </w:rPr>
              <w:t>根据资产 评估值确 定</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持股公司</w:t>
            </w:r>
          </w:p>
          <w:p>
            <w:pPr>
              <w:pStyle w:val="Style28"/>
              <w:keepNext w:val="0"/>
              <w:keepLines w:val="0"/>
              <w:widowControl w:val="0"/>
              <w:shd w:val="clear" w:color="auto" w:fill="auto"/>
              <w:bidi w:val="0"/>
              <w:spacing w:before="0" w:after="0" w:line="295" w:lineRule="exact"/>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以上 股份的法 人</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11</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86" w:lineRule="exact"/>
              <w:ind w:left="0" w:right="0" w:firstLine="0"/>
              <w:jc w:val="left"/>
            </w:pPr>
            <w:r>
              <w:rPr>
                <w:color w:val="000000"/>
                <w:spacing w:val="0"/>
                <w:w w:val="100"/>
                <w:position w:val="0"/>
              </w:rPr>
              <w:t xml:space="preserve">巨潮资讯 网 </w:t>
            </w:r>
            <w:r>
              <w:rPr>
                <w:rFonts w:ascii="Times New Roman" w:eastAsia="Times New Roman" w:hAnsi="Times New Roman" w:cs="Times New Roman"/>
                <w:color w:val="000000"/>
                <w:spacing w:val="0"/>
                <w:w w:val="100"/>
                <w:position w:val="0"/>
              </w:rPr>
              <w:t xml:space="preserve">2016- </w:t>
            </w:r>
            <w:r>
              <w:rPr>
                <w:rFonts w:ascii="Times New Roman" w:eastAsia="Times New Roman" w:hAnsi="Times New Roman" w:cs="Times New Roman"/>
                <w:color w:val="000000"/>
                <w:spacing w:val="0"/>
                <w:w w:val="100"/>
                <w:position w:val="0"/>
              </w:rPr>
              <w:t>083</w:t>
            </w:r>
            <w:r>
              <w:rPr>
                <w:color w:val="000000"/>
                <w:spacing w:val="0"/>
                <w:w w:val="100"/>
                <w:position w:val="0"/>
              </w:rPr>
              <w:t>号公 告《关于 拟出售子 公司股权 暨关联交 易的公 告》</w:t>
            </w:r>
          </w:p>
        </w:tc>
      </w:tr>
    </w:tbl>
    <w:tbl>
      <w:tblPr>
        <w:tblOverlap w:val="never"/>
        <w:jc w:val="center"/>
        <w:tblLayout w:type="fixed"/>
      </w:tblPr>
      <w:tblGrid>
        <w:gridCol w:w="1008"/>
        <w:gridCol w:w="1003"/>
        <w:gridCol w:w="998"/>
        <w:gridCol w:w="1003"/>
        <w:gridCol w:w="1003"/>
        <w:gridCol w:w="1003"/>
        <w:gridCol w:w="1003"/>
        <w:gridCol w:w="1003"/>
        <w:gridCol w:w="998"/>
        <w:gridCol w:w="1003"/>
        <w:gridCol w:w="1003"/>
        <w:gridCol w:w="998"/>
        <w:gridCol w:w="1008"/>
        <w:gridCol w:w="1008"/>
      </w:tblGrid>
      <w:tr>
        <w:trPr>
          <w:trHeight w:val="1459"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84" w:lineRule="exact"/>
              <w:ind w:left="0" w:right="0" w:firstLine="0"/>
              <w:jc w:val="both"/>
            </w:pPr>
            <w:r>
              <w:rPr>
                <w:color w:val="000000"/>
                <w:spacing w:val="0"/>
                <w:w w:val="100"/>
                <w:position w:val="0"/>
              </w:rPr>
              <w:t>的在该物 业开展经 营的零售 业务也将 获益。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2"/>
        <w:keepNext w:val="0"/>
        <w:keepLines w:val="0"/>
        <w:widowControl w:val="0"/>
        <w:shd w:val="clear" w:color="auto" w:fill="auto"/>
        <w:bidi w:val="0"/>
        <w:spacing w:before="0" w:after="0" w:line="470" w:lineRule="exact"/>
        <w:ind w:left="0" w:right="0" w:firstLine="460"/>
        <w:jc w:val="left"/>
      </w:pPr>
      <w:r>
        <w:rPr>
          <w:color w:val="000000"/>
          <w:spacing w:val="0"/>
          <w:w w:val="100"/>
          <w:position w:val="0"/>
        </w:rPr>
        <w:t>公司第五届董事会第四十三次会议审议、</w:t>
      </w:r>
      <w:r>
        <w:rPr>
          <w:rFonts w:ascii="Times New Roman" w:eastAsia="Times New Roman" w:hAnsi="Times New Roman" w:cs="Times New Roman"/>
          <w:color w:val="000000"/>
          <w:spacing w:val="0"/>
          <w:w w:val="100"/>
          <w:position w:val="0"/>
        </w:rPr>
        <w:t>2016</w:t>
      </w:r>
      <w:r>
        <w:rPr>
          <w:color w:val="000000"/>
          <w:spacing w:val="0"/>
          <w:w w:val="100"/>
          <w:position w:val="0"/>
        </w:rPr>
        <w:t>年第三次临时股东大会决议通过《关于拟出售子公司股权暨关联交易的议案》，公司全资子公 司北京苏宁云商销售有限公司（以下简称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北京苏宁云商</w:t>
      </w:r>
      <w:r>
        <w:rPr>
          <w:rFonts w:ascii="Times New Roman" w:eastAsia="Times New Roman" w:hAnsi="Times New Roman" w:cs="Times New Roman"/>
          <w:color w:val="000000"/>
          <w:spacing w:val="0"/>
          <w:w w:val="100"/>
          <w:position w:val="0"/>
        </w:rPr>
        <w:t>”</w:t>
      </w:r>
      <w:r>
        <w:rPr>
          <w:color w:val="000000"/>
          <w:spacing w:val="0"/>
          <w:w w:val="100"/>
          <w:position w:val="0"/>
        </w:rPr>
        <w:t>）将其子公司北京京朝苏宁电器有限公司（以下简称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北京京朝苏宁</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100%</w:t>
      </w:r>
      <w:r>
        <w:rPr>
          <w:color w:val="000000"/>
          <w:spacing w:val="0"/>
          <w:w w:val="100"/>
          <w:position w:val="0"/>
        </w:rPr>
        <w:t>股权转让于 苏宁电器集团有限公司（以下简称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苏宁电器集团</w:t>
      </w:r>
      <w:r>
        <w:rPr>
          <w:rFonts w:ascii="Times New Roman" w:eastAsia="Times New Roman" w:hAnsi="Times New Roman" w:cs="Times New Roman"/>
          <w:color w:val="000000"/>
          <w:spacing w:val="0"/>
          <w:w w:val="100"/>
          <w:position w:val="0"/>
        </w:rPr>
        <w:t>”</w:t>
      </w:r>
      <w:r>
        <w:rPr>
          <w:color w:val="000000"/>
          <w:spacing w:val="0"/>
          <w:w w:val="100"/>
          <w:position w:val="0"/>
        </w:rPr>
        <w:t>），转让价格</w:t>
      </w:r>
      <w:r>
        <w:rPr>
          <w:rFonts w:ascii="Times New Roman" w:eastAsia="Times New Roman" w:hAnsi="Times New Roman" w:cs="Times New Roman"/>
          <w:color w:val="000000"/>
          <w:spacing w:val="0"/>
          <w:w w:val="100"/>
          <w:position w:val="0"/>
        </w:rPr>
        <w:t>130,483.67</w:t>
      </w:r>
      <w:r>
        <w:rPr>
          <w:color w:val="000000"/>
          <w:spacing w:val="0"/>
          <w:w w:val="100"/>
          <w:position w:val="0"/>
        </w:rPr>
        <w:t>万元。</w:t>
      </w:r>
    </w:p>
    <w:p>
      <w:pPr>
        <w:pStyle w:val="Style32"/>
        <w:keepNext w:val="0"/>
        <w:keepLines w:val="0"/>
        <w:widowControl w:val="0"/>
        <w:shd w:val="clear" w:color="auto" w:fill="auto"/>
        <w:bidi w:val="0"/>
        <w:spacing w:before="0" w:after="0" w:line="470" w:lineRule="exact"/>
        <w:ind w:left="0" w:right="0" w:firstLine="46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日，公司子公司北京苏宁云商持有的北京京朝苏宁</w:t>
      </w:r>
      <w:r>
        <w:rPr>
          <w:rFonts w:ascii="Times New Roman" w:eastAsia="Times New Roman" w:hAnsi="Times New Roman" w:cs="Times New Roman"/>
          <w:color w:val="000000"/>
          <w:spacing w:val="0"/>
          <w:w w:val="100"/>
          <w:position w:val="0"/>
        </w:rPr>
        <w:t>90%</w:t>
      </w:r>
      <w:r>
        <w:rPr>
          <w:color w:val="000000"/>
          <w:spacing w:val="0"/>
          <w:w w:val="100"/>
          <w:position w:val="0"/>
        </w:rPr>
        <w:t>股权已转让给苏宁电器集团，剩余</w:t>
      </w:r>
      <w:r>
        <w:rPr>
          <w:rFonts w:ascii="Times New Roman" w:eastAsia="Times New Roman" w:hAnsi="Times New Roman" w:cs="Times New Roman"/>
          <w:color w:val="000000"/>
          <w:spacing w:val="0"/>
          <w:w w:val="100"/>
          <w:position w:val="0"/>
        </w:rPr>
        <w:t>10%</w:t>
      </w:r>
      <w:r>
        <w:rPr>
          <w:color w:val="000000"/>
          <w:spacing w:val="0"/>
          <w:w w:val="100"/>
          <w:position w:val="0"/>
        </w:rPr>
        <w:t>转让手续正在办理中， 苏宁电器集团已支付</w:t>
      </w:r>
      <w:r>
        <w:rPr>
          <w:rFonts w:ascii="Times New Roman" w:eastAsia="Times New Roman" w:hAnsi="Times New Roman" w:cs="Times New Roman"/>
          <w:color w:val="000000"/>
          <w:spacing w:val="0"/>
          <w:w w:val="100"/>
          <w:position w:val="0"/>
        </w:rPr>
        <w:t>8.02</w:t>
      </w:r>
      <w:r>
        <w:rPr>
          <w:color w:val="000000"/>
          <w:spacing w:val="0"/>
          <w:w w:val="100"/>
          <w:position w:val="0"/>
        </w:rPr>
        <w:t>亿元的股权对价款，其余款项将在完成剩余股权转让工商登记手续之后予以支付，并已在</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日前偿还完 毕北京京朝苏宁所欠苏宁云商及子公司的款项。截止本报告披露日，苏宁电器集团已经将余款</w:t>
      </w:r>
      <w:r>
        <w:rPr>
          <w:rFonts w:ascii="Times New Roman" w:eastAsia="Times New Roman" w:hAnsi="Times New Roman" w:cs="Times New Roman"/>
          <w:color w:val="000000"/>
          <w:spacing w:val="0"/>
          <w:w w:val="100"/>
          <w:position w:val="0"/>
        </w:rPr>
        <w:t>5.03</w:t>
      </w:r>
      <w:r>
        <w:rPr>
          <w:color w:val="000000"/>
          <w:spacing w:val="0"/>
          <w:w w:val="100"/>
          <w:position w:val="0"/>
        </w:rPr>
        <w:t>亿元支付完毕。</w:t>
      </w:r>
    </w:p>
    <w:p>
      <w:pPr>
        <w:pStyle w:val="Style32"/>
        <w:keepNext w:val="0"/>
        <w:keepLines w:val="0"/>
        <w:widowControl w:val="0"/>
        <w:shd w:val="clear" w:color="auto" w:fill="auto"/>
        <w:bidi w:val="0"/>
        <w:spacing w:before="0" w:after="0" w:line="470" w:lineRule="exact"/>
        <w:ind w:left="0" w:right="0" w:firstLine="460"/>
        <w:jc w:val="left"/>
        <w:sectPr>
          <w:headerReference w:type="default" r:id="rId31"/>
          <w:footerReference w:type="default" r:id="rId32"/>
          <w:headerReference w:type="even" r:id="rId33"/>
          <w:footerReference w:type="even" r:id="rId34"/>
          <w:footnotePr>
            <w:pos w:val="pageBottom"/>
            <w:numFmt w:val="decimal"/>
            <w:numRestart w:val="continuous"/>
          </w:footnotePr>
          <w:pgSz w:w="16840" w:h="11900" w:orient="landscape"/>
          <w:pgMar w:top="1128" w:right="1335" w:bottom="1225" w:left="1336" w:header="0" w:footer="3" w:gutter="0"/>
          <w:cols w:space="720"/>
          <w:noEndnote/>
          <w:rtlGutter w:val="0"/>
          <w:docGrid w:linePitch="360"/>
        </w:sectPr>
      </w:pPr>
      <w:r>
        <w:rPr>
          <w:color w:val="000000"/>
          <w:spacing w:val="0"/>
          <w:w w:val="100"/>
          <w:position w:val="0"/>
        </w:rPr>
        <w:t>按照上述交易安排，截至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日北京京朝苏宁不再纳入公司合并报表范围。根据企业会计准则规定，若涉及处置子公司的，应当 将该子公司期初至处置日的收入、费用、利润纳入合并利润表，归属于母公司所有者享有的部分计入</w:t>
      </w:r>
      <w:r>
        <w:rPr>
          <w:rFonts w:ascii="Times New Roman" w:eastAsia="Times New Roman" w:hAnsi="Times New Roman" w:cs="Times New Roman"/>
          <w:color w:val="000000"/>
          <w:spacing w:val="0"/>
          <w:w w:val="100"/>
          <w:position w:val="0"/>
        </w:rPr>
        <w:t>“</w:t>
      </w:r>
      <w:r>
        <w:rPr>
          <w:color w:val="000000"/>
          <w:spacing w:val="0"/>
          <w:w w:val="100"/>
          <w:position w:val="0"/>
        </w:rPr>
        <w:t>归属于母公司股东的净利润</w:t>
      </w:r>
      <w:r>
        <w:rPr>
          <w:rFonts w:ascii="Times New Roman" w:eastAsia="Times New Roman" w:hAnsi="Times New Roman" w:cs="Times New Roman"/>
          <w:color w:val="000000"/>
          <w:spacing w:val="0"/>
          <w:w w:val="100"/>
          <w:position w:val="0"/>
        </w:rPr>
        <w:t>”</w:t>
      </w:r>
      <w:r>
        <w:rPr>
          <w:color w:val="000000"/>
          <w:spacing w:val="0"/>
          <w:w w:val="100"/>
          <w:position w:val="0"/>
        </w:rPr>
        <w:t>；出售子公司 股权收到的价款与处置投资对应的享有该子公司净资产份额的差额，在合并财务报表中确认为当期投资收益。本次交易增加公司净利润</w:t>
      </w:r>
      <w:r>
        <w:rPr>
          <w:rFonts w:ascii="Times New Roman" w:eastAsia="Times New Roman" w:hAnsi="Times New Roman" w:cs="Times New Roman"/>
          <w:color w:val="000000"/>
          <w:spacing w:val="0"/>
          <w:w w:val="100"/>
          <w:position w:val="0"/>
        </w:rPr>
        <w:t>9.88</w:t>
      </w:r>
      <w:r>
        <w:rPr>
          <w:color w:val="000000"/>
          <w:spacing w:val="0"/>
          <w:w w:val="100"/>
          <w:position w:val="0"/>
        </w:rPr>
        <w:t>亿元。</w:t>
      </w:r>
    </w:p>
    <w:p>
      <w:pPr>
        <w:pStyle w:val="Style32"/>
        <w:keepNext w:val="0"/>
        <w:keepLines w:val="0"/>
        <w:widowControl w:val="0"/>
        <w:shd w:val="clear" w:color="auto" w:fill="auto"/>
        <w:bidi w:val="0"/>
        <w:spacing w:before="420" w:after="400" w:line="240" w:lineRule="auto"/>
        <w:ind w:left="0" w:right="0" w:firstLine="240"/>
        <w:jc w:val="both"/>
        <w:rPr>
          <w:sz w:val="24"/>
          <w:szCs w:val="24"/>
        </w:rPr>
      </w:pPr>
      <w:bookmarkStart w:id="215" w:name="bookmark215"/>
      <w:r>
        <w:rPr>
          <w:b/>
          <w:bCs/>
          <w:color w:val="000000"/>
          <w:spacing w:val="0"/>
          <w:w w:val="100"/>
          <w:position w:val="0"/>
          <w:sz w:val="24"/>
          <w:szCs w:val="24"/>
        </w:rPr>
        <w:t>七</w:t>
      </w:r>
      <w:bookmarkEnd w:id="215"/>
      <w:r>
        <w:rPr>
          <w:b/>
          <w:bCs/>
          <w:color w:val="000000"/>
          <w:spacing w:val="0"/>
          <w:w w:val="100"/>
          <w:position w:val="0"/>
          <w:sz w:val="24"/>
          <w:szCs w:val="24"/>
        </w:rPr>
        <w:t>、主要控股参股公司分析</w:t>
      </w:r>
    </w:p>
    <w:p>
      <w:pPr>
        <w:pStyle w:val="Style32"/>
        <w:keepNext w:val="0"/>
        <w:keepLines w:val="0"/>
        <w:widowControl w:val="0"/>
        <w:shd w:val="clear" w:color="auto" w:fill="auto"/>
        <w:bidi w:val="0"/>
        <w:spacing w:before="0" w:after="220" w:line="240" w:lineRule="auto"/>
        <w:ind w:left="0" w:right="0" w:firstLine="700"/>
        <w:jc w:val="left"/>
      </w:pPr>
      <w:r>
        <w:rPr>
          <w:color w:val="000000"/>
          <w:spacing w:val="0"/>
          <w:w w:val="100"/>
          <w:position w:val="0"/>
        </w:rPr>
        <w:t>单个子公司的净利润或单个参股公司的投资收益对公司净利润影响达到</w:t>
      </w:r>
      <w:r>
        <w:rPr>
          <w:rFonts w:ascii="Times New Roman" w:eastAsia="Times New Roman" w:hAnsi="Times New Roman" w:cs="Times New Roman"/>
          <w:color w:val="000000"/>
          <w:spacing w:val="0"/>
          <w:w w:val="100"/>
          <w:position w:val="0"/>
        </w:rPr>
        <w:t>10%</w:t>
      </w:r>
      <w:r>
        <w:rPr>
          <w:color w:val="000000"/>
          <w:spacing w:val="0"/>
          <w:w w:val="100"/>
          <w:position w:val="0"/>
        </w:rPr>
        <w:t>以上的子公司和参</w:t>
      </w:r>
    </w:p>
    <w:p>
      <w:pPr>
        <w:pStyle w:val="Style32"/>
        <w:keepNext w:val="0"/>
        <w:keepLines w:val="0"/>
        <w:widowControl w:val="0"/>
        <w:shd w:val="clear" w:color="auto" w:fill="auto"/>
        <w:bidi w:val="0"/>
        <w:spacing w:before="0" w:after="120" w:line="240" w:lineRule="auto"/>
        <w:ind w:left="0" w:right="0" w:firstLine="240"/>
        <w:jc w:val="both"/>
      </w:pPr>
      <w:r>
        <w:rPr>
          <w:color w:val="000000"/>
          <w:spacing w:val="0"/>
          <w:w w:val="100"/>
          <w:position w:val="0"/>
        </w:rPr>
        <w:t>股公司明细</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单位：千元</w:t>
      </w:r>
    </w:p>
    <w:tbl>
      <w:tblPr>
        <w:tblOverlap w:val="never"/>
        <w:jc w:val="center"/>
        <w:tblLayout w:type="fixed"/>
      </w:tblPr>
      <w:tblGrid>
        <w:gridCol w:w="1877"/>
        <w:gridCol w:w="1138"/>
        <w:gridCol w:w="1027"/>
        <w:gridCol w:w="970"/>
        <w:gridCol w:w="1070"/>
        <w:gridCol w:w="1070"/>
        <w:gridCol w:w="1075"/>
        <w:gridCol w:w="965"/>
        <w:gridCol w:w="965"/>
      </w:tblGrid>
      <w:tr>
        <w:trPr>
          <w:trHeight w:val="298"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公司类型</w:t>
            </w:r>
          </w:p>
        </w:tc>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主要业务</w:t>
            </w:r>
          </w:p>
        </w:tc>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注册资本</w:t>
            </w:r>
          </w:p>
        </w:tc>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rPr>
              <w:t>总资产</w:t>
            </w:r>
          </w:p>
        </w:tc>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200" w:firstLine="0"/>
              <w:jc w:val="right"/>
            </w:pPr>
            <w:r>
              <w:rPr>
                <w:color w:val="000000"/>
                <w:spacing w:val="0"/>
                <w:w w:val="100"/>
                <w:position w:val="0"/>
              </w:rPr>
              <w:t>净资产</w:t>
            </w:r>
          </w:p>
        </w:tc>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rPr>
              <w:t>营业收入</w:t>
            </w:r>
          </w:p>
        </w:tc>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营业利润</w:t>
            </w:r>
          </w:p>
        </w:tc>
        <w:tc>
          <w:tcPr>
            <w:tcBorders>
              <w:top w:val="single" w:sz="4"/>
              <w:left w:val="single" w:sz="4"/>
              <w:righ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140" w:firstLine="0"/>
              <w:jc w:val="right"/>
            </w:pPr>
            <w:r>
              <w:rPr>
                <w:color w:val="000000"/>
                <w:spacing w:val="0"/>
                <w:w w:val="100"/>
                <w:position w:val="0"/>
              </w:rPr>
              <w:t>净利润</w:t>
            </w:r>
          </w:p>
        </w:tc>
      </w:tr>
      <w:tr>
        <w:trPr>
          <w:trHeight w:val="586"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93" w:lineRule="exact"/>
              <w:ind w:left="0" w:right="0" w:firstLine="0"/>
              <w:jc w:val="left"/>
            </w:pPr>
            <w:r>
              <w:rPr>
                <w:color w:val="000000"/>
                <w:spacing w:val="0"/>
                <w:w w:val="100"/>
                <w:position w:val="0"/>
              </w:rPr>
              <w:t>北京苏宁云商销售 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家电零售</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550,353</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4,911,018</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2,858,891</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15,435,592</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1,243,196</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945,039</w:t>
            </w:r>
          </w:p>
        </w:tc>
      </w:tr>
      <w:tr>
        <w:trPr>
          <w:trHeight w:val="58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93" w:lineRule="exact"/>
              <w:ind w:left="0" w:right="0" w:firstLine="0"/>
              <w:jc w:val="left"/>
            </w:pPr>
            <w:r>
              <w:rPr>
                <w:color w:val="000000"/>
                <w:spacing w:val="0"/>
                <w:w w:val="100"/>
                <w:position w:val="0"/>
              </w:rPr>
              <w:t>广州苏宁云商物流 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家电零售</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573,145</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833,590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646,115</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3,473,088</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-66,817</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114,917</w:t>
            </w:r>
          </w:p>
        </w:tc>
      </w:tr>
      <w:tr>
        <w:trPr>
          <w:trHeight w:val="576"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93" w:lineRule="exact"/>
              <w:ind w:left="0" w:right="0" w:firstLine="0"/>
              <w:jc w:val="left"/>
            </w:pPr>
            <w:r>
              <w:rPr>
                <w:color w:val="000000"/>
                <w:spacing w:val="0"/>
                <w:w w:val="100"/>
                <w:position w:val="0"/>
              </w:rPr>
              <w:t>重庆苏宁云商销售 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家电零售</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544,901</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1,136,272</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697,222</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4,676,316</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113,142</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100,089</w:t>
            </w:r>
          </w:p>
        </w:tc>
      </w:tr>
      <w:tr>
        <w:trPr>
          <w:trHeight w:val="581"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98" w:lineRule="exact"/>
              <w:ind w:left="0" w:right="0" w:firstLine="0"/>
              <w:jc w:val="left"/>
            </w:pPr>
            <w:r>
              <w:rPr>
                <w:color w:val="000000"/>
                <w:spacing w:val="0"/>
                <w:w w:val="100"/>
                <w:position w:val="0"/>
              </w:rPr>
              <w:t>四川苏宁云商销售 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家电零售</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299,171</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2,300,994</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1,326,158</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4,185,648</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105,952</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92,750</w:t>
            </w:r>
          </w:p>
        </w:tc>
      </w:tr>
      <w:tr>
        <w:trPr>
          <w:trHeight w:val="77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Hong Kong Suning Commerce Co.,Limited</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家电零售</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398,077</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720,227</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372,699</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4,669,459</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-94,945</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-96,414</w:t>
            </w:r>
          </w:p>
        </w:tc>
      </w:tr>
      <w:tr>
        <w:trPr>
          <w:trHeight w:val="576"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307" w:lineRule="exact"/>
              <w:ind w:left="0" w:right="0" w:firstLine="0"/>
              <w:jc w:val="left"/>
            </w:pPr>
            <w:r>
              <w:rPr>
                <w:color w:val="000000"/>
                <w:spacing w:val="0"/>
                <w:w w:val="100"/>
                <w:position w:val="0"/>
              </w:rPr>
              <w:t>日本</w:t>
            </w:r>
            <w:r>
              <w:rPr>
                <w:rFonts w:ascii="Times New Roman" w:eastAsia="Times New Roman" w:hAnsi="Times New Roman" w:cs="Times New Roman"/>
                <w:color w:val="000000"/>
                <w:spacing w:val="0"/>
                <w:w w:val="100"/>
                <w:position w:val="0"/>
              </w:rPr>
              <w:t>LAOX</w:t>
            </w:r>
            <w:r>
              <w:rPr>
                <w:color w:val="000000"/>
                <w:spacing w:val="0"/>
                <w:w w:val="100"/>
                <w:position w:val="0"/>
              </w:rPr>
              <w:t>株式会 社</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家电零售</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626,769</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3,750,567</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2,774,145</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3,560,607</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-110,796</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-152,047</w:t>
            </w:r>
          </w:p>
        </w:tc>
      </w:tr>
      <w:tr>
        <w:trPr>
          <w:trHeight w:val="2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Shiny Lion Limited</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投资业务</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16,066,938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990,806</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-153,217</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-153,217</w:t>
            </w:r>
          </w:p>
        </w:tc>
      </w:tr>
      <w:tr>
        <w:trPr>
          <w:trHeight w:val="581"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88" w:lineRule="exact"/>
              <w:ind w:left="0" w:right="0" w:firstLine="0"/>
              <w:jc w:val="left"/>
            </w:pPr>
            <w:r>
              <w:rPr>
                <w:color w:val="000000"/>
                <w:spacing w:val="0"/>
                <w:w w:val="100"/>
                <w:position w:val="0"/>
              </w:rPr>
              <w:t>苏宁国际集团股份 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投资业务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7,514,752</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16,709,939</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15,010,787</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-152,792</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-153,739</w:t>
            </w:r>
          </w:p>
        </w:tc>
      </w:tr>
      <w:tr>
        <w:trPr>
          <w:trHeight w:val="581"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left"/>
            </w:pPr>
            <w:r>
              <w:rPr>
                <w:color w:val="000000"/>
                <w:spacing w:val="0"/>
                <w:w w:val="100"/>
                <w:position w:val="0"/>
              </w:rPr>
              <w:t>江苏苏宁易购电子 商务有限公司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88" w:lineRule="exact"/>
              <w:ind w:left="0" w:right="0" w:firstLine="0"/>
              <w:jc w:val="both"/>
            </w:pPr>
            <w:r>
              <w:rPr>
                <w:color w:val="000000"/>
                <w:spacing w:val="0"/>
                <w:w w:val="100"/>
                <w:position w:val="0"/>
              </w:rPr>
              <w:t>电子商务 平台</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200,000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2,113,658</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-1,289,105</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1,619,303</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-640,094</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-436,829</w:t>
            </w:r>
          </w:p>
        </w:tc>
      </w:tr>
      <w:tr>
        <w:trPr>
          <w:trHeight w:val="586" w:hRule="exact"/>
        </w:trPr>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88" w:lineRule="exact"/>
              <w:ind w:left="0" w:right="0" w:firstLine="0"/>
              <w:jc w:val="left"/>
            </w:pPr>
            <w:r>
              <w:rPr>
                <w:color w:val="000000"/>
                <w:spacing w:val="0"/>
                <w:w w:val="100"/>
                <w:position w:val="0"/>
              </w:rPr>
              <w:t>苏宁消费金融有限 公司</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参股公司</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消费金融</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600,000</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1,673,195</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348,888</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105,800</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-192,425</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-189,424</w:t>
            </w:r>
          </w:p>
        </w:tc>
      </w:tr>
    </w:tbl>
    <w:p>
      <w:pPr>
        <w:pStyle w:val="Style25"/>
        <w:keepNext w:val="0"/>
        <w:keepLines w:val="0"/>
        <w:widowControl w:val="0"/>
        <w:shd w:val="clear" w:color="auto" w:fill="auto"/>
        <w:bidi w:val="0"/>
        <w:spacing w:before="0" w:after="0" w:line="240" w:lineRule="auto"/>
        <w:ind w:left="682"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：北京苏宁云商销售有限公司的报告期净利润主要由于其将持有的北京京朝苏宁股权进行转</w:t>
      </w:r>
    </w:p>
    <w:p>
      <w:pPr>
        <w:pStyle w:val="Style32"/>
        <w:keepNext w:val="0"/>
        <w:keepLines w:val="0"/>
        <w:widowControl w:val="0"/>
        <w:shd w:val="clear" w:color="auto" w:fill="auto"/>
        <w:bidi w:val="0"/>
        <w:spacing w:before="0" w:after="0" w:line="475" w:lineRule="exact"/>
        <w:ind w:left="240" w:right="0" w:firstLine="0"/>
        <w:jc w:val="left"/>
      </w:pPr>
      <w:r>
        <w:rPr>
          <w:color w:val="000000"/>
          <w:spacing w:val="0"/>
          <w:w w:val="100"/>
          <w:position w:val="0"/>
        </w:rPr>
        <w:t>让，实现收益；报告期内公司将包括广州物流仓储物业在内的</w:t>
      </w:r>
      <w:r>
        <w:rPr>
          <w:rFonts w:ascii="Times New Roman" w:eastAsia="Times New Roman" w:hAnsi="Times New Roman" w:cs="Times New Roman"/>
          <w:color w:val="000000"/>
          <w:spacing w:val="0"/>
          <w:w w:val="100"/>
          <w:position w:val="0"/>
        </w:rPr>
        <w:t>6</w:t>
      </w:r>
      <w:r>
        <w:rPr>
          <w:color w:val="000000"/>
          <w:spacing w:val="0"/>
          <w:w w:val="100"/>
          <w:position w:val="0"/>
        </w:rPr>
        <w:t>家供应链仓储物业用于开展创新资 产运作，带来广州苏宁云商物流有限公司实现转让收益。</w:t>
      </w:r>
    </w:p>
    <w:p>
      <w:pPr>
        <w:pStyle w:val="Style32"/>
        <w:keepNext w:val="0"/>
        <w:keepLines w:val="0"/>
        <w:widowControl w:val="0"/>
        <w:shd w:val="clear" w:color="auto" w:fill="auto"/>
        <w:bidi w:val="0"/>
        <w:spacing w:before="0" w:after="0" w:line="475" w:lineRule="exact"/>
        <w:ind w:left="240" w:right="0" w:firstLine="460"/>
        <w:jc w:val="left"/>
      </w:pP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：公司子公司</w:t>
      </w:r>
      <w:r>
        <w:rPr>
          <w:rFonts w:ascii="Times New Roman" w:eastAsia="Times New Roman" w:hAnsi="Times New Roman" w:cs="Times New Roman"/>
          <w:color w:val="000000"/>
          <w:spacing w:val="0"/>
          <w:w w:val="100"/>
          <w:position w:val="0"/>
        </w:rPr>
        <w:t>Shiny Lion Limited</w:t>
      </w:r>
      <w:r>
        <w:rPr>
          <w:color w:val="000000"/>
          <w:spacing w:val="0"/>
          <w:w w:val="100"/>
          <w:position w:val="0"/>
        </w:rPr>
        <w:t>报告期内向银行申请美元专项贷款用于认购阿里巴巴集团 新增股份，报告期内计提相关利息。</w:t>
      </w:r>
    </w:p>
    <w:p>
      <w:pPr>
        <w:pStyle w:val="Style32"/>
        <w:keepNext w:val="0"/>
        <w:keepLines w:val="0"/>
        <w:widowControl w:val="0"/>
        <w:shd w:val="clear" w:color="auto" w:fill="auto"/>
        <w:bidi w:val="0"/>
        <w:spacing w:before="0" w:after="0" w:line="475" w:lineRule="exact"/>
        <w:ind w:left="240" w:right="0" w:firstLine="460"/>
        <w:jc w:val="left"/>
      </w:pPr>
      <w:r>
        <w:rPr>
          <w:color w:val="000000"/>
          <w:spacing w:val="0"/>
          <w:w w:val="100"/>
          <w:position w:val="0"/>
        </w:rPr>
        <w:t>注</w:t>
      </w:r>
      <w:r>
        <w:rPr>
          <w:rFonts w:ascii="Times New Roman" w:eastAsia="Times New Roman" w:hAnsi="Times New Roman" w:cs="Times New Roman"/>
          <w:color w:val="000000"/>
          <w:spacing w:val="0"/>
          <w:w w:val="100"/>
          <w:position w:val="0"/>
        </w:rPr>
        <w:t>3</w:t>
      </w:r>
      <w:r>
        <w:rPr>
          <w:color w:val="000000"/>
          <w:spacing w:val="0"/>
          <w:w w:val="100"/>
          <w:position w:val="0"/>
        </w:rPr>
        <w:t>：苏宁国际集团股份有限公司因汇率变动，带来公司汇兑损益增加，由此导致公司亏损。</w:t>
      </w:r>
    </w:p>
    <w:p>
      <w:pPr>
        <w:pStyle w:val="Style32"/>
        <w:keepNext w:val="0"/>
        <w:keepLines w:val="0"/>
        <w:widowControl w:val="0"/>
        <w:shd w:val="clear" w:color="auto" w:fill="auto"/>
        <w:bidi w:val="0"/>
        <w:spacing w:before="0" w:after="0" w:line="475" w:lineRule="exact"/>
        <w:ind w:left="240" w:right="0" w:firstLine="460"/>
        <w:jc w:val="left"/>
      </w:pPr>
      <w:r>
        <w:rPr>
          <w:color w:val="000000"/>
          <w:spacing w:val="0"/>
          <w:w w:val="100"/>
          <w:position w:val="0"/>
        </w:rPr>
        <w:t>注</w:t>
      </w:r>
      <w:r>
        <w:rPr>
          <w:rFonts w:ascii="Times New Roman" w:eastAsia="Times New Roman" w:hAnsi="Times New Roman" w:cs="Times New Roman"/>
          <w:color w:val="000000"/>
          <w:spacing w:val="0"/>
          <w:w w:val="100"/>
          <w:position w:val="0"/>
        </w:rPr>
        <w:t>4</w:t>
      </w:r>
      <w:r>
        <w:rPr>
          <w:color w:val="000000"/>
          <w:spacing w:val="0"/>
          <w:w w:val="100"/>
          <w:position w:val="0"/>
        </w:rPr>
        <w:t>：苏宁消费金融报告期内处于发展用户、提高品牌知名度的阶段，通过加大了促销推广投入, 支出较大。未来，随着用户粘性增加，使用场景的进一步丰富，以及大数据支撑下的风控能力的不 断提升，产品利润将有所提升，消费金融公司效益将逐步得到改善。</w:t>
      </w:r>
    </w:p>
    <w:p>
      <w:pPr>
        <w:pStyle w:val="Style53"/>
        <w:keepNext w:val="0"/>
        <w:keepLines w:val="0"/>
        <w:widowControl w:val="0"/>
        <w:shd w:val="clear" w:color="auto" w:fill="auto"/>
        <w:bidi w:val="0"/>
        <w:spacing w:before="0" w:after="220" w:line="475" w:lineRule="exact"/>
        <w:ind w:left="240" w:right="0"/>
        <w:jc w:val="left"/>
      </w:pPr>
      <w:r>
        <w:rPr>
          <w:rFonts w:ascii="SimSun" w:eastAsia="SimSun" w:hAnsi="SimSun" w:cs="SimSun"/>
          <w:color w:val="000000"/>
          <w:spacing w:val="0"/>
          <w:w w:val="100"/>
          <w:position w:val="0"/>
        </w:rPr>
        <w:t>注</w:t>
      </w:r>
      <w:r>
        <w:rPr>
          <w:color w:val="000000"/>
          <w:spacing w:val="0"/>
          <w:w w:val="100"/>
          <w:position w:val="0"/>
        </w:rPr>
        <w:t>5</w:t>
      </w:r>
      <w:r>
        <w:rPr>
          <w:rFonts w:ascii="SimSun" w:eastAsia="SimSun" w:hAnsi="SimSun" w:cs="SimSun"/>
          <w:color w:val="000000"/>
          <w:spacing w:val="0"/>
          <w:w w:val="100"/>
          <w:position w:val="0"/>
        </w:rPr>
        <w:t xml:space="preserve">: </w:t>
      </w:r>
      <w:r>
        <w:rPr>
          <w:color w:val="000000"/>
          <w:spacing w:val="0"/>
          <w:w w:val="100"/>
          <w:position w:val="0"/>
        </w:rPr>
        <w:t>Hong Kong Suning Commerce Co.,Limited</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日本</w:t>
      </w:r>
      <w:r>
        <w:rPr>
          <w:color w:val="000000"/>
          <w:spacing w:val="0"/>
          <w:w w:val="100"/>
          <w:position w:val="0"/>
        </w:rPr>
        <w:t>LAOX</w:t>
      </w:r>
      <w:r>
        <w:rPr>
          <w:rFonts w:ascii="SimSun" w:eastAsia="SimSun" w:hAnsi="SimSun" w:cs="SimSun"/>
          <w:color w:val="000000"/>
          <w:spacing w:val="0"/>
          <w:w w:val="100"/>
          <w:position w:val="0"/>
        </w:rPr>
        <w:t>株式会社业绩变动分析详见</w:t>
      </w:r>
      <w:r>
        <w:rPr>
          <w:color w:val="000000"/>
          <w:spacing w:val="0"/>
          <w:w w:val="100"/>
          <w:position w:val="0"/>
        </w:rPr>
        <w:t>“</w:t>
      </w:r>
      <w:r>
        <w:rPr>
          <w:rFonts w:ascii="SimSun" w:eastAsia="SimSun" w:hAnsi="SimSun" w:cs="SimSun"/>
          <w:color w:val="000000"/>
          <w:spacing w:val="0"/>
          <w:w w:val="100"/>
          <w:position w:val="0"/>
        </w:rPr>
        <w:t>第四 节经营情况讨论与分析营业收入构成</w:t>
      </w:r>
      <w:r>
        <w:rPr>
          <w:color w:val="000000"/>
          <w:spacing w:val="0"/>
          <w:w w:val="100"/>
          <w:position w:val="0"/>
        </w:rPr>
        <w:t>”</w:t>
      </w:r>
      <w:r>
        <w:rPr>
          <w:rFonts w:ascii="SimSun" w:eastAsia="SimSun" w:hAnsi="SimSun" w:cs="SimSun"/>
          <w:color w:val="000000"/>
          <w:spacing w:val="0"/>
          <w:w w:val="100"/>
          <w:position w:val="0"/>
        </w:rPr>
        <w:t>。</w:t>
      </w:r>
    </w:p>
    <w:p>
      <w:pPr>
        <w:pStyle w:val="Style25"/>
        <w:keepNext w:val="0"/>
        <w:keepLines w:val="0"/>
        <w:widowControl w:val="0"/>
        <w:shd w:val="clear" w:color="auto" w:fill="auto"/>
        <w:bidi w:val="0"/>
        <w:spacing w:before="0" w:after="0" w:line="240" w:lineRule="auto"/>
        <w:ind w:left="427" w:right="0" w:firstLine="0"/>
        <w:jc w:val="left"/>
      </w:pPr>
      <w:r>
        <w:rPr>
          <w:color w:val="000000"/>
          <w:spacing w:val="0"/>
          <w:w w:val="100"/>
          <w:position w:val="0"/>
        </w:rPr>
        <w:t>报告期内取得和处置子公司的情况</w:t>
      </w:r>
    </w:p>
    <w:tbl>
      <w:tblPr>
        <w:tblOverlap w:val="never"/>
        <w:jc w:val="center"/>
        <w:tblLayout w:type="fixed"/>
      </w:tblPr>
      <w:tblGrid>
        <w:gridCol w:w="3192"/>
        <w:gridCol w:w="3192"/>
        <w:gridCol w:w="3552"/>
      </w:tblGrid>
      <w:tr>
        <w:trPr>
          <w:trHeight w:val="298"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报告期内取得和处置子公司方式</w:t>
            </w:r>
          </w:p>
        </w:tc>
        <w:tc>
          <w:tcPr>
            <w:tcBorders>
              <w:top w:val="single" w:sz="4"/>
              <w:left w:val="single" w:sz="4"/>
              <w:righ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对整体生产经营和业绩的影响</w:t>
            </w:r>
          </w:p>
        </w:tc>
      </w:tr>
      <w:tr>
        <w:trPr>
          <w:trHeight w:val="586"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北京京朝苏宁电器有限公司</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出售股权</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69" w:lineRule="exact"/>
              <w:ind w:left="0" w:right="0" w:firstLine="0"/>
              <w:jc w:val="left"/>
            </w:pPr>
            <w:r>
              <w:rPr>
                <w:color w:val="000000"/>
                <w:spacing w:val="0"/>
                <w:w w:val="100"/>
                <w:position w:val="0"/>
              </w:rPr>
              <w:t>具体内容详见</w:t>
            </w:r>
            <w:r>
              <w:rPr>
                <w:rFonts w:ascii="Times New Roman" w:eastAsia="Times New Roman" w:hAnsi="Times New Roman" w:cs="Times New Roman"/>
                <w:color w:val="000000"/>
                <w:spacing w:val="0"/>
                <w:w w:val="100"/>
                <w:position w:val="0"/>
              </w:rPr>
              <w:t>“</w:t>
            </w:r>
            <w:r>
              <w:rPr>
                <w:color w:val="000000"/>
                <w:spacing w:val="0"/>
                <w:w w:val="100"/>
                <w:position w:val="0"/>
              </w:rPr>
              <w:t>六重大资产和股权出 售</w:t>
            </w:r>
            <w:r>
              <w:rPr>
                <w:rFonts w:ascii="Times New Roman" w:eastAsia="Times New Roman" w:hAnsi="Times New Roman" w:cs="Times New Roman"/>
                <w:color w:val="000000"/>
                <w:spacing w:val="0"/>
                <w:w w:val="100"/>
                <w:position w:val="0"/>
              </w:rPr>
              <w:t>2</w:t>
            </w:r>
            <w:r>
              <w:rPr>
                <w:color w:val="000000"/>
                <w:spacing w:val="0"/>
                <w:w w:val="100"/>
                <w:position w:val="0"/>
              </w:rPr>
              <w:t>出售重大股权情况</w:t>
            </w: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32"/>
        <w:keepNext w:val="0"/>
        <w:keepLines w:val="0"/>
        <w:widowControl w:val="0"/>
        <w:shd w:val="clear" w:color="auto" w:fill="auto"/>
        <w:bidi w:val="0"/>
        <w:spacing w:before="0" w:after="400" w:line="240" w:lineRule="auto"/>
        <w:ind w:left="0" w:right="0" w:firstLine="460"/>
        <w:jc w:val="left"/>
      </w:pPr>
      <w:r>
        <w:rPr>
          <w:color w:val="000000"/>
          <w:spacing w:val="0"/>
          <w:w w:val="100"/>
          <w:position w:val="0"/>
        </w:rPr>
        <w:t>报告期内取得和处置子公司的其他情况详见第十节财务报表附注</w:t>
      </w:r>
      <w:r>
        <w:rPr>
          <w:rFonts w:ascii="Times New Roman" w:eastAsia="Times New Roman" w:hAnsi="Times New Roman" w:cs="Times New Roman"/>
          <w:color w:val="000000"/>
          <w:spacing w:val="0"/>
          <w:w w:val="100"/>
          <w:position w:val="0"/>
        </w:rPr>
        <w:t>“</w:t>
      </w:r>
      <w:r>
        <w:rPr>
          <w:color w:val="000000"/>
          <w:spacing w:val="0"/>
          <w:w w:val="100"/>
          <w:position w:val="0"/>
        </w:rPr>
        <w:t>五、合并范围的变更</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32"/>
        <w:keepNext w:val="0"/>
        <w:keepLines w:val="0"/>
        <w:widowControl w:val="0"/>
        <w:shd w:val="clear" w:color="auto" w:fill="auto"/>
        <w:bidi w:val="0"/>
        <w:spacing w:before="0" w:after="200" w:line="240" w:lineRule="auto"/>
        <w:ind w:left="0" w:right="0" w:firstLine="0"/>
        <w:jc w:val="left"/>
        <w:rPr>
          <w:sz w:val="24"/>
          <w:szCs w:val="24"/>
        </w:rPr>
      </w:pPr>
      <w:bookmarkStart w:id="216" w:name="bookmark216"/>
      <w:r>
        <w:rPr>
          <w:b/>
          <w:bCs/>
          <w:color w:val="000000"/>
          <w:spacing w:val="0"/>
          <w:w w:val="100"/>
          <w:position w:val="0"/>
          <w:sz w:val="24"/>
          <w:szCs w:val="24"/>
        </w:rPr>
        <w:t>八</w:t>
      </w:r>
      <w:bookmarkEnd w:id="216"/>
      <w:r>
        <w:rPr>
          <w:b/>
          <w:bCs/>
          <w:color w:val="000000"/>
          <w:spacing w:val="0"/>
          <w:w w:val="100"/>
          <w:position w:val="0"/>
          <w:sz w:val="24"/>
          <w:szCs w:val="24"/>
        </w:rPr>
        <w:t>、公司控制的结构化主体情况</w:t>
      </w:r>
    </w:p>
    <w:p>
      <w:pPr>
        <w:pStyle w:val="Style32"/>
        <w:keepNext w:val="0"/>
        <w:keepLines w:val="0"/>
        <w:widowControl w:val="0"/>
        <w:shd w:val="clear" w:color="auto" w:fill="auto"/>
        <w:bidi w:val="0"/>
        <w:spacing w:before="0" w:after="200" w:line="472" w:lineRule="exact"/>
        <w:ind w:left="0" w:right="0" w:firstLine="46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2"/>
        <w:keepNext w:val="0"/>
        <w:keepLines w:val="0"/>
        <w:widowControl w:val="0"/>
        <w:shd w:val="clear" w:color="auto" w:fill="auto"/>
        <w:bidi w:val="0"/>
        <w:spacing w:before="0" w:after="200" w:line="472" w:lineRule="exact"/>
        <w:ind w:left="0" w:right="0" w:firstLine="0"/>
        <w:jc w:val="left"/>
        <w:rPr>
          <w:sz w:val="24"/>
          <w:szCs w:val="24"/>
        </w:rPr>
      </w:pPr>
      <w:bookmarkStart w:id="217" w:name="bookmark217"/>
      <w:r>
        <w:rPr>
          <w:b/>
          <w:bCs/>
          <w:color w:val="000000"/>
          <w:spacing w:val="0"/>
          <w:w w:val="100"/>
          <w:position w:val="0"/>
          <w:sz w:val="24"/>
          <w:szCs w:val="24"/>
        </w:rPr>
        <w:t>九</w:t>
      </w:r>
      <w:bookmarkEnd w:id="217"/>
      <w:r>
        <w:rPr>
          <w:b/>
          <w:bCs/>
          <w:color w:val="000000"/>
          <w:spacing w:val="0"/>
          <w:w w:val="100"/>
          <w:position w:val="0"/>
          <w:sz w:val="24"/>
          <w:szCs w:val="24"/>
        </w:rPr>
        <w:t>、公司未来发展的展望</w:t>
      </w:r>
    </w:p>
    <w:p>
      <w:pPr>
        <w:pStyle w:val="Style32"/>
        <w:keepNext w:val="0"/>
        <w:keepLines w:val="0"/>
        <w:widowControl w:val="0"/>
        <w:shd w:val="clear" w:color="auto" w:fill="auto"/>
        <w:bidi w:val="0"/>
        <w:spacing w:before="0" w:after="0" w:line="471" w:lineRule="exact"/>
        <w:ind w:left="0" w:right="0" w:firstLine="460"/>
        <w:jc w:val="both"/>
      </w:pPr>
      <w:r>
        <w:rPr>
          <w:rFonts w:ascii="Times New Roman" w:eastAsia="Times New Roman" w:hAnsi="Times New Roman" w:cs="Times New Roman"/>
          <w:color w:val="000000"/>
          <w:spacing w:val="0"/>
          <w:w w:val="100"/>
          <w:position w:val="0"/>
        </w:rPr>
        <w:t>2017</w:t>
      </w:r>
      <w:r>
        <w:rPr>
          <w:color w:val="000000"/>
          <w:spacing w:val="0"/>
          <w:w w:val="100"/>
          <w:position w:val="0"/>
        </w:rPr>
        <w:t>年，世界经济深度调整，不稳定、不确定因素增加，对国内发展有所影响；国内经济增速 换挡，结构调整阵痛，经济下行压力加大，零售行业发展面临挑战。与此同时，随着我国新型工业 化和供给侧结构性改革加快推进，中等收入群体不断扩大，城镇化率稳步提升，消费仍具有较大的 增长空间；居民消费需求升级趋势明显，由满足生存需求消费向服务消费、品质消费进行转变，推 动了零售行业的转型升级，零售行业发展进一步从规模数量型向质量效益导向型进行转变，优化调 整步伐加快。</w:t>
      </w:r>
    </w:p>
    <w:p>
      <w:pPr>
        <w:pStyle w:val="Style32"/>
        <w:keepNext w:val="0"/>
        <w:keepLines w:val="0"/>
        <w:widowControl w:val="0"/>
        <w:shd w:val="clear" w:color="auto" w:fill="auto"/>
        <w:bidi w:val="0"/>
        <w:spacing w:before="0" w:after="0" w:line="472" w:lineRule="exact"/>
        <w:ind w:left="0" w:right="0" w:firstLine="460"/>
        <w:jc w:val="both"/>
      </w:pPr>
      <w:r>
        <w:rPr>
          <w:color w:val="000000"/>
          <w:spacing w:val="0"/>
          <w:w w:val="100"/>
          <w:position w:val="0"/>
        </w:rPr>
        <w:t>整体来看，</w:t>
      </w:r>
      <w:r>
        <w:rPr>
          <w:rFonts w:ascii="Times New Roman" w:eastAsia="Times New Roman" w:hAnsi="Times New Roman" w:cs="Times New Roman"/>
          <w:color w:val="000000"/>
          <w:spacing w:val="0"/>
          <w:w w:val="100"/>
          <w:position w:val="0"/>
        </w:rPr>
        <w:t>2017</w:t>
      </w:r>
      <w:r>
        <w:rPr>
          <w:color w:val="000000"/>
          <w:spacing w:val="0"/>
          <w:w w:val="100"/>
          <w:position w:val="0"/>
        </w:rPr>
        <w:t>年零售行业发展机遇大于挑战。社会消费品零售总额占比</w:t>
      </w:r>
      <w:r>
        <w:rPr>
          <w:rFonts w:ascii="Times New Roman" w:eastAsia="Times New Roman" w:hAnsi="Times New Roman" w:cs="Times New Roman"/>
          <w:color w:val="000000"/>
          <w:spacing w:val="0"/>
          <w:w w:val="100"/>
          <w:position w:val="0"/>
        </w:rPr>
        <w:t>GDP</w:t>
      </w:r>
      <w:r>
        <w:rPr>
          <w:color w:val="000000"/>
          <w:spacing w:val="0"/>
          <w:w w:val="100"/>
          <w:position w:val="0"/>
        </w:rPr>
        <w:t>的增速保持稳步 上升的趋势，将促进零售行业不断增长。随着年轻消费群体的兴起，居民生活水平的提高，特色化、 个性化的需求以及购物体验品质的追求将成为消费主流，零售企业迎来全新转型时代，围绕供应链 效率、商品结构、服务体验等方面进行升级优化，打开了新的发展空间。</w:t>
      </w:r>
    </w:p>
    <w:p>
      <w:pPr>
        <w:pStyle w:val="Style32"/>
        <w:keepNext w:val="0"/>
        <w:keepLines w:val="0"/>
        <w:widowControl w:val="0"/>
        <w:shd w:val="clear" w:color="auto" w:fill="auto"/>
        <w:bidi w:val="0"/>
        <w:spacing w:before="0" w:after="0" w:line="472" w:lineRule="exact"/>
        <w:ind w:left="0" w:right="0" w:firstLine="460"/>
        <w:jc w:val="both"/>
      </w:pPr>
      <w:r>
        <w:rPr>
          <w:color w:val="000000"/>
          <w:spacing w:val="0"/>
          <w:w w:val="100"/>
          <w:position w:val="0"/>
        </w:rPr>
        <w:t>作为率先在行业推进</w:t>
      </w:r>
      <w:r>
        <w:rPr>
          <w:rFonts w:ascii="Times New Roman" w:eastAsia="Times New Roman" w:hAnsi="Times New Roman" w:cs="Times New Roman"/>
          <w:color w:val="000000"/>
          <w:spacing w:val="0"/>
          <w:w w:val="100"/>
          <w:position w:val="0"/>
        </w:rPr>
        <w:t>020</w:t>
      </w:r>
      <w:r>
        <w:rPr>
          <w:color w:val="000000"/>
          <w:spacing w:val="0"/>
          <w:w w:val="100"/>
          <w:position w:val="0"/>
        </w:rPr>
        <w:t>零售模式的苏宁来说，</w:t>
      </w:r>
      <w:r>
        <w:rPr>
          <w:rFonts w:ascii="Times New Roman" w:eastAsia="Times New Roman" w:hAnsi="Times New Roman" w:cs="Times New Roman"/>
          <w:color w:val="000000"/>
          <w:spacing w:val="0"/>
          <w:w w:val="100"/>
          <w:position w:val="0"/>
        </w:rPr>
        <w:t>2017</w:t>
      </w:r>
      <w:r>
        <w:rPr>
          <w:color w:val="000000"/>
          <w:spacing w:val="0"/>
          <w:w w:val="100"/>
          <w:position w:val="0"/>
        </w:rPr>
        <w:t>年将有效利用品质消费增长的窗口期，把 握行业优胜劣汰的机遇期，实现企业快速发展。面向消费升级的用户，公司将持续推动消费平台的 升级，为用户提供全方位的品质生活解决方案；面向供给侧改革的供应商，公司将持续升级供管平 台，通过对海量的消费行为数据和商品数据的深度挖掘，引领需求、创造需求，推动中国制造的创 新研发和生产，成为品质商品的畅销渠道，以及新品类、新产品的首销平台，为供应商提供全方位 的零售服务解决方案。</w:t>
      </w:r>
    </w:p>
    <w:p>
      <w:pPr>
        <w:pStyle w:val="Style32"/>
        <w:keepNext w:val="0"/>
        <w:keepLines w:val="0"/>
        <w:widowControl w:val="0"/>
        <w:shd w:val="clear" w:color="auto" w:fill="auto"/>
        <w:bidi w:val="0"/>
        <w:spacing w:before="0" w:after="0" w:line="474" w:lineRule="exact"/>
        <w:ind w:left="0" w:right="0" w:firstLine="460"/>
        <w:jc w:val="both"/>
      </w:pPr>
      <w:r>
        <w:rPr>
          <w:rFonts w:ascii="Times New Roman" w:eastAsia="Times New Roman" w:hAnsi="Times New Roman" w:cs="Times New Roman"/>
          <w:color w:val="000000"/>
          <w:spacing w:val="0"/>
          <w:w w:val="100"/>
          <w:position w:val="0"/>
        </w:rPr>
        <w:t>2017</w:t>
      </w:r>
      <w:r>
        <w:rPr>
          <w:color w:val="000000"/>
          <w:spacing w:val="0"/>
          <w:w w:val="100"/>
          <w:position w:val="0"/>
        </w:rPr>
        <w:t>年在实现快速发展的同时，公司将进一步聚焦，聚焦商品供应链、强化自营；聚焦用户， 服务、体验价值提升；聚焦盈利变现，实现互联网零售商业模式向盈利模式的转变。</w:t>
      </w:r>
    </w:p>
    <w:p>
      <w:pPr>
        <w:pStyle w:val="Style32"/>
        <w:keepNext w:val="0"/>
        <w:keepLines w:val="0"/>
        <w:widowControl w:val="0"/>
        <w:shd w:val="clear" w:color="auto" w:fill="auto"/>
        <w:bidi w:val="0"/>
        <w:spacing w:before="0" w:after="200" w:line="474" w:lineRule="exact"/>
        <w:ind w:left="0" w:right="0" w:firstLine="460"/>
        <w:jc w:val="both"/>
      </w:pPr>
      <w:r>
        <w:rPr>
          <w:rFonts w:ascii="Times New Roman" w:eastAsia="Times New Roman" w:hAnsi="Times New Roman" w:cs="Times New Roman"/>
          <w:color w:val="000000"/>
          <w:spacing w:val="0"/>
          <w:w w:val="100"/>
          <w:position w:val="0"/>
        </w:rPr>
        <w:t>2017</w:t>
      </w:r>
      <w:r>
        <w:rPr>
          <w:color w:val="000000"/>
          <w:spacing w:val="0"/>
          <w:w w:val="100"/>
          <w:position w:val="0"/>
        </w:rPr>
        <w:t>年公司还将进一步协同集团产业资源，打通会员数据以及品牌市场，全面共享核心资源优 势，为消费者提供全方位的生活服务产品，为供应商提供全面的广告品牌服务，强化生态粘性，形 成企业持续发展的基石。</w:t>
      </w:r>
    </w:p>
    <w:p>
      <w:pPr>
        <w:pStyle w:val="Style32"/>
        <w:keepNext w:val="0"/>
        <w:keepLines w:val="0"/>
        <w:widowControl w:val="0"/>
        <w:shd w:val="clear" w:color="auto" w:fill="auto"/>
        <w:bidi w:val="0"/>
        <w:spacing w:before="0" w:after="0" w:line="469" w:lineRule="exact"/>
        <w:ind w:left="0" w:right="0" w:firstLine="460"/>
        <w:jc w:val="left"/>
      </w:pPr>
      <w:r>
        <w:rPr>
          <w:rFonts w:ascii="Times New Roman" w:eastAsia="Times New Roman" w:hAnsi="Times New Roman" w:cs="Times New Roman"/>
          <w:color w:val="000000"/>
          <w:spacing w:val="0"/>
          <w:w w:val="100"/>
          <w:position w:val="0"/>
        </w:rPr>
        <w:t>2017</w:t>
      </w:r>
      <w:r>
        <w:rPr>
          <w:color w:val="000000"/>
          <w:spacing w:val="0"/>
          <w:w w:val="100"/>
          <w:position w:val="0"/>
        </w:rPr>
        <w:t>年，公司将继续围绕零售、物流、金融三大业务单元开展经营工作，具体来看包括：</w:t>
      </w:r>
    </w:p>
    <w:p>
      <w:pPr>
        <w:pStyle w:val="Style38"/>
        <w:keepNext/>
        <w:keepLines/>
        <w:widowControl w:val="0"/>
        <w:shd w:val="clear" w:color="auto" w:fill="auto"/>
        <w:bidi w:val="0"/>
        <w:spacing w:before="0" w:after="0" w:line="469" w:lineRule="exact"/>
        <w:ind w:left="0" w:right="0" w:firstLine="460"/>
        <w:jc w:val="left"/>
      </w:pPr>
      <w:bookmarkStart w:id="218" w:name="bookmark218"/>
      <w:bookmarkStart w:id="219" w:name="bookmark219"/>
      <w:bookmarkStart w:id="220" w:name="bookmark220"/>
      <w:r>
        <w:rPr>
          <w:rFonts w:ascii="Arial" w:eastAsia="Arial" w:hAnsi="Arial" w:cs="Arial"/>
          <w:b w:val="0"/>
          <w:bCs w:val="0"/>
          <w:color w:val="000000"/>
          <w:spacing w:val="0"/>
          <w:w w:val="100"/>
          <w:position w:val="0"/>
        </w:rPr>
        <w:t>■</w:t>
      </w:r>
      <w:r>
        <w:rPr>
          <w:color w:val="000000"/>
          <w:spacing w:val="0"/>
          <w:w w:val="100"/>
          <w:position w:val="0"/>
        </w:rPr>
        <w:t>零售业务</w:t>
      </w:r>
      <w:bookmarkEnd w:id="218"/>
      <w:bookmarkEnd w:id="219"/>
      <w:bookmarkEnd w:id="220"/>
    </w:p>
    <w:p>
      <w:pPr>
        <w:pStyle w:val="Style32"/>
        <w:keepNext w:val="0"/>
        <w:keepLines w:val="0"/>
        <w:widowControl w:val="0"/>
        <w:shd w:val="clear" w:color="auto" w:fill="auto"/>
        <w:tabs>
          <w:tab w:pos="814" w:val="left"/>
        </w:tabs>
        <w:bidi w:val="0"/>
        <w:spacing w:before="0" w:after="0" w:line="469" w:lineRule="exact"/>
        <w:ind w:left="0" w:right="0" w:firstLine="460"/>
        <w:jc w:val="left"/>
      </w:pPr>
      <w:bookmarkStart w:id="221" w:name="bookmark221"/>
      <w:r>
        <w:rPr>
          <w:rFonts w:ascii="Times New Roman" w:eastAsia="Times New Roman" w:hAnsi="Times New Roman" w:cs="Times New Roman"/>
          <w:color w:val="000000"/>
          <w:spacing w:val="0"/>
          <w:w w:val="100"/>
          <w:position w:val="0"/>
        </w:rPr>
        <w:t>1</w:t>
      </w:r>
      <w:bookmarkEnd w:id="221"/>
      <w:r>
        <w:rPr>
          <w:color w:val="000000"/>
          <w:spacing w:val="0"/>
          <w:w w:val="100"/>
          <w:position w:val="0"/>
        </w:rPr>
        <w:t>、</w:t>
        <w:tab/>
        <w:t>进一步优化线下互联网生态，建立线下最完善、最大的数字化服务网络，面向用户提供成本 最低、时效最快的服务体验。</w:t>
      </w:r>
    </w:p>
    <w:p>
      <w:pPr>
        <w:pStyle w:val="Style32"/>
        <w:keepNext w:val="0"/>
        <w:keepLines w:val="0"/>
        <w:widowControl w:val="0"/>
        <w:shd w:val="clear" w:color="auto" w:fill="auto"/>
        <w:bidi w:val="0"/>
        <w:spacing w:before="0" w:after="0" w:line="469" w:lineRule="exact"/>
        <w:ind w:left="0" w:right="0" w:firstLine="460"/>
        <w:jc w:val="left"/>
      </w:pPr>
      <w:r>
        <w:rPr>
          <w:rFonts w:ascii="Arial" w:eastAsia="Arial" w:hAnsi="Arial" w:cs="Arial"/>
          <w:color w:val="000000"/>
          <w:spacing w:val="0"/>
          <w:w w:val="100"/>
          <w:position w:val="0"/>
        </w:rPr>
        <w:t>＞</w:t>
      </w:r>
      <w:r>
        <w:rPr>
          <w:color w:val="000000"/>
          <w:spacing w:val="0"/>
          <w:w w:val="100"/>
          <w:position w:val="0"/>
        </w:rPr>
        <w:t>专业店方面</w:t>
      </w:r>
    </w:p>
    <w:p>
      <w:pPr>
        <w:pStyle w:val="Style32"/>
        <w:keepNext w:val="0"/>
        <w:keepLines w:val="0"/>
        <w:widowControl w:val="0"/>
        <w:shd w:val="clear" w:color="auto" w:fill="auto"/>
        <w:bidi w:val="0"/>
        <w:spacing w:before="0" w:after="0" w:line="469" w:lineRule="exact"/>
        <w:ind w:left="0" w:right="0" w:firstLine="460"/>
        <w:jc w:val="both"/>
      </w:pPr>
      <w:r>
        <w:rPr>
          <w:color w:val="000000"/>
          <w:spacing w:val="0"/>
          <w:w w:val="100"/>
          <w:position w:val="0"/>
        </w:rPr>
        <w:t>电器店通过持续、系统化的店面优化，提升店面经营效益，围绕</w:t>
      </w:r>
      <w:r>
        <w:rPr>
          <w:rFonts w:ascii="Times New Roman" w:eastAsia="Times New Roman" w:hAnsi="Times New Roman" w:cs="Times New Roman"/>
          <w:color w:val="000000"/>
          <w:spacing w:val="0"/>
          <w:w w:val="100"/>
          <w:position w:val="0"/>
        </w:rPr>
        <w:t>“</w:t>
      </w:r>
      <w:r>
        <w:rPr>
          <w:color w:val="000000"/>
          <w:spacing w:val="0"/>
          <w:w w:val="100"/>
          <w:position w:val="0"/>
        </w:rPr>
        <w:t>进商圈、开大店、开好店</w:t>
      </w:r>
      <w:r>
        <w:rPr>
          <w:rFonts w:ascii="Times New Roman" w:eastAsia="Times New Roman" w:hAnsi="Times New Roman" w:cs="Times New Roman"/>
          <w:color w:val="000000"/>
          <w:spacing w:val="0"/>
          <w:w w:val="100"/>
          <w:position w:val="0"/>
        </w:rPr>
        <w:t>”</w:t>
      </w:r>
      <w:r>
        <w:rPr>
          <w:color w:val="000000"/>
          <w:spacing w:val="0"/>
          <w:w w:val="100"/>
          <w:position w:val="0"/>
        </w:rPr>
        <w:t>原 则，推进店面网络布局；母婴店进一步提升专业化的管理和运营能力，加快同城店开设，形成规模 效应，全年计划新开</w:t>
      </w:r>
      <w:r>
        <w:rPr>
          <w:rFonts w:ascii="Times New Roman" w:eastAsia="Times New Roman" w:hAnsi="Times New Roman" w:cs="Times New Roman"/>
          <w:color w:val="000000"/>
          <w:spacing w:val="0"/>
          <w:w w:val="100"/>
          <w:position w:val="0"/>
        </w:rPr>
        <w:t>50</w:t>
      </w:r>
      <w:r>
        <w:rPr>
          <w:color w:val="000000"/>
          <w:spacing w:val="0"/>
          <w:w w:val="100"/>
          <w:position w:val="0"/>
        </w:rPr>
        <w:t>家以上；超市店加速优化经营模式，强化自营能力，并寻求与外部合作的多 样化经营模式，优先聚焦苏宁优势地区发展。</w:t>
      </w:r>
    </w:p>
    <w:p>
      <w:pPr>
        <w:pStyle w:val="Style32"/>
        <w:keepNext w:val="0"/>
        <w:keepLines w:val="0"/>
        <w:widowControl w:val="0"/>
        <w:shd w:val="clear" w:color="auto" w:fill="auto"/>
        <w:bidi w:val="0"/>
        <w:spacing w:before="0" w:after="0" w:line="469" w:lineRule="exact"/>
        <w:ind w:left="0" w:right="0" w:firstLine="460"/>
        <w:jc w:val="left"/>
      </w:pPr>
      <w:r>
        <w:rPr>
          <w:rFonts w:ascii="Arial" w:eastAsia="Arial" w:hAnsi="Arial" w:cs="Arial"/>
          <w:color w:val="000000"/>
          <w:spacing w:val="0"/>
          <w:w w:val="100"/>
          <w:position w:val="0"/>
        </w:rPr>
        <w:t>＞</w:t>
      </w:r>
      <w:r>
        <w:rPr>
          <w:color w:val="000000"/>
          <w:spacing w:val="0"/>
          <w:w w:val="100"/>
          <w:position w:val="0"/>
        </w:rPr>
        <w:t>平台店方面</w:t>
      </w:r>
    </w:p>
    <w:p>
      <w:pPr>
        <w:pStyle w:val="Style32"/>
        <w:keepNext w:val="0"/>
        <w:keepLines w:val="0"/>
        <w:widowControl w:val="0"/>
        <w:shd w:val="clear" w:color="auto" w:fill="auto"/>
        <w:bidi w:val="0"/>
        <w:spacing w:before="0" w:after="0" w:line="469" w:lineRule="exact"/>
        <w:ind w:left="0" w:right="0" w:firstLine="460"/>
        <w:jc w:val="left"/>
      </w:pPr>
      <w:r>
        <w:rPr>
          <w:color w:val="000000"/>
          <w:spacing w:val="0"/>
          <w:w w:val="100"/>
          <w:position w:val="0"/>
        </w:rPr>
        <w:t>苏宁生活广场，优化业态组合，打造成为苏宁互联网零售模式最集具精华的产品，实施轻资产 模式推进苏宁生活广场的快速拓展；苏宁易购服务站直营店要围绕农村市场针对性的优化店面布局， 增设手机专区，强化家电经营，稳步提升盈利能力，全年计划新开</w:t>
      </w:r>
      <w:r>
        <w:rPr>
          <w:rFonts w:ascii="Times New Roman" w:eastAsia="Times New Roman" w:hAnsi="Times New Roman" w:cs="Times New Roman"/>
          <w:color w:val="000000"/>
          <w:spacing w:val="0"/>
          <w:w w:val="100"/>
          <w:position w:val="0"/>
        </w:rPr>
        <w:t>500</w:t>
      </w:r>
      <w:r>
        <w:rPr>
          <w:color w:val="000000"/>
          <w:spacing w:val="0"/>
          <w:w w:val="100"/>
          <w:position w:val="0"/>
        </w:rPr>
        <w:t>家，并将加快推进加盟网点发 展；苏宁小店率先实现在南京市场的快速发展，推进社区</w:t>
      </w:r>
      <w:r>
        <w:rPr>
          <w:rFonts w:ascii="Times New Roman" w:eastAsia="Times New Roman" w:hAnsi="Times New Roman" w:cs="Times New Roman"/>
          <w:color w:val="000000"/>
          <w:spacing w:val="0"/>
          <w:w w:val="100"/>
          <w:position w:val="0"/>
        </w:rPr>
        <w:t>020</w:t>
      </w:r>
      <w:r>
        <w:rPr>
          <w:color w:val="000000"/>
          <w:spacing w:val="0"/>
          <w:w w:val="100"/>
          <w:position w:val="0"/>
        </w:rPr>
        <w:t>模式，在自营的基础上，探索尝试输 出管理模式，加快社区便利店布局。</w:t>
      </w:r>
    </w:p>
    <w:p>
      <w:pPr>
        <w:pStyle w:val="Style32"/>
        <w:keepNext w:val="0"/>
        <w:keepLines w:val="0"/>
        <w:widowControl w:val="0"/>
        <w:shd w:val="clear" w:color="auto" w:fill="auto"/>
        <w:tabs>
          <w:tab w:pos="819" w:val="left"/>
        </w:tabs>
        <w:bidi w:val="0"/>
        <w:spacing w:before="0" w:after="0" w:line="469" w:lineRule="exact"/>
        <w:ind w:left="0" w:right="0" w:firstLine="460"/>
        <w:jc w:val="left"/>
      </w:pPr>
      <w:bookmarkStart w:id="222" w:name="bookmark222"/>
      <w:r>
        <w:rPr>
          <w:rFonts w:ascii="Times New Roman" w:eastAsia="Times New Roman" w:hAnsi="Times New Roman" w:cs="Times New Roman"/>
          <w:color w:val="000000"/>
          <w:spacing w:val="0"/>
          <w:w w:val="100"/>
          <w:position w:val="0"/>
        </w:rPr>
        <w:t>2</w:t>
      </w:r>
      <w:bookmarkEnd w:id="222"/>
      <w:r>
        <w:rPr>
          <w:color w:val="000000"/>
          <w:spacing w:val="0"/>
          <w:w w:val="100"/>
          <w:position w:val="0"/>
        </w:rPr>
        <w:t>、</w:t>
        <w:tab/>
        <w:t>线上以用户为核心，强化全渠道线上经营能力，通过数据驱动和规则制度推动平台的稳健发 展，通过有序的机制不断提升经营效率。</w:t>
      </w:r>
    </w:p>
    <w:p>
      <w:pPr>
        <w:pStyle w:val="Style32"/>
        <w:keepNext w:val="0"/>
        <w:keepLines w:val="0"/>
        <w:widowControl w:val="0"/>
        <w:shd w:val="clear" w:color="auto" w:fill="auto"/>
        <w:bidi w:val="0"/>
        <w:spacing w:before="0" w:after="0" w:line="469" w:lineRule="exact"/>
        <w:ind w:left="0" w:right="0" w:firstLine="460"/>
        <w:jc w:val="left"/>
      </w:pPr>
      <w:r>
        <w:rPr>
          <w:rFonts w:ascii="Times New Roman" w:eastAsia="Times New Roman" w:hAnsi="Times New Roman" w:cs="Times New Roman"/>
          <w:color w:val="000000"/>
          <w:spacing w:val="0"/>
          <w:w w:val="100"/>
          <w:position w:val="0"/>
        </w:rPr>
        <w:t>PC</w:t>
      </w:r>
      <w:r>
        <w:rPr>
          <w:color w:val="000000"/>
          <w:spacing w:val="0"/>
          <w:w w:val="100"/>
          <w:position w:val="0"/>
        </w:rPr>
        <w:t>端、移动端形成规则化、制度化、信息化的经营体系，搭建互联网运营的内部运营管理平台, 形成固化的手段方法、有序的生态体系，实现线上平台常态化的稳步增长。</w:t>
      </w:r>
    </w:p>
    <w:p>
      <w:pPr>
        <w:pStyle w:val="Style32"/>
        <w:keepNext w:val="0"/>
        <w:keepLines w:val="0"/>
        <w:widowControl w:val="0"/>
        <w:shd w:val="clear" w:color="auto" w:fill="auto"/>
        <w:bidi w:val="0"/>
        <w:spacing w:before="0" w:after="0" w:line="469" w:lineRule="exact"/>
        <w:ind w:left="0" w:right="0" w:firstLine="460"/>
        <w:jc w:val="left"/>
      </w:pPr>
      <w:r>
        <w:rPr>
          <w:color w:val="000000"/>
          <w:spacing w:val="0"/>
          <w:w w:val="100"/>
          <w:position w:val="0"/>
        </w:rPr>
        <w:t>苏宁易购天猫旗舰店全面提升运营效能，提升用户数及活跃度，丰富商品，打造创新的、精选 的、放心去喜欢的苏宁易购独立一级入口频道。</w:t>
      </w:r>
    </w:p>
    <w:p>
      <w:pPr>
        <w:pStyle w:val="Style32"/>
        <w:keepNext w:val="0"/>
        <w:keepLines w:val="0"/>
        <w:widowControl w:val="0"/>
        <w:shd w:val="clear" w:color="auto" w:fill="auto"/>
        <w:tabs>
          <w:tab w:pos="842" w:val="left"/>
        </w:tabs>
        <w:bidi w:val="0"/>
        <w:spacing w:before="0" w:after="0" w:line="469" w:lineRule="exact"/>
        <w:ind w:left="0" w:right="0" w:firstLine="460"/>
        <w:jc w:val="both"/>
      </w:pPr>
      <w:bookmarkStart w:id="223" w:name="bookmark223"/>
      <w:r>
        <w:rPr>
          <w:rFonts w:ascii="Times New Roman" w:eastAsia="Times New Roman" w:hAnsi="Times New Roman" w:cs="Times New Roman"/>
          <w:color w:val="000000"/>
          <w:spacing w:val="0"/>
          <w:w w:val="100"/>
          <w:position w:val="0"/>
        </w:rPr>
        <w:t>3</w:t>
      </w:r>
      <w:bookmarkEnd w:id="223"/>
      <w:r>
        <w:rPr>
          <w:color w:val="000000"/>
          <w:spacing w:val="0"/>
          <w:w w:val="100"/>
          <w:position w:val="0"/>
        </w:rPr>
        <w:t>、</w:t>
        <w:tab/>
        <w:t>强化商品专业化运营能力，成为面向用户的商品专家、面向供应商的最佳品牌服务提供商。</w:t>
      </w:r>
    </w:p>
    <w:p>
      <w:pPr>
        <w:pStyle w:val="Style32"/>
        <w:keepNext w:val="0"/>
        <w:keepLines w:val="0"/>
        <w:widowControl w:val="0"/>
        <w:shd w:val="clear" w:color="auto" w:fill="auto"/>
        <w:bidi w:val="0"/>
        <w:spacing w:before="0" w:after="0" w:line="469" w:lineRule="exact"/>
        <w:ind w:left="0" w:right="0" w:firstLine="460"/>
        <w:jc w:val="both"/>
      </w:pPr>
      <w:r>
        <w:rPr>
          <w:color w:val="000000"/>
          <w:spacing w:val="0"/>
          <w:w w:val="100"/>
          <w:position w:val="0"/>
        </w:rPr>
        <w:t>聚焦品类策略，加强商品研究，把握消费升级的市场趋势，在家电</w:t>
      </w:r>
      <w:r>
        <w:rPr>
          <w:rFonts w:ascii="Times New Roman" w:eastAsia="Times New Roman" w:hAnsi="Times New Roman" w:cs="Times New Roman"/>
          <w:color w:val="000000"/>
          <w:spacing w:val="0"/>
          <w:w w:val="100"/>
          <w:position w:val="0"/>
        </w:rPr>
        <w:t>3C</w:t>
      </w:r>
      <w:r>
        <w:rPr>
          <w:color w:val="000000"/>
          <w:spacing w:val="0"/>
          <w:w w:val="100"/>
          <w:position w:val="0"/>
        </w:rPr>
        <w:t>方面发挥</w:t>
      </w:r>
      <w:r>
        <w:rPr>
          <w:rFonts w:ascii="Times New Roman" w:eastAsia="Times New Roman" w:hAnsi="Times New Roman" w:cs="Times New Roman"/>
          <w:color w:val="000000"/>
          <w:spacing w:val="0"/>
          <w:w w:val="100"/>
          <w:position w:val="0"/>
        </w:rPr>
        <w:t>020</w:t>
      </w:r>
      <w:r>
        <w:rPr>
          <w:color w:val="000000"/>
          <w:spacing w:val="0"/>
          <w:w w:val="100"/>
          <w:position w:val="0"/>
        </w:rPr>
        <w:t>渠道优势， 有效抢占中高端产品市场；聚焦生活电器市场的用户需求，整合供应链，加快生活电器品类专区布 局，注重体验提升，实现快速发展；在超市、母婴等新品类方面重点提升规模，打造市场地位和品 牌影响力；通过建立行之有效的产品规则，有目标、有效率的开展产品销售经营工作，针对性的提 升高毛利产品的占比。</w:t>
      </w:r>
    </w:p>
    <w:p>
      <w:pPr>
        <w:pStyle w:val="Style32"/>
        <w:keepNext w:val="0"/>
        <w:keepLines w:val="0"/>
        <w:widowControl w:val="0"/>
        <w:shd w:val="clear" w:color="auto" w:fill="auto"/>
        <w:bidi w:val="0"/>
        <w:spacing w:before="0" w:after="0" w:line="469" w:lineRule="exact"/>
        <w:ind w:left="0" w:right="0" w:firstLine="460"/>
        <w:jc w:val="both"/>
      </w:pPr>
      <w:r>
        <w:rPr>
          <w:color w:val="000000"/>
          <w:spacing w:val="0"/>
          <w:w w:val="100"/>
          <w:position w:val="0"/>
        </w:rPr>
        <w:t xml:space="preserve">创新渠道策略，围绕商品品类、用户需求制定精准的渠道布局，线上线下、不同级别市场、不 </w:t>
      </w:r>
      <w:r>
        <w:rPr>
          <w:color w:val="000000"/>
          <w:spacing w:val="0"/>
          <w:w w:val="100"/>
          <w:position w:val="0"/>
        </w:rPr>
        <w:t>同类型店面均形成差异化的发展优势；充分发挥供应链采购优势以及</w:t>
      </w:r>
      <w:r>
        <w:rPr>
          <w:rFonts w:ascii="Times New Roman" w:eastAsia="Times New Roman" w:hAnsi="Times New Roman" w:cs="Times New Roman"/>
          <w:color w:val="000000"/>
          <w:spacing w:val="0"/>
          <w:w w:val="100"/>
          <w:position w:val="0"/>
        </w:rPr>
        <w:t>020</w:t>
      </w:r>
      <w:r>
        <w:rPr>
          <w:color w:val="000000"/>
          <w:spacing w:val="0"/>
          <w:w w:val="100"/>
          <w:position w:val="0"/>
        </w:rPr>
        <w:t>优势，通过合作、投资并 购等方式，结合品类的发展需求开拓新的渠道。</w:t>
      </w:r>
    </w:p>
    <w:p>
      <w:pPr>
        <w:pStyle w:val="Style32"/>
        <w:keepNext w:val="0"/>
        <w:keepLines w:val="0"/>
        <w:widowControl w:val="0"/>
        <w:shd w:val="clear" w:color="auto" w:fill="auto"/>
        <w:bidi w:val="0"/>
        <w:spacing w:before="0" w:after="220" w:line="469" w:lineRule="exact"/>
        <w:ind w:left="0" w:right="0" w:firstLine="460"/>
        <w:jc w:val="both"/>
      </w:pPr>
      <w:r>
        <w:rPr>
          <w:color w:val="000000"/>
          <w:spacing w:val="0"/>
          <w:w w:val="100"/>
          <w:position w:val="0"/>
        </w:rPr>
        <w:t>开放供应商策略，向供应商推出包括数据、运营、物流、金融等方面的一揽子开放的产品和服 务，赋能供应商，打造最具价值的供应链平台。</w:t>
      </w:r>
    </w:p>
    <w:p>
      <w:pPr>
        <w:pStyle w:val="Style38"/>
        <w:keepNext/>
        <w:keepLines/>
        <w:widowControl w:val="0"/>
        <w:shd w:val="clear" w:color="auto" w:fill="auto"/>
        <w:bidi w:val="0"/>
        <w:spacing w:before="0" w:after="0" w:line="444" w:lineRule="auto"/>
        <w:ind w:left="0" w:right="0" w:firstLine="460"/>
        <w:jc w:val="left"/>
      </w:pPr>
      <w:bookmarkStart w:id="224" w:name="bookmark224"/>
      <w:bookmarkStart w:id="225" w:name="bookmark225"/>
      <w:bookmarkStart w:id="226" w:name="bookmark226"/>
      <w:r>
        <w:rPr>
          <w:rFonts w:ascii="Arial" w:eastAsia="Arial" w:hAnsi="Arial" w:cs="Arial"/>
          <w:b w:val="0"/>
          <w:bCs w:val="0"/>
          <w:color w:val="000000"/>
          <w:spacing w:val="0"/>
          <w:w w:val="100"/>
          <w:position w:val="0"/>
        </w:rPr>
        <w:t>■</w:t>
      </w:r>
      <w:r>
        <w:rPr>
          <w:color w:val="000000"/>
          <w:spacing w:val="0"/>
          <w:w w:val="100"/>
          <w:position w:val="0"/>
        </w:rPr>
        <w:t>物流业务</w:t>
      </w:r>
      <w:bookmarkEnd w:id="224"/>
      <w:bookmarkEnd w:id="225"/>
      <w:bookmarkEnd w:id="226"/>
    </w:p>
    <w:p>
      <w:pPr>
        <w:pStyle w:val="Style32"/>
        <w:keepNext w:val="0"/>
        <w:keepLines w:val="0"/>
        <w:widowControl w:val="0"/>
        <w:shd w:val="clear" w:color="auto" w:fill="auto"/>
        <w:bidi w:val="0"/>
        <w:spacing w:before="0" w:after="0" w:line="469" w:lineRule="exact"/>
        <w:ind w:left="0" w:right="0" w:firstLine="460"/>
        <w:jc w:val="left"/>
      </w:pPr>
      <w:r>
        <w:rPr>
          <w:color w:val="000000"/>
          <w:spacing w:val="0"/>
          <w:w w:val="100"/>
          <w:position w:val="0"/>
        </w:rPr>
        <w:t>苏宁物流将构筑中国最大的仓配一体化零售物流服务能力，进一步聚焦和深耕物流基础能力建 设、物流智能化运营以及服务效率的提升。通过与天天快递物流服务体系有机整合，有效形成资源 的弹性应用，增强苏宁物流运营能力的同时，形成规模效应，增强苏宁物流的盈利能力，社会化运 营进程也将加快。</w:t>
      </w:r>
    </w:p>
    <w:p>
      <w:pPr>
        <w:pStyle w:val="Style32"/>
        <w:keepNext w:val="0"/>
        <w:keepLines w:val="0"/>
        <w:widowControl w:val="0"/>
        <w:shd w:val="clear" w:color="auto" w:fill="auto"/>
        <w:bidi w:val="0"/>
        <w:spacing w:before="0" w:after="0" w:line="469" w:lineRule="exact"/>
        <w:ind w:left="0" w:right="0" w:firstLine="460"/>
        <w:jc w:val="left"/>
      </w:pPr>
      <w:r>
        <w:rPr>
          <w:color w:val="000000"/>
          <w:spacing w:val="0"/>
          <w:w w:val="100"/>
          <w:position w:val="0"/>
        </w:rPr>
        <w:t>继续加快仓储能力建设，以保障零售业务以及物流社会化业务的快速发展。优化建设标准及模 型，加强成本控制，加快土地储备，通过多样化的资产运作模式完善仓储体系建设。</w:t>
      </w:r>
    </w:p>
    <w:p>
      <w:pPr>
        <w:pStyle w:val="Style32"/>
        <w:keepNext w:val="0"/>
        <w:keepLines w:val="0"/>
        <w:widowControl w:val="0"/>
        <w:shd w:val="clear" w:color="auto" w:fill="auto"/>
        <w:bidi w:val="0"/>
        <w:spacing w:before="0" w:after="0" w:line="469" w:lineRule="exact"/>
        <w:ind w:left="0" w:right="0" w:firstLine="460"/>
        <w:jc w:val="left"/>
      </w:pPr>
      <w:r>
        <w:rPr>
          <w:color w:val="000000"/>
          <w:spacing w:val="0"/>
          <w:w w:val="100"/>
          <w:position w:val="0"/>
        </w:rPr>
        <w:t>物流服务能力建设上，面向</w:t>
      </w:r>
      <w:r>
        <w:rPr>
          <w:rFonts w:ascii="Times New Roman" w:eastAsia="Times New Roman" w:hAnsi="Times New Roman" w:cs="Times New Roman"/>
          <w:color w:val="000000"/>
          <w:spacing w:val="0"/>
          <w:w w:val="100"/>
          <w:position w:val="0"/>
        </w:rPr>
        <w:t>B</w:t>
      </w:r>
      <w:r>
        <w:rPr>
          <w:color w:val="000000"/>
          <w:spacing w:val="0"/>
          <w:w w:val="100"/>
          <w:position w:val="0"/>
        </w:rPr>
        <w:t>端、</w:t>
      </w:r>
      <w:r>
        <w:rPr>
          <w:rFonts w:ascii="Times New Roman" w:eastAsia="Times New Roman" w:hAnsi="Times New Roman" w:cs="Times New Roman"/>
          <w:color w:val="000000"/>
          <w:spacing w:val="0"/>
          <w:w w:val="100"/>
          <w:position w:val="0"/>
        </w:rPr>
        <w:t>C</w:t>
      </w:r>
      <w:r>
        <w:rPr>
          <w:color w:val="000000"/>
          <w:spacing w:val="0"/>
          <w:w w:val="100"/>
          <w:position w:val="0"/>
        </w:rPr>
        <w:t>端用户提供全方位、多品类的物流服务，包括提供急速达、 当日达、次日达、预约配送等时效型服务产品，送装一体、回收包装、开箱验机、代扔垃圾等体验 型服务产品；以及为企业客户提供供应链物流、仓配一体服务、仓储代运营服务，以及金融保险服 务，涵盖仓、运、配及信息系统服务为一体的综合物流解决方案的增值服务，打造苏宁物流服务的 差异化竞争优势，快速提升苏宁物流的品牌美誉度。</w:t>
      </w:r>
    </w:p>
    <w:p>
      <w:pPr>
        <w:pStyle w:val="Style32"/>
        <w:keepNext w:val="0"/>
        <w:keepLines w:val="0"/>
        <w:widowControl w:val="0"/>
        <w:shd w:val="clear" w:color="auto" w:fill="auto"/>
        <w:bidi w:val="0"/>
        <w:spacing w:before="0" w:after="220" w:line="469" w:lineRule="exact"/>
        <w:ind w:left="0" w:right="0" w:firstLine="460"/>
        <w:jc w:val="left"/>
      </w:pPr>
      <w:r>
        <w:rPr>
          <w:color w:val="000000"/>
          <w:spacing w:val="0"/>
          <w:w w:val="100"/>
          <w:position w:val="0"/>
        </w:rPr>
        <w:t>此外，在售后服务方面，按照平台化理念打造苏宁售后，聚焦线上售后产品运营、线下服务网 点作业能力，凸显传统电器服务优势，拓展智能产品、新能源、集成系统、家庭服务项目，在清洗、 延保、回收、租赁方面创新售后服务产品。</w:t>
      </w:r>
    </w:p>
    <w:p>
      <w:pPr>
        <w:pStyle w:val="Style38"/>
        <w:keepNext/>
        <w:keepLines/>
        <w:widowControl w:val="0"/>
        <w:shd w:val="clear" w:color="auto" w:fill="auto"/>
        <w:bidi w:val="0"/>
        <w:spacing w:before="0" w:after="0" w:line="444" w:lineRule="auto"/>
        <w:ind w:left="0" w:right="0" w:firstLine="460"/>
        <w:jc w:val="left"/>
      </w:pPr>
      <w:bookmarkStart w:id="227" w:name="bookmark227"/>
      <w:bookmarkStart w:id="228" w:name="bookmark228"/>
      <w:bookmarkStart w:id="229" w:name="bookmark229"/>
      <w:r>
        <w:rPr>
          <w:rFonts w:ascii="Arial" w:eastAsia="Arial" w:hAnsi="Arial" w:cs="Arial"/>
          <w:b w:val="0"/>
          <w:bCs w:val="0"/>
          <w:color w:val="000000"/>
          <w:spacing w:val="0"/>
          <w:w w:val="100"/>
          <w:position w:val="0"/>
        </w:rPr>
        <w:t>■</w:t>
      </w:r>
      <w:r>
        <w:rPr>
          <w:color w:val="000000"/>
          <w:spacing w:val="0"/>
          <w:w w:val="100"/>
          <w:position w:val="0"/>
        </w:rPr>
        <w:t>金融业务</w:t>
      </w:r>
      <w:bookmarkEnd w:id="227"/>
      <w:bookmarkEnd w:id="228"/>
      <w:bookmarkEnd w:id="229"/>
    </w:p>
    <w:p>
      <w:pPr>
        <w:pStyle w:val="Style32"/>
        <w:keepNext w:val="0"/>
        <w:keepLines w:val="0"/>
        <w:widowControl w:val="0"/>
        <w:shd w:val="clear" w:color="auto" w:fill="auto"/>
        <w:bidi w:val="0"/>
        <w:spacing w:before="0" w:after="0" w:line="469" w:lineRule="exact"/>
        <w:ind w:left="0" w:right="0" w:firstLine="460"/>
        <w:jc w:val="both"/>
      </w:pPr>
      <w:r>
        <w:rPr>
          <w:color w:val="000000"/>
          <w:spacing w:val="0"/>
          <w:w w:val="100"/>
          <w:position w:val="0"/>
        </w:rPr>
        <w:t>苏宁金融将坚持以</w:t>
      </w:r>
      <w:r>
        <w:rPr>
          <w:rFonts w:ascii="Times New Roman" w:eastAsia="Times New Roman" w:hAnsi="Times New Roman" w:cs="Times New Roman"/>
          <w:color w:val="000000"/>
          <w:spacing w:val="0"/>
          <w:w w:val="100"/>
          <w:position w:val="0"/>
        </w:rPr>
        <w:t>020</w:t>
      </w:r>
      <w:r>
        <w:rPr>
          <w:color w:val="000000"/>
          <w:spacing w:val="0"/>
          <w:w w:val="100"/>
          <w:position w:val="0"/>
        </w:rPr>
        <w:t>融合为特色的金融科技企业定位，聚焦核心业务，夯实基础工作，实现 苏宁金融效率和效益的快速凸显。</w:t>
      </w:r>
    </w:p>
    <w:p>
      <w:pPr>
        <w:pStyle w:val="Style32"/>
        <w:keepNext w:val="0"/>
        <w:keepLines w:val="0"/>
        <w:widowControl w:val="0"/>
        <w:shd w:val="clear" w:color="auto" w:fill="auto"/>
        <w:bidi w:val="0"/>
        <w:spacing w:before="0" w:after="0" w:line="469" w:lineRule="exact"/>
        <w:ind w:left="0" w:right="0" w:firstLine="460"/>
        <w:jc w:val="both"/>
      </w:pPr>
      <w:r>
        <w:rPr>
          <w:color w:val="000000"/>
          <w:spacing w:val="0"/>
          <w:w w:val="100"/>
          <w:position w:val="0"/>
        </w:rPr>
        <w:t>持续推进金融业务能力的精细化管理，进一步完善组织架构和队伍建设，紧抓风险管控和技术 研发，在智能投顾、智能营销、身份识别和大数据风控等金融科技领域持续夯实基础。</w:t>
      </w:r>
    </w:p>
    <w:p>
      <w:pPr>
        <w:pStyle w:val="Style32"/>
        <w:keepNext w:val="0"/>
        <w:keepLines w:val="0"/>
        <w:widowControl w:val="0"/>
        <w:shd w:val="clear" w:color="auto" w:fill="auto"/>
        <w:bidi w:val="0"/>
        <w:spacing w:before="0" w:after="0" w:line="469" w:lineRule="exact"/>
        <w:ind w:left="0" w:right="0" w:firstLine="460"/>
        <w:jc w:val="both"/>
      </w:pPr>
      <w:r>
        <w:rPr>
          <w:color w:val="000000"/>
          <w:spacing w:val="0"/>
          <w:w w:val="100"/>
          <w:position w:val="0"/>
        </w:rPr>
        <w:t>致力于延展金融生态，强化同业合作，为用户提供多场景、一体化的综合金融服务能力，全面 提升市场竞争力，快速提升激活用户规模。加快金融云的开放进程，拓展更多的客户群体，与物流 云、数据云形成协同效应，凸显金融云产品的价值优势。</w:t>
      </w:r>
      <w:r>
        <w:rPr>
          <w:rFonts w:ascii="Times New Roman" w:eastAsia="Times New Roman" w:hAnsi="Times New Roman" w:cs="Times New Roman"/>
          <w:color w:val="000000"/>
          <w:spacing w:val="0"/>
          <w:w w:val="100"/>
          <w:position w:val="0"/>
        </w:rPr>
        <w:t>2017</w:t>
      </w:r>
      <w:r>
        <w:rPr>
          <w:color w:val="000000"/>
          <w:spacing w:val="0"/>
          <w:w w:val="100"/>
          <w:position w:val="0"/>
        </w:rPr>
        <w:t>年上半年完成苏宁银行的筹建工作， 定位为科技驱动的</w:t>
      </w:r>
      <w:r>
        <w:rPr>
          <w:rFonts w:ascii="Times New Roman" w:eastAsia="Times New Roman" w:hAnsi="Times New Roman" w:cs="Times New Roman"/>
          <w:color w:val="000000"/>
          <w:spacing w:val="0"/>
          <w:w w:val="100"/>
          <w:position w:val="0"/>
        </w:rPr>
        <w:t>020</w:t>
      </w:r>
      <w:r>
        <w:rPr>
          <w:color w:val="000000"/>
          <w:spacing w:val="0"/>
          <w:w w:val="100"/>
          <w:position w:val="0"/>
        </w:rPr>
        <w:t>银行，着力发展成为民营银行差异化经营新标杆。</w:t>
      </w:r>
    </w:p>
    <w:p>
      <w:pPr>
        <w:pStyle w:val="Style32"/>
        <w:keepNext w:val="0"/>
        <w:keepLines w:val="0"/>
        <w:widowControl w:val="0"/>
        <w:shd w:val="clear" w:color="auto" w:fill="auto"/>
        <w:bidi w:val="0"/>
        <w:spacing w:before="0" w:after="120" w:line="469" w:lineRule="exact"/>
        <w:ind w:left="0" w:right="0" w:firstLine="460"/>
        <w:jc w:val="both"/>
      </w:pPr>
      <w:r>
        <w:rPr>
          <w:color w:val="000000"/>
          <w:spacing w:val="0"/>
          <w:w w:val="100"/>
          <w:position w:val="0"/>
        </w:rPr>
        <w:t>精简产品线，做强拳头产品，同时注重建立面向全用户的差异化服务解决方案的能力；立足</w:t>
      </w:r>
      <w:r>
        <w:rPr>
          <w:rFonts w:ascii="Times New Roman" w:eastAsia="Times New Roman" w:hAnsi="Times New Roman" w:cs="Times New Roman"/>
          <w:color w:val="000000"/>
          <w:spacing w:val="0"/>
          <w:w w:val="100"/>
          <w:position w:val="0"/>
        </w:rPr>
        <w:t>C</w:t>
      </w:r>
      <w:r>
        <w:rPr>
          <w:color w:val="000000"/>
          <w:spacing w:val="0"/>
          <w:w w:val="100"/>
          <w:position w:val="0"/>
        </w:rPr>
        <w:t>端, 持续推进南京攻略，同时着力在</w:t>
      </w:r>
      <w:r>
        <w:rPr>
          <w:rFonts w:ascii="Times New Roman" w:eastAsia="Times New Roman" w:hAnsi="Times New Roman" w:cs="Times New Roman"/>
          <w:color w:val="000000"/>
          <w:spacing w:val="0"/>
          <w:w w:val="100"/>
          <w:position w:val="0"/>
        </w:rPr>
        <w:t>B</w:t>
      </w:r>
      <w:r>
        <w:rPr>
          <w:color w:val="000000"/>
          <w:spacing w:val="0"/>
          <w:w w:val="100"/>
          <w:position w:val="0"/>
        </w:rPr>
        <w:t>端突破，聚焦六大行业解决方案；坚守普惠金融定位，同时深耕江 苏区域供应链金融业务；紧抓消费升级的趋势，大力推广</w:t>
      </w:r>
      <w:r>
        <w:rPr>
          <w:rFonts w:ascii="Times New Roman" w:eastAsia="Times New Roman" w:hAnsi="Times New Roman" w:cs="Times New Roman"/>
          <w:color w:val="000000"/>
          <w:spacing w:val="0"/>
          <w:w w:val="100"/>
          <w:position w:val="0"/>
        </w:rPr>
        <w:t>“</w:t>
      </w:r>
      <w:r>
        <w:rPr>
          <w:color w:val="000000"/>
          <w:spacing w:val="0"/>
          <w:w w:val="100"/>
          <w:position w:val="0"/>
        </w:rPr>
        <w:t>任性贷</w:t>
      </w:r>
      <w:r>
        <w:rPr>
          <w:rFonts w:ascii="Times New Roman" w:eastAsia="Times New Roman" w:hAnsi="Times New Roman" w:cs="Times New Roman"/>
          <w:color w:val="000000"/>
          <w:spacing w:val="0"/>
          <w:w w:val="100"/>
          <w:position w:val="0"/>
        </w:rPr>
        <w:t>“</w:t>
      </w:r>
      <w:r>
        <w:rPr>
          <w:color w:val="000000"/>
          <w:spacing w:val="0"/>
          <w:w w:val="100"/>
          <w:position w:val="0"/>
        </w:rPr>
        <w:t>任性付</w:t>
      </w:r>
      <w:r>
        <w:rPr>
          <w:rFonts w:ascii="Times New Roman" w:eastAsia="Times New Roman" w:hAnsi="Times New Roman" w:cs="Times New Roman"/>
          <w:color w:val="000000"/>
          <w:spacing w:val="0"/>
          <w:w w:val="100"/>
          <w:position w:val="0"/>
        </w:rPr>
        <w:t>”</w:t>
      </w:r>
      <w:r>
        <w:rPr>
          <w:color w:val="000000"/>
          <w:spacing w:val="0"/>
          <w:w w:val="100"/>
          <w:position w:val="0"/>
        </w:rPr>
        <w:t>消费金融产品，并将其 打造成为行业领先的金融产品。</w:t>
      </w:r>
    </w:p>
    <w:p>
      <w:pPr>
        <w:pStyle w:val="Style38"/>
        <w:keepNext/>
        <w:keepLines/>
        <w:widowControl w:val="0"/>
        <w:shd w:val="clear" w:color="auto" w:fill="auto"/>
        <w:bidi w:val="0"/>
        <w:spacing w:before="0" w:after="0" w:line="469" w:lineRule="exact"/>
        <w:ind w:left="0" w:right="0" w:firstLine="540"/>
        <w:jc w:val="left"/>
      </w:pPr>
      <w:bookmarkStart w:id="230" w:name="bookmark230"/>
      <w:bookmarkStart w:id="231" w:name="bookmark231"/>
      <w:bookmarkStart w:id="232" w:name="bookmark232"/>
      <w:r>
        <w:rPr>
          <w:rFonts w:ascii="Arial" w:eastAsia="Arial" w:hAnsi="Arial" w:cs="Arial"/>
          <w:b w:val="0"/>
          <w:bCs w:val="0"/>
          <w:color w:val="000000"/>
          <w:spacing w:val="0"/>
          <w:w w:val="100"/>
          <w:position w:val="0"/>
        </w:rPr>
        <w:t>■</w:t>
      </w:r>
      <w:r>
        <w:rPr>
          <w:color w:val="000000"/>
          <w:spacing w:val="0"/>
          <w:w w:val="100"/>
          <w:position w:val="0"/>
        </w:rPr>
        <w:t>内部管理</w:t>
      </w:r>
      <w:bookmarkEnd w:id="230"/>
      <w:bookmarkEnd w:id="231"/>
      <w:bookmarkEnd w:id="232"/>
    </w:p>
    <w:p>
      <w:pPr>
        <w:pStyle w:val="Style32"/>
        <w:keepNext w:val="0"/>
        <w:keepLines w:val="0"/>
        <w:widowControl w:val="0"/>
        <w:shd w:val="clear" w:color="auto" w:fill="auto"/>
        <w:bidi w:val="0"/>
        <w:spacing w:before="0" w:after="0" w:line="469" w:lineRule="exact"/>
        <w:ind w:left="0" w:right="0" w:firstLine="540"/>
        <w:jc w:val="both"/>
      </w:pPr>
      <w:r>
        <w:rPr>
          <w:color w:val="000000"/>
          <w:spacing w:val="0"/>
          <w:w w:val="100"/>
          <w:position w:val="0"/>
        </w:rPr>
        <w:t>持续推进小团队作战、事业部公司制等一系列创新管理机制的深化，通过组织管理的优化，提 升各业务体系专业化的运营能力，以及面向市场的竞争能力。</w:t>
      </w:r>
    </w:p>
    <w:p>
      <w:pPr>
        <w:pStyle w:val="Style32"/>
        <w:keepNext w:val="0"/>
        <w:keepLines w:val="0"/>
        <w:widowControl w:val="0"/>
        <w:shd w:val="clear" w:color="auto" w:fill="auto"/>
        <w:bidi w:val="0"/>
        <w:spacing w:before="0" w:after="0" w:line="469" w:lineRule="exact"/>
        <w:ind w:left="0" w:right="0" w:firstLine="540"/>
        <w:jc w:val="both"/>
      </w:pPr>
      <w:r>
        <w:rPr>
          <w:color w:val="000000"/>
          <w:spacing w:val="0"/>
          <w:w w:val="100"/>
          <w:position w:val="0"/>
        </w:rPr>
        <w:t>打造有序共享的内部发展机制。进一步强化产业、体系之间的协同，加速业务间的融合共享， 尤其是会员、品牌方面的协同，创新工作开展的方向，提升工作开展的效率。</w:t>
      </w:r>
    </w:p>
    <w:p>
      <w:pPr>
        <w:pStyle w:val="Style32"/>
        <w:keepNext w:val="0"/>
        <w:keepLines w:val="0"/>
        <w:widowControl w:val="0"/>
        <w:shd w:val="clear" w:color="auto" w:fill="auto"/>
        <w:bidi w:val="0"/>
        <w:spacing w:before="0" w:after="240" w:line="469" w:lineRule="exact"/>
        <w:ind w:left="0" w:right="0" w:firstLine="540"/>
        <w:jc w:val="both"/>
      </w:pPr>
      <w:r>
        <w:rPr>
          <w:color w:val="000000"/>
          <w:spacing w:val="0"/>
          <w:w w:val="100"/>
          <w:position w:val="0"/>
        </w:rPr>
        <w:t>进一步强化绩效导向，深化干部管理与人才梯队建设，提拔</w:t>
      </w:r>
      <w:r>
        <w:rPr>
          <w:rFonts w:ascii="Times New Roman" w:eastAsia="Times New Roman" w:hAnsi="Times New Roman" w:cs="Times New Roman"/>
          <w:color w:val="000000"/>
          <w:spacing w:val="0"/>
          <w:w w:val="100"/>
          <w:position w:val="0"/>
        </w:rPr>
        <w:t>85</w:t>
      </w:r>
      <w:r>
        <w:rPr>
          <w:color w:val="000000"/>
          <w:spacing w:val="0"/>
          <w:w w:val="100"/>
          <w:position w:val="0"/>
        </w:rPr>
        <w:t>后、</w:t>
      </w:r>
      <w:r>
        <w:rPr>
          <w:rFonts w:ascii="Times New Roman" w:eastAsia="Times New Roman" w:hAnsi="Times New Roman" w:cs="Times New Roman"/>
          <w:color w:val="000000"/>
          <w:spacing w:val="0"/>
          <w:w w:val="100"/>
          <w:position w:val="0"/>
        </w:rPr>
        <w:t>90</w:t>
      </w:r>
      <w:r>
        <w:rPr>
          <w:color w:val="000000"/>
          <w:spacing w:val="0"/>
          <w:w w:val="100"/>
          <w:position w:val="0"/>
        </w:rPr>
        <w:t>后梯队干部，引进外部专 业人才，提升组织的活力。</w:t>
      </w:r>
    </w:p>
    <w:p>
      <w:pPr>
        <w:pStyle w:val="Style32"/>
        <w:keepNext w:val="0"/>
        <w:keepLines w:val="0"/>
        <w:widowControl w:val="0"/>
        <w:shd w:val="clear" w:color="auto" w:fill="auto"/>
        <w:bidi w:val="0"/>
        <w:spacing w:before="0" w:after="300" w:line="469" w:lineRule="exact"/>
        <w:ind w:left="0" w:right="0" w:firstLine="0"/>
        <w:jc w:val="left"/>
        <w:rPr>
          <w:sz w:val="24"/>
          <w:szCs w:val="24"/>
        </w:rPr>
      </w:pPr>
      <w:r>
        <w:rPr>
          <w:b/>
          <w:bCs/>
          <w:color w:val="000000"/>
          <w:spacing w:val="0"/>
          <w:w w:val="100"/>
          <w:position w:val="0"/>
          <w:sz w:val="24"/>
          <w:szCs w:val="24"/>
        </w:rPr>
        <w:t>十、接待调研、沟通、采访等活动</w:t>
      </w:r>
    </w:p>
    <w:p>
      <w:pPr>
        <w:pStyle w:val="Style25"/>
        <w:keepNext w:val="0"/>
        <w:keepLines w:val="0"/>
        <w:widowControl w:val="0"/>
        <w:shd w:val="clear" w:color="auto" w:fill="auto"/>
        <w:bidi w:val="0"/>
        <w:spacing w:before="0" w:after="0" w:line="240" w:lineRule="auto"/>
        <w:ind w:left="96" w:right="0" w:firstLine="0"/>
        <w:jc w:val="left"/>
      </w:pPr>
      <w:r>
        <w:rPr>
          <w:rFonts w:ascii="Times New Roman" w:eastAsia="Times New Roman" w:hAnsi="Times New Roman" w:cs="Times New Roman"/>
          <w:b/>
          <w:bCs/>
          <w:color w:val="000000"/>
          <w:spacing w:val="0"/>
          <w:w w:val="100"/>
          <w:position w:val="0"/>
        </w:rPr>
        <w:t>1</w:t>
      </w:r>
      <w:r>
        <w:rPr>
          <w:b/>
          <w:bCs/>
          <w:color w:val="000000"/>
          <w:spacing w:val="0"/>
          <w:w w:val="100"/>
          <w:position w:val="0"/>
        </w:rPr>
        <w:t>、报告期内接待调研、沟通、采访等活动登记表</w:t>
      </w:r>
    </w:p>
    <w:tbl>
      <w:tblPr>
        <w:tblOverlap w:val="never"/>
        <w:jc w:val="center"/>
        <w:tblLayout w:type="fixed"/>
      </w:tblPr>
      <w:tblGrid>
        <w:gridCol w:w="2098"/>
        <w:gridCol w:w="1277"/>
        <w:gridCol w:w="1555"/>
        <w:gridCol w:w="4646"/>
      </w:tblGrid>
      <w:tr>
        <w:trPr>
          <w:trHeight w:val="298"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接待时间</w:t>
            </w:r>
          </w:p>
        </w:tc>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接待方式</w:t>
            </w:r>
          </w:p>
        </w:tc>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接待对象类型</w:t>
            </w:r>
          </w:p>
        </w:tc>
        <w:tc>
          <w:tcPr>
            <w:tcBorders>
              <w:top w:val="single" w:sz="4"/>
              <w:left w:val="single" w:sz="4"/>
              <w:righ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调研的基本情况索引</w:t>
            </w:r>
          </w:p>
        </w:tc>
      </w:tr>
      <w:tr>
        <w:trPr>
          <w:trHeight w:val="58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302" w:lineRule="exact"/>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rPr>
              <w:t>2016-01-05</w:t>
            </w:r>
            <w:r>
              <w:rPr>
                <w:color w:val="000000"/>
                <w:spacing w:val="0"/>
                <w:w w:val="100"/>
                <w:position w:val="0"/>
              </w:rPr>
              <w:t>编号</w:t>
            </w:r>
            <w:r>
              <w:rPr>
                <w:rFonts w:ascii="Times New Roman" w:eastAsia="Times New Roman" w:hAnsi="Times New Roman" w:cs="Times New Roman"/>
                <w:color w:val="000000"/>
                <w:spacing w:val="0"/>
                <w:w w:val="100"/>
                <w:position w:val="0"/>
              </w:rPr>
              <w:t>20160105</w:t>
            </w:r>
            <w:r>
              <w:rPr>
                <w:color w:val="000000"/>
                <w:spacing w:val="0"/>
                <w:w w:val="100"/>
                <w:position w:val="0"/>
              </w:rPr>
              <w:t>苏宁 云商集团股份有限公司投资者关系活动记录表</w:t>
            </w:r>
          </w:p>
        </w:tc>
      </w:tr>
      <w:tr>
        <w:trPr>
          <w:trHeight w:val="58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307" w:lineRule="exact"/>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rPr>
              <w:t>2016-01-26</w:t>
            </w:r>
            <w:r>
              <w:rPr>
                <w:color w:val="000000"/>
                <w:spacing w:val="0"/>
                <w:w w:val="100"/>
                <w:position w:val="0"/>
              </w:rPr>
              <w:t>编号</w:t>
            </w:r>
            <w:r>
              <w:rPr>
                <w:rFonts w:ascii="Times New Roman" w:eastAsia="Times New Roman" w:hAnsi="Times New Roman" w:cs="Times New Roman"/>
                <w:color w:val="000000"/>
                <w:spacing w:val="0"/>
                <w:w w:val="100"/>
                <w:position w:val="0"/>
              </w:rPr>
              <w:t>20160126</w:t>
            </w:r>
            <w:r>
              <w:rPr>
                <w:color w:val="000000"/>
                <w:spacing w:val="0"/>
                <w:w w:val="100"/>
                <w:position w:val="0"/>
              </w:rPr>
              <w:t>苏宁 云商集团股份有限公司投资者关系活动记录表</w:t>
            </w:r>
          </w:p>
        </w:tc>
      </w:tr>
      <w:tr>
        <w:trPr>
          <w:trHeight w:val="57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307" w:lineRule="exact"/>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rPr>
              <w:t>2016-02-01</w:t>
            </w:r>
            <w:r>
              <w:rPr>
                <w:color w:val="000000"/>
                <w:spacing w:val="0"/>
                <w:w w:val="100"/>
                <w:position w:val="0"/>
              </w:rPr>
              <w:t>编号</w:t>
            </w:r>
            <w:r>
              <w:rPr>
                <w:rFonts w:ascii="Times New Roman" w:eastAsia="Times New Roman" w:hAnsi="Times New Roman" w:cs="Times New Roman"/>
                <w:color w:val="000000"/>
                <w:spacing w:val="0"/>
                <w:w w:val="100"/>
                <w:position w:val="0"/>
              </w:rPr>
              <w:t>20160126</w:t>
            </w:r>
            <w:r>
              <w:rPr>
                <w:color w:val="000000"/>
                <w:spacing w:val="0"/>
                <w:w w:val="100"/>
                <w:position w:val="0"/>
              </w:rPr>
              <w:t>苏宁 云商集团股份有限公司投资者关系活动记录表</w:t>
            </w:r>
          </w:p>
        </w:tc>
      </w:tr>
      <w:tr>
        <w:trPr>
          <w:trHeight w:val="58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302" w:lineRule="exact"/>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rPr>
              <w:t>2016-02-01</w:t>
            </w:r>
            <w:r>
              <w:rPr>
                <w:color w:val="000000"/>
                <w:spacing w:val="0"/>
                <w:w w:val="100"/>
                <w:position w:val="0"/>
              </w:rPr>
              <w:t>编号</w:t>
            </w:r>
            <w:r>
              <w:rPr>
                <w:rFonts w:ascii="Times New Roman" w:eastAsia="Times New Roman" w:hAnsi="Times New Roman" w:cs="Times New Roman"/>
                <w:color w:val="000000"/>
                <w:spacing w:val="0"/>
                <w:w w:val="100"/>
                <w:position w:val="0"/>
              </w:rPr>
              <w:t>20160127</w:t>
            </w:r>
            <w:r>
              <w:rPr>
                <w:color w:val="000000"/>
                <w:spacing w:val="0"/>
                <w:w w:val="100"/>
                <w:position w:val="0"/>
              </w:rPr>
              <w:t>苏宁 云商集团股份有限公司投资者关系活动记录表</w:t>
            </w:r>
          </w:p>
        </w:tc>
      </w:tr>
      <w:tr>
        <w:trPr>
          <w:trHeight w:val="58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rPr>
              <w:t>2016-02-16</w:t>
            </w:r>
            <w:r>
              <w:rPr>
                <w:color w:val="000000"/>
                <w:spacing w:val="0"/>
                <w:w w:val="100"/>
                <w:position w:val="0"/>
              </w:rPr>
              <w:t>编号</w:t>
            </w:r>
            <w:r>
              <w:rPr>
                <w:rFonts w:ascii="Times New Roman" w:eastAsia="Times New Roman" w:hAnsi="Times New Roman" w:cs="Times New Roman"/>
                <w:color w:val="000000"/>
                <w:spacing w:val="0"/>
                <w:w w:val="100"/>
                <w:position w:val="0"/>
              </w:rPr>
              <w:t>20160216</w:t>
            </w:r>
            <w:r>
              <w:rPr>
                <w:color w:val="000000"/>
                <w:spacing w:val="0"/>
                <w:w w:val="100"/>
                <w:position w:val="0"/>
              </w:rPr>
              <w:t>苏宁</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云商集团股份有限公司投资者关系活动记录表</w:t>
            </w:r>
          </w:p>
        </w:tc>
      </w:tr>
      <w:tr>
        <w:trPr>
          <w:trHeight w:val="58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rPr>
              <w:t>2016-02-19</w:t>
            </w:r>
            <w:r>
              <w:rPr>
                <w:color w:val="000000"/>
                <w:spacing w:val="0"/>
                <w:w w:val="100"/>
                <w:position w:val="0"/>
              </w:rPr>
              <w:t>编号</w:t>
            </w:r>
            <w:r>
              <w:rPr>
                <w:rFonts w:ascii="Times New Roman" w:eastAsia="Times New Roman" w:hAnsi="Times New Roman" w:cs="Times New Roman"/>
                <w:color w:val="000000"/>
                <w:spacing w:val="0"/>
                <w:w w:val="100"/>
                <w:position w:val="0"/>
              </w:rPr>
              <w:t>20160219</w:t>
            </w:r>
            <w:r>
              <w:rPr>
                <w:color w:val="000000"/>
                <w:spacing w:val="0"/>
                <w:w w:val="100"/>
                <w:position w:val="0"/>
              </w:rPr>
              <w:t>苏宁</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云商集团股份有限公司投资者关系活动记录表</w:t>
            </w:r>
          </w:p>
        </w:tc>
      </w:tr>
      <w:tr>
        <w:trPr>
          <w:trHeight w:val="58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rPr>
              <w:t>2016-03-11</w:t>
            </w:r>
            <w:r>
              <w:rPr>
                <w:color w:val="000000"/>
                <w:spacing w:val="0"/>
                <w:w w:val="100"/>
                <w:position w:val="0"/>
              </w:rPr>
              <w:t>编号</w:t>
            </w:r>
            <w:r>
              <w:rPr>
                <w:rFonts w:ascii="Times New Roman" w:eastAsia="Times New Roman" w:hAnsi="Times New Roman" w:cs="Times New Roman"/>
                <w:color w:val="000000"/>
                <w:spacing w:val="0"/>
                <w:w w:val="100"/>
                <w:position w:val="0"/>
              </w:rPr>
              <w:t>20160310</w:t>
            </w:r>
            <w:r>
              <w:rPr>
                <w:color w:val="000000"/>
                <w:spacing w:val="0"/>
                <w:w w:val="100"/>
                <w:position w:val="0"/>
              </w:rPr>
              <w:t>苏宁</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云商集团股份有限公司投资者关系活动记录表</w:t>
            </w:r>
          </w:p>
        </w:tc>
      </w:tr>
      <w:tr>
        <w:trPr>
          <w:trHeight w:val="58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rPr>
              <w:t>2016-04-05</w:t>
            </w:r>
            <w:r>
              <w:rPr>
                <w:color w:val="000000"/>
                <w:spacing w:val="0"/>
                <w:w w:val="100"/>
                <w:position w:val="0"/>
              </w:rPr>
              <w:t>编号</w:t>
            </w:r>
            <w:r>
              <w:rPr>
                <w:rFonts w:ascii="Times New Roman" w:eastAsia="Times New Roman" w:hAnsi="Times New Roman" w:cs="Times New Roman"/>
                <w:color w:val="000000"/>
                <w:spacing w:val="0"/>
                <w:w w:val="100"/>
                <w:position w:val="0"/>
              </w:rPr>
              <w:t>20160325</w:t>
            </w:r>
            <w:r>
              <w:rPr>
                <w:color w:val="000000"/>
                <w:spacing w:val="0"/>
                <w:w w:val="100"/>
                <w:position w:val="0"/>
              </w:rPr>
              <w:t>苏宁</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云商集团股份有限公司投资者关系活动记录表</w:t>
            </w:r>
          </w:p>
        </w:tc>
      </w:tr>
      <w:tr>
        <w:trPr>
          <w:trHeight w:val="58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rPr>
              <w:t>2016-04-15</w:t>
            </w:r>
            <w:r>
              <w:rPr>
                <w:color w:val="000000"/>
                <w:spacing w:val="0"/>
                <w:w w:val="100"/>
                <w:position w:val="0"/>
              </w:rPr>
              <w:t>编号</w:t>
            </w:r>
            <w:r>
              <w:rPr>
                <w:rFonts w:ascii="Times New Roman" w:eastAsia="Times New Roman" w:hAnsi="Times New Roman" w:cs="Times New Roman"/>
                <w:color w:val="000000"/>
                <w:spacing w:val="0"/>
                <w:w w:val="100"/>
                <w:position w:val="0"/>
              </w:rPr>
              <w:t>20160414</w:t>
            </w:r>
            <w:r>
              <w:rPr>
                <w:color w:val="000000"/>
                <w:spacing w:val="0"/>
                <w:w w:val="100"/>
                <w:position w:val="0"/>
              </w:rPr>
              <w:t>苏宁</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云商集团股份有限公司投资者关系活动记录表</w:t>
            </w:r>
          </w:p>
        </w:tc>
      </w:tr>
      <w:tr>
        <w:trPr>
          <w:trHeight w:val="58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rPr>
              <w:t>2016-05-12</w:t>
            </w:r>
            <w:r>
              <w:rPr>
                <w:color w:val="000000"/>
                <w:spacing w:val="0"/>
                <w:w w:val="100"/>
                <w:position w:val="0"/>
              </w:rPr>
              <w:t>编号</w:t>
            </w:r>
            <w:r>
              <w:rPr>
                <w:rFonts w:ascii="Times New Roman" w:eastAsia="Times New Roman" w:hAnsi="Times New Roman" w:cs="Times New Roman"/>
                <w:color w:val="000000"/>
                <w:spacing w:val="0"/>
                <w:w w:val="100"/>
                <w:position w:val="0"/>
              </w:rPr>
              <w:t>20160509</w:t>
            </w:r>
            <w:r>
              <w:rPr>
                <w:color w:val="000000"/>
                <w:spacing w:val="0"/>
                <w:w w:val="100"/>
                <w:position w:val="0"/>
              </w:rPr>
              <w:t>苏宁</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云商集团股份有限公司投资者关系活动记录表</w:t>
            </w:r>
          </w:p>
        </w:tc>
      </w:tr>
      <w:tr>
        <w:trPr>
          <w:trHeight w:val="58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rPr>
              <w:t>2016-05-23</w:t>
            </w:r>
            <w:r>
              <w:rPr>
                <w:color w:val="000000"/>
                <w:spacing w:val="0"/>
                <w:w w:val="100"/>
                <w:position w:val="0"/>
              </w:rPr>
              <w:t>编号</w:t>
            </w:r>
            <w:r>
              <w:rPr>
                <w:rFonts w:ascii="Times New Roman" w:eastAsia="Times New Roman" w:hAnsi="Times New Roman" w:cs="Times New Roman"/>
                <w:color w:val="000000"/>
                <w:spacing w:val="0"/>
                <w:w w:val="100"/>
                <w:position w:val="0"/>
              </w:rPr>
              <w:t>20160519</w:t>
            </w:r>
            <w:r>
              <w:rPr>
                <w:color w:val="000000"/>
                <w:spacing w:val="0"/>
                <w:w w:val="100"/>
                <w:position w:val="0"/>
              </w:rPr>
              <w:t>苏宁</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云商集团股份有限公司投资者关系活动记录表</w:t>
            </w:r>
          </w:p>
        </w:tc>
      </w:tr>
      <w:tr>
        <w:trPr>
          <w:trHeight w:val="58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rPr>
              <w:t>2016-06-22</w:t>
            </w:r>
            <w:r>
              <w:rPr>
                <w:color w:val="000000"/>
                <w:spacing w:val="0"/>
                <w:w w:val="100"/>
                <w:position w:val="0"/>
              </w:rPr>
              <w:t>编号</w:t>
            </w:r>
            <w:r>
              <w:rPr>
                <w:rFonts w:ascii="Times New Roman" w:eastAsia="Times New Roman" w:hAnsi="Times New Roman" w:cs="Times New Roman"/>
                <w:color w:val="000000"/>
                <w:spacing w:val="0"/>
                <w:w w:val="100"/>
                <w:position w:val="0"/>
              </w:rPr>
              <w:t>20160621</w:t>
            </w:r>
            <w:r>
              <w:rPr>
                <w:color w:val="000000"/>
                <w:spacing w:val="0"/>
                <w:w w:val="100"/>
                <w:position w:val="0"/>
              </w:rPr>
              <w:t>苏宁</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云商集团股份有限公司投资者关系活动记录表</w:t>
            </w:r>
          </w:p>
        </w:tc>
      </w:tr>
      <w:tr>
        <w:trPr>
          <w:trHeight w:val="58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rPr>
              <w:t>2016-06-24</w:t>
            </w:r>
            <w:r>
              <w:rPr>
                <w:color w:val="000000"/>
                <w:spacing w:val="0"/>
                <w:w w:val="100"/>
                <w:position w:val="0"/>
              </w:rPr>
              <w:t>编号</w:t>
            </w:r>
            <w:r>
              <w:rPr>
                <w:rFonts w:ascii="Times New Roman" w:eastAsia="Times New Roman" w:hAnsi="Times New Roman" w:cs="Times New Roman"/>
                <w:color w:val="000000"/>
                <w:spacing w:val="0"/>
                <w:w w:val="100"/>
                <w:position w:val="0"/>
              </w:rPr>
              <w:t>20160621</w:t>
            </w:r>
            <w:r>
              <w:rPr>
                <w:color w:val="000000"/>
                <w:spacing w:val="0"/>
                <w:w w:val="100"/>
                <w:position w:val="0"/>
              </w:rPr>
              <w:t>苏宁</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云商集团股份有限公司投资者关系活动记录表</w:t>
            </w:r>
          </w:p>
        </w:tc>
      </w:tr>
      <w:tr>
        <w:trPr>
          <w:trHeight w:val="58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rPr>
              <w:t>2016-07-08</w:t>
            </w:r>
            <w:r>
              <w:rPr>
                <w:color w:val="000000"/>
                <w:spacing w:val="0"/>
                <w:w w:val="100"/>
                <w:position w:val="0"/>
              </w:rPr>
              <w:t>编号</w:t>
            </w:r>
            <w:r>
              <w:rPr>
                <w:rFonts w:ascii="Times New Roman" w:eastAsia="Times New Roman" w:hAnsi="Times New Roman" w:cs="Times New Roman"/>
                <w:color w:val="000000"/>
                <w:spacing w:val="0"/>
                <w:w w:val="100"/>
                <w:position w:val="0"/>
              </w:rPr>
              <w:t>20160705</w:t>
            </w:r>
            <w:r>
              <w:rPr>
                <w:color w:val="000000"/>
                <w:spacing w:val="0"/>
                <w:w w:val="100"/>
                <w:position w:val="0"/>
              </w:rPr>
              <w:t>苏宁</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云商集团股份有限公司投资者关系活动记录表</w:t>
            </w:r>
          </w:p>
        </w:tc>
      </w:tr>
      <w:tr>
        <w:trPr>
          <w:trHeight w:val="586"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06</w:t>
            </w:r>
            <w:r>
              <w:rPr>
                <w:color w:val="000000"/>
                <w:spacing w:val="0"/>
                <w:w w:val="100"/>
                <w:position w:val="0"/>
              </w:rPr>
              <w:t>日</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rPr>
              <w:t>2016-07-06</w:t>
            </w:r>
            <w:r>
              <w:rPr>
                <w:color w:val="000000"/>
                <w:spacing w:val="0"/>
                <w:w w:val="100"/>
                <w:position w:val="0"/>
              </w:rPr>
              <w:t>编号</w:t>
            </w:r>
            <w:r>
              <w:rPr>
                <w:rFonts w:ascii="Times New Roman" w:eastAsia="Times New Roman" w:hAnsi="Times New Roman" w:cs="Times New Roman"/>
                <w:color w:val="000000"/>
                <w:spacing w:val="0"/>
                <w:w w:val="100"/>
                <w:position w:val="0"/>
              </w:rPr>
              <w:t>20160706</w:t>
            </w:r>
            <w:r>
              <w:rPr>
                <w:color w:val="000000"/>
                <w:spacing w:val="0"/>
                <w:w w:val="100"/>
                <w:position w:val="0"/>
              </w:rPr>
              <w:t>苏宁</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云商集团股份有限公司投资者关系活动记录表</w:t>
            </w:r>
          </w:p>
        </w:tc>
      </w:tr>
    </w:tbl>
    <w:p>
      <w:pPr>
        <w:spacing w:lineRule="exact" w:line="1"/>
        <w:rPr>
          <w:sz w:val="2"/>
          <w:szCs w:val="2"/>
        </w:rPr>
      </w:pPr>
      <w:r>
        <w:br w:type="page"/>
      </w:r>
    </w:p>
    <w:tbl>
      <w:tblPr>
        <w:tblOverlap w:val="never"/>
        <w:jc w:val="center"/>
        <w:tblLayout w:type="fixed"/>
      </w:tblPr>
      <w:tblGrid>
        <w:gridCol w:w="2098"/>
        <w:gridCol w:w="1277"/>
        <w:gridCol w:w="1555"/>
        <w:gridCol w:w="4646"/>
      </w:tblGrid>
      <w:tr>
        <w:trPr>
          <w:trHeight w:val="298"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接待时间</w:t>
            </w:r>
          </w:p>
        </w:tc>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接待方式</w:t>
            </w:r>
          </w:p>
        </w:tc>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接待对象类型</w:t>
            </w:r>
          </w:p>
        </w:tc>
        <w:tc>
          <w:tcPr>
            <w:tcBorders>
              <w:top w:val="single" w:sz="4"/>
              <w:left w:val="single" w:sz="4"/>
              <w:righ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调研的基本情况索引</w:t>
            </w:r>
          </w:p>
        </w:tc>
      </w:tr>
      <w:tr>
        <w:trPr>
          <w:trHeight w:val="58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电话沟通</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302" w:lineRule="exact"/>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rPr>
              <w:t>2016-07-12</w:t>
            </w:r>
            <w:r>
              <w:rPr>
                <w:color w:val="000000"/>
                <w:spacing w:val="0"/>
                <w:w w:val="100"/>
                <w:position w:val="0"/>
              </w:rPr>
              <w:t>编号</w:t>
            </w:r>
            <w:r>
              <w:rPr>
                <w:rFonts w:ascii="Times New Roman" w:eastAsia="Times New Roman" w:hAnsi="Times New Roman" w:cs="Times New Roman"/>
                <w:color w:val="000000"/>
                <w:spacing w:val="0"/>
                <w:w w:val="100"/>
                <w:position w:val="0"/>
              </w:rPr>
              <w:t>20160711</w:t>
            </w:r>
            <w:r>
              <w:rPr>
                <w:color w:val="000000"/>
                <w:spacing w:val="0"/>
                <w:w w:val="100"/>
                <w:position w:val="0"/>
              </w:rPr>
              <w:t>苏宁 云商集团股份有限公司投资者关系活动记录表</w:t>
            </w:r>
          </w:p>
        </w:tc>
      </w:tr>
      <w:tr>
        <w:trPr>
          <w:trHeight w:val="58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实地调研</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rPr>
              <w:t>2016-07-15</w:t>
            </w:r>
            <w:r>
              <w:rPr>
                <w:color w:val="000000"/>
                <w:spacing w:val="0"/>
                <w:w w:val="100"/>
                <w:position w:val="0"/>
              </w:rPr>
              <w:t>编号</w:t>
            </w:r>
            <w:r>
              <w:rPr>
                <w:rFonts w:ascii="Times New Roman" w:eastAsia="Times New Roman" w:hAnsi="Times New Roman" w:cs="Times New Roman"/>
                <w:color w:val="000000"/>
                <w:spacing w:val="0"/>
                <w:w w:val="100"/>
                <w:position w:val="0"/>
              </w:rPr>
              <w:t>20160711</w:t>
            </w:r>
            <w:r>
              <w:rPr>
                <w:color w:val="000000"/>
                <w:spacing w:val="0"/>
                <w:w w:val="100"/>
                <w:position w:val="0"/>
              </w:rPr>
              <w:t>苏宁</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云商集团股份有限公司投资者关系活动记录表</w:t>
            </w:r>
          </w:p>
        </w:tc>
      </w:tr>
      <w:tr>
        <w:trPr>
          <w:trHeight w:val="57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实地调研</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rPr>
              <w:t>2016-07-14</w:t>
            </w:r>
            <w:r>
              <w:rPr>
                <w:color w:val="000000"/>
                <w:spacing w:val="0"/>
                <w:w w:val="100"/>
                <w:position w:val="0"/>
              </w:rPr>
              <w:t>编号</w:t>
            </w:r>
            <w:r>
              <w:rPr>
                <w:rFonts w:ascii="Times New Roman" w:eastAsia="Times New Roman" w:hAnsi="Times New Roman" w:cs="Times New Roman"/>
                <w:color w:val="000000"/>
                <w:spacing w:val="0"/>
                <w:w w:val="100"/>
                <w:position w:val="0"/>
              </w:rPr>
              <w:t>20160712</w:t>
            </w:r>
            <w:r>
              <w:rPr>
                <w:color w:val="000000"/>
                <w:spacing w:val="0"/>
                <w:w w:val="100"/>
                <w:position w:val="0"/>
              </w:rPr>
              <w:t>苏宁</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云商集团股份有限公司投资者关系活动记录表</w:t>
            </w:r>
          </w:p>
        </w:tc>
      </w:tr>
      <w:tr>
        <w:trPr>
          <w:trHeight w:val="58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实地调研</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rPr>
              <w:t>2016-07-15</w:t>
            </w:r>
            <w:r>
              <w:rPr>
                <w:color w:val="000000"/>
                <w:spacing w:val="0"/>
                <w:w w:val="100"/>
                <w:position w:val="0"/>
              </w:rPr>
              <w:t>编号</w:t>
            </w:r>
            <w:r>
              <w:rPr>
                <w:rFonts w:ascii="Times New Roman" w:eastAsia="Times New Roman" w:hAnsi="Times New Roman" w:cs="Times New Roman"/>
                <w:color w:val="000000"/>
                <w:spacing w:val="0"/>
                <w:w w:val="100"/>
                <w:position w:val="0"/>
              </w:rPr>
              <w:t>20160713</w:t>
            </w:r>
            <w:r>
              <w:rPr>
                <w:color w:val="000000"/>
                <w:spacing w:val="0"/>
                <w:w w:val="100"/>
                <w:position w:val="0"/>
              </w:rPr>
              <w:t>苏宁</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云商集团股份有限公司投资者关系活动记录表</w:t>
            </w:r>
          </w:p>
        </w:tc>
      </w:tr>
      <w:tr>
        <w:trPr>
          <w:trHeight w:val="58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实地调研</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rPr>
              <w:t>2016-07-14</w:t>
            </w:r>
            <w:r>
              <w:rPr>
                <w:color w:val="000000"/>
                <w:spacing w:val="0"/>
                <w:w w:val="100"/>
                <w:position w:val="0"/>
              </w:rPr>
              <w:t>编号</w:t>
            </w:r>
            <w:r>
              <w:rPr>
                <w:rFonts w:ascii="Times New Roman" w:eastAsia="Times New Roman" w:hAnsi="Times New Roman" w:cs="Times New Roman"/>
                <w:color w:val="000000"/>
                <w:spacing w:val="0"/>
                <w:w w:val="100"/>
                <w:position w:val="0"/>
              </w:rPr>
              <w:t>20160714</w:t>
            </w:r>
            <w:r>
              <w:rPr>
                <w:color w:val="000000"/>
                <w:spacing w:val="0"/>
                <w:w w:val="100"/>
                <w:position w:val="0"/>
              </w:rPr>
              <w:t>苏宁</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云商集团股份有限公司投资者关系活动记录表</w:t>
            </w:r>
          </w:p>
        </w:tc>
      </w:tr>
      <w:tr>
        <w:trPr>
          <w:trHeight w:val="58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实地调研</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rPr>
              <w:t>2016-07-27</w:t>
            </w:r>
            <w:r>
              <w:rPr>
                <w:color w:val="000000"/>
                <w:spacing w:val="0"/>
                <w:w w:val="100"/>
                <w:position w:val="0"/>
              </w:rPr>
              <w:t>编号</w:t>
            </w:r>
            <w:r>
              <w:rPr>
                <w:rFonts w:ascii="Times New Roman" w:eastAsia="Times New Roman" w:hAnsi="Times New Roman" w:cs="Times New Roman"/>
                <w:color w:val="000000"/>
                <w:spacing w:val="0"/>
                <w:w w:val="100"/>
                <w:position w:val="0"/>
              </w:rPr>
              <w:t>20160722</w:t>
            </w:r>
            <w:r>
              <w:rPr>
                <w:color w:val="000000"/>
                <w:spacing w:val="0"/>
                <w:w w:val="100"/>
                <w:position w:val="0"/>
              </w:rPr>
              <w:t>苏宁</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云商集团股份有限公司投资者关系活动记录表</w:t>
            </w:r>
          </w:p>
        </w:tc>
      </w:tr>
      <w:tr>
        <w:trPr>
          <w:trHeight w:val="58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实地调研</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rPr>
              <w:t>2016-08-01</w:t>
            </w:r>
            <w:r>
              <w:rPr>
                <w:color w:val="000000"/>
                <w:spacing w:val="0"/>
                <w:w w:val="100"/>
                <w:position w:val="0"/>
              </w:rPr>
              <w:t>编号</w:t>
            </w:r>
            <w:r>
              <w:rPr>
                <w:rFonts w:ascii="Times New Roman" w:eastAsia="Times New Roman" w:hAnsi="Times New Roman" w:cs="Times New Roman"/>
                <w:color w:val="000000"/>
                <w:spacing w:val="0"/>
                <w:w w:val="100"/>
                <w:position w:val="0"/>
              </w:rPr>
              <w:t>20160727</w:t>
            </w:r>
            <w:r>
              <w:rPr>
                <w:color w:val="000000"/>
                <w:spacing w:val="0"/>
                <w:w w:val="100"/>
                <w:position w:val="0"/>
              </w:rPr>
              <w:t>苏宁</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云商集团股份有限公司投资者关系活动记录表</w:t>
            </w:r>
          </w:p>
        </w:tc>
      </w:tr>
      <w:tr>
        <w:trPr>
          <w:trHeight w:val="58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电话沟通</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rPr>
              <w:t>2016-08-04</w:t>
            </w:r>
            <w:r>
              <w:rPr>
                <w:color w:val="000000"/>
                <w:spacing w:val="0"/>
                <w:w w:val="100"/>
                <w:position w:val="0"/>
              </w:rPr>
              <w:t>编号</w:t>
            </w:r>
            <w:r>
              <w:rPr>
                <w:rFonts w:ascii="Times New Roman" w:eastAsia="Times New Roman" w:hAnsi="Times New Roman" w:cs="Times New Roman"/>
                <w:color w:val="000000"/>
                <w:spacing w:val="0"/>
                <w:w w:val="100"/>
                <w:position w:val="0"/>
              </w:rPr>
              <w:t>20160803</w:t>
            </w:r>
            <w:r>
              <w:rPr>
                <w:color w:val="000000"/>
                <w:spacing w:val="0"/>
                <w:w w:val="100"/>
                <w:position w:val="0"/>
              </w:rPr>
              <w:t>苏宁</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云商集团股份有限公司投资者关系活动记录表</w:t>
            </w:r>
          </w:p>
        </w:tc>
      </w:tr>
      <w:tr>
        <w:trPr>
          <w:trHeight w:val="58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电话沟通</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rPr>
              <w:t>2016-08-12</w:t>
            </w:r>
            <w:r>
              <w:rPr>
                <w:color w:val="000000"/>
                <w:spacing w:val="0"/>
                <w:w w:val="100"/>
                <w:position w:val="0"/>
              </w:rPr>
              <w:t>编号</w:t>
            </w:r>
            <w:r>
              <w:rPr>
                <w:rFonts w:ascii="Times New Roman" w:eastAsia="Times New Roman" w:hAnsi="Times New Roman" w:cs="Times New Roman"/>
                <w:color w:val="000000"/>
                <w:spacing w:val="0"/>
                <w:w w:val="100"/>
                <w:position w:val="0"/>
              </w:rPr>
              <w:t>20160810</w:t>
            </w:r>
            <w:r>
              <w:rPr>
                <w:color w:val="000000"/>
                <w:spacing w:val="0"/>
                <w:w w:val="100"/>
                <w:position w:val="0"/>
              </w:rPr>
              <w:t>苏宁</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云商集团股份有限公司投资者关系活动记录表</w:t>
            </w:r>
          </w:p>
        </w:tc>
      </w:tr>
      <w:tr>
        <w:trPr>
          <w:trHeight w:val="58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实地调研</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rPr>
              <w:t>2016-09-08</w:t>
            </w:r>
            <w:r>
              <w:rPr>
                <w:color w:val="000000"/>
                <w:spacing w:val="0"/>
                <w:w w:val="100"/>
                <w:position w:val="0"/>
              </w:rPr>
              <w:t>编号</w:t>
            </w:r>
            <w:r>
              <w:rPr>
                <w:rFonts w:ascii="Times New Roman" w:eastAsia="Times New Roman" w:hAnsi="Times New Roman" w:cs="Times New Roman"/>
                <w:color w:val="000000"/>
                <w:spacing w:val="0"/>
                <w:w w:val="100"/>
                <w:position w:val="0"/>
              </w:rPr>
              <w:t>20160905</w:t>
            </w:r>
            <w:r>
              <w:rPr>
                <w:color w:val="000000"/>
                <w:spacing w:val="0"/>
                <w:w w:val="100"/>
                <w:position w:val="0"/>
              </w:rPr>
              <w:t>苏宁</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云商集团股份有限公司投资者关系活动记录表</w:t>
            </w:r>
          </w:p>
        </w:tc>
      </w:tr>
      <w:tr>
        <w:trPr>
          <w:trHeight w:val="58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实地调研</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rPr>
              <w:t>2016-09-12</w:t>
            </w:r>
            <w:r>
              <w:rPr>
                <w:color w:val="000000"/>
                <w:spacing w:val="0"/>
                <w:w w:val="100"/>
                <w:position w:val="0"/>
              </w:rPr>
              <w:t>编号</w:t>
            </w:r>
            <w:r>
              <w:rPr>
                <w:rFonts w:ascii="Times New Roman" w:eastAsia="Times New Roman" w:hAnsi="Times New Roman" w:cs="Times New Roman"/>
                <w:color w:val="000000"/>
                <w:spacing w:val="0"/>
                <w:w w:val="100"/>
                <w:position w:val="0"/>
              </w:rPr>
              <w:t>20160912</w:t>
            </w:r>
            <w:r>
              <w:rPr>
                <w:color w:val="000000"/>
                <w:spacing w:val="0"/>
                <w:w w:val="100"/>
                <w:position w:val="0"/>
              </w:rPr>
              <w:t>苏宁</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云商集团股份有限公司投资者关系活动记录表</w:t>
            </w:r>
          </w:p>
        </w:tc>
      </w:tr>
      <w:tr>
        <w:trPr>
          <w:trHeight w:val="58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电话沟通</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rPr>
              <w:t>2016-09-19</w:t>
            </w:r>
            <w:r>
              <w:rPr>
                <w:color w:val="000000"/>
                <w:spacing w:val="0"/>
                <w:w w:val="100"/>
                <w:position w:val="0"/>
              </w:rPr>
              <w:t>编号</w:t>
            </w:r>
            <w:r>
              <w:rPr>
                <w:rFonts w:ascii="Times New Roman" w:eastAsia="Times New Roman" w:hAnsi="Times New Roman" w:cs="Times New Roman"/>
                <w:color w:val="000000"/>
                <w:spacing w:val="0"/>
                <w:w w:val="100"/>
                <w:position w:val="0"/>
              </w:rPr>
              <w:t>20160914</w:t>
            </w:r>
            <w:r>
              <w:rPr>
                <w:color w:val="000000"/>
                <w:spacing w:val="0"/>
                <w:w w:val="100"/>
                <w:position w:val="0"/>
              </w:rPr>
              <w:t>苏宁</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云商集团股份有限公司投资者关系活动记录表</w:t>
            </w:r>
          </w:p>
        </w:tc>
      </w:tr>
      <w:tr>
        <w:trPr>
          <w:trHeight w:val="58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实地调研</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rPr>
              <w:t>2016-09-19</w:t>
            </w:r>
            <w:r>
              <w:rPr>
                <w:color w:val="000000"/>
                <w:spacing w:val="0"/>
                <w:w w:val="100"/>
                <w:position w:val="0"/>
              </w:rPr>
              <w:t>编号</w:t>
            </w:r>
            <w:r>
              <w:rPr>
                <w:rFonts w:ascii="Times New Roman" w:eastAsia="Times New Roman" w:hAnsi="Times New Roman" w:cs="Times New Roman"/>
                <w:color w:val="000000"/>
                <w:spacing w:val="0"/>
                <w:w w:val="100"/>
                <w:position w:val="0"/>
              </w:rPr>
              <w:t>20160919</w:t>
            </w:r>
            <w:r>
              <w:rPr>
                <w:color w:val="000000"/>
                <w:spacing w:val="0"/>
                <w:w w:val="100"/>
                <w:position w:val="0"/>
              </w:rPr>
              <w:t>苏宁</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云商集团股份有限公司投资者关系活动记录表</w:t>
            </w:r>
          </w:p>
        </w:tc>
      </w:tr>
      <w:tr>
        <w:trPr>
          <w:trHeight w:val="58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电话沟通</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rPr>
              <w:t>2016-09-29</w:t>
            </w:r>
            <w:r>
              <w:rPr>
                <w:color w:val="000000"/>
                <w:spacing w:val="0"/>
                <w:w w:val="100"/>
                <w:position w:val="0"/>
              </w:rPr>
              <w:t>编号</w:t>
            </w:r>
            <w:r>
              <w:rPr>
                <w:rFonts w:ascii="Times New Roman" w:eastAsia="Times New Roman" w:hAnsi="Times New Roman" w:cs="Times New Roman"/>
                <w:color w:val="000000"/>
                <w:spacing w:val="0"/>
                <w:w w:val="100"/>
                <w:position w:val="0"/>
              </w:rPr>
              <w:t>20160929</w:t>
            </w:r>
            <w:r>
              <w:rPr>
                <w:color w:val="000000"/>
                <w:spacing w:val="0"/>
                <w:w w:val="100"/>
                <w:position w:val="0"/>
              </w:rPr>
              <w:t>苏宁</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云商集团股份有限公司投资者关系活动记录表</w:t>
            </w:r>
          </w:p>
        </w:tc>
      </w:tr>
      <w:tr>
        <w:trPr>
          <w:trHeight w:val="58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实地调研</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rPr>
              <w:t>2016-10-24</w:t>
            </w:r>
            <w:r>
              <w:rPr>
                <w:color w:val="000000"/>
                <w:spacing w:val="0"/>
                <w:w w:val="100"/>
                <w:position w:val="0"/>
              </w:rPr>
              <w:t>编号</w:t>
            </w:r>
            <w:r>
              <w:rPr>
                <w:rFonts w:ascii="Times New Roman" w:eastAsia="Times New Roman" w:hAnsi="Times New Roman" w:cs="Times New Roman"/>
                <w:color w:val="000000"/>
                <w:spacing w:val="0"/>
                <w:w w:val="100"/>
                <w:position w:val="0"/>
              </w:rPr>
              <w:t>20161013</w:t>
            </w:r>
            <w:r>
              <w:rPr>
                <w:color w:val="000000"/>
                <w:spacing w:val="0"/>
                <w:w w:val="100"/>
                <w:position w:val="0"/>
              </w:rPr>
              <w:t>苏宁</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云商集团股份有限公司投资者关系活动记录表</w:t>
            </w:r>
          </w:p>
        </w:tc>
      </w:tr>
      <w:tr>
        <w:trPr>
          <w:trHeight w:val="58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电话沟通</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rPr>
              <w:t>2016-10-20</w:t>
            </w:r>
            <w:r>
              <w:rPr>
                <w:color w:val="000000"/>
                <w:spacing w:val="0"/>
                <w:w w:val="100"/>
                <w:position w:val="0"/>
              </w:rPr>
              <w:t>编号</w:t>
            </w:r>
            <w:r>
              <w:rPr>
                <w:rFonts w:ascii="Times New Roman" w:eastAsia="Times New Roman" w:hAnsi="Times New Roman" w:cs="Times New Roman"/>
                <w:color w:val="000000"/>
                <w:spacing w:val="0"/>
                <w:w w:val="100"/>
                <w:position w:val="0"/>
              </w:rPr>
              <w:t>20161019</w:t>
            </w:r>
            <w:r>
              <w:rPr>
                <w:color w:val="000000"/>
                <w:spacing w:val="0"/>
                <w:w w:val="100"/>
                <w:position w:val="0"/>
              </w:rPr>
              <w:t>苏宁</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云商集团股份有限公司投资者关系活动记录表</w:t>
            </w:r>
          </w:p>
        </w:tc>
      </w:tr>
      <w:tr>
        <w:trPr>
          <w:trHeight w:val="58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实地调研</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rPr>
              <w:t>2016-10-28</w:t>
            </w:r>
            <w:r>
              <w:rPr>
                <w:color w:val="000000"/>
                <w:spacing w:val="0"/>
                <w:w w:val="100"/>
                <w:position w:val="0"/>
              </w:rPr>
              <w:t>编号</w:t>
            </w:r>
            <w:r>
              <w:rPr>
                <w:rFonts w:ascii="Times New Roman" w:eastAsia="Times New Roman" w:hAnsi="Times New Roman" w:cs="Times New Roman"/>
                <w:color w:val="000000"/>
                <w:spacing w:val="0"/>
                <w:w w:val="100"/>
                <w:position w:val="0"/>
              </w:rPr>
              <w:t>20161028</w:t>
            </w:r>
            <w:r>
              <w:rPr>
                <w:color w:val="000000"/>
                <w:spacing w:val="0"/>
                <w:w w:val="100"/>
                <w:position w:val="0"/>
              </w:rPr>
              <w:t>苏宁</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云商集团股份有限公司投资者关系活动记录表</w:t>
            </w:r>
          </w:p>
        </w:tc>
      </w:tr>
      <w:tr>
        <w:trPr>
          <w:trHeight w:val="58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实地调研</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rPr>
              <w:t>2016-11-11</w:t>
            </w:r>
            <w:r>
              <w:rPr>
                <w:color w:val="000000"/>
                <w:spacing w:val="0"/>
                <w:w w:val="100"/>
                <w:position w:val="0"/>
              </w:rPr>
              <w:t>编号</w:t>
            </w:r>
            <w:r>
              <w:rPr>
                <w:rFonts w:ascii="Times New Roman" w:eastAsia="Times New Roman" w:hAnsi="Times New Roman" w:cs="Times New Roman"/>
                <w:color w:val="000000"/>
                <w:spacing w:val="0"/>
                <w:w w:val="100"/>
                <w:position w:val="0"/>
              </w:rPr>
              <w:t>20161111</w:t>
            </w:r>
            <w:r>
              <w:rPr>
                <w:color w:val="000000"/>
                <w:spacing w:val="0"/>
                <w:w w:val="100"/>
                <w:position w:val="0"/>
              </w:rPr>
              <w:t>苏宁</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云商集团股份有限公司投资者关系活动记录表</w:t>
            </w:r>
          </w:p>
        </w:tc>
      </w:tr>
      <w:tr>
        <w:trPr>
          <w:trHeight w:val="58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实地调研</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rPr>
              <w:t>2016-11-23</w:t>
            </w:r>
            <w:r>
              <w:rPr>
                <w:color w:val="000000"/>
                <w:spacing w:val="0"/>
                <w:w w:val="100"/>
                <w:position w:val="0"/>
              </w:rPr>
              <w:t>编号</w:t>
            </w:r>
            <w:r>
              <w:rPr>
                <w:rFonts w:ascii="Times New Roman" w:eastAsia="Times New Roman" w:hAnsi="Times New Roman" w:cs="Times New Roman"/>
                <w:color w:val="000000"/>
                <w:spacing w:val="0"/>
                <w:w w:val="100"/>
                <w:position w:val="0"/>
              </w:rPr>
              <w:t>20161118</w:t>
            </w:r>
            <w:r>
              <w:rPr>
                <w:color w:val="000000"/>
                <w:spacing w:val="0"/>
                <w:w w:val="100"/>
                <w:position w:val="0"/>
              </w:rPr>
              <w:t>苏宁</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云商集团股份有限公司投资者关系活动记录表</w:t>
            </w:r>
          </w:p>
        </w:tc>
      </w:tr>
      <w:tr>
        <w:trPr>
          <w:trHeight w:val="58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实地调研</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rPr>
              <w:t>2016-12-05</w:t>
            </w:r>
            <w:r>
              <w:rPr>
                <w:color w:val="000000"/>
                <w:spacing w:val="0"/>
                <w:w w:val="100"/>
                <w:position w:val="0"/>
              </w:rPr>
              <w:t>编号</w:t>
            </w:r>
            <w:r>
              <w:rPr>
                <w:rFonts w:ascii="Times New Roman" w:eastAsia="Times New Roman" w:hAnsi="Times New Roman" w:cs="Times New Roman"/>
                <w:color w:val="000000"/>
                <w:spacing w:val="0"/>
                <w:w w:val="100"/>
                <w:position w:val="0"/>
              </w:rPr>
              <w:t>20161125</w:t>
            </w:r>
            <w:r>
              <w:rPr>
                <w:color w:val="000000"/>
                <w:spacing w:val="0"/>
                <w:w w:val="100"/>
                <w:position w:val="0"/>
              </w:rPr>
              <w:t>苏宁</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云商集团股份有限公司投资者关系活动记录表</w:t>
            </w:r>
          </w:p>
        </w:tc>
      </w:tr>
      <w:tr>
        <w:trPr>
          <w:trHeight w:val="58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06</w:t>
            </w:r>
            <w:r>
              <w:rPr>
                <w:color w:val="000000"/>
                <w:spacing w:val="0"/>
                <w:w w:val="100"/>
                <w:position w:val="0"/>
              </w:rPr>
              <w:t>日</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电话沟通</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rPr>
              <w:t>2016-12-08</w:t>
            </w:r>
            <w:r>
              <w:rPr>
                <w:color w:val="000000"/>
                <w:spacing w:val="0"/>
                <w:w w:val="100"/>
                <w:position w:val="0"/>
              </w:rPr>
              <w:t>编号</w:t>
            </w:r>
            <w:r>
              <w:rPr>
                <w:rFonts w:ascii="Times New Roman" w:eastAsia="Times New Roman" w:hAnsi="Times New Roman" w:cs="Times New Roman"/>
                <w:color w:val="000000"/>
                <w:spacing w:val="0"/>
                <w:w w:val="100"/>
                <w:position w:val="0"/>
              </w:rPr>
              <w:t>20161206</w:t>
            </w:r>
            <w:r>
              <w:rPr>
                <w:color w:val="000000"/>
                <w:spacing w:val="0"/>
                <w:w w:val="100"/>
                <w:position w:val="0"/>
              </w:rPr>
              <w:t>苏宁</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云商集团股份有限公司投资者关系活动记录表</w:t>
            </w:r>
          </w:p>
        </w:tc>
      </w:tr>
      <w:tr>
        <w:trPr>
          <w:trHeight w:val="58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实地调研</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rPr>
              <w:t>2016-12-15</w:t>
            </w:r>
            <w:r>
              <w:rPr>
                <w:color w:val="000000"/>
                <w:spacing w:val="0"/>
                <w:w w:val="100"/>
                <w:position w:val="0"/>
              </w:rPr>
              <w:t>编号</w:t>
            </w:r>
            <w:r>
              <w:rPr>
                <w:rFonts w:ascii="Times New Roman" w:eastAsia="Times New Roman" w:hAnsi="Times New Roman" w:cs="Times New Roman"/>
                <w:color w:val="000000"/>
                <w:spacing w:val="0"/>
                <w:w w:val="100"/>
                <w:position w:val="0"/>
              </w:rPr>
              <w:t>20161215</w:t>
            </w:r>
            <w:r>
              <w:rPr>
                <w:color w:val="000000"/>
                <w:spacing w:val="0"/>
                <w:w w:val="100"/>
                <w:position w:val="0"/>
              </w:rPr>
              <w:t>苏宁</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云商集团股份有限公司投资者关系活动记录表</w:t>
            </w:r>
          </w:p>
        </w:tc>
      </w:tr>
      <w:tr>
        <w:trPr>
          <w:trHeight w:val="58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实地调研</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rPr>
              <w:t>2016-12-18</w:t>
            </w:r>
            <w:r>
              <w:rPr>
                <w:color w:val="000000"/>
                <w:spacing w:val="0"/>
                <w:w w:val="100"/>
                <w:position w:val="0"/>
              </w:rPr>
              <w:t>编号</w:t>
            </w:r>
            <w:r>
              <w:rPr>
                <w:rFonts w:ascii="Times New Roman" w:eastAsia="Times New Roman" w:hAnsi="Times New Roman" w:cs="Times New Roman"/>
                <w:color w:val="000000"/>
                <w:spacing w:val="0"/>
                <w:w w:val="100"/>
                <w:position w:val="0"/>
              </w:rPr>
              <w:t>20161215</w:t>
            </w:r>
            <w:r>
              <w:rPr>
                <w:color w:val="000000"/>
                <w:spacing w:val="0"/>
                <w:w w:val="100"/>
                <w:position w:val="0"/>
              </w:rPr>
              <w:t>苏宁</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云商集团股份有限公司投资者关系活动记录表</w:t>
            </w:r>
          </w:p>
        </w:tc>
      </w:tr>
      <w:tr>
        <w:trPr>
          <w:trHeight w:val="307"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实地调研</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rPr>
              <w:t>2017-01-06</w:t>
            </w:r>
            <w:r>
              <w:rPr>
                <w:color w:val="000000"/>
                <w:spacing w:val="0"/>
                <w:w w:val="100"/>
                <w:position w:val="0"/>
              </w:rPr>
              <w:t>编号</w:t>
            </w:r>
            <w:r>
              <w:rPr>
                <w:rFonts w:ascii="Times New Roman" w:eastAsia="Times New Roman" w:hAnsi="Times New Roman" w:cs="Times New Roman"/>
                <w:color w:val="000000"/>
                <w:spacing w:val="0"/>
                <w:w w:val="100"/>
                <w:position w:val="0"/>
              </w:rPr>
              <w:t>20161229</w:t>
            </w:r>
            <w:r>
              <w:rPr>
                <w:color w:val="000000"/>
                <w:spacing w:val="0"/>
                <w:w w:val="100"/>
                <w:position w:val="0"/>
              </w:rPr>
              <w:t>苏宁</w:t>
            </w:r>
          </w:p>
        </w:tc>
      </w:tr>
    </w:tbl>
    <w:p>
      <w:pPr>
        <w:spacing w:lineRule="exact" w:line="1"/>
        <w:rPr>
          <w:sz w:val="2"/>
          <w:szCs w:val="2"/>
        </w:rPr>
      </w:pPr>
      <w:r>
        <w:br w:type="page"/>
      </w:r>
    </w:p>
    <w:tbl>
      <w:tblPr>
        <w:tblOverlap w:val="never"/>
        <w:jc w:val="center"/>
        <w:tblLayout w:type="fixed"/>
      </w:tblPr>
      <w:tblGrid>
        <w:gridCol w:w="2098"/>
        <w:gridCol w:w="1277"/>
        <w:gridCol w:w="1555"/>
        <w:gridCol w:w="4646"/>
      </w:tblGrid>
      <w:tr>
        <w:trPr>
          <w:trHeight w:val="298"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接待时间</w:t>
            </w:r>
          </w:p>
        </w:tc>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接待方式</w:t>
            </w:r>
          </w:p>
        </w:tc>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接待对象类型</w:t>
            </w:r>
          </w:p>
        </w:tc>
        <w:tc>
          <w:tcPr>
            <w:tcBorders>
              <w:top w:val="single" w:sz="4"/>
              <w:left w:val="single" w:sz="4"/>
              <w:righ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调研的基本情况索引</w:t>
            </w:r>
          </w:p>
        </w:tc>
      </w:tr>
      <w:tr>
        <w:trPr>
          <w:trHeight w:val="302"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云商集团股份有限公司投资者关系活动记录表</w:t>
            </w:r>
          </w:p>
        </w:tc>
      </w:tr>
    </w:tbl>
    <w:p>
      <w:pPr>
        <w:sectPr>
          <w:headerReference w:type="default" r:id="rId35"/>
          <w:footerReference w:type="default" r:id="rId36"/>
          <w:headerReference w:type="even" r:id="rId37"/>
          <w:footerReference w:type="even" r:id="rId38"/>
          <w:footnotePr>
            <w:pos w:val="pageBottom"/>
            <w:numFmt w:val="decimal"/>
            <w:numRestart w:val="continuous"/>
          </w:footnotePr>
          <w:pgSz w:w="11900" w:h="16840"/>
          <w:pgMar w:top="1326" w:right="891" w:bottom="1436" w:left="852" w:header="0" w:footer="3" w:gutter="0"/>
          <w:cols w:space="720"/>
          <w:noEndnote/>
          <w:rtlGutter w:val="0"/>
          <w:docGrid w:linePitch="360"/>
        </w:sectPr>
      </w:pPr>
    </w:p>
    <w:p>
      <w:pPr>
        <w:pStyle w:val="Style18"/>
        <w:keepNext/>
        <w:keepLines/>
        <w:widowControl w:val="0"/>
        <w:shd w:val="clear" w:color="auto" w:fill="auto"/>
        <w:bidi w:val="0"/>
        <w:spacing w:before="660" w:after="340" w:line="240" w:lineRule="auto"/>
        <w:ind w:left="0" w:right="0" w:firstLine="0"/>
        <w:jc w:val="center"/>
      </w:pPr>
      <w:bookmarkStart w:id="233" w:name="bookmark233"/>
      <w:bookmarkStart w:id="234" w:name="bookmark234"/>
      <w:bookmarkStart w:id="235" w:name="bookmark235"/>
      <w:bookmarkStart w:id="236" w:name="bookmark236"/>
      <w:r>
        <w:rPr>
          <w:color w:val="000000"/>
          <w:spacing w:val="0"/>
          <w:w w:val="100"/>
          <w:position w:val="0"/>
        </w:rPr>
        <w:t>第五节重要事项</w:t>
      </w:r>
      <w:bookmarkEnd w:id="234"/>
      <w:bookmarkEnd w:id="235"/>
      <w:bookmarkEnd w:id="236"/>
      <w:bookmarkEnd w:id="233"/>
    </w:p>
    <w:p>
      <w:pPr>
        <w:pStyle w:val="Style32"/>
        <w:keepNext w:val="0"/>
        <w:keepLines w:val="0"/>
        <w:widowControl w:val="0"/>
        <w:shd w:val="clear" w:color="auto" w:fill="auto"/>
        <w:bidi w:val="0"/>
        <w:spacing w:before="0" w:after="200" w:line="461" w:lineRule="exact"/>
        <w:ind w:left="0" w:right="0" w:firstLine="0"/>
        <w:jc w:val="left"/>
        <w:rPr>
          <w:sz w:val="24"/>
          <w:szCs w:val="24"/>
        </w:rPr>
      </w:pPr>
      <w:r>
        <w:rPr>
          <w:b/>
          <w:bCs/>
          <w:color w:val="000000"/>
          <w:spacing w:val="0"/>
          <w:w w:val="100"/>
          <w:position w:val="0"/>
          <w:sz w:val="24"/>
          <w:szCs w:val="24"/>
        </w:rPr>
        <w:t>-、公司普通股利润分配及资本公积金转增股本情况</w:t>
      </w:r>
    </w:p>
    <w:p>
      <w:pPr>
        <w:pStyle w:val="Style32"/>
        <w:keepNext w:val="0"/>
        <w:keepLines w:val="0"/>
        <w:widowControl w:val="0"/>
        <w:shd w:val="clear" w:color="auto" w:fill="auto"/>
        <w:bidi w:val="0"/>
        <w:spacing w:before="0" w:after="0" w:line="461" w:lineRule="exact"/>
        <w:ind w:left="0" w:right="0" w:firstLine="460"/>
        <w:jc w:val="left"/>
      </w:pPr>
      <w:r>
        <w:rPr>
          <w:color w:val="000000"/>
          <w:spacing w:val="0"/>
          <w:w w:val="100"/>
          <w:position w:val="0"/>
        </w:rPr>
        <w:t>报告期内普通股利润分配政策，特别是现金分红政策的制定、执行或调整情况</w:t>
      </w:r>
    </w:p>
    <w:p>
      <w:pPr>
        <w:pStyle w:val="Style32"/>
        <w:keepNext w:val="0"/>
        <w:keepLines w:val="0"/>
        <w:widowControl w:val="0"/>
        <w:shd w:val="clear" w:color="auto" w:fill="auto"/>
        <w:bidi w:val="0"/>
        <w:spacing w:before="0" w:after="0" w:line="461" w:lineRule="exact"/>
        <w:ind w:left="0" w:right="0" w:firstLine="460"/>
        <w:jc w:val="left"/>
      </w:pPr>
      <w:r>
        <w:rPr>
          <w:color w:val="000000"/>
          <w:spacing w:val="0"/>
          <w:w w:val="100"/>
          <w:position w:val="0"/>
        </w:rPr>
        <w:t>根据中国证监会《上市公司监管指引第</w:t>
      </w:r>
      <w:r>
        <w:rPr>
          <w:rFonts w:ascii="Times New Roman" w:eastAsia="Times New Roman" w:hAnsi="Times New Roman" w:cs="Times New Roman"/>
          <w:color w:val="000000"/>
          <w:spacing w:val="0"/>
          <w:w w:val="100"/>
          <w:position w:val="0"/>
        </w:rPr>
        <w:t>3</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上市公司现金分红》等相关规定要求，公司已在</w:t>
      </w:r>
    </w:p>
    <w:p>
      <w:pPr>
        <w:pStyle w:val="Style32"/>
        <w:keepNext w:val="0"/>
        <w:keepLines w:val="0"/>
        <w:widowControl w:val="0"/>
        <w:shd w:val="clear" w:color="auto" w:fill="auto"/>
        <w:bidi w:val="0"/>
        <w:spacing w:before="0" w:after="0" w:line="461" w:lineRule="exact"/>
        <w:ind w:left="0" w:right="0" w:firstLine="0"/>
        <w:jc w:val="left"/>
      </w:pPr>
      <w:r>
        <w:rPr>
          <w:color w:val="000000"/>
          <w:spacing w:val="0"/>
          <w:w w:val="100"/>
          <w:position w:val="0"/>
        </w:rPr>
        <w:t xml:space="preserve">《公司章程》中制定了清晰的利润分配政策，并制定了《苏宁云商集团股份有限公司未来三年 </w:t>
      </w:r>
      <w:r>
        <w:rPr>
          <w:rFonts w:ascii="Times New Roman" w:eastAsia="Times New Roman" w:hAnsi="Times New Roman" w:cs="Times New Roman"/>
          <w:color w:val="000000"/>
          <w:spacing w:val="0"/>
          <w:w w:val="100"/>
          <w:position w:val="0"/>
        </w:rPr>
        <w:t>（2015-2017</w:t>
      </w:r>
      <w:r>
        <w:rPr>
          <w:color w:val="000000"/>
          <w:spacing w:val="0"/>
          <w:w w:val="100"/>
          <w:position w:val="0"/>
        </w:rPr>
        <w:t>年）股东回报规划》，制度性地明确公司股东的合理投资回报，维护公司股东的利益。</w:t>
      </w:r>
    </w:p>
    <w:p>
      <w:pPr>
        <w:pStyle w:val="Style32"/>
        <w:keepNext w:val="0"/>
        <w:keepLines w:val="0"/>
        <w:widowControl w:val="0"/>
        <w:shd w:val="clear" w:color="auto" w:fill="auto"/>
        <w:bidi w:val="0"/>
        <w:spacing w:before="0" w:after="120" w:line="470" w:lineRule="exact"/>
        <w:ind w:left="0" w:right="0" w:firstLine="460"/>
        <w:jc w:val="left"/>
      </w:pPr>
      <w:r>
        <w:rPr>
          <w:color w:val="000000"/>
          <w:spacing w:val="0"/>
          <w:w w:val="100"/>
          <w:position w:val="0"/>
        </w:rPr>
        <w:t>报告期内，公司</w:t>
      </w:r>
      <w:r>
        <w:rPr>
          <w:rFonts w:ascii="Times New Roman" w:eastAsia="Times New Roman" w:hAnsi="Times New Roman" w:cs="Times New Roman"/>
          <w:color w:val="000000"/>
          <w:spacing w:val="0"/>
          <w:w w:val="100"/>
          <w:position w:val="0"/>
        </w:rPr>
        <w:t>2015</w:t>
      </w:r>
      <w:r>
        <w:rPr>
          <w:color w:val="000000"/>
          <w:spacing w:val="0"/>
          <w:w w:val="100"/>
          <w:position w:val="0"/>
        </w:rPr>
        <w:t>年年度股东大会审议通过《</w:t>
      </w:r>
      <w:r>
        <w:rPr>
          <w:rFonts w:ascii="Times New Roman" w:eastAsia="Times New Roman" w:hAnsi="Times New Roman" w:cs="Times New Roman"/>
          <w:color w:val="000000"/>
          <w:spacing w:val="0"/>
          <w:w w:val="100"/>
          <w:position w:val="0"/>
        </w:rPr>
        <w:t>2015</w:t>
      </w:r>
      <w:r>
        <w:rPr>
          <w:color w:val="000000"/>
          <w:spacing w:val="0"/>
          <w:w w:val="100"/>
          <w:position w:val="0"/>
        </w:rPr>
        <w:t>年度利润分配预案》，公司以</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31</w:t>
      </w:r>
      <w:r>
        <w:rPr>
          <w:color w:val="000000"/>
          <w:spacing w:val="0"/>
          <w:w w:val="100"/>
          <w:position w:val="0"/>
          <w:sz w:val="22"/>
          <w:szCs w:val="22"/>
        </w:rPr>
        <w:t>0</w:t>
      </w:r>
      <w:r>
        <w:rPr>
          <w:color w:val="000000"/>
          <w:spacing w:val="0"/>
          <w:w w:val="100"/>
          <w:position w:val="0"/>
        </w:rPr>
        <w:t>的总股本</w:t>
      </w:r>
      <w:r>
        <w:rPr>
          <w:rFonts w:ascii="Times New Roman" w:eastAsia="Times New Roman" w:hAnsi="Times New Roman" w:cs="Times New Roman"/>
          <w:color w:val="000000"/>
          <w:spacing w:val="0"/>
          <w:w w:val="100"/>
          <w:position w:val="0"/>
        </w:rPr>
        <w:t>7,383,043,150</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0</w:t>
      </w:r>
      <w:r>
        <w:rPr>
          <w:rFonts w:ascii="Times New Roman" w:eastAsia="Times New Roman" w:hAnsi="Times New Roman" w:cs="Times New Roman"/>
          <w:color w:val="000000"/>
          <w:spacing w:val="0"/>
          <w:w w:val="100"/>
          <w:position w:val="0"/>
        </w:rPr>
        <w:t>.60</w:t>
      </w:r>
      <w:r>
        <w:rPr>
          <w:color w:val="000000"/>
          <w:spacing w:val="0"/>
          <w:w w:val="100"/>
          <w:position w:val="0"/>
        </w:rPr>
        <w:t>元（含税），不送红股, 不以公积金转增股本。公司于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日实施完成本次利润分配。</w:t>
      </w:r>
    </w:p>
    <w:tbl>
      <w:tblPr>
        <w:tblOverlap w:val="never"/>
        <w:jc w:val="center"/>
        <w:tblLayout w:type="fixed"/>
      </w:tblPr>
      <w:tblGrid>
        <w:gridCol w:w="5962"/>
        <w:gridCol w:w="3619"/>
      </w:tblGrid>
      <w:tr>
        <w:trPr>
          <w:trHeight w:val="302" w:hRule="exact"/>
        </w:trPr>
        <w:tc>
          <w:tcPr>
            <w:gridSpan w:val="2"/>
            <w:tcBorders>
              <w:top w:val="single" w:sz="4"/>
              <w:left w:val="single" w:sz="4"/>
              <w:righ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现金分红政策的专项说明</w:t>
            </w:r>
          </w:p>
        </w:tc>
      </w:tr>
      <w:tr>
        <w:trPr>
          <w:trHeight w:val="293" w:hRule="exact"/>
        </w:trPr>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298"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293" w:hRule="exact"/>
        </w:trPr>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298" w:hRule="exact"/>
        </w:trPr>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581" w:hRule="exact"/>
        </w:trPr>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83" w:lineRule="exact"/>
              <w:ind w:left="0" w:right="0" w:firstLine="0"/>
              <w:jc w:val="left"/>
            </w:pPr>
            <w:r>
              <w:rPr>
                <w:color w:val="000000"/>
                <w:spacing w:val="0"/>
                <w:w w:val="100"/>
                <w:position w:val="0"/>
              </w:rPr>
              <w:t>中小股东是否有充分表达意见和诉求的机会，其合法权益是 否得到了充分保护：</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586" w:hRule="exact"/>
        </w:trPr>
        <w:tc>
          <w:tcPr>
            <w:tcBorders>
              <w:top w:val="single" w:sz="4"/>
              <w:left w:val="single" w:sz="4"/>
              <w:bottom w:val="single" w:sz="4"/>
            </w:tcBorders>
            <w:shd w:val="clear" w:color="auto" w:fill="D3D3D3"/>
            <w:vAlign w:val="top"/>
          </w:tcPr>
          <w:p>
            <w:pPr>
              <w:pStyle w:val="Style28"/>
              <w:keepNext w:val="0"/>
              <w:keepLines w:val="0"/>
              <w:widowControl w:val="0"/>
              <w:shd w:val="clear" w:color="auto" w:fill="auto"/>
              <w:bidi w:val="0"/>
              <w:spacing w:before="0" w:after="0" w:line="288" w:lineRule="exact"/>
              <w:ind w:left="0" w:right="0" w:firstLine="0"/>
              <w:jc w:val="left"/>
            </w:pPr>
            <w:r>
              <w:rPr>
                <w:color w:val="000000"/>
                <w:spacing w:val="0"/>
                <w:w w:val="100"/>
                <w:position w:val="0"/>
              </w:rPr>
              <w:t>现金分红政策进行调整或变更的，条件及程序是否合规、透 明：</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bl>
    <w:p>
      <w:pPr>
        <w:pStyle w:val="Style32"/>
        <w:keepNext w:val="0"/>
        <w:keepLines w:val="0"/>
        <w:widowControl w:val="0"/>
        <w:shd w:val="clear" w:color="auto" w:fill="auto"/>
        <w:bidi w:val="0"/>
        <w:spacing w:before="0" w:after="0" w:line="480" w:lineRule="exact"/>
        <w:ind w:left="0" w:right="0" w:firstLine="460"/>
        <w:jc w:val="left"/>
      </w:pPr>
      <w:r>
        <w:rPr>
          <w:color w:val="000000"/>
          <w:spacing w:val="0"/>
          <w:w w:val="100"/>
          <w:position w:val="0"/>
        </w:rPr>
        <w:t>公司近</w:t>
      </w:r>
      <w:r>
        <w:rPr>
          <w:rFonts w:ascii="Times New Roman" w:eastAsia="Times New Roman" w:hAnsi="Times New Roman" w:cs="Times New Roman"/>
          <w:color w:val="000000"/>
          <w:spacing w:val="0"/>
          <w:w w:val="100"/>
          <w:position w:val="0"/>
        </w:rPr>
        <w:t>3</w:t>
      </w:r>
      <w:r>
        <w:rPr>
          <w:color w:val="000000"/>
          <w:spacing w:val="0"/>
          <w:w w:val="100"/>
          <w:position w:val="0"/>
        </w:rPr>
        <w:t>年（包括本报告期）的普通股股利分配方案（预案）、资本公积金转增股本方案（预 案）情况</w:t>
      </w:r>
    </w:p>
    <w:p>
      <w:pPr>
        <w:pStyle w:val="Style32"/>
        <w:keepNext w:val="0"/>
        <w:keepLines w:val="0"/>
        <w:widowControl w:val="0"/>
        <w:shd w:val="clear" w:color="auto" w:fill="auto"/>
        <w:tabs>
          <w:tab w:pos="800" w:val="left"/>
        </w:tabs>
        <w:bidi w:val="0"/>
        <w:spacing w:before="0" w:after="200" w:line="475" w:lineRule="exact"/>
        <w:ind w:left="0" w:right="0" w:firstLine="460"/>
        <w:jc w:val="left"/>
      </w:pPr>
      <w:bookmarkStart w:id="237" w:name="bookmark237"/>
      <w:r>
        <w:rPr>
          <w:rFonts w:ascii="Times New Roman" w:eastAsia="Times New Roman" w:hAnsi="Times New Roman" w:cs="Times New Roman"/>
          <w:color w:val="000000"/>
          <w:spacing w:val="0"/>
          <w:w w:val="100"/>
          <w:position w:val="0"/>
        </w:rPr>
        <w:t>1</w:t>
      </w:r>
      <w:bookmarkEnd w:id="237"/>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年度：公司</w:t>
      </w:r>
      <w:r>
        <w:rPr>
          <w:rFonts w:ascii="Times New Roman" w:eastAsia="Times New Roman" w:hAnsi="Times New Roman" w:cs="Times New Roman"/>
          <w:color w:val="000000"/>
          <w:spacing w:val="0"/>
          <w:w w:val="100"/>
          <w:position w:val="0"/>
        </w:rPr>
        <w:t>2016</w:t>
      </w:r>
      <w:r>
        <w:rPr>
          <w:color w:val="000000"/>
          <w:spacing w:val="0"/>
          <w:w w:val="100"/>
          <w:position w:val="0"/>
        </w:rPr>
        <w:t>年度权益分派方案以</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日总股本</w:t>
      </w:r>
      <w:r>
        <w:rPr>
          <w:rFonts w:ascii="Times New Roman" w:eastAsia="Times New Roman" w:hAnsi="Times New Roman" w:cs="Times New Roman"/>
          <w:color w:val="000000"/>
          <w:spacing w:val="0"/>
          <w:w w:val="100"/>
          <w:position w:val="0"/>
        </w:rPr>
        <w:t>9,310,039,655</w:t>
      </w:r>
      <w:r>
        <w:rPr>
          <w:color w:val="000000"/>
          <w:spacing w:val="0"/>
          <w:w w:val="100"/>
          <w:position w:val="0"/>
        </w:rPr>
        <w:t>股为基数, 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0.70</w:t>
      </w:r>
      <w:r>
        <w:rPr>
          <w:color w:val="000000"/>
          <w:spacing w:val="0"/>
          <w:w w:val="100"/>
          <w:position w:val="0"/>
        </w:rPr>
        <w:t>元（含税），不送红股，不以公积金转增股本。</w:t>
      </w:r>
    </w:p>
    <w:p>
      <w:pPr>
        <w:pStyle w:val="Style53"/>
        <w:keepNext w:val="0"/>
        <w:keepLines w:val="0"/>
        <w:widowControl w:val="0"/>
        <w:shd w:val="clear" w:color="auto" w:fill="auto"/>
        <w:tabs>
          <w:tab w:pos="842" w:val="left"/>
        </w:tabs>
        <w:bidi w:val="0"/>
        <w:spacing w:before="0" w:after="0" w:line="451" w:lineRule="auto"/>
        <w:ind w:left="0" w:right="0"/>
        <w:jc w:val="left"/>
      </w:pPr>
      <w:bookmarkStart w:id="238" w:name="bookmark238"/>
      <w:r>
        <w:rPr>
          <w:color w:val="000000"/>
          <w:spacing w:val="0"/>
          <w:w w:val="100"/>
          <w:position w:val="0"/>
        </w:rPr>
        <w:t>2</w:t>
      </w:r>
      <w:bookmarkEnd w:id="238"/>
      <w:r>
        <w:rPr>
          <w:rFonts w:ascii="SimSun" w:eastAsia="SimSun" w:hAnsi="SimSun" w:cs="SimSun"/>
          <w:color w:val="000000"/>
          <w:spacing w:val="0"/>
          <w:w w:val="100"/>
          <w:position w:val="0"/>
        </w:rPr>
        <w:t>、</w:t>
        <w:tab/>
      </w:r>
      <w:r>
        <w:rPr>
          <w:color w:val="000000"/>
          <w:spacing w:val="0"/>
          <w:w w:val="100"/>
          <w:position w:val="0"/>
        </w:rPr>
        <w:t>2015</w:t>
      </w:r>
      <w:r>
        <w:rPr>
          <w:rFonts w:ascii="SimSun" w:eastAsia="SimSun" w:hAnsi="SimSun" w:cs="SimSun"/>
          <w:color w:val="000000"/>
          <w:spacing w:val="0"/>
          <w:w w:val="100"/>
          <w:position w:val="0"/>
        </w:rPr>
        <w:t>年度：公司</w:t>
      </w:r>
      <w:r>
        <w:rPr>
          <w:color w:val="000000"/>
          <w:spacing w:val="0"/>
          <w:w w:val="100"/>
          <w:position w:val="0"/>
        </w:rPr>
        <w:t>2015</w:t>
      </w:r>
      <w:r>
        <w:rPr>
          <w:rFonts w:ascii="SimSun" w:eastAsia="SimSun" w:hAnsi="SimSun" w:cs="SimSun"/>
          <w:color w:val="000000"/>
          <w:spacing w:val="0"/>
          <w:w w:val="100"/>
          <w:position w:val="0"/>
        </w:rPr>
        <w:t>年年度权益分派方案以公司</w:t>
      </w: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日总股本</w:t>
      </w:r>
      <w:r>
        <w:rPr>
          <w:color w:val="000000"/>
          <w:spacing w:val="0"/>
          <w:w w:val="100"/>
          <w:position w:val="0"/>
        </w:rPr>
        <w:t>7,383,043,150</w:t>
      </w:r>
      <w:r>
        <w:rPr>
          <w:rFonts w:ascii="SimSun" w:eastAsia="SimSun" w:hAnsi="SimSun" w:cs="SimSun"/>
          <w:color w:val="000000"/>
          <w:spacing w:val="0"/>
          <w:w w:val="100"/>
          <w:position w:val="0"/>
        </w:rPr>
        <w:t>股</w:t>
      </w:r>
    </w:p>
    <w:p>
      <w:pPr>
        <w:pStyle w:val="Style32"/>
        <w:keepNext w:val="0"/>
        <w:keepLines w:val="0"/>
        <w:widowControl w:val="0"/>
        <w:shd w:val="clear" w:color="auto" w:fill="auto"/>
        <w:bidi w:val="0"/>
        <w:spacing w:before="0" w:after="200" w:line="475" w:lineRule="exact"/>
        <w:ind w:left="0" w:right="0" w:firstLine="0"/>
        <w:jc w:val="left"/>
      </w:pPr>
      <w:r>
        <w:rPr>
          <w:color w:val="000000"/>
          <w:spacing w:val="0"/>
          <w:w w:val="100"/>
          <w:position w:val="0"/>
        </w:rPr>
        <w:t>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0.60</w:t>
      </w:r>
      <w:r>
        <w:rPr>
          <w:color w:val="000000"/>
          <w:spacing w:val="0"/>
          <w:w w:val="100"/>
          <w:position w:val="0"/>
        </w:rPr>
        <w:t>元（含税），不送红股，不以公积金转增股本。</w:t>
      </w:r>
    </w:p>
    <w:p>
      <w:pPr>
        <w:pStyle w:val="Style53"/>
        <w:keepNext w:val="0"/>
        <w:keepLines w:val="0"/>
        <w:widowControl w:val="0"/>
        <w:shd w:val="clear" w:color="auto" w:fill="auto"/>
        <w:tabs>
          <w:tab w:pos="842" w:val="left"/>
        </w:tabs>
        <w:bidi w:val="0"/>
        <w:spacing w:before="0" w:after="0" w:line="451" w:lineRule="auto"/>
        <w:ind w:left="0" w:right="0"/>
        <w:jc w:val="left"/>
      </w:pPr>
      <w:bookmarkStart w:id="239" w:name="bookmark239"/>
      <w:r>
        <w:rPr>
          <w:color w:val="000000"/>
          <w:spacing w:val="0"/>
          <w:w w:val="100"/>
          <w:position w:val="0"/>
        </w:rPr>
        <w:t>3</w:t>
      </w:r>
      <w:bookmarkEnd w:id="239"/>
      <w:r>
        <w:rPr>
          <w:rFonts w:ascii="SimSun" w:eastAsia="SimSun" w:hAnsi="SimSun" w:cs="SimSun"/>
          <w:color w:val="000000"/>
          <w:spacing w:val="0"/>
          <w:w w:val="100"/>
          <w:position w:val="0"/>
        </w:rPr>
        <w:t>、</w:t>
        <w:tab/>
      </w:r>
      <w:r>
        <w:rPr>
          <w:color w:val="000000"/>
          <w:spacing w:val="0"/>
          <w:w w:val="100"/>
          <w:position w:val="0"/>
        </w:rPr>
        <w:t>2014</w:t>
      </w:r>
      <w:r>
        <w:rPr>
          <w:rFonts w:ascii="SimSun" w:eastAsia="SimSun" w:hAnsi="SimSun" w:cs="SimSun"/>
          <w:color w:val="000000"/>
          <w:spacing w:val="0"/>
          <w:w w:val="100"/>
          <w:position w:val="0"/>
        </w:rPr>
        <w:t>年度：公司</w:t>
      </w:r>
      <w:r>
        <w:rPr>
          <w:color w:val="000000"/>
          <w:spacing w:val="0"/>
          <w:w w:val="100"/>
          <w:position w:val="0"/>
        </w:rPr>
        <w:t>2014</w:t>
      </w:r>
      <w:r>
        <w:rPr>
          <w:rFonts w:ascii="SimSun" w:eastAsia="SimSun" w:hAnsi="SimSun" w:cs="SimSun"/>
          <w:color w:val="000000"/>
          <w:spacing w:val="0"/>
          <w:w w:val="100"/>
          <w:position w:val="0"/>
        </w:rPr>
        <w:t>年年度权益分派方案以公司</w:t>
      </w: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日总股本</w:t>
      </w:r>
      <w:r>
        <w:rPr>
          <w:color w:val="000000"/>
          <w:spacing w:val="0"/>
          <w:w w:val="100"/>
          <w:position w:val="0"/>
        </w:rPr>
        <w:t>7,383,043,150</w:t>
      </w:r>
      <w:r>
        <w:rPr>
          <w:rFonts w:ascii="SimSun" w:eastAsia="SimSun" w:hAnsi="SimSun" w:cs="SimSun"/>
          <w:color w:val="000000"/>
          <w:spacing w:val="0"/>
          <w:w w:val="100"/>
          <w:position w:val="0"/>
        </w:rPr>
        <w:t>股</w:t>
      </w:r>
    </w:p>
    <w:p>
      <w:pPr>
        <w:pStyle w:val="Style32"/>
        <w:keepNext w:val="0"/>
        <w:keepLines w:val="0"/>
        <w:widowControl w:val="0"/>
        <w:shd w:val="clear" w:color="auto" w:fill="auto"/>
        <w:bidi w:val="0"/>
        <w:spacing w:before="0" w:after="200" w:line="475" w:lineRule="exact"/>
        <w:ind w:left="0" w:right="0" w:firstLine="0"/>
        <w:jc w:val="left"/>
      </w:pPr>
      <w:r>
        <w:rPr>
          <w:color w:val="000000"/>
          <w:spacing w:val="0"/>
          <w:w w:val="100"/>
          <w:position w:val="0"/>
        </w:rPr>
        <w:t>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0.50</w:t>
      </w:r>
      <w:r>
        <w:rPr>
          <w:color w:val="000000"/>
          <w:spacing w:val="0"/>
          <w:w w:val="100"/>
          <w:position w:val="0"/>
        </w:rPr>
        <w:t>元（含税），不送红股，不以公积金转增股本。</w:t>
      </w:r>
      <w:r>
        <w:br w:type="page"/>
      </w:r>
    </w:p>
    <w:p>
      <w:pPr>
        <w:pStyle w:val="Style32"/>
        <w:keepNext w:val="0"/>
        <w:keepLines w:val="0"/>
        <w:widowControl w:val="0"/>
        <w:shd w:val="clear" w:color="auto" w:fill="auto"/>
        <w:bidi w:val="0"/>
        <w:spacing w:before="0" w:after="120" w:line="240" w:lineRule="auto"/>
        <w:ind w:left="0" w:right="0" w:firstLine="460"/>
        <w:jc w:val="left"/>
      </w:pPr>
      <w:r>
        <w:rPr>
          <w:color w:val="000000"/>
          <w:spacing w:val="0"/>
          <w:w w:val="100"/>
          <w:position w:val="0"/>
        </w:rPr>
        <w:t>公司近三年（包括本报告期）普通股现金分红情况表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单位：千元</w:t>
      </w:r>
    </w:p>
    <w:tbl>
      <w:tblPr>
        <w:tblOverlap w:val="never"/>
        <w:jc w:val="center"/>
        <w:tblLayout w:type="fixed"/>
      </w:tblPr>
      <w:tblGrid>
        <w:gridCol w:w="1142"/>
        <w:gridCol w:w="1272"/>
        <w:gridCol w:w="2126"/>
        <w:gridCol w:w="2126"/>
        <w:gridCol w:w="1421"/>
        <w:gridCol w:w="1488"/>
      </w:tblGrid>
      <w:tr>
        <w:trPr>
          <w:trHeight w:val="869"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分红年度</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93" w:lineRule="exact"/>
              <w:ind w:left="0" w:right="0" w:firstLine="0"/>
              <w:jc w:val="center"/>
            </w:pPr>
            <w:r>
              <w:rPr>
                <w:color w:val="000000"/>
                <w:spacing w:val="0"/>
                <w:w w:val="100"/>
                <w:position w:val="0"/>
              </w:rPr>
              <w:t>现金分红金 额（含税）</w:t>
            </w:r>
          </w:p>
        </w:tc>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86" w:lineRule="exact"/>
              <w:ind w:left="0" w:right="0" w:firstLine="0"/>
              <w:jc w:val="center"/>
            </w:pPr>
            <w:r>
              <w:rPr>
                <w:color w:val="000000"/>
                <w:spacing w:val="0"/>
                <w:w w:val="100"/>
                <w:position w:val="0"/>
              </w:rPr>
              <w:t>分红年度合并报表中 归属于上市公司普通 股股东的净利润</w:t>
            </w:r>
          </w:p>
        </w:tc>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83" w:lineRule="exact"/>
              <w:ind w:left="0" w:right="0" w:firstLine="0"/>
              <w:jc w:val="center"/>
            </w:pPr>
            <w:r>
              <w:rPr>
                <w:color w:val="000000"/>
                <w:spacing w:val="0"/>
                <w:w w:val="100"/>
                <w:position w:val="0"/>
              </w:rPr>
              <w:t>占合并报表中归属于 上市公司普通股股东 的净利润的比率</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74" w:lineRule="exact"/>
              <w:ind w:left="0" w:right="0" w:firstLine="0"/>
              <w:jc w:val="right"/>
            </w:pPr>
            <w:r>
              <w:rPr>
                <w:color w:val="000000"/>
                <w:spacing w:val="0"/>
                <w:w w:val="100"/>
                <w:position w:val="0"/>
              </w:rPr>
              <w:t>以其他方式现 金分红的金额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78" w:lineRule="exact"/>
              <w:ind w:left="0" w:right="0" w:firstLine="0"/>
              <w:jc w:val="center"/>
            </w:pPr>
            <w:r>
              <w:rPr>
                <w:color w:val="000000"/>
                <w:spacing w:val="0"/>
                <w:w w:val="100"/>
                <w:position w:val="0"/>
              </w:rPr>
              <w:t>以其他方式现 金分红的比例</w:t>
            </w:r>
          </w:p>
        </w:tc>
      </w:tr>
      <w:tr>
        <w:trPr>
          <w:trHeight w:val="293" w:hRule="exact"/>
        </w:trPr>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651,703</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704,414</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92.52%</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298"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442,983</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872,504</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50.77%</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02" w:hRule="exact"/>
        </w:trPr>
        <w:tc>
          <w:tcPr>
            <w:tcBorders>
              <w:top w:val="single" w:sz="4"/>
              <w:left w:val="single" w:sz="4"/>
              <w:bottom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年</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369,152</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866,915</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42.58%</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bl>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公司报告期内盈利且母公司可供普通股股东分配利润为正但未提出普通股现金红利分配预案</w:t>
      </w:r>
    </w:p>
    <w:p>
      <w:pPr>
        <w:widowControl w:val="0"/>
        <w:spacing w:after="319" w:line="1" w:lineRule="exact"/>
      </w:pPr>
    </w:p>
    <w:p>
      <w:pPr>
        <w:pStyle w:val="Style32"/>
        <w:keepNext w:val="0"/>
        <w:keepLines w:val="0"/>
        <w:widowControl w:val="0"/>
        <w:shd w:val="clear" w:color="auto" w:fill="auto"/>
        <w:bidi w:val="0"/>
        <w:spacing w:before="0" w:after="400" w:line="240" w:lineRule="auto"/>
        <w:ind w:left="0" w:right="0" w:firstLine="46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2"/>
        <w:keepNext w:val="0"/>
        <w:keepLines w:val="0"/>
        <w:widowControl w:val="0"/>
        <w:shd w:val="clear" w:color="auto" w:fill="auto"/>
        <w:bidi w:val="0"/>
        <w:spacing w:before="0" w:after="320" w:line="240" w:lineRule="auto"/>
        <w:ind w:left="0" w:right="0" w:firstLine="0"/>
        <w:jc w:val="left"/>
        <w:rPr>
          <w:sz w:val="24"/>
          <w:szCs w:val="24"/>
        </w:rPr>
      </w:pPr>
      <w:bookmarkStart w:id="240" w:name="bookmark240"/>
      <w:r>
        <w:rPr>
          <w:b/>
          <w:bCs/>
          <w:color w:val="000000"/>
          <w:spacing w:val="0"/>
          <w:w w:val="100"/>
          <w:position w:val="0"/>
          <w:sz w:val="24"/>
          <w:szCs w:val="24"/>
        </w:rPr>
        <w:t>二</w:t>
      </w:r>
      <w:bookmarkEnd w:id="240"/>
      <w:r>
        <w:rPr>
          <w:b/>
          <w:bCs/>
          <w:color w:val="000000"/>
          <w:spacing w:val="0"/>
          <w:w w:val="100"/>
          <w:position w:val="0"/>
          <w:sz w:val="24"/>
          <w:szCs w:val="24"/>
        </w:rPr>
        <w:t>、本报告期利润分配及资本公积金转增股本预案</w:t>
      </w:r>
    </w:p>
    <w:tbl>
      <w:tblPr>
        <w:tblOverlap w:val="never"/>
        <w:jc w:val="center"/>
        <w:tblLayout w:type="fixed"/>
      </w:tblPr>
      <w:tblGrid>
        <w:gridCol w:w="3802"/>
        <w:gridCol w:w="5779"/>
      </w:tblGrid>
      <w:tr>
        <w:trPr>
          <w:trHeight w:val="298"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股送红股数（股）</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298"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股派息数（元）（含税）</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0.70</w:t>
            </w:r>
          </w:p>
        </w:tc>
      </w:tr>
      <w:tr>
        <w:trPr>
          <w:trHeight w:val="29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股转增数（股）</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298"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9,310,039,655</w:t>
            </w:r>
          </w:p>
        </w:tc>
      </w:tr>
      <w:tr>
        <w:trPr>
          <w:trHeight w:val="29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现金分红总额（千元）（含税）</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651,703</w:t>
            </w:r>
          </w:p>
        </w:tc>
      </w:tr>
      <w:tr>
        <w:trPr>
          <w:trHeight w:val="298"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可分配利润（千元）</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6,825,896</w:t>
            </w:r>
          </w:p>
        </w:tc>
      </w:tr>
      <w:tr>
        <w:trPr>
          <w:trHeight w:val="29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现金分红占利润分配总额的比例</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r>
      <w:tr>
        <w:trPr>
          <w:trHeight w:val="298" w:hRule="exact"/>
        </w:trPr>
        <w:tc>
          <w:tcPr>
            <w:gridSpan w:val="2"/>
            <w:tcBorders>
              <w:top w:val="single" w:sz="4"/>
              <w:left w:val="single" w:sz="4"/>
              <w:righ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本次现金分红情况</w:t>
            </w:r>
          </w:p>
        </w:tc>
      </w:tr>
      <w:tr>
        <w:trPr>
          <w:trHeight w:val="293" w:hRule="exact"/>
        </w:trPr>
        <w:tc>
          <w:tcPr>
            <w:gridSpan w:val="2"/>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298" w:hRule="exact"/>
        </w:trPr>
        <w:tc>
          <w:tcPr>
            <w:gridSpan w:val="2"/>
            <w:tcBorders>
              <w:top w:val="single" w:sz="4"/>
              <w:left w:val="single" w:sz="4"/>
              <w:righ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利润分配或资本公积金转增预案的详细情况说明</w:t>
            </w:r>
          </w:p>
        </w:tc>
      </w:tr>
      <w:tr>
        <w:trPr>
          <w:trHeight w:val="2299" w:hRule="exact"/>
        </w:trPr>
        <w:tc>
          <w:tcPr>
            <w:gridSpan w:val="2"/>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86" w:lineRule="exact"/>
              <w:ind w:left="0" w:right="0" w:firstLine="0"/>
              <w:jc w:val="left"/>
            </w:pPr>
            <w:r>
              <w:rPr>
                <w:color w:val="000000"/>
                <w:spacing w:val="0"/>
                <w:w w:val="100"/>
                <w:position w:val="0"/>
              </w:rPr>
              <w:t>经普华永道中天会计师事务所（特殊普通合伙）出具的普华永道中天审字</w:t>
            </w:r>
            <w:r>
              <w:rPr>
                <w:rFonts w:ascii="Times New Roman" w:eastAsia="Times New Roman" w:hAnsi="Times New Roman" w:cs="Times New Roman"/>
                <w:color w:val="000000"/>
                <w:spacing w:val="0"/>
                <w:w w:val="100"/>
                <w:position w:val="0"/>
              </w:rPr>
              <w:t>（2017）</w:t>
            </w:r>
            <w:r>
              <w:rPr>
                <w:color w:val="000000"/>
                <w:spacing w:val="0"/>
                <w:w w:val="100"/>
                <w:position w:val="0"/>
              </w:rPr>
              <w:t>第</w:t>
            </w:r>
            <w:r>
              <w:rPr>
                <w:rFonts w:ascii="Times New Roman" w:eastAsia="Times New Roman" w:hAnsi="Times New Roman" w:cs="Times New Roman"/>
                <w:color w:val="000000"/>
                <w:spacing w:val="0"/>
                <w:w w:val="100"/>
                <w:position w:val="0"/>
              </w:rPr>
              <w:t>10101</w:t>
            </w:r>
            <w:r>
              <w:rPr>
                <w:color w:val="000000"/>
                <w:spacing w:val="0"/>
                <w:w w:val="100"/>
                <w:position w:val="0"/>
              </w:rPr>
              <w:t>号《审计 报告》确认，</w:t>
            </w:r>
            <w:r>
              <w:rPr>
                <w:rFonts w:ascii="Times New Roman" w:eastAsia="Times New Roman" w:hAnsi="Times New Roman" w:cs="Times New Roman"/>
                <w:color w:val="000000"/>
                <w:spacing w:val="0"/>
                <w:w w:val="100"/>
                <w:position w:val="0"/>
              </w:rPr>
              <w:t>2016</w:t>
            </w:r>
            <w:r>
              <w:rPr>
                <w:color w:val="000000"/>
                <w:spacing w:val="0"/>
                <w:w w:val="100"/>
                <w:position w:val="0"/>
              </w:rPr>
              <w:t>年公司母公司实现净利润</w:t>
            </w:r>
            <w:r>
              <w:rPr>
                <w:rFonts w:ascii="Times New Roman" w:eastAsia="Times New Roman" w:hAnsi="Times New Roman" w:cs="Times New Roman"/>
                <w:color w:val="000000"/>
                <w:spacing w:val="0"/>
                <w:w w:val="100"/>
                <w:position w:val="0"/>
              </w:rPr>
              <w:t>1,465,656</w:t>
            </w:r>
            <w:r>
              <w:rPr>
                <w:color w:val="000000"/>
                <w:spacing w:val="0"/>
                <w:w w:val="100"/>
                <w:position w:val="0"/>
              </w:rPr>
              <w:t>千元，支付普通股股利</w:t>
            </w:r>
            <w:r>
              <w:rPr>
                <w:rFonts w:ascii="Times New Roman" w:eastAsia="Times New Roman" w:hAnsi="Times New Roman" w:cs="Times New Roman"/>
                <w:color w:val="000000"/>
                <w:spacing w:val="0"/>
                <w:w w:val="100"/>
                <w:position w:val="0"/>
              </w:rPr>
              <w:t>442,983</w:t>
            </w:r>
            <w:r>
              <w:rPr>
                <w:color w:val="000000"/>
                <w:spacing w:val="0"/>
                <w:w w:val="100"/>
                <w:position w:val="0"/>
              </w:rPr>
              <w:t>千元，弥补 以前年度亏损后提取法定盈余公积金</w:t>
            </w:r>
            <w:r>
              <w:rPr>
                <w:rFonts w:ascii="Times New Roman" w:eastAsia="Times New Roman" w:hAnsi="Times New Roman" w:cs="Times New Roman"/>
                <w:color w:val="000000"/>
                <w:spacing w:val="0"/>
                <w:w w:val="100"/>
                <w:position w:val="0"/>
              </w:rPr>
              <w:t>126,184</w:t>
            </w:r>
            <w:r>
              <w:rPr>
                <w:color w:val="000000"/>
                <w:spacing w:val="0"/>
                <w:w w:val="100"/>
                <w:position w:val="0"/>
              </w:rPr>
              <w:t>千元，加年初未分配利润</w:t>
            </w:r>
            <w:r>
              <w:rPr>
                <w:rFonts w:ascii="Times New Roman" w:eastAsia="Times New Roman" w:hAnsi="Times New Roman" w:cs="Times New Roman"/>
                <w:color w:val="000000"/>
                <w:spacing w:val="0"/>
                <w:w w:val="100"/>
                <w:position w:val="0"/>
              </w:rPr>
              <w:t>5,929,407</w:t>
            </w:r>
            <w:r>
              <w:rPr>
                <w:color w:val="000000"/>
                <w:spacing w:val="0"/>
                <w:w w:val="100"/>
                <w:position w:val="0"/>
              </w:rPr>
              <w:t>千元，报告期末公 司未分配利润为</w:t>
            </w:r>
            <w:r>
              <w:rPr>
                <w:rFonts w:ascii="Times New Roman" w:eastAsia="Times New Roman" w:hAnsi="Times New Roman" w:cs="Times New Roman"/>
                <w:color w:val="000000"/>
                <w:spacing w:val="0"/>
                <w:w w:val="100"/>
                <w:position w:val="0"/>
              </w:rPr>
              <w:t>6,825,896</w:t>
            </w:r>
            <w:r>
              <w:rPr>
                <w:color w:val="000000"/>
                <w:spacing w:val="0"/>
                <w:w w:val="100"/>
                <w:position w:val="0"/>
              </w:rPr>
              <w:t>千元。</w:t>
            </w:r>
          </w:p>
          <w:p>
            <w:pPr>
              <w:pStyle w:val="Style28"/>
              <w:keepNext w:val="0"/>
              <w:keepLines w:val="0"/>
              <w:widowControl w:val="0"/>
              <w:shd w:val="clear" w:color="auto" w:fill="auto"/>
              <w:bidi w:val="0"/>
              <w:spacing w:before="0" w:after="0" w:line="286" w:lineRule="exact"/>
              <w:ind w:left="0" w:right="0" w:firstLine="0"/>
              <w:jc w:val="left"/>
            </w:pPr>
            <w:r>
              <w:rPr>
                <w:color w:val="000000"/>
                <w:spacing w:val="0"/>
                <w:w w:val="100"/>
                <w:position w:val="0"/>
              </w:rPr>
              <w:t>随着公司互联网零售转型成效的显现，报告期内各项业务取得较好发展，主营业务盈利能力提升， 公司的战略转型也得到投资者的支持。为此，公司董事会决议以</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 xml:space="preserve">日的总股本 </w:t>
            </w:r>
            <w:r>
              <w:rPr>
                <w:rFonts w:ascii="Times New Roman" w:eastAsia="Times New Roman" w:hAnsi="Times New Roman" w:cs="Times New Roman"/>
                <w:color w:val="000000"/>
                <w:spacing w:val="0"/>
                <w:w w:val="100"/>
                <w:position w:val="0"/>
              </w:rPr>
              <w:t>9,310,039,655</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0.70</w:t>
            </w:r>
            <w:r>
              <w:rPr>
                <w:color w:val="000000"/>
                <w:spacing w:val="0"/>
                <w:w w:val="100"/>
                <w:position w:val="0"/>
              </w:rPr>
              <w:t>元（含税）</w:t>
            </w:r>
            <w:r>
              <w:rPr>
                <w:i/>
                <w:iCs/>
                <w:color w:val="000000"/>
                <w:spacing w:val="0"/>
                <w:w w:val="100"/>
                <w:position w:val="0"/>
              </w:rPr>
              <w:t>，</w:t>
            </w:r>
            <w:r>
              <w:rPr>
                <w:color w:val="000000"/>
                <w:spacing w:val="0"/>
                <w:w w:val="100"/>
                <w:position w:val="0"/>
              </w:rPr>
              <w:t>不送红股，不以公积 金转增股本。</w:t>
            </w:r>
          </w:p>
        </w:tc>
      </w:tr>
    </w:tbl>
    <w:p>
      <w:pPr>
        <w:pStyle w:val="Style25"/>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三、承诺事项履行情况</w:t>
      </w:r>
    </w:p>
    <w:p>
      <w:pPr>
        <w:widowControl w:val="0"/>
        <w:spacing w:after="259" w:line="1" w:lineRule="exact"/>
      </w:pPr>
    </w:p>
    <w:p>
      <w:pPr>
        <w:pStyle w:val="Style32"/>
        <w:keepNext w:val="0"/>
        <w:keepLines w:val="0"/>
        <w:widowControl w:val="0"/>
        <w:shd w:val="clear" w:color="auto" w:fill="auto"/>
        <w:bidi w:val="0"/>
        <w:spacing w:before="0" w:after="320" w:line="317" w:lineRule="exact"/>
        <w:ind w:left="0" w:right="0" w:firstLine="0"/>
        <w:jc w:val="left"/>
      </w:pPr>
      <w:bookmarkStart w:id="241" w:name="bookmark241"/>
      <w:r>
        <w:rPr>
          <w:rFonts w:ascii="Times New Roman" w:eastAsia="Times New Roman" w:hAnsi="Times New Roman" w:cs="Times New Roman"/>
          <w:b/>
          <w:bCs/>
          <w:color w:val="000000"/>
          <w:spacing w:val="0"/>
          <w:w w:val="100"/>
          <w:position w:val="0"/>
        </w:rPr>
        <w:t>1</w:t>
      </w:r>
      <w:bookmarkEnd w:id="241"/>
      <w:r>
        <w:rPr>
          <w:b/>
          <w:bCs/>
          <w:color w:val="000000"/>
          <w:spacing w:val="0"/>
          <w:w w:val="100"/>
          <w:position w:val="0"/>
        </w:rPr>
        <w:t>、公司实际控制人、股东、关联方、收购人以及公司等承诺相关方在报告期内履行完毕及截至报告 期末尚未履行完毕的承诺事项</w:t>
      </w:r>
    </w:p>
    <w:tbl>
      <w:tblPr>
        <w:tblOverlap w:val="never"/>
        <w:jc w:val="center"/>
        <w:tblLayout w:type="fixed"/>
      </w:tblPr>
      <w:tblGrid>
        <w:gridCol w:w="1752"/>
        <w:gridCol w:w="1277"/>
        <w:gridCol w:w="926"/>
        <w:gridCol w:w="2789"/>
        <w:gridCol w:w="874"/>
        <w:gridCol w:w="1046"/>
        <w:gridCol w:w="1046"/>
      </w:tblGrid>
      <w:tr>
        <w:trPr>
          <w:trHeight w:val="278"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承诺事由</w:t>
            </w:r>
          </w:p>
        </w:tc>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承诺方</w:t>
            </w:r>
          </w:p>
        </w:tc>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承诺类型</w:t>
            </w:r>
          </w:p>
        </w:tc>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承诺内容</w:t>
            </w:r>
          </w:p>
        </w:tc>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承诺时间</w:t>
            </w:r>
          </w:p>
        </w:tc>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承诺期限</w:t>
            </w:r>
          </w:p>
        </w:tc>
        <w:tc>
          <w:tcPr>
            <w:tcBorders>
              <w:top w:val="single" w:sz="4"/>
              <w:left w:val="single" w:sz="4"/>
              <w:righ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履行情况</w:t>
            </w:r>
          </w:p>
        </w:tc>
      </w:tr>
      <w:tr>
        <w:trPr>
          <w:trHeight w:val="1829" w:hRule="exact"/>
        </w:trPr>
        <w:tc>
          <w:tcPr>
            <w:tcBorders>
              <w:top w:val="single" w:sz="4"/>
              <w:left w:val="single" w:sz="4"/>
              <w:bottom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股改承诺</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公司原非流通 股东</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59" w:lineRule="exact"/>
              <w:ind w:left="0" w:right="0" w:firstLine="0"/>
              <w:jc w:val="left"/>
              <w:rPr>
                <w:sz w:val="20"/>
                <w:szCs w:val="20"/>
              </w:rPr>
            </w:pPr>
            <w:r>
              <w:rPr>
                <w:color w:val="000000"/>
                <w:spacing w:val="0"/>
                <w:w w:val="100"/>
                <w:position w:val="0"/>
                <w:sz w:val="20"/>
                <w:szCs w:val="20"/>
              </w:rPr>
              <w:t>股份减持 承诺</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59" w:lineRule="exact"/>
              <w:ind w:left="0" w:right="0" w:firstLine="0"/>
              <w:jc w:val="both"/>
              <w:rPr>
                <w:sz w:val="20"/>
                <w:szCs w:val="20"/>
              </w:rPr>
            </w:pPr>
            <w:r>
              <w:rPr>
                <w:color w:val="000000"/>
                <w:spacing w:val="0"/>
                <w:w w:val="100"/>
                <w:position w:val="0"/>
                <w:sz w:val="20"/>
                <w:szCs w:val="20"/>
              </w:rPr>
              <w:t>股权分置改革中公司原非流通 股股东持续到报告期内的承诺 为：通过证券交易所挂牌交易 出售的股份数量，达到公司股 份总数百分之一的，自该事实 发生之日起两个工作日内做出 公告。</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59" w:lineRule="exact"/>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2005 </w:t>
            </w:r>
            <w:r>
              <w:rPr>
                <w:color w:val="000000"/>
                <w:spacing w:val="0"/>
                <w:w w:val="100"/>
                <w:position w:val="0"/>
                <w:sz w:val="20"/>
                <w:szCs w:val="20"/>
              </w:rPr>
              <w:t xml:space="preserve">年 </w:t>
            </w:r>
            <w:r>
              <w:rPr>
                <w:rFonts w:ascii="Times New Roman" w:eastAsia="Times New Roman" w:hAnsi="Times New Roman" w:cs="Times New Roman"/>
                <w:color w:val="000000"/>
                <w:spacing w:val="0"/>
                <w:w w:val="100"/>
                <w:position w:val="0"/>
                <w:sz w:val="20"/>
                <w:szCs w:val="20"/>
              </w:rPr>
              <w:t xml:space="preserve">6 </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17</w:t>
            </w:r>
            <w:r>
              <w:rPr>
                <w:color w:val="000000"/>
                <w:spacing w:val="0"/>
                <w:w w:val="100"/>
                <w:position w:val="0"/>
                <w:sz w:val="20"/>
                <w:szCs w:val="20"/>
              </w:rPr>
              <w:t>日</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无期限</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62" w:lineRule="exact"/>
              <w:ind w:left="0" w:right="0" w:firstLine="0"/>
              <w:jc w:val="left"/>
              <w:rPr>
                <w:sz w:val="20"/>
                <w:szCs w:val="20"/>
              </w:rPr>
            </w:pPr>
            <w:r>
              <w:rPr>
                <w:color w:val="000000"/>
                <w:spacing w:val="0"/>
                <w:w w:val="100"/>
                <w:position w:val="0"/>
                <w:sz w:val="20"/>
                <w:szCs w:val="20"/>
              </w:rPr>
              <w:t>报告期 内，公司 原非流通 股股东均 履行承 诺。</w:t>
            </w:r>
          </w:p>
        </w:tc>
      </w:tr>
    </w:tbl>
    <w:p>
      <w:pPr>
        <w:spacing w:lineRule="exact" w:line="1"/>
        <w:rPr>
          <w:sz w:val="2"/>
          <w:szCs w:val="2"/>
        </w:rPr>
      </w:pPr>
      <w:r>
        <w:br w:type="page"/>
      </w:r>
    </w:p>
    <w:tbl>
      <w:tblPr>
        <w:tblOverlap w:val="never"/>
        <w:jc w:val="center"/>
        <w:tblLayout w:type="fixed"/>
      </w:tblPr>
      <w:tblGrid>
        <w:gridCol w:w="1752"/>
        <w:gridCol w:w="1277"/>
        <w:gridCol w:w="926"/>
        <w:gridCol w:w="2789"/>
        <w:gridCol w:w="874"/>
        <w:gridCol w:w="1046"/>
        <w:gridCol w:w="1042"/>
      </w:tblGrid>
      <w:tr>
        <w:trPr>
          <w:trHeight w:val="274"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承诺事由</w:t>
            </w:r>
          </w:p>
        </w:tc>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承诺方</w:t>
            </w:r>
          </w:p>
        </w:tc>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承诺类型</w:t>
            </w:r>
          </w:p>
        </w:tc>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承诺内容</w:t>
            </w:r>
          </w:p>
        </w:tc>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承诺时间</w:t>
            </w:r>
          </w:p>
        </w:tc>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承诺期限</w:t>
            </w:r>
          </w:p>
        </w:tc>
        <w:tc>
          <w:tcPr>
            <w:tcBorders>
              <w:top w:val="single" w:sz="4"/>
              <w:left w:val="single" w:sz="4"/>
              <w:righ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履行情况</w:t>
            </w:r>
          </w:p>
        </w:tc>
      </w:tr>
      <w:tr>
        <w:trPr>
          <w:trHeight w:val="787" w:hRule="exact"/>
        </w:trPr>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59" w:lineRule="exact"/>
              <w:ind w:left="0" w:right="0" w:firstLine="0"/>
              <w:jc w:val="left"/>
              <w:rPr>
                <w:sz w:val="20"/>
                <w:szCs w:val="20"/>
              </w:rPr>
            </w:pPr>
            <w:r>
              <w:rPr>
                <w:color w:val="000000"/>
                <w:spacing w:val="0"/>
                <w:w w:val="100"/>
                <w:position w:val="0"/>
                <w:sz w:val="20"/>
                <w:szCs w:val="20"/>
              </w:rPr>
              <w:t>收购报告书或权益 变动报告书中所作 承诺</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r>
      <w:tr>
        <w:trPr>
          <w:trHeight w:val="528" w:hRule="exact"/>
        </w:trPr>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资产重组时所作承 诺</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r>
      <w:tr>
        <w:trPr>
          <w:trHeight w:val="2606" w:hRule="exact"/>
        </w:trPr>
        <w:tc>
          <w:tcPr>
            <w:vMerge w:val="restart"/>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59" w:lineRule="exact"/>
              <w:ind w:left="0" w:right="0" w:firstLine="0"/>
              <w:jc w:val="left"/>
              <w:rPr>
                <w:sz w:val="20"/>
                <w:szCs w:val="20"/>
              </w:rPr>
            </w:pPr>
            <w:r>
              <w:rPr>
                <w:color w:val="000000"/>
                <w:spacing w:val="0"/>
                <w:w w:val="100"/>
                <w:position w:val="0"/>
                <w:sz w:val="20"/>
                <w:szCs w:val="20"/>
              </w:rPr>
              <w:t>首次公开发行或再 融资时所作承诺</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57" w:lineRule="exact"/>
              <w:ind w:left="0" w:right="0" w:firstLine="0"/>
              <w:jc w:val="both"/>
              <w:rPr>
                <w:sz w:val="20"/>
                <w:szCs w:val="20"/>
              </w:rPr>
            </w:pPr>
            <w:r>
              <w:rPr>
                <w:color w:val="000000"/>
                <w:spacing w:val="0"/>
                <w:w w:val="100"/>
                <w:position w:val="0"/>
                <w:sz w:val="20"/>
                <w:szCs w:val="20"/>
              </w:rPr>
              <w:t>公司股东张近 东先生、苏宁 电器集团有限 公司、陈金凤 女士、赵蓓女 士</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5" w:lineRule="exact"/>
              <w:ind w:left="0" w:right="0" w:firstLine="0"/>
              <w:jc w:val="both"/>
              <w:rPr>
                <w:sz w:val="20"/>
                <w:szCs w:val="20"/>
              </w:rPr>
            </w:pPr>
            <w:r>
              <w:rPr>
                <w:color w:val="000000"/>
                <w:spacing w:val="0"/>
                <w:w w:val="100"/>
                <w:position w:val="0"/>
                <w:sz w:val="20"/>
                <w:szCs w:val="20"/>
              </w:rPr>
              <w:t>同业竞争 承诺</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60" w:lineRule="exact"/>
              <w:ind w:left="0" w:right="0" w:firstLine="0"/>
              <w:jc w:val="both"/>
              <w:rPr>
                <w:sz w:val="20"/>
                <w:szCs w:val="20"/>
              </w:rPr>
            </w:pPr>
            <w:r>
              <w:rPr>
                <w:color w:val="000000"/>
                <w:spacing w:val="0"/>
                <w:w w:val="100"/>
                <w:position w:val="0"/>
                <w:sz w:val="20"/>
                <w:szCs w:val="20"/>
              </w:rPr>
              <w:t>为避免同业竞争损害本公司及 其他股东的利益，公司股东张 近东先生、苏宁电器集团有限 公司、陈金凤女士、赵蓓女士 已于</w:t>
            </w:r>
            <w:r>
              <w:rPr>
                <w:rFonts w:ascii="Times New Roman" w:eastAsia="Times New Roman" w:hAnsi="Times New Roman" w:cs="Times New Roman"/>
                <w:color w:val="000000"/>
                <w:spacing w:val="0"/>
                <w:w w:val="100"/>
                <w:position w:val="0"/>
                <w:sz w:val="20"/>
                <w:szCs w:val="20"/>
              </w:rPr>
              <w:t>2002</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15</w:t>
            </w:r>
            <w:r>
              <w:rPr>
                <w:color w:val="000000"/>
                <w:spacing w:val="0"/>
                <w:w w:val="100"/>
                <w:position w:val="0"/>
                <w:sz w:val="20"/>
                <w:szCs w:val="20"/>
              </w:rPr>
              <w:t>日分别向 公司出具《不竞争承诺函》； 苏宁电器集团有限公司</w:t>
            </w:r>
            <w:r>
              <w:rPr>
                <w:rFonts w:ascii="Times New Roman" w:eastAsia="Times New Roman" w:hAnsi="Times New Roman" w:cs="Times New Roman"/>
                <w:color w:val="000000"/>
                <w:spacing w:val="0"/>
                <w:w w:val="100"/>
                <w:position w:val="0"/>
                <w:sz w:val="20"/>
                <w:szCs w:val="20"/>
              </w:rPr>
              <w:t>2003</w:t>
            </w:r>
            <w:r>
              <w:rPr>
                <w:color w:val="000000"/>
                <w:spacing w:val="0"/>
                <w:w w:val="100"/>
                <w:position w:val="0"/>
                <w:sz w:val="20"/>
                <w:szCs w:val="20"/>
              </w:rPr>
              <w:t xml:space="preserve">年 </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日出具承诺函，保证今 后避免发生除正常业务外的一 切资金往来。</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2002 </w:t>
            </w:r>
            <w:r>
              <w:rPr>
                <w:color w:val="000000"/>
                <w:spacing w:val="0"/>
                <w:w w:val="100"/>
                <w:position w:val="0"/>
                <w:sz w:val="20"/>
                <w:szCs w:val="20"/>
              </w:rPr>
              <w:t>年</w:t>
            </w:r>
          </w:p>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11 </w:t>
            </w:r>
            <w:r>
              <w:rPr>
                <w:color w:val="000000"/>
                <w:spacing w:val="0"/>
                <w:w w:val="100"/>
                <w:position w:val="0"/>
                <w:sz w:val="20"/>
                <w:szCs w:val="20"/>
              </w:rPr>
              <w:t xml:space="preserve">月 </w:t>
            </w:r>
            <w:r>
              <w:rPr>
                <w:rFonts w:ascii="Times New Roman" w:eastAsia="Times New Roman" w:hAnsi="Times New Roman" w:cs="Times New Roman"/>
                <w:color w:val="000000"/>
                <w:spacing w:val="0"/>
                <w:w w:val="100"/>
                <w:position w:val="0"/>
                <w:sz w:val="20"/>
                <w:szCs w:val="20"/>
              </w:rPr>
              <w:t>15</w:t>
            </w:r>
          </w:p>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日</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无期限</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61" w:lineRule="exact"/>
              <w:ind w:left="0" w:right="0" w:firstLine="0"/>
              <w:jc w:val="left"/>
              <w:rPr>
                <w:sz w:val="20"/>
                <w:szCs w:val="20"/>
              </w:rPr>
            </w:pPr>
            <w:r>
              <w:rPr>
                <w:color w:val="000000"/>
                <w:spacing w:val="0"/>
                <w:w w:val="100"/>
                <w:position w:val="0"/>
                <w:sz w:val="20"/>
                <w:szCs w:val="20"/>
              </w:rPr>
              <w:t>报告期 内，张近 东先生、 苏宁电器 集团有限 公司、陈 金凤女 士、赵蓓 女士均履 行承诺。</w:t>
            </w:r>
          </w:p>
        </w:tc>
      </w:tr>
      <w:tr>
        <w:trPr>
          <w:trHeight w:val="1565"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64" w:lineRule="exact"/>
              <w:ind w:left="0" w:right="0" w:firstLine="0"/>
              <w:jc w:val="both"/>
              <w:rPr>
                <w:sz w:val="20"/>
                <w:szCs w:val="20"/>
              </w:rPr>
            </w:pPr>
            <w:r>
              <w:rPr>
                <w:color w:val="000000"/>
                <w:spacing w:val="0"/>
                <w:w w:val="100"/>
                <w:position w:val="0"/>
                <w:sz w:val="20"/>
                <w:szCs w:val="20"/>
              </w:rPr>
              <w:t>淘宝（中国） 软件有限公司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exact"/>
              <w:ind w:left="0" w:right="0" w:firstLine="0"/>
              <w:jc w:val="both"/>
              <w:rPr>
                <w:sz w:val="20"/>
                <w:szCs w:val="20"/>
              </w:rPr>
            </w:pPr>
            <w:r>
              <w:rPr>
                <w:color w:val="000000"/>
                <w:spacing w:val="0"/>
                <w:w w:val="100"/>
                <w:position w:val="0"/>
                <w:sz w:val="20"/>
                <w:szCs w:val="20"/>
              </w:rPr>
              <w:t>股份锁定 承诺</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认购公司非公开发行股份，本 次认购股份锁定期自股份上市 首日</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日起满</w:t>
            </w:r>
            <w:r>
              <w:rPr>
                <w:rFonts w:ascii="Times New Roman" w:eastAsia="Times New Roman" w:hAnsi="Times New Roman" w:cs="Times New Roman"/>
                <w:color w:val="000000"/>
                <w:spacing w:val="0"/>
                <w:w w:val="100"/>
                <w:position w:val="0"/>
                <w:sz w:val="20"/>
                <w:szCs w:val="20"/>
              </w:rPr>
              <w:t xml:space="preserve">36 </w:t>
            </w:r>
            <w:r>
              <w:rPr>
                <w:color w:val="000000"/>
                <w:spacing w:val="0"/>
                <w:w w:val="100"/>
                <w:position w:val="0"/>
                <w:sz w:val="20"/>
                <w:szCs w:val="20"/>
              </w:rPr>
              <w:t>个月。</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2016 </w:t>
            </w:r>
            <w:r>
              <w:rPr>
                <w:color w:val="000000"/>
                <w:spacing w:val="0"/>
                <w:w w:val="100"/>
                <w:position w:val="0"/>
                <w:sz w:val="20"/>
                <w:szCs w:val="20"/>
              </w:rPr>
              <w:t xml:space="preserve">年 </w:t>
            </w:r>
            <w:r>
              <w:rPr>
                <w:rFonts w:ascii="Times New Roman" w:eastAsia="Times New Roman" w:hAnsi="Times New Roman" w:cs="Times New Roman"/>
                <w:color w:val="000000"/>
                <w:spacing w:val="0"/>
                <w:w w:val="100"/>
                <w:position w:val="0"/>
                <w:sz w:val="20"/>
                <w:szCs w:val="20"/>
              </w:rPr>
              <w:t>6</w:t>
            </w:r>
          </w:p>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日</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59" w:lineRule="exact"/>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2016 </w:t>
            </w:r>
            <w:r>
              <w:rPr>
                <w:color w:val="000000"/>
                <w:spacing w:val="0"/>
                <w:w w:val="100"/>
                <w:position w:val="0"/>
                <w:sz w:val="20"/>
                <w:szCs w:val="20"/>
              </w:rPr>
              <w:t xml:space="preserve">年 </w:t>
            </w:r>
            <w:r>
              <w:rPr>
                <w:rFonts w:ascii="Times New Roman" w:eastAsia="Times New Roman" w:hAnsi="Times New Roman" w:cs="Times New Roman"/>
                <w:color w:val="000000"/>
                <w:spacing w:val="0"/>
                <w:w w:val="100"/>
                <w:position w:val="0"/>
                <w:sz w:val="20"/>
                <w:szCs w:val="20"/>
              </w:rPr>
              <w:t xml:space="preserve">6 </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日至</w:t>
            </w:r>
          </w:p>
          <w:p>
            <w:pPr>
              <w:pStyle w:val="Style28"/>
              <w:keepNext w:val="0"/>
              <w:keepLines w:val="0"/>
              <w:widowControl w:val="0"/>
              <w:shd w:val="clear" w:color="auto" w:fill="auto"/>
              <w:bidi w:val="0"/>
              <w:spacing w:before="0" w:after="0" w:line="259" w:lineRule="exact"/>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2019 </w:t>
            </w:r>
            <w:r>
              <w:rPr>
                <w:color w:val="000000"/>
                <w:spacing w:val="0"/>
                <w:w w:val="100"/>
                <w:position w:val="0"/>
                <w:sz w:val="20"/>
                <w:szCs w:val="20"/>
              </w:rPr>
              <w:t xml:space="preserve">年 </w:t>
            </w:r>
            <w:r>
              <w:rPr>
                <w:rFonts w:ascii="Times New Roman" w:eastAsia="Times New Roman" w:hAnsi="Times New Roman" w:cs="Times New Roman"/>
                <w:color w:val="000000"/>
                <w:spacing w:val="0"/>
                <w:w w:val="100"/>
                <w:position w:val="0"/>
                <w:sz w:val="20"/>
                <w:szCs w:val="20"/>
              </w:rPr>
              <w:t>6</w:t>
            </w:r>
          </w:p>
          <w:p>
            <w:pPr>
              <w:pStyle w:val="Style28"/>
              <w:keepNext w:val="0"/>
              <w:keepLines w:val="0"/>
              <w:widowControl w:val="0"/>
              <w:shd w:val="clear" w:color="auto" w:fill="auto"/>
              <w:bidi w:val="0"/>
              <w:spacing w:before="0" w:after="0" w:line="259" w:lineRule="exact"/>
              <w:ind w:left="0" w:right="0" w:firstLine="0"/>
              <w:jc w:val="left"/>
              <w:rPr>
                <w:sz w:val="20"/>
                <w:szCs w:val="20"/>
              </w:rPr>
            </w:pP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日</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57" w:lineRule="exact"/>
              <w:ind w:left="0" w:right="0" w:firstLine="0"/>
              <w:jc w:val="left"/>
              <w:rPr>
                <w:sz w:val="20"/>
                <w:szCs w:val="20"/>
              </w:rPr>
            </w:pPr>
            <w:r>
              <w:rPr>
                <w:color w:val="000000"/>
                <w:spacing w:val="0"/>
                <w:w w:val="100"/>
                <w:position w:val="0"/>
                <w:sz w:val="20"/>
                <w:szCs w:val="20"/>
              </w:rPr>
              <w:t>报告期 内，淘宝</w:t>
            </w:r>
          </w:p>
          <w:p>
            <w:pPr>
              <w:pStyle w:val="Style28"/>
              <w:keepNext w:val="0"/>
              <w:keepLines w:val="0"/>
              <w:widowControl w:val="0"/>
              <w:shd w:val="clear" w:color="auto" w:fill="auto"/>
              <w:bidi w:val="0"/>
              <w:spacing w:before="0" w:after="0" w:line="257" w:lineRule="exact"/>
              <w:ind w:left="0" w:right="0" w:firstLine="0"/>
              <w:jc w:val="left"/>
              <w:rPr>
                <w:sz w:val="20"/>
                <w:szCs w:val="20"/>
              </w:rPr>
            </w:pPr>
            <w:r>
              <w:rPr>
                <w:color w:val="000000"/>
                <w:spacing w:val="0"/>
                <w:w w:val="100"/>
                <w:position w:val="0"/>
                <w:sz w:val="20"/>
                <w:szCs w:val="20"/>
              </w:rPr>
              <w:t>（中国） 软件有限 公司履行 承诺。</w:t>
            </w:r>
          </w:p>
        </w:tc>
      </w:tr>
      <w:tr>
        <w:trPr>
          <w:trHeight w:val="2347"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66" w:lineRule="exact"/>
              <w:ind w:left="0" w:right="0" w:firstLine="0"/>
              <w:jc w:val="both"/>
              <w:rPr>
                <w:sz w:val="20"/>
                <w:szCs w:val="20"/>
              </w:rPr>
            </w:pPr>
            <w:r>
              <w:rPr>
                <w:color w:val="000000"/>
                <w:spacing w:val="0"/>
                <w:w w:val="100"/>
                <w:position w:val="0"/>
                <w:sz w:val="20"/>
                <w:szCs w:val="20"/>
              </w:rPr>
              <w:t>苏宁云商集团 股份有限公司 一第二期员工 持股计划</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59" w:lineRule="exact"/>
              <w:ind w:left="0" w:right="0" w:firstLine="0"/>
              <w:jc w:val="both"/>
              <w:rPr>
                <w:sz w:val="20"/>
                <w:szCs w:val="20"/>
              </w:rPr>
            </w:pPr>
            <w:r>
              <w:rPr>
                <w:color w:val="000000"/>
                <w:spacing w:val="0"/>
                <w:w w:val="100"/>
                <w:position w:val="0"/>
                <w:sz w:val="20"/>
                <w:szCs w:val="20"/>
              </w:rPr>
              <w:t>股份锁定 承诺</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66" w:lineRule="exact"/>
              <w:ind w:left="0" w:right="0" w:firstLine="0"/>
              <w:jc w:val="both"/>
              <w:rPr>
                <w:sz w:val="20"/>
                <w:szCs w:val="20"/>
              </w:rPr>
            </w:pPr>
            <w:r>
              <w:rPr>
                <w:color w:val="000000"/>
                <w:spacing w:val="0"/>
                <w:w w:val="100"/>
                <w:position w:val="0"/>
                <w:sz w:val="20"/>
                <w:szCs w:val="20"/>
              </w:rPr>
              <w:t>认购公司非公开发行股份，本 次认购股份锁定期自股份上市 首日</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日起满</w:t>
            </w:r>
            <w:r>
              <w:rPr>
                <w:rFonts w:ascii="Times New Roman" w:eastAsia="Times New Roman" w:hAnsi="Times New Roman" w:cs="Times New Roman"/>
                <w:color w:val="000000"/>
                <w:spacing w:val="0"/>
                <w:w w:val="100"/>
                <w:position w:val="0"/>
                <w:sz w:val="20"/>
                <w:szCs w:val="20"/>
              </w:rPr>
              <w:t xml:space="preserve">36 </w:t>
            </w:r>
            <w:r>
              <w:rPr>
                <w:color w:val="000000"/>
                <w:spacing w:val="0"/>
                <w:w w:val="100"/>
                <w:position w:val="0"/>
                <w:sz w:val="20"/>
                <w:szCs w:val="20"/>
              </w:rPr>
              <w:t>个月。</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2016 </w:t>
            </w:r>
            <w:r>
              <w:rPr>
                <w:color w:val="000000"/>
                <w:spacing w:val="0"/>
                <w:w w:val="100"/>
                <w:position w:val="0"/>
                <w:sz w:val="20"/>
                <w:szCs w:val="20"/>
              </w:rPr>
              <w:t xml:space="preserve">年 </w:t>
            </w:r>
            <w:r>
              <w:rPr>
                <w:rFonts w:ascii="Times New Roman" w:eastAsia="Times New Roman" w:hAnsi="Times New Roman" w:cs="Times New Roman"/>
                <w:color w:val="000000"/>
                <w:spacing w:val="0"/>
                <w:w w:val="100"/>
                <w:position w:val="0"/>
                <w:sz w:val="20"/>
                <w:szCs w:val="20"/>
              </w:rPr>
              <w:t>6</w:t>
            </w:r>
          </w:p>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日</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59" w:lineRule="exact"/>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2016 </w:t>
            </w:r>
            <w:r>
              <w:rPr>
                <w:color w:val="000000"/>
                <w:spacing w:val="0"/>
                <w:w w:val="100"/>
                <w:position w:val="0"/>
                <w:sz w:val="20"/>
                <w:szCs w:val="20"/>
              </w:rPr>
              <w:t xml:space="preserve">年 </w:t>
            </w:r>
            <w:r>
              <w:rPr>
                <w:rFonts w:ascii="Times New Roman" w:eastAsia="Times New Roman" w:hAnsi="Times New Roman" w:cs="Times New Roman"/>
                <w:color w:val="000000"/>
                <w:spacing w:val="0"/>
                <w:w w:val="100"/>
                <w:position w:val="0"/>
                <w:sz w:val="20"/>
                <w:szCs w:val="20"/>
              </w:rPr>
              <w:t xml:space="preserve">6 </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日至</w:t>
            </w:r>
          </w:p>
          <w:p>
            <w:pPr>
              <w:pStyle w:val="Style28"/>
              <w:keepNext w:val="0"/>
              <w:keepLines w:val="0"/>
              <w:widowControl w:val="0"/>
              <w:shd w:val="clear" w:color="auto" w:fill="auto"/>
              <w:bidi w:val="0"/>
              <w:spacing w:before="0" w:after="0" w:line="259" w:lineRule="exact"/>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2019 </w:t>
            </w:r>
            <w:r>
              <w:rPr>
                <w:color w:val="000000"/>
                <w:spacing w:val="0"/>
                <w:w w:val="100"/>
                <w:position w:val="0"/>
                <w:sz w:val="20"/>
                <w:szCs w:val="20"/>
              </w:rPr>
              <w:t xml:space="preserve">年 </w:t>
            </w:r>
            <w:r>
              <w:rPr>
                <w:rFonts w:ascii="Times New Roman" w:eastAsia="Times New Roman" w:hAnsi="Times New Roman" w:cs="Times New Roman"/>
                <w:color w:val="000000"/>
                <w:spacing w:val="0"/>
                <w:w w:val="100"/>
                <w:position w:val="0"/>
                <w:sz w:val="20"/>
                <w:szCs w:val="20"/>
              </w:rPr>
              <w:t>6</w:t>
            </w:r>
          </w:p>
          <w:p>
            <w:pPr>
              <w:pStyle w:val="Style28"/>
              <w:keepNext w:val="0"/>
              <w:keepLines w:val="0"/>
              <w:widowControl w:val="0"/>
              <w:shd w:val="clear" w:color="auto" w:fill="auto"/>
              <w:bidi w:val="0"/>
              <w:spacing w:before="0" w:after="0" w:line="259" w:lineRule="exact"/>
              <w:ind w:left="0" w:right="0" w:firstLine="0"/>
              <w:jc w:val="left"/>
              <w:rPr>
                <w:sz w:val="20"/>
                <w:szCs w:val="20"/>
              </w:rPr>
            </w:pP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日</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62" w:lineRule="exact"/>
              <w:ind w:left="0" w:right="0" w:firstLine="0"/>
              <w:jc w:val="left"/>
              <w:rPr>
                <w:sz w:val="20"/>
                <w:szCs w:val="20"/>
              </w:rPr>
            </w:pPr>
            <w:r>
              <w:rPr>
                <w:color w:val="000000"/>
                <w:spacing w:val="0"/>
                <w:w w:val="100"/>
                <w:position w:val="0"/>
                <w:sz w:val="20"/>
                <w:szCs w:val="20"/>
              </w:rPr>
              <w:t>报告期 内，苏宁 云商集团 股份有限 公司一第 二期员工 持股计划 履行承 诺。</w:t>
            </w:r>
          </w:p>
        </w:tc>
      </w:tr>
      <w:tr>
        <w:trPr>
          <w:trHeight w:val="269" w:hRule="exact"/>
        </w:trPr>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股权激励承诺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r>
      <w:tr>
        <w:trPr>
          <w:trHeight w:val="3638" w:hRule="exact"/>
        </w:trPr>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59" w:lineRule="exact"/>
              <w:ind w:left="0" w:right="0" w:firstLine="0"/>
              <w:jc w:val="left"/>
              <w:rPr>
                <w:sz w:val="20"/>
                <w:szCs w:val="20"/>
              </w:rPr>
            </w:pPr>
            <w:r>
              <w:rPr>
                <w:color w:val="000000"/>
                <w:spacing w:val="0"/>
                <w:w w:val="100"/>
                <w:position w:val="0"/>
                <w:sz w:val="20"/>
                <w:szCs w:val="20"/>
              </w:rPr>
              <w:t>其他对公司中小股 东所作承诺</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61" w:lineRule="exact"/>
              <w:ind w:left="0" w:right="0" w:firstLine="0"/>
              <w:jc w:val="both"/>
              <w:rPr>
                <w:sz w:val="20"/>
                <w:szCs w:val="20"/>
              </w:rPr>
            </w:pPr>
            <w:r>
              <w:rPr>
                <w:color w:val="000000"/>
                <w:spacing w:val="0"/>
                <w:w w:val="100"/>
                <w:position w:val="0"/>
                <w:sz w:val="20"/>
                <w:szCs w:val="20"/>
              </w:rPr>
              <w:t>张近东先生及 其全资子公司 苏宁控股集团 有限公司（以 下简称</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苏宁 控股</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59" w:lineRule="exact"/>
              <w:ind w:left="0" w:right="0" w:firstLine="0"/>
              <w:jc w:val="both"/>
              <w:rPr>
                <w:sz w:val="20"/>
                <w:szCs w:val="20"/>
              </w:rPr>
            </w:pPr>
            <w:r>
              <w:rPr>
                <w:color w:val="000000"/>
                <w:spacing w:val="0"/>
                <w:w w:val="100"/>
                <w:position w:val="0"/>
                <w:sz w:val="20"/>
                <w:szCs w:val="20"/>
              </w:rPr>
              <w:t>股份锁定 承诺</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59" w:lineRule="exact"/>
              <w:ind w:left="0" w:right="0" w:firstLine="0"/>
              <w:jc w:val="both"/>
              <w:rPr>
                <w:sz w:val="20"/>
                <w:szCs w:val="20"/>
              </w:rPr>
            </w:pPr>
            <w:r>
              <w:rPr>
                <w:color w:val="000000"/>
                <w:spacing w:val="0"/>
                <w:w w:val="100"/>
                <w:position w:val="0"/>
                <w:sz w:val="20"/>
                <w:szCs w:val="20"/>
              </w:rPr>
              <w:t>公司控股股东、实际控制人张 近东先生积极参与</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中小企业板 首</w:t>
            </w:r>
            <w:r>
              <w:rPr>
                <w:rFonts w:ascii="Times New Roman" w:eastAsia="Times New Roman" w:hAnsi="Times New Roman" w:cs="Times New Roman"/>
                <w:color w:val="000000"/>
                <w:spacing w:val="0"/>
                <w:w w:val="100"/>
                <w:position w:val="0"/>
                <w:sz w:val="20"/>
                <w:szCs w:val="20"/>
              </w:rPr>
              <w:t>50</w:t>
            </w:r>
            <w:r>
              <w:rPr>
                <w:color w:val="000000"/>
                <w:spacing w:val="0"/>
                <w:w w:val="100"/>
                <w:position w:val="0"/>
                <w:sz w:val="20"/>
                <w:szCs w:val="20"/>
              </w:rPr>
              <w:t>家公司关于坚定发展信 心、维护市场稳定的倡议书</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 以实际行动表明其对于资本市 场、中小板以及企业长期发展 的强烈信心，并向公司递交了</w:t>
            </w:r>
          </w:p>
          <w:p>
            <w:pPr>
              <w:pStyle w:val="Style28"/>
              <w:keepNext w:val="0"/>
              <w:keepLines w:val="0"/>
              <w:widowControl w:val="0"/>
              <w:shd w:val="clear" w:color="auto" w:fill="auto"/>
              <w:bidi w:val="0"/>
              <w:spacing w:before="0" w:after="0" w:line="259" w:lineRule="exact"/>
              <w:ind w:left="0" w:right="0" w:firstLine="0"/>
              <w:jc w:val="both"/>
              <w:rPr>
                <w:sz w:val="20"/>
                <w:szCs w:val="20"/>
              </w:rPr>
            </w:pPr>
            <w:r>
              <w:rPr>
                <w:color w:val="000000"/>
                <w:spacing w:val="0"/>
                <w:w w:val="100"/>
                <w:position w:val="0"/>
                <w:sz w:val="20"/>
                <w:szCs w:val="20"/>
              </w:rPr>
              <w:t xml:space="preserve">《关于追加股份限售承诺的 函》。张近东先生承诺其及其 全资子公司苏宁控股集团有限 公司合计持有的公司 </w:t>
            </w:r>
            <w:r>
              <w:rPr>
                <w:rFonts w:ascii="Times New Roman" w:eastAsia="Times New Roman" w:hAnsi="Times New Roman" w:cs="Times New Roman"/>
                <w:color w:val="000000"/>
                <w:spacing w:val="0"/>
                <w:w w:val="100"/>
                <w:position w:val="0"/>
                <w:sz w:val="20"/>
                <w:szCs w:val="20"/>
              </w:rPr>
              <w:t xml:space="preserve">2,261,541,981 </w:t>
            </w:r>
            <w:r>
              <w:rPr>
                <w:color w:val="000000"/>
                <w:spacing w:val="0"/>
                <w:w w:val="100"/>
                <w:position w:val="0"/>
                <w:sz w:val="20"/>
                <w:szCs w:val="20"/>
              </w:rPr>
              <w:t xml:space="preserve">股股份自 </w:t>
            </w:r>
            <w:r>
              <w:rPr>
                <w:rFonts w:ascii="Times New Roman" w:eastAsia="Times New Roman" w:hAnsi="Times New Roman" w:cs="Times New Roman"/>
                <w:color w:val="000000"/>
                <w:spacing w:val="0"/>
                <w:w w:val="100"/>
                <w:position w:val="0"/>
                <w:sz w:val="20"/>
                <w:szCs w:val="20"/>
              </w:rPr>
              <w:t xml:space="preserve">2015 </w:t>
            </w:r>
            <w:r>
              <w:rPr>
                <w:color w:val="000000"/>
                <w:spacing w:val="0"/>
                <w:w w:val="100"/>
                <w:position w:val="0"/>
                <w:sz w:val="20"/>
                <w:szCs w:val="20"/>
              </w:rPr>
              <w:t xml:space="preserve">年 </w:t>
            </w:r>
            <w:r>
              <w:rPr>
                <w:rFonts w:ascii="Times New Roman" w:eastAsia="Times New Roman" w:hAnsi="Times New Roman" w:cs="Times New Roman"/>
                <w:color w:val="000000"/>
                <w:spacing w:val="0"/>
                <w:w w:val="100"/>
                <w:position w:val="0"/>
                <w:sz w:val="20"/>
                <w:szCs w:val="20"/>
              </w:rPr>
              <w:t>7</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日起三十六个月内不进 行转让。</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59" w:lineRule="exact"/>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2015 </w:t>
            </w:r>
            <w:r>
              <w:rPr>
                <w:color w:val="000000"/>
                <w:spacing w:val="0"/>
                <w:w w:val="100"/>
                <w:position w:val="0"/>
                <w:sz w:val="20"/>
                <w:szCs w:val="20"/>
              </w:rPr>
              <w:t xml:space="preserve">年 </w:t>
            </w:r>
            <w:r>
              <w:rPr>
                <w:rFonts w:ascii="Times New Roman" w:eastAsia="Times New Roman" w:hAnsi="Times New Roman" w:cs="Times New Roman"/>
                <w:color w:val="000000"/>
                <w:spacing w:val="0"/>
                <w:w w:val="100"/>
                <w:position w:val="0"/>
                <w:sz w:val="20"/>
                <w:szCs w:val="20"/>
              </w:rPr>
              <w:t xml:space="preserve">7 </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日</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59" w:lineRule="exact"/>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2015 </w:t>
            </w:r>
            <w:r>
              <w:rPr>
                <w:color w:val="000000"/>
                <w:spacing w:val="0"/>
                <w:w w:val="100"/>
                <w:position w:val="0"/>
                <w:sz w:val="20"/>
                <w:szCs w:val="20"/>
              </w:rPr>
              <w:t xml:space="preserve">年 </w:t>
            </w:r>
            <w:r>
              <w:rPr>
                <w:rFonts w:ascii="Times New Roman" w:eastAsia="Times New Roman" w:hAnsi="Times New Roman" w:cs="Times New Roman"/>
                <w:color w:val="000000"/>
                <w:spacing w:val="0"/>
                <w:w w:val="100"/>
                <w:position w:val="0"/>
                <w:sz w:val="20"/>
                <w:szCs w:val="20"/>
              </w:rPr>
              <w:t xml:space="preserve">7 </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日至</w:t>
            </w:r>
          </w:p>
          <w:p>
            <w:pPr>
              <w:pStyle w:val="Style28"/>
              <w:keepNext w:val="0"/>
              <w:keepLines w:val="0"/>
              <w:widowControl w:val="0"/>
              <w:shd w:val="clear" w:color="auto" w:fill="auto"/>
              <w:bidi w:val="0"/>
              <w:spacing w:before="0" w:after="0" w:line="259" w:lineRule="exact"/>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2018 </w:t>
            </w:r>
            <w:r>
              <w:rPr>
                <w:color w:val="000000"/>
                <w:spacing w:val="0"/>
                <w:w w:val="100"/>
                <w:position w:val="0"/>
                <w:sz w:val="20"/>
                <w:szCs w:val="20"/>
              </w:rPr>
              <w:t xml:space="preserve">年 </w:t>
            </w:r>
            <w:r>
              <w:rPr>
                <w:rFonts w:ascii="Times New Roman" w:eastAsia="Times New Roman" w:hAnsi="Times New Roman" w:cs="Times New Roman"/>
                <w:color w:val="000000"/>
                <w:spacing w:val="0"/>
                <w:w w:val="100"/>
                <w:position w:val="0"/>
                <w:sz w:val="20"/>
                <w:szCs w:val="20"/>
              </w:rPr>
              <w:t>7</w:t>
            </w:r>
          </w:p>
          <w:p>
            <w:pPr>
              <w:pStyle w:val="Style28"/>
              <w:keepNext w:val="0"/>
              <w:keepLines w:val="0"/>
              <w:widowControl w:val="0"/>
              <w:shd w:val="clear" w:color="auto" w:fill="auto"/>
              <w:bidi w:val="0"/>
              <w:spacing w:before="0" w:after="0" w:line="259" w:lineRule="exact"/>
              <w:ind w:left="0" w:right="0" w:firstLine="0"/>
              <w:jc w:val="left"/>
              <w:rPr>
                <w:sz w:val="20"/>
                <w:szCs w:val="20"/>
              </w:rPr>
            </w:pP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9</w:t>
            </w:r>
            <w:r>
              <w:rPr>
                <w:color w:val="000000"/>
                <w:spacing w:val="0"/>
                <w:w w:val="100"/>
                <w:position w:val="0"/>
                <w:sz w:val="20"/>
                <w:szCs w:val="20"/>
              </w:rPr>
              <w:t>日</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60" w:lineRule="exact"/>
              <w:ind w:left="0" w:right="0" w:firstLine="0"/>
              <w:jc w:val="left"/>
              <w:rPr>
                <w:sz w:val="20"/>
                <w:szCs w:val="20"/>
              </w:rPr>
            </w:pPr>
            <w:r>
              <w:rPr>
                <w:color w:val="000000"/>
                <w:spacing w:val="0"/>
                <w:w w:val="100"/>
                <w:position w:val="0"/>
                <w:sz w:val="20"/>
                <w:szCs w:val="20"/>
              </w:rPr>
              <w:t>报告期 内，张近 东先生以 及苏宁控 股均履行 承诺。</w:t>
            </w:r>
          </w:p>
        </w:tc>
      </w:tr>
      <w:tr>
        <w:trPr>
          <w:trHeight w:val="274" w:hRule="exact"/>
        </w:trPr>
        <w:tc>
          <w:tcPr>
            <w:gridSpan w:val="3"/>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承诺是否按时履行</w:t>
            </w:r>
          </w:p>
        </w:tc>
        <w:tc>
          <w:tcPr>
            <w:gridSpan w:val="4"/>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r>
      <w:tr>
        <w:trPr>
          <w:trHeight w:val="533" w:hRule="exact"/>
        </w:trPr>
        <w:tc>
          <w:tcPr>
            <w:gridSpan w:val="3"/>
            <w:tcBorders>
              <w:top w:val="single" w:sz="4"/>
              <w:left w:val="single" w:sz="4"/>
              <w:bottom w:val="single" w:sz="4"/>
            </w:tcBorders>
            <w:shd w:val="clear" w:color="auto" w:fill="D3D3D3"/>
            <w:vAlign w:val="top"/>
          </w:tcPr>
          <w:p>
            <w:pPr>
              <w:pStyle w:val="Style28"/>
              <w:keepNext w:val="0"/>
              <w:keepLines w:val="0"/>
              <w:widowControl w:val="0"/>
              <w:shd w:val="clear" w:color="auto" w:fill="auto"/>
              <w:bidi w:val="0"/>
              <w:spacing w:before="0" w:after="0" w:line="259" w:lineRule="exact"/>
              <w:ind w:left="0" w:right="0" w:firstLine="0"/>
              <w:jc w:val="left"/>
              <w:rPr>
                <w:sz w:val="20"/>
                <w:szCs w:val="20"/>
              </w:rPr>
            </w:pPr>
            <w:r>
              <w:rPr>
                <w:color w:val="000000"/>
                <w:spacing w:val="0"/>
                <w:w w:val="100"/>
                <w:position w:val="0"/>
                <w:sz w:val="20"/>
                <w:szCs w:val="20"/>
              </w:rPr>
              <w:t>如承诺超期未履行完毕的，应当详细说明未 完成履行的具体原因及下一步的工作计划</w:t>
            </w:r>
          </w:p>
        </w:tc>
        <w:tc>
          <w:tcPr>
            <w:gridSpan w:val="4"/>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w:t>
            </w:r>
          </w:p>
        </w:tc>
      </w:tr>
    </w:tbl>
    <w:p>
      <w:pPr>
        <w:pStyle w:val="Style38"/>
        <w:keepNext/>
        <w:keepLines/>
        <w:widowControl w:val="0"/>
        <w:shd w:val="clear" w:color="auto" w:fill="auto"/>
        <w:bidi w:val="0"/>
        <w:spacing w:before="0" w:after="200" w:line="312" w:lineRule="exact"/>
        <w:ind w:left="0" w:right="0" w:firstLine="0"/>
        <w:jc w:val="left"/>
      </w:pPr>
      <w:bookmarkStart w:id="242" w:name="bookmark242"/>
      <w:bookmarkStart w:id="243" w:name="bookmark243"/>
      <w:bookmarkStart w:id="244" w:name="bookmark244"/>
      <w:bookmarkStart w:id="245" w:name="bookmark245"/>
      <w:r>
        <w:rPr>
          <w:rFonts w:ascii="Times New Roman" w:eastAsia="Times New Roman" w:hAnsi="Times New Roman" w:cs="Times New Roman"/>
          <w:color w:val="000000"/>
          <w:spacing w:val="0"/>
          <w:w w:val="100"/>
          <w:position w:val="0"/>
        </w:rPr>
        <w:t>2</w:t>
      </w:r>
      <w:bookmarkEnd w:id="244"/>
      <w:r>
        <w:rPr>
          <w:color w:val="000000"/>
          <w:spacing w:val="0"/>
          <w:w w:val="100"/>
          <w:position w:val="0"/>
        </w:rPr>
        <w:t>、公司资产或项目存在盈利预测，且报告期仍处在盈利预测期间，公司就资产或项目达到原盈利预 测及其原因做出说明</w:t>
      </w:r>
      <w:bookmarkEnd w:id="242"/>
      <w:bookmarkEnd w:id="243"/>
      <w:bookmarkEnd w:id="245"/>
    </w:p>
    <w:p>
      <w:pPr>
        <w:pStyle w:val="Style32"/>
        <w:keepNext w:val="0"/>
        <w:keepLines w:val="0"/>
        <w:widowControl w:val="0"/>
        <w:shd w:val="clear" w:color="auto" w:fill="auto"/>
        <w:bidi w:val="0"/>
        <w:spacing w:before="0" w:after="200" w:line="475" w:lineRule="exact"/>
        <w:ind w:left="0" w:right="0" w:firstLine="46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2"/>
        <w:keepNext w:val="0"/>
        <w:keepLines w:val="0"/>
        <w:widowControl w:val="0"/>
        <w:shd w:val="clear" w:color="auto" w:fill="auto"/>
        <w:tabs>
          <w:tab w:pos="498" w:val="left"/>
        </w:tabs>
        <w:bidi w:val="0"/>
        <w:spacing w:before="0" w:after="200" w:line="475" w:lineRule="exact"/>
        <w:ind w:left="0" w:right="0" w:firstLine="0"/>
        <w:jc w:val="left"/>
        <w:rPr>
          <w:sz w:val="24"/>
          <w:szCs w:val="24"/>
        </w:rPr>
      </w:pPr>
      <w:bookmarkStart w:id="246" w:name="bookmark246"/>
      <w:r>
        <w:rPr>
          <w:b/>
          <w:bCs/>
          <w:color w:val="000000"/>
          <w:spacing w:val="0"/>
          <w:w w:val="100"/>
          <w:position w:val="0"/>
          <w:sz w:val="24"/>
          <w:szCs w:val="24"/>
        </w:rPr>
        <w:t>四</w:t>
      </w:r>
      <w:bookmarkEnd w:id="246"/>
      <w:r>
        <w:rPr>
          <w:b/>
          <w:bCs/>
          <w:color w:val="000000"/>
          <w:spacing w:val="0"/>
          <w:w w:val="100"/>
          <w:position w:val="0"/>
          <w:sz w:val="24"/>
          <w:szCs w:val="24"/>
        </w:rPr>
        <w:t>、</w:t>
        <w:tab/>
        <w:t>控股股东及其关联方对上市公司的非经营性占用资金情况</w:t>
      </w:r>
    </w:p>
    <w:p>
      <w:pPr>
        <w:pStyle w:val="Style32"/>
        <w:keepNext w:val="0"/>
        <w:keepLines w:val="0"/>
        <w:widowControl w:val="0"/>
        <w:shd w:val="clear" w:color="auto" w:fill="auto"/>
        <w:bidi w:val="0"/>
        <w:spacing w:before="0" w:after="0" w:line="475" w:lineRule="exact"/>
        <w:ind w:left="0" w:right="0" w:firstLine="46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2"/>
        <w:keepNext w:val="0"/>
        <w:keepLines w:val="0"/>
        <w:widowControl w:val="0"/>
        <w:shd w:val="clear" w:color="auto" w:fill="auto"/>
        <w:bidi w:val="0"/>
        <w:spacing w:before="0" w:after="200" w:line="475" w:lineRule="exact"/>
        <w:ind w:left="0" w:right="0" w:firstLine="460"/>
        <w:jc w:val="left"/>
      </w:pPr>
      <w:r>
        <w:rPr>
          <w:color w:val="000000"/>
          <w:spacing w:val="0"/>
          <w:w w:val="100"/>
          <w:position w:val="0"/>
        </w:rPr>
        <w:t>公司报告期不存在控股股东及其关联方对上市公司的非经营性占用资金。</w:t>
      </w:r>
    </w:p>
    <w:p>
      <w:pPr>
        <w:pStyle w:val="Style32"/>
        <w:keepNext w:val="0"/>
        <w:keepLines w:val="0"/>
        <w:widowControl w:val="0"/>
        <w:shd w:val="clear" w:color="auto" w:fill="auto"/>
        <w:tabs>
          <w:tab w:pos="517" w:val="left"/>
        </w:tabs>
        <w:bidi w:val="0"/>
        <w:spacing w:before="0" w:after="200" w:line="475" w:lineRule="exact"/>
        <w:ind w:left="0" w:right="0" w:firstLine="0"/>
        <w:jc w:val="left"/>
        <w:rPr>
          <w:sz w:val="24"/>
          <w:szCs w:val="24"/>
        </w:rPr>
      </w:pPr>
      <w:bookmarkStart w:id="247" w:name="bookmark247"/>
      <w:r>
        <w:rPr>
          <w:b/>
          <w:bCs/>
          <w:color w:val="000000"/>
          <w:spacing w:val="0"/>
          <w:w w:val="100"/>
          <w:position w:val="0"/>
          <w:sz w:val="24"/>
          <w:szCs w:val="24"/>
        </w:rPr>
        <w:t>五</w:t>
      </w:r>
      <w:bookmarkEnd w:id="247"/>
      <w:r>
        <w:rPr>
          <w:b/>
          <w:bCs/>
          <w:color w:val="000000"/>
          <w:spacing w:val="0"/>
          <w:w w:val="100"/>
          <w:position w:val="0"/>
          <w:sz w:val="24"/>
          <w:szCs w:val="24"/>
        </w:rPr>
        <w:t>、</w:t>
        <w:tab/>
        <w:t>董事会、监事会、独立董事（如有）对会计师事务所本报告期</w:t>
      </w:r>
      <w:r>
        <w:rPr>
          <w:rFonts w:ascii="Times New Roman" w:eastAsia="Times New Roman" w:hAnsi="Times New Roman" w:cs="Times New Roman"/>
          <w:b/>
          <w:bCs/>
          <w:color w:val="000000"/>
          <w:spacing w:val="0"/>
          <w:w w:val="100"/>
          <w:position w:val="0"/>
          <w:sz w:val="24"/>
          <w:szCs w:val="24"/>
        </w:rPr>
        <w:t>“</w:t>
      </w:r>
      <w:r>
        <w:rPr>
          <w:b/>
          <w:bCs/>
          <w:color w:val="000000"/>
          <w:spacing w:val="0"/>
          <w:w w:val="100"/>
          <w:position w:val="0"/>
          <w:sz w:val="24"/>
          <w:szCs w:val="24"/>
        </w:rPr>
        <w:t>非标准审计报告</w:t>
      </w:r>
      <w:r>
        <w:rPr>
          <w:rFonts w:ascii="Times New Roman" w:eastAsia="Times New Roman" w:hAnsi="Times New Roman" w:cs="Times New Roman"/>
          <w:b/>
          <w:bCs/>
          <w:color w:val="000000"/>
          <w:spacing w:val="0"/>
          <w:w w:val="100"/>
          <w:position w:val="0"/>
          <w:sz w:val="24"/>
          <w:szCs w:val="24"/>
        </w:rPr>
        <w:t>”</w:t>
      </w:r>
      <w:r>
        <w:rPr>
          <w:b/>
          <w:bCs/>
          <w:color w:val="000000"/>
          <w:spacing w:val="0"/>
          <w:w w:val="100"/>
          <w:position w:val="0"/>
          <w:sz w:val="24"/>
          <w:szCs w:val="24"/>
        </w:rPr>
        <w:t>的说明</w:t>
      </w:r>
    </w:p>
    <w:p>
      <w:pPr>
        <w:pStyle w:val="Style32"/>
        <w:keepNext w:val="0"/>
        <w:keepLines w:val="0"/>
        <w:widowControl w:val="0"/>
        <w:shd w:val="clear" w:color="auto" w:fill="auto"/>
        <w:bidi w:val="0"/>
        <w:spacing w:before="0" w:after="200" w:line="475" w:lineRule="exact"/>
        <w:ind w:left="0" w:right="0" w:firstLine="46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2"/>
        <w:keepNext w:val="0"/>
        <w:keepLines w:val="0"/>
        <w:widowControl w:val="0"/>
        <w:shd w:val="clear" w:color="auto" w:fill="auto"/>
        <w:tabs>
          <w:tab w:pos="517" w:val="left"/>
        </w:tabs>
        <w:bidi w:val="0"/>
        <w:spacing w:before="0" w:after="200" w:line="475" w:lineRule="exact"/>
        <w:ind w:left="0" w:right="0" w:firstLine="0"/>
        <w:jc w:val="left"/>
        <w:rPr>
          <w:sz w:val="24"/>
          <w:szCs w:val="24"/>
        </w:rPr>
      </w:pPr>
      <w:bookmarkStart w:id="248" w:name="bookmark248"/>
      <w:r>
        <w:rPr>
          <w:b/>
          <w:bCs/>
          <w:color w:val="000000"/>
          <w:spacing w:val="0"/>
          <w:w w:val="100"/>
          <w:position w:val="0"/>
          <w:sz w:val="24"/>
          <w:szCs w:val="24"/>
        </w:rPr>
        <w:t>六</w:t>
      </w:r>
      <w:bookmarkEnd w:id="248"/>
      <w:r>
        <w:rPr>
          <w:b/>
          <w:bCs/>
          <w:color w:val="000000"/>
          <w:spacing w:val="0"/>
          <w:w w:val="100"/>
          <w:position w:val="0"/>
          <w:sz w:val="24"/>
          <w:szCs w:val="24"/>
        </w:rPr>
        <w:t>、</w:t>
        <w:tab/>
        <w:t>与上年度财务报告相比，会计政策、会计估计和核算方法发生变化的情况说明</w:t>
      </w:r>
    </w:p>
    <w:p>
      <w:pPr>
        <w:pStyle w:val="Style32"/>
        <w:keepNext w:val="0"/>
        <w:keepLines w:val="0"/>
        <w:widowControl w:val="0"/>
        <w:shd w:val="clear" w:color="auto" w:fill="auto"/>
        <w:bidi w:val="0"/>
        <w:spacing w:before="0" w:after="0" w:line="475" w:lineRule="exact"/>
        <w:ind w:left="0" w:right="0" w:firstLine="46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2"/>
        <w:keepNext w:val="0"/>
        <w:keepLines w:val="0"/>
        <w:widowControl w:val="0"/>
        <w:shd w:val="clear" w:color="auto" w:fill="auto"/>
        <w:bidi w:val="0"/>
        <w:spacing w:before="0" w:after="200" w:line="475" w:lineRule="exact"/>
        <w:ind w:left="0" w:right="0" w:firstLine="460"/>
        <w:jc w:val="left"/>
      </w:pPr>
      <w:r>
        <w:rPr>
          <w:color w:val="000000"/>
          <w:spacing w:val="0"/>
          <w:w w:val="100"/>
          <w:position w:val="0"/>
        </w:rPr>
        <w:t>公司报告期无会计政策、会计估计和核算方法发生变化的情况。</w:t>
      </w:r>
    </w:p>
    <w:p>
      <w:pPr>
        <w:pStyle w:val="Style32"/>
        <w:keepNext w:val="0"/>
        <w:keepLines w:val="0"/>
        <w:widowControl w:val="0"/>
        <w:shd w:val="clear" w:color="auto" w:fill="auto"/>
        <w:tabs>
          <w:tab w:pos="522" w:val="left"/>
        </w:tabs>
        <w:bidi w:val="0"/>
        <w:spacing w:before="0" w:after="200" w:line="475" w:lineRule="exact"/>
        <w:ind w:left="0" w:right="0" w:firstLine="0"/>
        <w:jc w:val="left"/>
        <w:rPr>
          <w:sz w:val="24"/>
          <w:szCs w:val="24"/>
        </w:rPr>
      </w:pPr>
      <w:bookmarkStart w:id="249" w:name="bookmark249"/>
      <w:r>
        <w:rPr>
          <w:b/>
          <w:bCs/>
          <w:color w:val="000000"/>
          <w:spacing w:val="0"/>
          <w:w w:val="100"/>
          <w:position w:val="0"/>
          <w:sz w:val="24"/>
          <w:szCs w:val="24"/>
        </w:rPr>
        <w:t>七</w:t>
      </w:r>
      <w:bookmarkEnd w:id="249"/>
      <w:r>
        <w:rPr>
          <w:b/>
          <w:bCs/>
          <w:color w:val="000000"/>
          <w:spacing w:val="0"/>
          <w:w w:val="100"/>
          <w:position w:val="0"/>
          <w:sz w:val="24"/>
          <w:szCs w:val="24"/>
        </w:rPr>
        <w:t>、</w:t>
        <w:tab/>
        <w:t>报告期内发生重大会计差错更正需追溯重述的情况说明</w:t>
      </w:r>
    </w:p>
    <w:p>
      <w:pPr>
        <w:pStyle w:val="Style32"/>
        <w:keepNext w:val="0"/>
        <w:keepLines w:val="0"/>
        <w:widowControl w:val="0"/>
        <w:shd w:val="clear" w:color="auto" w:fill="auto"/>
        <w:bidi w:val="0"/>
        <w:spacing w:before="0" w:after="0" w:line="475" w:lineRule="exact"/>
        <w:ind w:left="0" w:right="0" w:firstLine="46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2"/>
        <w:keepNext w:val="0"/>
        <w:keepLines w:val="0"/>
        <w:widowControl w:val="0"/>
        <w:shd w:val="clear" w:color="auto" w:fill="auto"/>
        <w:bidi w:val="0"/>
        <w:spacing w:before="0" w:after="200" w:line="475" w:lineRule="exact"/>
        <w:ind w:left="0" w:right="0" w:firstLine="460"/>
        <w:jc w:val="left"/>
      </w:pPr>
      <w:r>
        <w:rPr>
          <w:color w:val="000000"/>
          <w:spacing w:val="0"/>
          <w:w w:val="100"/>
          <w:position w:val="0"/>
        </w:rPr>
        <w:t>公司报告期无重大会计差错更正需追溯重述的情况。</w:t>
      </w:r>
    </w:p>
    <w:p>
      <w:pPr>
        <w:pStyle w:val="Style32"/>
        <w:keepNext w:val="0"/>
        <w:keepLines w:val="0"/>
        <w:widowControl w:val="0"/>
        <w:shd w:val="clear" w:color="auto" w:fill="auto"/>
        <w:tabs>
          <w:tab w:pos="522" w:val="left"/>
        </w:tabs>
        <w:bidi w:val="0"/>
        <w:spacing w:before="0" w:after="200" w:line="475" w:lineRule="exact"/>
        <w:ind w:left="0" w:right="0" w:firstLine="0"/>
        <w:jc w:val="left"/>
        <w:rPr>
          <w:sz w:val="24"/>
          <w:szCs w:val="24"/>
        </w:rPr>
      </w:pPr>
      <w:bookmarkStart w:id="250" w:name="bookmark250"/>
      <w:r>
        <w:rPr>
          <w:b/>
          <w:bCs/>
          <w:color w:val="000000"/>
          <w:spacing w:val="0"/>
          <w:w w:val="100"/>
          <w:position w:val="0"/>
          <w:sz w:val="24"/>
          <w:szCs w:val="24"/>
        </w:rPr>
        <w:t>八</w:t>
      </w:r>
      <w:bookmarkEnd w:id="250"/>
      <w:r>
        <w:rPr>
          <w:b/>
          <w:bCs/>
          <w:color w:val="000000"/>
          <w:spacing w:val="0"/>
          <w:w w:val="100"/>
          <w:position w:val="0"/>
          <w:sz w:val="24"/>
          <w:szCs w:val="24"/>
        </w:rPr>
        <w:t>、</w:t>
        <w:tab/>
        <w:t>与上年度财务报告相比，合并报表范围发生变化的情况说明</w:t>
      </w:r>
    </w:p>
    <w:p>
      <w:pPr>
        <w:pStyle w:val="Style32"/>
        <w:keepNext w:val="0"/>
        <w:keepLines w:val="0"/>
        <w:widowControl w:val="0"/>
        <w:shd w:val="clear" w:color="auto" w:fill="auto"/>
        <w:bidi w:val="0"/>
        <w:spacing w:before="0" w:after="0" w:line="475" w:lineRule="exact"/>
        <w:ind w:left="0" w:right="0" w:firstLine="460"/>
        <w:jc w:val="left"/>
      </w:pPr>
      <w:r>
        <w:rPr>
          <w:color w:val="000000"/>
          <w:spacing w:val="0"/>
          <w:w w:val="100"/>
          <w:position w:val="0"/>
        </w:rPr>
        <w:t>报告期内，公司新纳入合并范围为新设立子公司</w:t>
      </w:r>
      <w:r>
        <w:rPr>
          <w:rFonts w:ascii="Times New Roman" w:eastAsia="Times New Roman" w:hAnsi="Times New Roman" w:cs="Times New Roman"/>
          <w:color w:val="000000"/>
          <w:spacing w:val="0"/>
          <w:w w:val="100"/>
          <w:position w:val="0"/>
        </w:rPr>
        <w:t>30</w:t>
      </w:r>
      <w:r>
        <w:rPr>
          <w:color w:val="000000"/>
          <w:spacing w:val="0"/>
          <w:w w:val="100"/>
          <w:position w:val="0"/>
        </w:rPr>
        <w:t>家、日本</w:t>
      </w:r>
      <w:r>
        <w:rPr>
          <w:rFonts w:ascii="Times New Roman" w:eastAsia="Times New Roman" w:hAnsi="Times New Roman" w:cs="Times New Roman"/>
          <w:color w:val="000000"/>
          <w:spacing w:val="0"/>
          <w:w w:val="100"/>
          <w:position w:val="0"/>
        </w:rPr>
        <w:t>LAOX</w:t>
      </w:r>
      <w:r>
        <w:rPr>
          <w:color w:val="000000"/>
          <w:spacing w:val="0"/>
          <w:w w:val="100"/>
          <w:position w:val="0"/>
        </w:rPr>
        <w:t>新设子公司</w:t>
      </w:r>
      <w:r>
        <w:rPr>
          <w:rFonts w:ascii="Times New Roman" w:eastAsia="Times New Roman" w:hAnsi="Times New Roman" w:cs="Times New Roman"/>
          <w:color w:val="000000"/>
          <w:spacing w:val="0"/>
          <w:w w:val="100"/>
          <w:position w:val="0"/>
        </w:rPr>
        <w:t>2</w:t>
      </w:r>
      <w:r>
        <w:rPr>
          <w:color w:val="000000"/>
          <w:spacing w:val="0"/>
          <w:w w:val="100"/>
          <w:position w:val="0"/>
        </w:rPr>
        <w:t>家、投资取得 子公司</w:t>
      </w:r>
      <w:r>
        <w:rPr>
          <w:rFonts w:ascii="Times New Roman" w:eastAsia="Times New Roman" w:hAnsi="Times New Roman" w:cs="Times New Roman"/>
          <w:color w:val="000000"/>
          <w:spacing w:val="0"/>
          <w:w w:val="100"/>
          <w:position w:val="0"/>
        </w:rPr>
        <w:t>2</w:t>
      </w:r>
      <w:r>
        <w:rPr>
          <w:color w:val="000000"/>
          <w:spacing w:val="0"/>
          <w:w w:val="100"/>
          <w:position w:val="0"/>
        </w:rPr>
        <w:t>家；注销子公司</w:t>
      </w:r>
      <w:r>
        <w:rPr>
          <w:rFonts w:ascii="Times New Roman" w:eastAsia="Times New Roman" w:hAnsi="Times New Roman" w:cs="Times New Roman"/>
          <w:color w:val="000000"/>
          <w:spacing w:val="0"/>
          <w:w w:val="100"/>
          <w:position w:val="0"/>
        </w:rPr>
        <w:t>10</w:t>
      </w:r>
      <w:r>
        <w:rPr>
          <w:color w:val="000000"/>
          <w:spacing w:val="0"/>
          <w:w w:val="100"/>
          <w:position w:val="0"/>
        </w:rPr>
        <w:t>家，以及报告期内公司处置北京京朝苏宁电器有限公司股权，使得北京 京朝苏宁电器有限公司不再纳入公司合并报表范围。</w:t>
      </w:r>
    </w:p>
    <w:p>
      <w:pPr>
        <w:pStyle w:val="Style32"/>
        <w:keepNext w:val="0"/>
        <w:keepLines w:val="0"/>
        <w:widowControl w:val="0"/>
        <w:shd w:val="clear" w:color="auto" w:fill="auto"/>
        <w:bidi w:val="0"/>
        <w:spacing w:before="0" w:after="200" w:line="478" w:lineRule="exact"/>
        <w:ind w:left="0" w:right="0" w:firstLine="460"/>
        <w:jc w:val="left"/>
      </w:pPr>
      <w:r>
        <w:rPr>
          <w:rFonts w:ascii="Times New Roman" w:eastAsia="Times New Roman" w:hAnsi="Times New Roman" w:cs="Times New Roman"/>
          <w:color w:val="000000"/>
          <w:spacing w:val="0"/>
          <w:w w:val="100"/>
          <w:position w:val="0"/>
        </w:rPr>
        <w:t>2015</w:t>
      </w:r>
      <w:r>
        <w:rPr>
          <w:color w:val="000000"/>
          <w:spacing w:val="0"/>
          <w:w w:val="100"/>
          <w:position w:val="0"/>
        </w:rPr>
        <w:t>年度，公司新纳入合并范围为新设子公司</w:t>
      </w:r>
      <w:r>
        <w:rPr>
          <w:rFonts w:ascii="Times New Roman" w:eastAsia="Times New Roman" w:hAnsi="Times New Roman" w:cs="Times New Roman"/>
          <w:color w:val="000000"/>
          <w:spacing w:val="0"/>
          <w:w w:val="100"/>
          <w:position w:val="0"/>
        </w:rPr>
        <w:t>26</w:t>
      </w:r>
      <w:r>
        <w:rPr>
          <w:color w:val="000000"/>
          <w:spacing w:val="0"/>
          <w:w w:val="100"/>
          <w:position w:val="0"/>
        </w:rPr>
        <w:t>家，日本</w:t>
      </w:r>
      <w:r>
        <w:rPr>
          <w:rFonts w:ascii="Times New Roman" w:eastAsia="Times New Roman" w:hAnsi="Times New Roman" w:cs="Times New Roman"/>
          <w:color w:val="000000"/>
          <w:spacing w:val="0"/>
          <w:w w:val="100"/>
          <w:position w:val="0"/>
        </w:rPr>
        <w:t>LAOX</w:t>
      </w:r>
      <w:r>
        <w:rPr>
          <w:color w:val="000000"/>
          <w:spacing w:val="0"/>
          <w:w w:val="100"/>
          <w:position w:val="0"/>
        </w:rPr>
        <w:t>投资取得子公司</w:t>
      </w:r>
      <w:r>
        <w:rPr>
          <w:rFonts w:ascii="Times New Roman" w:eastAsia="Times New Roman" w:hAnsi="Times New Roman" w:cs="Times New Roman"/>
          <w:color w:val="000000"/>
          <w:spacing w:val="0"/>
          <w:w w:val="100"/>
          <w:position w:val="0"/>
        </w:rPr>
        <w:t>1</w:t>
      </w:r>
      <w:r>
        <w:rPr>
          <w:color w:val="000000"/>
          <w:spacing w:val="0"/>
          <w:w w:val="100"/>
          <w:position w:val="0"/>
        </w:rPr>
        <w:t>家，同时 投资</w:t>
      </w:r>
      <w:r>
        <w:rPr>
          <w:rFonts w:ascii="Times New Roman" w:eastAsia="Times New Roman" w:hAnsi="Times New Roman" w:cs="Times New Roman"/>
          <w:color w:val="000000"/>
          <w:spacing w:val="0"/>
          <w:w w:val="100"/>
          <w:position w:val="0"/>
        </w:rPr>
        <w:t>PPTV</w:t>
      </w:r>
      <w:r>
        <w:rPr>
          <w:color w:val="000000"/>
          <w:spacing w:val="0"/>
          <w:w w:val="100"/>
          <w:position w:val="0"/>
        </w:rPr>
        <w:t>取得子公司；注销子公司</w:t>
      </w:r>
      <w:r>
        <w:rPr>
          <w:rFonts w:ascii="Times New Roman" w:eastAsia="Times New Roman" w:hAnsi="Times New Roman" w:cs="Times New Roman"/>
          <w:color w:val="000000"/>
          <w:spacing w:val="0"/>
          <w:w w:val="100"/>
          <w:position w:val="0"/>
        </w:rPr>
        <w:t>13</w:t>
      </w:r>
      <w:r>
        <w:rPr>
          <w:color w:val="000000"/>
          <w:spacing w:val="0"/>
          <w:w w:val="100"/>
          <w:position w:val="0"/>
        </w:rPr>
        <w:t>家，以及报告期内公司处置</w:t>
      </w:r>
      <w:r>
        <w:rPr>
          <w:rFonts w:ascii="Times New Roman" w:eastAsia="Times New Roman" w:hAnsi="Times New Roman" w:cs="Times New Roman"/>
          <w:color w:val="000000"/>
          <w:spacing w:val="0"/>
          <w:w w:val="100"/>
          <w:position w:val="0"/>
        </w:rPr>
        <w:t>PPTV</w:t>
      </w:r>
      <w:r>
        <w:rPr>
          <w:color w:val="000000"/>
          <w:spacing w:val="0"/>
          <w:w w:val="100"/>
          <w:position w:val="0"/>
        </w:rPr>
        <w:t>股权，使得</w:t>
      </w:r>
      <w:r>
        <w:rPr>
          <w:rFonts w:ascii="Times New Roman" w:eastAsia="Times New Roman" w:hAnsi="Times New Roman" w:cs="Times New Roman"/>
          <w:color w:val="000000"/>
          <w:spacing w:val="0"/>
          <w:w w:val="100"/>
          <w:position w:val="0"/>
        </w:rPr>
        <w:t>PPTV</w:t>
      </w:r>
      <w:r>
        <w:rPr>
          <w:color w:val="000000"/>
          <w:spacing w:val="0"/>
          <w:w w:val="100"/>
          <w:position w:val="0"/>
        </w:rPr>
        <w:t>及其子 公司不再纳入公司合并报表范围。</w:t>
      </w:r>
    </w:p>
    <w:p>
      <w:pPr>
        <w:pStyle w:val="Style32"/>
        <w:keepNext w:val="0"/>
        <w:keepLines w:val="0"/>
        <w:widowControl w:val="0"/>
        <w:shd w:val="clear" w:color="auto" w:fill="auto"/>
        <w:tabs>
          <w:tab w:pos="522" w:val="left"/>
        </w:tabs>
        <w:bidi w:val="0"/>
        <w:spacing w:before="0" w:after="380" w:line="475" w:lineRule="exact"/>
        <w:ind w:left="0" w:right="0" w:firstLine="0"/>
        <w:jc w:val="left"/>
        <w:rPr>
          <w:sz w:val="24"/>
          <w:szCs w:val="24"/>
        </w:rPr>
      </w:pPr>
      <w:bookmarkStart w:id="251" w:name="bookmark251"/>
      <w:r>
        <w:rPr>
          <w:b/>
          <w:bCs/>
          <w:color w:val="000000"/>
          <w:spacing w:val="0"/>
          <w:w w:val="100"/>
          <w:position w:val="0"/>
          <w:sz w:val="24"/>
          <w:szCs w:val="24"/>
        </w:rPr>
        <w:t>九</w:t>
      </w:r>
      <w:bookmarkEnd w:id="251"/>
      <w:r>
        <w:rPr>
          <w:b/>
          <w:bCs/>
          <w:color w:val="000000"/>
          <w:spacing w:val="0"/>
          <w:w w:val="100"/>
          <w:position w:val="0"/>
          <w:sz w:val="24"/>
          <w:szCs w:val="24"/>
        </w:rPr>
        <w:t>、</w:t>
        <w:tab/>
        <w:t>聘任、解聘会计师事务所情况</w:t>
      </w:r>
    </w:p>
    <w:p>
      <w:pPr>
        <w:pStyle w:val="Style25"/>
        <w:keepNext w:val="0"/>
        <w:keepLines w:val="0"/>
        <w:widowControl w:val="0"/>
        <w:shd w:val="clear" w:color="auto" w:fill="auto"/>
        <w:bidi w:val="0"/>
        <w:spacing w:before="0" w:after="0" w:line="475" w:lineRule="exact"/>
        <w:ind w:left="0" w:right="0" w:firstLine="0"/>
        <w:jc w:val="left"/>
      </w:pPr>
      <w:r>
        <w:rPr>
          <w:color w:val="000000"/>
          <w:spacing w:val="0"/>
          <w:w w:val="100"/>
          <w:position w:val="0"/>
        </w:rPr>
        <w:t>现聘任的会计师事务所</w:t>
      </w:r>
    </w:p>
    <w:tbl>
      <w:tblPr>
        <w:tblOverlap w:val="never"/>
        <w:jc w:val="center"/>
        <w:tblLayout w:type="fixed"/>
      </w:tblPr>
      <w:tblGrid>
        <w:gridCol w:w="3893"/>
        <w:gridCol w:w="5688"/>
      </w:tblGrid>
      <w:tr>
        <w:trPr>
          <w:trHeight w:val="302" w:hRule="exact"/>
        </w:trPr>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普华永道中天会计师事务所（特殊普通合伙）</w:t>
            </w:r>
          </w:p>
        </w:tc>
      </w:tr>
      <w:tr>
        <w:trPr>
          <w:trHeight w:val="298" w:hRule="exact"/>
        </w:trPr>
        <w:tc>
          <w:tcPr>
            <w:tcBorders>
              <w:top w:val="single" w:sz="4"/>
              <w:left w:val="single" w:sz="4"/>
              <w:bottom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1,150</w:t>
            </w:r>
          </w:p>
        </w:tc>
      </w:tr>
    </w:tbl>
    <w:tbl>
      <w:tblPr>
        <w:tblOverlap w:val="never"/>
        <w:jc w:val="center"/>
        <w:tblLayout w:type="fixed"/>
      </w:tblPr>
      <w:tblGrid>
        <w:gridCol w:w="3893"/>
        <w:gridCol w:w="5688"/>
      </w:tblGrid>
      <w:tr>
        <w:trPr>
          <w:trHeight w:val="298"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w:t>
            </w:r>
            <w:r>
              <w:rPr>
                <w:color w:val="000000"/>
                <w:spacing w:val="0"/>
                <w:w w:val="100"/>
                <w:position w:val="0"/>
              </w:rPr>
              <w:t>年</w:t>
            </w:r>
          </w:p>
        </w:tc>
      </w:tr>
      <w:tr>
        <w:trPr>
          <w:trHeight w:val="298"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邓锡麟、郑怡荽</w:t>
            </w:r>
          </w:p>
        </w:tc>
      </w:tr>
      <w:tr>
        <w:trPr>
          <w:trHeight w:val="581"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境外会计师事务所名称（如有）</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64" w:lineRule="exact"/>
              <w:ind w:left="0" w:right="0" w:firstLine="0"/>
              <w:jc w:val="left"/>
            </w:pPr>
            <w:r>
              <w:rPr>
                <w:color w:val="000000"/>
                <w:spacing w:val="0"/>
                <w:w w:val="100"/>
                <w:position w:val="0"/>
              </w:rPr>
              <w:t>香港子公司：普华永道全球网络成员所</w:t>
            </w:r>
            <w:r>
              <w:rPr>
                <w:color w:val="000000"/>
                <w:spacing w:val="0"/>
                <w:w w:val="100"/>
                <w:position w:val="0"/>
              </w:rPr>
              <w:t>一一</w:t>
            </w:r>
            <w:r>
              <w:rPr>
                <w:color w:val="000000"/>
                <w:spacing w:val="0"/>
                <w:w w:val="100"/>
                <w:position w:val="0"/>
              </w:rPr>
              <w:t>罗兵咸永道会 计师事务所；日本</w:t>
            </w:r>
            <w:r>
              <w:rPr>
                <w:rFonts w:ascii="Times New Roman" w:eastAsia="Times New Roman" w:hAnsi="Times New Roman" w:cs="Times New Roman"/>
                <w:color w:val="000000"/>
                <w:spacing w:val="0"/>
                <w:w w:val="100"/>
                <w:position w:val="0"/>
              </w:rPr>
              <w:t>LAOX</w:t>
            </w:r>
            <w:r>
              <w:rPr>
                <w:color w:val="000000"/>
                <w:spacing w:val="0"/>
                <w:w w:val="100"/>
                <w:position w:val="0"/>
              </w:rPr>
              <w:t>：</w:t>
            </w:r>
            <w:r>
              <w:rPr>
                <w:color w:val="000000"/>
                <w:spacing w:val="0"/>
                <w:w w:val="100"/>
                <w:position w:val="0"/>
              </w:rPr>
              <w:t>清和审计法人</w:t>
            </w:r>
          </w:p>
        </w:tc>
      </w:tr>
      <w:tr>
        <w:trPr>
          <w:trHeight w:val="298"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境外会计师事务所报酬（万元）</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r>
              <w:rPr>
                <w:rFonts w:ascii="Times New Roman" w:eastAsia="Times New Roman" w:hAnsi="Times New Roman" w:cs="Times New Roman"/>
                <w:color w:val="000000"/>
                <w:spacing w:val="0"/>
                <w:w w:val="100"/>
                <w:position w:val="0"/>
              </w:rPr>
              <w:t>106.5</w:t>
            </w:r>
            <w:r>
              <w:rPr>
                <w:color w:val="000000"/>
                <w:spacing w:val="0"/>
                <w:w w:val="100"/>
                <w:position w:val="0"/>
              </w:rPr>
              <w:t>万港元；日本</w:t>
            </w:r>
            <w:r>
              <w:rPr>
                <w:rFonts w:ascii="Times New Roman" w:eastAsia="Times New Roman" w:hAnsi="Times New Roman" w:cs="Times New Roman"/>
                <w:color w:val="000000"/>
                <w:spacing w:val="0"/>
                <w:w w:val="100"/>
                <w:position w:val="0"/>
              </w:rPr>
              <w:t>LAOX3,300</w:t>
            </w:r>
            <w:r>
              <w:rPr>
                <w:color w:val="000000"/>
                <w:spacing w:val="0"/>
                <w:w w:val="100"/>
                <w:position w:val="0"/>
              </w:rPr>
              <w:t>万日元</w:t>
            </w:r>
          </w:p>
        </w:tc>
      </w:tr>
      <w:tr>
        <w:trPr>
          <w:trHeight w:val="293" w:hRule="exact"/>
        </w:trPr>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境外会计师事务所审计服务的连续年限</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r>
              <w:rPr>
                <w:rFonts w:ascii="Times New Roman" w:eastAsia="Times New Roman" w:hAnsi="Times New Roman" w:cs="Times New Roman"/>
                <w:color w:val="000000"/>
                <w:spacing w:val="0"/>
                <w:w w:val="100"/>
                <w:position w:val="0"/>
              </w:rPr>
              <w:t>7</w:t>
            </w:r>
            <w:r>
              <w:rPr>
                <w:color w:val="000000"/>
                <w:spacing w:val="0"/>
                <w:w w:val="100"/>
                <w:position w:val="0"/>
              </w:rPr>
              <w:t>年；日本</w:t>
            </w:r>
            <w:r>
              <w:rPr>
                <w:rFonts w:ascii="Times New Roman" w:eastAsia="Times New Roman" w:hAnsi="Times New Roman" w:cs="Times New Roman"/>
                <w:color w:val="000000"/>
                <w:spacing w:val="0"/>
                <w:w w:val="100"/>
                <w:position w:val="0"/>
              </w:rPr>
              <w:t>LAOX</w:t>
            </w:r>
            <w:r>
              <w:rPr>
                <w:color w:val="000000"/>
                <w:spacing w:val="0"/>
                <w:w w:val="100"/>
                <w:position w:val="0"/>
              </w:rPr>
              <w:t xml:space="preserve">： </w:t>
            </w:r>
            <w:r>
              <w:rPr>
                <w:rFonts w:ascii="Times New Roman" w:eastAsia="Times New Roman" w:hAnsi="Times New Roman" w:cs="Times New Roman"/>
                <w:color w:val="000000"/>
                <w:spacing w:val="0"/>
                <w:w w:val="100"/>
                <w:position w:val="0"/>
              </w:rPr>
              <w:t>4</w:t>
            </w:r>
            <w:r>
              <w:rPr>
                <w:color w:val="000000"/>
                <w:spacing w:val="0"/>
                <w:w w:val="100"/>
                <w:position w:val="0"/>
              </w:rPr>
              <w:t>年</w:t>
            </w:r>
          </w:p>
        </w:tc>
      </w:tr>
      <w:tr>
        <w:trPr>
          <w:trHeight w:val="302" w:hRule="exact"/>
        </w:trPr>
        <w:tc>
          <w:tcPr>
            <w:tcBorders>
              <w:top w:val="single" w:sz="4"/>
              <w:left w:val="single" w:sz="4"/>
              <w:bottom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境外会计师事务所注册会计师姓名</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r>
              <w:rPr>
                <w:rFonts w:ascii="Times New Roman" w:eastAsia="Times New Roman" w:hAnsi="Times New Roman" w:cs="Times New Roman"/>
                <w:color w:val="000000"/>
                <w:spacing w:val="0"/>
                <w:w w:val="100"/>
                <w:position w:val="0"/>
              </w:rPr>
              <w:t>Carrie Yu</w:t>
            </w:r>
            <w:r>
              <w:rPr>
                <w:color w:val="000000"/>
                <w:spacing w:val="0"/>
                <w:w w:val="100"/>
                <w:position w:val="0"/>
              </w:rPr>
              <w:t>；</w:t>
            </w:r>
            <w:r>
              <w:rPr>
                <w:color w:val="000000"/>
                <w:spacing w:val="0"/>
                <w:w w:val="100"/>
                <w:position w:val="0"/>
              </w:rPr>
              <w:t xml:space="preserve">日本 </w:t>
            </w:r>
            <w:r>
              <w:rPr>
                <w:rFonts w:ascii="Times New Roman" w:eastAsia="Times New Roman" w:hAnsi="Times New Roman" w:cs="Times New Roman"/>
                <w:color w:val="000000"/>
                <w:spacing w:val="0"/>
                <w:w w:val="100"/>
                <w:position w:val="0"/>
              </w:rPr>
              <w:t>LAOX</w:t>
            </w:r>
            <w:r>
              <w:rPr>
                <w:color w:val="000000"/>
                <w:spacing w:val="0"/>
                <w:w w:val="100"/>
                <w:position w:val="0"/>
              </w:rPr>
              <w:t xml:space="preserve">： </w:t>
            </w:r>
            <w:r>
              <w:rPr>
                <w:rFonts w:ascii="Times New Roman" w:eastAsia="Times New Roman" w:hAnsi="Times New Roman" w:cs="Times New Roman"/>
                <w:color w:val="000000"/>
                <w:spacing w:val="0"/>
                <w:w w:val="100"/>
                <w:position w:val="0"/>
              </w:rPr>
              <w:t>Ryo Fujimoto</w:t>
            </w:r>
          </w:p>
        </w:tc>
      </w:tr>
    </w:tbl>
    <w:p>
      <w:pPr>
        <w:widowControl w:val="0"/>
        <w:spacing w:after="39" w:line="1" w:lineRule="exact"/>
      </w:pPr>
    </w:p>
    <w:p>
      <w:pPr>
        <w:pStyle w:val="Style32"/>
        <w:keepNext w:val="0"/>
        <w:keepLines w:val="0"/>
        <w:widowControl w:val="0"/>
        <w:shd w:val="clear" w:color="auto" w:fill="auto"/>
        <w:bidi w:val="0"/>
        <w:spacing w:before="0" w:after="200" w:line="473" w:lineRule="exact"/>
        <w:ind w:left="0" w:right="0" w:firstLine="460"/>
        <w:jc w:val="left"/>
      </w:pPr>
      <w:r>
        <w:rPr>
          <w:color w:val="000000"/>
          <w:spacing w:val="0"/>
          <w:w w:val="100"/>
          <w:position w:val="0"/>
        </w:rPr>
        <w:t>当期是否改聘会计师事务所</w:t>
      </w:r>
    </w:p>
    <w:p>
      <w:pPr>
        <w:pStyle w:val="Style32"/>
        <w:keepNext w:val="0"/>
        <w:keepLines w:val="0"/>
        <w:widowControl w:val="0"/>
        <w:shd w:val="clear" w:color="auto" w:fill="auto"/>
        <w:bidi w:val="0"/>
        <w:spacing w:before="0" w:after="0" w:line="449" w:lineRule="auto"/>
        <w:ind w:left="0" w:right="0" w:firstLine="46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i/>
          <w:iCs/>
          <w:color w:val="000000"/>
          <w:spacing w:val="0"/>
          <w:w w:val="100"/>
          <w:position w:val="0"/>
        </w:rPr>
        <w:t>寸</w:t>
      </w:r>
      <w:r>
        <w:rPr>
          <w:color w:val="000000"/>
          <w:spacing w:val="0"/>
          <w:w w:val="100"/>
          <w:position w:val="0"/>
        </w:rPr>
        <w:t>否</w:t>
      </w:r>
    </w:p>
    <w:p>
      <w:pPr>
        <w:pStyle w:val="Style32"/>
        <w:keepNext w:val="0"/>
        <w:keepLines w:val="0"/>
        <w:widowControl w:val="0"/>
        <w:shd w:val="clear" w:color="auto" w:fill="auto"/>
        <w:bidi w:val="0"/>
        <w:spacing w:before="0" w:after="0" w:line="473" w:lineRule="exact"/>
        <w:ind w:left="0" w:right="0" w:firstLine="460"/>
        <w:jc w:val="left"/>
      </w:pPr>
      <w:r>
        <w:rPr>
          <w:color w:val="000000"/>
          <w:spacing w:val="0"/>
          <w:w w:val="100"/>
          <w:position w:val="0"/>
        </w:rPr>
        <w:t>聘请内部控制审计会计师事务所、财务顾问或保荐人情况</w:t>
      </w:r>
    </w:p>
    <w:p>
      <w:pPr>
        <w:pStyle w:val="Style32"/>
        <w:keepNext w:val="0"/>
        <w:keepLines w:val="0"/>
        <w:widowControl w:val="0"/>
        <w:shd w:val="clear" w:color="auto" w:fill="auto"/>
        <w:bidi w:val="0"/>
        <w:spacing w:before="0" w:after="0" w:line="473" w:lineRule="exact"/>
        <w:ind w:left="0" w:right="0" w:firstLine="460"/>
        <w:jc w:val="left"/>
      </w:pPr>
      <w:r>
        <w:rPr>
          <w:color w:val="000000"/>
          <w:spacing w:val="0"/>
          <w:w w:val="100"/>
          <w:position w:val="0"/>
        </w:rPr>
        <w:t>本年度，公司因</w:t>
      </w:r>
      <w:r>
        <w:rPr>
          <w:rFonts w:ascii="Times New Roman" w:eastAsia="Times New Roman" w:hAnsi="Times New Roman" w:cs="Times New Roman"/>
          <w:color w:val="000000"/>
          <w:spacing w:val="0"/>
          <w:w w:val="100"/>
          <w:position w:val="0"/>
        </w:rPr>
        <w:t>2016</w:t>
      </w:r>
      <w:r>
        <w:rPr>
          <w:color w:val="000000"/>
          <w:spacing w:val="0"/>
          <w:w w:val="100"/>
          <w:position w:val="0"/>
        </w:rPr>
        <w:t>年度内控审计工作事项，聘请普华永道中天会计师事务所（特殊普通合伙） 为内部控制审计会计师事务所，期间共支付审计费用</w:t>
      </w:r>
      <w:r>
        <w:rPr>
          <w:rFonts w:ascii="Times New Roman" w:eastAsia="Times New Roman" w:hAnsi="Times New Roman" w:cs="Times New Roman"/>
          <w:color w:val="000000"/>
          <w:spacing w:val="0"/>
          <w:w w:val="100"/>
          <w:position w:val="0"/>
        </w:rPr>
        <w:t>300</w:t>
      </w:r>
      <w:r>
        <w:rPr>
          <w:color w:val="000000"/>
          <w:spacing w:val="0"/>
          <w:w w:val="100"/>
          <w:position w:val="0"/>
        </w:rPr>
        <w:t>万元。</w:t>
      </w:r>
    </w:p>
    <w:p>
      <w:pPr>
        <w:pStyle w:val="Style32"/>
        <w:keepNext w:val="0"/>
        <w:keepLines w:val="0"/>
        <w:widowControl w:val="0"/>
        <w:shd w:val="clear" w:color="auto" w:fill="auto"/>
        <w:bidi w:val="0"/>
        <w:spacing w:before="0" w:after="200" w:line="473" w:lineRule="exact"/>
        <w:ind w:left="0" w:right="0" w:firstLine="460"/>
        <w:jc w:val="left"/>
      </w:pPr>
      <w:r>
        <w:rPr>
          <w:color w:val="000000"/>
          <w:spacing w:val="0"/>
          <w:w w:val="100"/>
          <w:position w:val="0"/>
        </w:rPr>
        <w:t>本年度，公司因实施</w:t>
      </w:r>
      <w:r>
        <w:rPr>
          <w:rFonts w:ascii="Times New Roman" w:eastAsia="Times New Roman" w:hAnsi="Times New Roman" w:cs="Times New Roman"/>
          <w:color w:val="000000"/>
          <w:spacing w:val="0"/>
          <w:w w:val="100"/>
          <w:position w:val="0"/>
        </w:rPr>
        <w:t>2015</w:t>
      </w:r>
      <w:r>
        <w:rPr>
          <w:color w:val="000000"/>
          <w:spacing w:val="0"/>
          <w:w w:val="100"/>
          <w:position w:val="0"/>
        </w:rPr>
        <w:t>年非公开发行股份，聘请招商证券股份有限公司为公司保荐机构，支 付保荐费用</w:t>
      </w:r>
      <w:r>
        <w:rPr>
          <w:rFonts w:ascii="Times New Roman" w:eastAsia="Times New Roman" w:hAnsi="Times New Roman" w:cs="Times New Roman"/>
          <w:color w:val="000000"/>
          <w:spacing w:val="0"/>
          <w:w w:val="100"/>
          <w:position w:val="0"/>
        </w:rPr>
        <w:t>500</w:t>
      </w:r>
      <w:r>
        <w:rPr>
          <w:color w:val="000000"/>
          <w:spacing w:val="0"/>
          <w:w w:val="100"/>
          <w:position w:val="0"/>
        </w:rPr>
        <w:t>万元。</w:t>
      </w:r>
    </w:p>
    <w:p>
      <w:pPr>
        <w:pStyle w:val="Style32"/>
        <w:keepNext w:val="0"/>
        <w:keepLines w:val="0"/>
        <w:widowControl w:val="0"/>
        <w:shd w:val="clear" w:color="auto" w:fill="auto"/>
        <w:bidi w:val="0"/>
        <w:spacing w:before="0" w:after="400" w:line="473" w:lineRule="exact"/>
        <w:ind w:left="0" w:right="0" w:firstLine="0"/>
        <w:jc w:val="left"/>
        <w:rPr>
          <w:sz w:val="24"/>
          <w:szCs w:val="24"/>
        </w:rPr>
      </w:pPr>
      <w:r>
        <w:rPr>
          <w:b/>
          <w:bCs/>
          <w:color w:val="000000"/>
          <w:spacing w:val="0"/>
          <w:w w:val="100"/>
          <w:position w:val="0"/>
          <w:sz w:val="24"/>
          <w:szCs w:val="24"/>
        </w:rPr>
        <w:t>十、年度报告披露后面临暂停上市和终止上市情况</w:t>
      </w:r>
    </w:p>
    <w:p>
      <w:pPr>
        <w:pStyle w:val="Style32"/>
        <w:keepNext w:val="0"/>
        <w:keepLines w:val="0"/>
        <w:widowControl w:val="0"/>
        <w:shd w:val="clear" w:color="auto" w:fill="auto"/>
        <w:bidi w:val="0"/>
        <w:spacing w:before="0" w:after="0" w:line="449" w:lineRule="auto"/>
        <w:ind w:left="0" w:right="0" w:firstLine="46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2"/>
        <w:keepNext w:val="0"/>
        <w:keepLines w:val="0"/>
        <w:widowControl w:val="0"/>
        <w:shd w:val="clear" w:color="auto" w:fill="auto"/>
        <w:bidi w:val="0"/>
        <w:spacing w:before="0" w:after="400" w:line="473" w:lineRule="exact"/>
        <w:ind w:left="0" w:right="0" w:firstLine="0"/>
        <w:jc w:val="left"/>
        <w:rPr>
          <w:sz w:val="24"/>
          <w:szCs w:val="24"/>
        </w:rPr>
      </w:pPr>
      <w:r>
        <w:rPr>
          <w:b/>
          <w:bCs/>
          <w:color w:val="000000"/>
          <w:spacing w:val="0"/>
          <w:w w:val="100"/>
          <w:position w:val="0"/>
          <w:sz w:val="24"/>
          <w:szCs w:val="24"/>
        </w:rPr>
        <w:t>十一、破产重整相关事项</w:t>
      </w:r>
    </w:p>
    <w:p>
      <w:pPr>
        <w:pStyle w:val="Style32"/>
        <w:keepNext w:val="0"/>
        <w:keepLines w:val="0"/>
        <w:widowControl w:val="0"/>
        <w:shd w:val="clear" w:color="auto" w:fill="auto"/>
        <w:bidi w:val="0"/>
        <w:spacing w:before="0" w:after="0" w:line="449" w:lineRule="auto"/>
        <w:ind w:left="0" w:right="0" w:firstLine="46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2"/>
        <w:keepNext w:val="0"/>
        <w:keepLines w:val="0"/>
        <w:widowControl w:val="0"/>
        <w:shd w:val="clear" w:color="auto" w:fill="auto"/>
        <w:bidi w:val="0"/>
        <w:spacing w:before="0" w:after="200" w:line="473" w:lineRule="exact"/>
        <w:ind w:left="0" w:right="0" w:firstLine="460"/>
        <w:jc w:val="left"/>
      </w:pPr>
      <w:r>
        <w:rPr>
          <w:color w:val="000000"/>
          <w:spacing w:val="0"/>
          <w:w w:val="100"/>
          <w:position w:val="0"/>
        </w:rPr>
        <w:t>公司报告期未发生破产重整相关事项。</w:t>
      </w:r>
    </w:p>
    <w:p>
      <w:pPr>
        <w:pStyle w:val="Style32"/>
        <w:keepNext w:val="0"/>
        <w:keepLines w:val="0"/>
        <w:widowControl w:val="0"/>
        <w:shd w:val="clear" w:color="auto" w:fill="auto"/>
        <w:bidi w:val="0"/>
        <w:spacing w:before="0" w:after="400" w:line="473" w:lineRule="exact"/>
        <w:ind w:left="0" w:right="0" w:firstLine="0"/>
        <w:jc w:val="left"/>
        <w:rPr>
          <w:sz w:val="24"/>
          <w:szCs w:val="24"/>
        </w:rPr>
      </w:pPr>
      <w:r>
        <w:rPr>
          <w:b/>
          <w:bCs/>
          <w:color w:val="000000"/>
          <w:spacing w:val="0"/>
          <w:w w:val="100"/>
          <w:position w:val="0"/>
          <w:sz w:val="24"/>
          <w:szCs w:val="24"/>
        </w:rPr>
        <w:t>十二、重大诉讼、仲裁事项</w:t>
      </w:r>
    </w:p>
    <w:p>
      <w:pPr>
        <w:pStyle w:val="Style32"/>
        <w:keepNext w:val="0"/>
        <w:keepLines w:val="0"/>
        <w:widowControl w:val="0"/>
        <w:shd w:val="clear" w:color="auto" w:fill="auto"/>
        <w:bidi w:val="0"/>
        <w:spacing w:before="0" w:after="0" w:line="449" w:lineRule="auto"/>
        <w:ind w:left="0" w:right="0" w:firstLine="46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2"/>
        <w:keepNext w:val="0"/>
        <w:keepLines w:val="0"/>
        <w:widowControl w:val="0"/>
        <w:shd w:val="clear" w:color="auto" w:fill="auto"/>
        <w:bidi w:val="0"/>
        <w:spacing w:before="0" w:after="200" w:line="473" w:lineRule="exact"/>
        <w:ind w:left="0" w:right="0" w:firstLine="460"/>
        <w:jc w:val="left"/>
      </w:pPr>
      <w:r>
        <w:rPr>
          <w:color w:val="000000"/>
          <w:spacing w:val="0"/>
          <w:w w:val="100"/>
          <w:position w:val="0"/>
        </w:rPr>
        <w:t>本报告期公司无重大诉讼、仲裁事项。</w:t>
      </w:r>
    </w:p>
    <w:p>
      <w:pPr>
        <w:pStyle w:val="Style32"/>
        <w:keepNext w:val="0"/>
        <w:keepLines w:val="0"/>
        <w:widowControl w:val="0"/>
        <w:shd w:val="clear" w:color="auto" w:fill="auto"/>
        <w:bidi w:val="0"/>
        <w:spacing w:before="0" w:after="400" w:line="473" w:lineRule="exact"/>
        <w:ind w:left="0" w:right="0" w:firstLine="0"/>
        <w:jc w:val="left"/>
        <w:rPr>
          <w:sz w:val="24"/>
          <w:szCs w:val="24"/>
        </w:rPr>
      </w:pPr>
      <w:r>
        <w:rPr>
          <w:b/>
          <w:bCs/>
          <w:color w:val="000000"/>
          <w:spacing w:val="0"/>
          <w:w w:val="100"/>
          <w:position w:val="0"/>
          <w:sz w:val="24"/>
          <w:szCs w:val="24"/>
        </w:rPr>
        <w:t>十三、处罚及整改情况</w:t>
      </w:r>
    </w:p>
    <w:p>
      <w:pPr>
        <w:pStyle w:val="Style32"/>
        <w:keepNext w:val="0"/>
        <w:keepLines w:val="0"/>
        <w:widowControl w:val="0"/>
        <w:shd w:val="clear" w:color="auto" w:fill="auto"/>
        <w:bidi w:val="0"/>
        <w:spacing w:before="0" w:after="0" w:line="449" w:lineRule="auto"/>
        <w:ind w:left="0" w:right="0" w:firstLine="46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2"/>
        <w:keepNext w:val="0"/>
        <w:keepLines w:val="0"/>
        <w:widowControl w:val="0"/>
        <w:shd w:val="clear" w:color="auto" w:fill="auto"/>
        <w:bidi w:val="0"/>
        <w:spacing w:before="0" w:after="200" w:line="473" w:lineRule="exact"/>
        <w:ind w:left="0" w:right="0" w:firstLine="460"/>
        <w:jc w:val="left"/>
      </w:pPr>
      <w:r>
        <w:rPr>
          <w:color w:val="000000"/>
          <w:spacing w:val="0"/>
          <w:w w:val="100"/>
          <w:position w:val="0"/>
        </w:rPr>
        <w:t>公司报告期不存在处罚及整改情况。</w:t>
      </w:r>
    </w:p>
    <w:p>
      <w:pPr>
        <w:pStyle w:val="Style32"/>
        <w:keepNext w:val="0"/>
        <w:keepLines w:val="0"/>
        <w:widowControl w:val="0"/>
        <w:shd w:val="clear" w:color="auto" w:fill="auto"/>
        <w:bidi w:val="0"/>
        <w:spacing w:before="0" w:after="400" w:line="473" w:lineRule="exact"/>
        <w:ind w:left="0" w:right="0" w:firstLine="0"/>
        <w:jc w:val="left"/>
        <w:rPr>
          <w:sz w:val="24"/>
          <w:szCs w:val="24"/>
        </w:rPr>
      </w:pPr>
      <w:r>
        <w:rPr>
          <w:b/>
          <w:bCs/>
          <w:color w:val="000000"/>
          <w:spacing w:val="0"/>
          <w:w w:val="100"/>
          <w:position w:val="0"/>
          <w:sz w:val="24"/>
          <w:szCs w:val="24"/>
        </w:rPr>
        <w:t>十四、公司及其控股股东、实际控制人的诚信状况</w:t>
      </w:r>
    </w:p>
    <w:p>
      <w:pPr>
        <w:pStyle w:val="Style32"/>
        <w:keepNext w:val="0"/>
        <w:keepLines w:val="0"/>
        <w:widowControl w:val="0"/>
        <w:shd w:val="clear" w:color="auto" w:fill="auto"/>
        <w:bidi w:val="0"/>
        <w:spacing w:before="0" w:after="300" w:line="240" w:lineRule="auto"/>
        <w:ind w:left="0" w:right="0" w:firstLine="46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2"/>
        <w:keepNext w:val="0"/>
        <w:keepLines w:val="0"/>
        <w:widowControl w:val="0"/>
        <w:shd w:val="clear" w:color="auto" w:fill="auto"/>
        <w:bidi w:val="0"/>
        <w:spacing w:before="0" w:after="200" w:line="480" w:lineRule="exact"/>
        <w:ind w:left="0" w:right="0" w:firstLine="460"/>
        <w:jc w:val="left"/>
      </w:pPr>
      <w:r>
        <w:rPr>
          <w:color w:val="000000"/>
          <w:spacing w:val="0"/>
          <w:w w:val="100"/>
          <w:position w:val="0"/>
        </w:rPr>
        <w:t>报告期内，公司及其控股股东、实际控制人诚信状况良好，不存在未履行法院生效判决、所负 数额较大的债务到期未清偿等情况。</w:t>
      </w:r>
    </w:p>
    <w:p>
      <w:pPr>
        <w:pStyle w:val="Style32"/>
        <w:keepNext w:val="0"/>
        <w:keepLines w:val="0"/>
        <w:widowControl w:val="0"/>
        <w:shd w:val="clear" w:color="auto" w:fill="auto"/>
        <w:bidi w:val="0"/>
        <w:spacing w:before="0" w:after="200" w:line="472" w:lineRule="exact"/>
        <w:ind w:left="0" w:right="0" w:firstLine="0"/>
        <w:jc w:val="left"/>
        <w:rPr>
          <w:sz w:val="24"/>
          <w:szCs w:val="24"/>
        </w:rPr>
      </w:pPr>
      <w:r>
        <w:rPr>
          <w:b/>
          <w:bCs/>
          <w:color w:val="000000"/>
          <w:spacing w:val="0"/>
          <w:w w:val="100"/>
          <w:position w:val="0"/>
          <w:sz w:val="24"/>
          <w:szCs w:val="24"/>
        </w:rPr>
        <w:t>十五、公司股权激励计划、员工持股计划或其他员工激励措施的实施情况</w:t>
      </w:r>
    </w:p>
    <w:p>
      <w:pPr>
        <w:pStyle w:val="Style38"/>
        <w:keepNext/>
        <w:keepLines/>
        <w:widowControl w:val="0"/>
        <w:shd w:val="clear" w:color="auto" w:fill="auto"/>
        <w:bidi w:val="0"/>
        <w:spacing w:before="0" w:after="0" w:line="472" w:lineRule="exact"/>
        <w:ind w:left="0" w:right="0" w:firstLine="460"/>
        <w:jc w:val="left"/>
      </w:pPr>
      <w:bookmarkStart w:id="252" w:name="bookmark252"/>
      <w:bookmarkStart w:id="253" w:name="bookmark253"/>
      <w:bookmarkStart w:id="254" w:name="bookmark254"/>
      <w:bookmarkStart w:id="255" w:name="bookmark255"/>
      <w:r>
        <w:rPr>
          <w:color w:val="000000"/>
          <w:spacing w:val="0"/>
          <w:w w:val="100"/>
          <w:position w:val="0"/>
        </w:rPr>
        <w:t>（</w:t>
      </w:r>
      <w:bookmarkEnd w:id="254"/>
      <w:r>
        <w:rPr>
          <w:color w:val="000000"/>
          <w:spacing w:val="0"/>
          <w:w w:val="100"/>
          <w:position w:val="0"/>
        </w:rPr>
        <w:t>一）</w:t>
      </w:r>
      <w:r>
        <w:rPr>
          <w:rFonts w:ascii="Times New Roman" w:eastAsia="Times New Roman" w:hAnsi="Times New Roman" w:cs="Times New Roman"/>
          <w:color w:val="000000"/>
          <w:spacing w:val="0"/>
          <w:w w:val="100"/>
          <w:position w:val="0"/>
        </w:rPr>
        <w:t>2014</w:t>
      </w:r>
      <w:r>
        <w:rPr>
          <w:color w:val="000000"/>
          <w:spacing w:val="0"/>
          <w:w w:val="100"/>
          <w:position w:val="0"/>
        </w:rPr>
        <w:t>年员工持股计划</w:t>
      </w:r>
      <w:bookmarkEnd w:id="252"/>
      <w:bookmarkEnd w:id="253"/>
      <w:bookmarkEnd w:id="255"/>
    </w:p>
    <w:p>
      <w:pPr>
        <w:pStyle w:val="Style32"/>
        <w:keepNext w:val="0"/>
        <w:keepLines w:val="0"/>
        <w:widowControl w:val="0"/>
        <w:shd w:val="clear" w:color="auto" w:fill="auto"/>
        <w:bidi w:val="0"/>
        <w:spacing w:before="0" w:after="200" w:line="472" w:lineRule="exact"/>
        <w:ind w:left="0" w:right="0" w:firstLine="460"/>
        <w:jc w:val="both"/>
      </w:pPr>
      <w:r>
        <w:rPr>
          <w:color w:val="000000"/>
          <w:spacing w:val="0"/>
          <w:w w:val="100"/>
          <w:position w:val="0"/>
        </w:rPr>
        <w:t>公司第五届董事会第十一次会议审议，</w:t>
      </w:r>
      <w:r>
        <w:rPr>
          <w:rFonts w:ascii="Times New Roman" w:eastAsia="Times New Roman" w:hAnsi="Times New Roman" w:cs="Times New Roman"/>
          <w:color w:val="000000"/>
          <w:spacing w:val="0"/>
          <w:w w:val="100"/>
          <w:position w:val="0"/>
        </w:rPr>
        <w:t>2014</w:t>
      </w:r>
      <w:r>
        <w:rPr>
          <w:color w:val="000000"/>
          <w:spacing w:val="0"/>
          <w:w w:val="100"/>
          <w:position w:val="0"/>
        </w:rPr>
        <w:t>年第二次临时股东大会决议通过《苏宁云商集团股 份有限公司</w:t>
      </w:r>
      <w:r>
        <w:rPr>
          <w:rFonts w:ascii="Times New Roman" w:eastAsia="Times New Roman" w:hAnsi="Times New Roman" w:cs="Times New Roman"/>
          <w:color w:val="000000"/>
          <w:spacing w:val="0"/>
          <w:w w:val="100"/>
          <w:position w:val="0"/>
        </w:rPr>
        <w:t>2014</w:t>
      </w:r>
      <w:r>
        <w:rPr>
          <w:color w:val="000000"/>
          <w:spacing w:val="0"/>
          <w:w w:val="100"/>
          <w:position w:val="0"/>
        </w:rPr>
        <w:t>年员工持股计划（草案）》及其相关议案。公司</w:t>
      </w:r>
      <w:r>
        <w:rPr>
          <w:rFonts w:ascii="Times New Roman" w:eastAsia="Times New Roman" w:hAnsi="Times New Roman" w:cs="Times New Roman"/>
          <w:color w:val="000000"/>
          <w:spacing w:val="0"/>
          <w:w w:val="100"/>
          <w:position w:val="0"/>
        </w:rPr>
        <w:t>2014</w:t>
      </w:r>
      <w:r>
        <w:rPr>
          <w:color w:val="000000"/>
          <w:spacing w:val="0"/>
          <w:w w:val="100"/>
          <w:position w:val="0"/>
        </w:rPr>
        <w:t>年员工持股计划实施情况内容 如下：</w:t>
      </w:r>
    </w:p>
    <w:p>
      <w:pPr>
        <w:pStyle w:val="Style32"/>
        <w:keepNext w:val="0"/>
        <w:keepLines w:val="0"/>
        <w:widowControl w:val="0"/>
        <w:shd w:val="clear" w:color="auto" w:fill="auto"/>
        <w:tabs>
          <w:tab w:pos="875" w:val="left"/>
        </w:tabs>
        <w:bidi w:val="0"/>
        <w:spacing w:before="0" w:after="0" w:line="449" w:lineRule="auto"/>
        <w:ind w:left="0" w:right="0" w:firstLine="460"/>
        <w:jc w:val="both"/>
      </w:pPr>
      <w:bookmarkStart w:id="256" w:name="bookmark256"/>
      <w:r>
        <w:rPr>
          <w:rFonts w:ascii="Times New Roman" w:eastAsia="Times New Roman" w:hAnsi="Times New Roman" w:cs="Times New Roman"/>
          <w:color w:val="000000"/>
          <w:spacing w:val="0"/>
          <w:w w:val="100"/>
          <w:position w:val="0"/>
        </w:rPr>
        <w:t>1</w:t>
      </w:r>
      <w:bookmarkEnd w:id="256"/>
      <w:r>
        <w:rPr>
          <w:color w:val="000000"/>
          <w:spacing w:val="0"/>
          <w:w w:val="100"/>
          <w:position w:val="0"/>
        </w:rPr>
        <w:t>、</w:t>
        <w:tab/>
        <w:t>持股员工的范围</w:t>
      </w:r>
    </w:p>
    <w:p>
      <w:pPr>
        <w:pStyle w:val="Style32"/>
        <w:keepNext w:val="0"/>
        <w:keepLines w:val="0"/>
        <w:widowControl w:val="0"/>
        <w:shd w:val="clear" w:color="auto" w:fill="auto"/>
        <w:bidi w:val="0"/>
        <w:spacing w:before="0" w:after="0" w:line="472" w:lineRule="exact"/>
        <w:ind w:left="0" w:right="0" w:firstLine="460"/>
        <w:jc w:val="left"/>
      </w:pPr>
      <w:r>
        <w:rPr>
          <w:color w:val="000000"/>
          <w:spacing w:val="0"/>
          <w:w w:val="100"/>
          <w:position w:val="0"/>
        </w:rPr>
        <w:t>本次员工持股计划的参加对象及确定标准为符合以下条件之一的公司员工：</w:t>
      </w:r>
    </w:p>
    <w:p>
      <w:pPr>
        <w:pStyle w:val="Style32"/>
        <w:keepNext w:val="0"/>
        <w:keepLines w:val="0"/>
        <w:widowControl w:val="0"/>
        <w:shd w:val="clear" w:color="auto" w:fill="auto"/>
        <w:tabs>
          <w:tab w:pos="958" w:val="left"/>
        </w:tabs>
        <w:bidi w:val="0"/>
        <w:spacing w:before="0" w:after="0" w:line="472" w:lineRule="exact"/>
        <w:ind w:left="0" w:right="0" w:firstLine="460"/>
        <w:jc w:val="left"/>
      </w:pPr>
      <w:bookmarkStart w:id="257" w:name="bookmark257"/>
      <w:r>
        <w:rPr>
          <w:color w:val="000000"/>
          <w:spacing w:val="0"/>
          <w:w w:val="100"/>
          <w:position w:val="0"/>
        </w:rPr>
        <w:t>（</w:t>
      </w:r>
      <w:bookmarkEnd w:id="257"/>
      <w:r>
        <w:rPr>
          <w:rFonts w:ascii="Times New Roman" w:eastAsia="Times New Roman" w:hAnsi="Times New Roman" w:cs="Times New Roman"/>
          <w:color w:val="000000"/>
          <w:spacing w:val="0"/>
          <w:w w:val="100"/>
          <w:position w:val="0"/>
        </w:rPr>
        <w:t>1</w:t>
      </w:r>
      <w:r>
        <w:rPr>
          <w:color w:val="000000"/>
          <w:spacing w:val="0"/>
          <w:w w:val="100"/>
          <w:position w:val="0"/>
        </w:rPr>
        <w:t>）</w:t>
        <w:tab/>
        <w:t>公司董事、监事和高级管理人员；</w:t>
      </w:r>
    </w:p>
    <w:p>
      <w:pPr>
        <w:pStyle w:val="Style32"/>
        <w:keepNext w:val="0"/>
        <w:keepLines w:val="0"/>
        <w:widowControl w:val="0"/>
        <w:shd w:val="clear" w:color="auto" w:fill="auto"/>
        <w:tabs>
          <w:tab w:pos="958" w:val="left"/>
        </w:tabs>
        <w:bidi w:val="0"/>
        <w:spacing w:before="0" w:after="0" w:line="472" w:lineRule="exact"/>
        <w:ind w:left="0" w:right="0" w:firstLine="460"/>
        <w:jc w:val="left"/>
      </w:pPr>
      <w:bookmarkStart w:id="258" w:name="bookmark258"/>
      <w:r>
        <w:rPr>
          <w:color w:val="000000"/>
          <w:spacing w:val="0"/>
          <w:w w:val="100"/>
          <w:position w:val="0"/>
        </w:rPr>
        <w:t>（</w:t>
      </w:r>
      <w:bookmarkEnd w:id="258"/>
      <w:r>
        <w:rPr>
          <w:rFonts w:ascii="Times New Roman" w:eastAsia="Times New Roman" w:hAnsi="Times New Roman" w:cs="Times New Roman"/>
          <w:color w:val="000000"/>
          <w:spacing w:val="0"/>
          <w:w w:val="100"/>
          <w:position w:val="0"/>
        </w:rPr>
        <w:t>2</w:t>
      </w:r>
      <w:r>
        <w:rPr>
          <w:color w:val="000000"/>
          <w:spacing w:val="0"/>
          <w:w w:val="100"/>
          <w:position w:val="0"/>
        </w:rPr>
        <w:t>）</w:t>
        <w:tab/>
        <w:t>公司正经理级部门负责人及以上岗位人员；</w:t>
      </w:r>
    </w:p>
    <w:p>
      <w:pPr>
        <w:pStyle w:val="Style32"/>
        <w:keepNext w:val="0"/>
        <w:keepLines w:val="0"/>
        <w:widowControl w:val="0"/>
        <w:shd w:val="clear" w:color="auto" w:fill="auto"/>
        <w:tabs>
          <w:tab w:pos="958" w:val="left"/>
        </w:tabs>
        <w:bidi w:val="0"/>
        <w:spacing w:before="0" w:after="0" w:line="472" w:lineRule="exact"/>
        <w:ind w:left="0" w:right="0" w:firstLine="460"/>
        <w:jc w:val="left"/>
      </w:pPr>
      <w:bookmarkStart w:id="259" w:name="bookmark259"/>
      <w:r>
        <w:rPr>
          <w:color w:val="000000"/>
          <w:spacing w:val="0"/>
          <w:w w:val="100"/>
          <w:position w:val="0"/>
        </w:rPr>
        <w:t>（</w:t>
      </w:r>
      <w:bookmarkEnd w:id="259"/>
      <w:r>
        <w:rPr>
          <w:rFonts w:ascii="Times New Roman" w:eastAsia="Times New Roman" w:hAnsi="Times New Roman" w:cs="Times New Roman"/>
          <w:color w:val="000000"/>
          <w:spacing w:val="0"/>
          <w:w w:val="100"/>
          <w:position w:val="0"/>
        </w:rPr>
        <w:t>3</w:t>
      </w:r>
      <w:r>
        <w:rPr>
          <w:color w:val="000000"/>
          <w:spacing w:val="0"/>
          <w:w w:val="100"/>
          <w:position w:val="0"/>
        </w:rPr>
        <w:t>）</w:t>
        <w:tab/>
        <w:t>公司正经理级及以上店长人员；</w:t>
      </w:r>
    </w:p>
    <w:p>
      <w:pPr>
        <w:pStyle w:val="Style32"/>
        <w:keepNext w:val="0"/>
        <w:keepLines w:val="0"/>
        <w:widowControl w:val="0"/>
        <w:shd w:val="clear" w:color="auto" w:fill="auto"/>
        <w:tabs>
          <w:tab w:pos="958" w:val="left"/>
        </w:tabs>
        <w:bidi w:val="0"/>
        <w:spacing w:before="0" w:after="0" w:line="472" w:lineRule="exact"/>
        <w:ind w:left="0" w:right="0" w:firstLine="460"/>
        <w:jc w:val="left"/>
      </w:pPr>
      <w:bookmarkStart w:id="260" w:name="bookmark260"/>
      <w:r>
        <w:rPr>
          <w:color w:val="000000"/>
          <w:spacing w:val="0"/>
          <w:w w:val="100"/>
          <w:position w:val="0"/>
        </w:rPr>
        <w:t>（</w:t>
      </w:r>
      <w:bookmarkEnd w:id="260"/>
      <w:r>
        <w:rPr>
          <w:rFonts w:ascii="Times New Roman" w:eastAsia="Times New Roman" w:hAnsi="Times New Roman" w:cs="Times New Roman"/>
          <w:color w:val="000000"/>
          <w:spacing w:val="0"/>
          <w:w w:val="100"/>
          <w:position w:val="0"/>
        </w:rPr>
        <w:t>4</w:t>
      </w:r>
      <w:r>
        <w:rPr>
          <w:color w:val="000000"/>
          <w:spacing w:val="0"/>
          <w:w w:val="100"/>
          <w:position w:val="0"/>
        </w:rPr>
        <w:t>）</w:t>
        <w:tab/>
        <w:t>公司正经理级及以上信息技术员工；</w:t>
      </w:r>
    </w:p>
    <w:p>
      <w:pPr>
        <w:pStyle w:val="Style32"/>
        <w:keepNext w:val="0"/>
        <w:keepLines w:val="0"/>
        <w:widowControl w:val="0"/>
        <w:shd w:val="clear" w:color="auto" w:fill="auto"/>
        <w:tabs>
          <w:tab w:pos="958" w:val="left"/>
        </w:tabs>
        <w:bidi w:val="0"/>
        <w:spacing w:before="0" w:after="200" w:line="472" w:lineRule="exact"/>
        <w:ind w:left="0" w:right="0" w:firstLine="460"/>
        <w:jc w:val="left"/>
      </w:pPr>
      <w:bookmarkStart w:id="261" w:name="bookmark261"/>
      <w:r>
        <w:rPr>
          <w:color w:val="000000"/>
          <w:spacing w:val="0"/>
          <w:w w:val="100"/>
          <w:position w:val="0"/>
        </w:rPr>
        <w:t>（</w:t>
      </w:r>
      <w:bookmarkEnd w:id="261"/>
      <w:r>
        <w:rPr>
          <w:rFonts w:ascii="Times New Roman" w:eastAsia="Times New Roman" w:hAnsi="Times New Roman" w:cs="Times New Roman"/>
          <w:color w:val="000000"/>
          <w:spacing w:val="0"/>
          <w:w w:val="100"/>
          <w:position w:val="0"/>
        </w:rPr>
        <w:t>5</w:t>
      </w:r>
      <w:r>
        <w:rPr>
          <w:color w:val="000000"/>
          <w:spacing w:val="0"/>
          <w:w w:val="100"/>
          <w:position w:val="0"/>
        </w:rPr>
        <w:t>）</w:t>
        <w:tab/>
        <w:t>公司认可的有特殊贡献的其他员工。</w:t>
      </w:r>
    </w:p>
    <w:p>
      <w:pPr>
        <w:pStyle w:val="Style32"/>
        <w:keepNext w:val="0"/>
        <w:keepLines w:val="0"/>
        <w:widowControl w:val="0"/>
        <w:shd w:val="clear" w:color="auto" w:fill="auto"/>
        <w:tabs>
          <w:tab w:pos="875" w:val="left"/>
        </w:tabs>
        <w:bidi w:val="0"/>
        <w:spacing w:before="0" w:after="0" w:line="449" w:lineRule="auto"/>
        <w:ind w:left="0" w:right="0" w:firstLine="460"/>
        <w:jc w:val="left"/>
      </w:pPr>
      <w:bookmarkStart w:id="262" w:name="bookmark262"/>
      <w:r>
        <w:rPr>
          <w:rFonts w:ascii="Times New Roman" w:eastAsia="Times New Roman" w:hAnsi="Times New Roman" w:cs="Times New Roman"/>
          <w:color w:val="000000"/>
          <w:spacing w:val="0"/>
          <w:w w:val="100"/>
          <w:position w:val="0"/>
        </w:rPr>
        <w:t>2</w:t>
      </w:r>
      <w:bookmarkEnd w:id="262"/>
      <w:r>
        <w:rPr>
          <w:color w:val="000000"/>
          <w:spacing w:val="0"/>
          <w:w w:val="100"/>
          <w:position w:val="0"/>
        </w:rPr>
        <w:t>、</w:t>
        <w:tab/>
        <w:t>实施员工持股计划的资金来源</w:t>
      </w:r>
    </w:p>
    <w:p>
      <w:pPr>
        <w:pStyle w:val="Style32"/>
        <w:keepNext w:val="0"/>
        <w:keepLines w:val="0"/>
        <w:widowControl w:val="0"/>
        <w:shd w:val="clear" w:color="auto" w:fill="auto"/>
        <w:bidi w:val="0"/>
        <w:spacing w:before="0" w:after="0" w:line="472" w:lineRule="exact"/>
        <w:ind w:left="0" w:right="0" w:firstLine="460"/>
        <w:jc w:val="left"/>
      </w:pPr>
      <w:r>
        <w:rPr>
          <w:color w:val="000000"/>
          <w:spacing w:val="0"/>
          <w:w w:val="100"/>
          <w:position w:val="0"/>
        </w:rPr>
        <w:t>本次员工持股计划的资金来源为公司员工的合法薪酬和通过法律、行政法规允许的其他方式取 得的资金，具体包括：</w:t>
      </w:r>
    </w:p>
    <w:p>
      <w:pPr>
        <w:pStyle w:val="Style32"/>
        <w:keepNext w:val="0"/>
        <w:keepLines w:val="0"/>
        <w:widowControl w:val="0"/>
        <w:shd w:val="clear" w:color="auto" w:fill="auto"/>
        <w:tabs>
          <w:tab w:pos="958" w:val="left"/>
        </w:tabs>
        <w:bidi w:val="0"/>
        <w:spacing w:before="0" w:after="0" w:line="472" w:lineRule="exact"/>
        <w:ind w:left="0" w:right="0" w:firstLine="460"/>
        <w:jc w:val="left"/>
      </w:pPr>
      <w:bookmarkStart w:id="263" w:name="bookmark263"/>
      <w:r>
        <w:rPr>
          <w:color w:val="000000"/>
          <w:spacing w:val="0"/>
          <w:w w:val="100"/>
          <w:position w:val="0"/>
        </w:rPr>
        <w:t>（</w:t>
      </w:r>
      <w:bookmarkEnd w:id="263"/>
      <w:r>
        <w:rPr>
          <w:rFonts w:ascii="Times New Roman" w:eastAsia="Times New Roman" w:hAnsi="Times New Roman" w:cs="Times New Roman"/>
          <w:color w:val="000000"/>
          <w:spacing w:val="0"/>
          <w:w w:val="100"/>
          <w:position w:val="0"/>
        </w:rPr>
        <w:t>1</w:t>
      </w:r>
      <w:r>
        <w:rPr>
          <w:color w:val="000000"/>
          <w:spacing w:val="0"/>
          <w:w w:val="100"/>
          <w:position w:val="0"/>
        </w:rPr>
        <w:t>）</w:t>
        <w:tab/>
        <w:t>公司员工的自筹资金；</w:t>
      </w:r>
    </w:p>
    <w:p>
      <w:pPr>
        <w:pStyle w:val="Style32"/>
        <w:keepNext w:val="0"/>
        <w:keepLines w:val="0"/>
        <w:widowControl w:val="0"/>
        <w:shd w:val="clear" w:color="auto" w:fill="auto"/>
        <w:tabs>
          <w:tab w:pos="1045" w:val="left"/>
        </w:tabs>
        <w:bidi w:val="0"/>
        <w:spacing w:before="0" w:after="200" w:line="472" w:lineRule="exact"/>
        <w:ind w:left="0" w:right="0" w:firstLine="460"/>
        <w:jc w:val="left"/>
      </w:pPr>
      <w:bookmarkStart w:id="264" w:name="bookmark264"/>
      <w:r>
        <w:rPr>
          <w:color w:val="000000"/>
          <w:spacing w:val="0"/>
          <w:w w:val="100"/>
          <w:position w:val="0"/>
        </w:rPr>
        <w:t>（</w:t>
      </w:r>
      <w:bookmarkEnd w:id="264"/>
      <w:r>
        <w:rPr>
          <w:rFonts w:ascii="Times New Roman" w:eastAsia="Times New Roman" w:hAnsi="Times New Roman" w:cs="Times New Roman"/>
          <w:color w:val="000000"/>
          <w:spacing w:val="0"/>
          <w:w w:val="100"/>
          <w:position w:val="0"/>
        </w:rPr>
        <w:t>2</w:t>
      </w:r>
      <w:r>
        <w:rPr>
          <w:color w:val="000000"/>
          <w:spacing w:val="0"/>
          <w:w w:val="100"/>
          <w:position w:val="0"/>
        </w:rPr>
        <w:t>）</w:t>
        <w:tab/>
        <w:t>公司控股股东张近东先生以其持有的部分标的股票向安信证券申请质押融资取得资金，向 员工持股计划提供借款支持，借款部分与自筹资金部分的比例为</w:t>
      </w:r>
      <w:r>
        <w:rPr>
          <w:rFonts w:ascii="Times New Roman" w:eastAsia="Times New Roman" w:hAnsi="Times New Roman" w:cs="Times New Roman"/>
          <w:color w:val="000000"/>
          <w:spacing w:val="0"/>
          <w:w w:val="100"/>
          <w:position w:val="0"/>
        </w:rPr>
        <w:t>3:1</w:t>
      </w:r>
      <w:r>
        <w:rPr>
          <w:color w:val="000000"/>
          <w:spacing w:val="0"/>
          <w:w w:val="100"/>
          <w:position w:val="0"/>
        </w:rPr>
        <w:t>。</w:t>
      </w:r>
    </w:p>
    <w:p>
      <w:pPr>
        <w:pStyle w:val="Style32"/>
        <w:keepNext w:val="0"/>
        <w:keepLines w:val="0"/>
        <w:widowControl w:val="0"/>
        <w:shd w:val="clear" w:color="auto" w:fill="auto"/>
        <w:tabs>
          <w:tab w:pos="875" w:val="left"/>
        </w:tabs>
        <w:bidi w:val="0"/>
        <w:spacing w:before="0" w:after="0" w:line="449" w:lineRule="auto"/>
        <w:ind w:left="0" w:right="0" w:firstLine="460"/>
        <w:jc w:val="left"/>
      </w:pPr>
      <w:bookmarkStart w:id="265" w:name="bookmark265"/>
      <w:r>
        <w:rPr>
          <w:rFonts w:ascii="Times New Roman" w:eastAsia="Times New Roman" w:hAnsi="Times New Roman" w:cs="Times New Roman"/>
          <w:color w:val="000000"/>
          <w:spacing w:val="0"/>
          <w:w w:val="100"/>
          <w:position w:val="0"/>
        </w:rPr>
        <w:t>3</w:t>
      </w:r>
      <w:bookmarkEnd w:id="265"/>
      <w:r>
        <w:rPr>
          <w:color w:val="000000"/>
          <w:spacing w:val="0"/>
          <w:w w:val="100"/>
          <w:position w:val="0"/>
        </w:rPr>
        <w:t>、</w:t>
        <w:tab/>
        <w:t>报告期内员工持股计划持有的股票总额及占上市公司股本总额的比例</w:t>
      </w:r>
    </w:p>
    <w:p>
      <w:pPr>
        <w:pStyle w:val="Style32"/>
        <w:keepNext w:val="0"/>
        <w:keepLines w:val="0"/>
        <w:widowControl w:val="0"/>
        <w:shd w:val="clear" w:color="auto" w:fill="auto"/>
        <w:bidi w:val="0"/>
        <w:spacing w:before="0" w:after="200" w:line="472" w:lineRule="exact"/>
        <w:ind w:left="0" w:right="0" w:firstLine="46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日，本员工持股计划持有公司股份数</w:t>
      </w:r>
      <w:r>
        <w:rPr>
          <w:rFonts w:ascii="Times New Roman" w:eastAsia="Times New Roman" w:hAnsi="Times New Roman" w:cs="Times New Roman"/>
          <w:color w:val="000000"/>
          <w:spacing w:val="0"/>
          <w:w w:val="100"/>
          <w:position w:val="0"/>
        </w:rPr>
        <w:t>61,056,374</w:t>
      </w:r>
      <w:r>
        <w:rPr>
          <w:color w:val="000000"/>
          <w:spacing w:val="0"/>
          <w:w w:val="100"/>
          <w:position w:val="0"/>
        </w:rPr>
        <w:t>股，占公司总股本的比例为</w:t>
      </w:r>
    </w:p>
    <w:p>
      <w:pPr>
        <w:pStyle w:val="Style53"/>
        <w:keepNext w:val="0"/>
        <w:keepLines w:val="0"/>
        <w:widowControl w:val="0"/>
        <w:shd w:val="clear" w:color="auto" w:fill="auto"/>
        <w:bidi w:val="0"/>
        <w:spacing w:before="0" w:line="449" w:lineRule="auto"/>
        <w:ind w:left="0" w:right="0" w:firstLine="0"/>
        <w:jc w:val="both"/>
      </w:pPr>
      <w:r>
        <w:rPr>
          <w:color w:val="000000"/>
          <w:spacing w:val="0"/>
          <w:w w:val="100"/>
          <w:position w:val="0"/>
        </w:rPr>
        <w:t>0.66%</w:t>
      </w:r>
      <w:r>
        <w:rPr>
          <w:rFonts w:ascii="SimSun" w:eastAsia="SimSun" w:hAnsi="SimSun" w:cs="SimSun"/>
          <w:color w:val="000000"/>
          <w:spacing w:val="0"/>
          <w:w w:val="100"/>
          <w:position w:val="0"/>
        </w:rPr>
        <w:t>。</w:t>
      </w:r>
    </w:p>
    <w:p>
      <w:pPr>
        <w:pStyle w:val="Style32"/>
        <w:keepNext w:val="0"/>
        <w:keepLines w:val="0"/>
        <w:widowControl w:val="0"/>
        <w:shd w:val="clear" w:color="auto" w:fill="auto"/>
        <w:tabs>
          <w:tab w:pos="875" w:val="left"/>
        </w:tabs>
        <w:bidi w:val="0"/>
        <w:spacing w:before="0" w:after="0" w:line="449" w:lineRule="auto"/>
        <w:ind w:left="0" w:right="0" w:firstLine="460"/>
        <w:jc w:val="left"/>
      </w:pPr>
      <w:bookmarkStart w:id="266" w:name="bookmark266"/>
      <w:r>
        <w:rPr>
          <w:rFonts w:ascii="Times New Roman" w:eastAsia="Times New Roman" w:hAnsi="Times New Roman" w:cs="Times New Roman"/>
          <w:color w:val="000000"/>
          <w:spacing w:val="0"/>
          <w:w w:val="100"/>
          <w:position w:val="0"/>
        </w:rPr>
        <w:t>4</w:t>
      </w:r>
      <w:bookmarkEnd w:id="266"/>
      <w:r>
        <w:rPr>
          <w:color w:val="000000"/>
          <w:spacing w:val="0"/>
          <w:w w:val="100"/>
          <w:position w:val="0"/>
        </w:rPr>
        <w:t>、</w:t>
        <w:tab/>
        <w:t>因员工持股计划持有人处分权利引起的计划股份权益变动情况</w:t>
      </w:r>
    </w:p>
    <w:p>
      <w:pPr>
        <w:pStyle w:val="Style32"/>
        <w:keepNext w:val="0"/>
        <w:keepLines w:val="0"/>
        <w:widowControl w:val="0"/>
        <w:shd w:val="clear" w:color="auto" w:fill="auto"/>
        <w:bidi w:val="0"/>
        <w:spacing w:before="0" w:after="0" w:line="472" w:lineRule="exact"/>
        <w:ind w:left="0" w:right="0" w:firstLine="460"/>
        <w:jc w:val="left"/>
      </w:pPr>
      <w:r>
        <w:rPr>
          <w:color w:val="000000"/>
          <w:spacing w:val="0"/>
          <w:w w:val="100"/>
          <w:position w:val="0"/>
        </w:rPr>
        <w:t>依据《苏宁云商</w:t>
      </w:r>
      <w:r>
        <w:rPr>
          <w:rFonts w:ascii="Times New Roman" w:eastAsia="Times New Roman" w:hAnsi="Times New Roman" w:cs="Times New Roman"/>
          <w:color w:val="000000"/>
          <w:spacing w:val="0"/>
          <w:w w:val="100"/>
          <w:position w:val="0"/>
        </w:rPr>
        <w:t>2014</w:t>
      </w:r>
      <w:r>
        <w:rPr>
          <w:color w:val="000000"/>
          <w:spacing w:val="0"/>
          <w:w w:val="100"/>
          <w:position w:val="0"/>
        </w:rPr>
        <w:t>年员工持股计划管理办法》规定，若持有人发生如下情形之一的，公司有 权取消该持有人参与本员工持股计划的资格，并将其持有的员工持股计划权益按照其自筹资金部分 原始出资金额强制转让给管理委员会指定的具备参与本员工持股计划资格的受让人：</w:t>
      </w:r>
    </w:p>
    <w:p>
      <w:pPr>
        <w:pStyle w:val="Style32"/>
        <w:keepNext w:val="0"/>
        <w:keepLines w:val="0"/>
        <w:widowControl w:val="0"/>
        <w:shd w:val="clear" w:color="auto" w:fill="auto"/>
        <w:tabs>
          <w:tab w:pos="958" w:val="left"/>
        </w:tabs>
        <w:bidi w:val="0"/>
        <w:spacing w:before="0" w:after="0" w:line="472" w:lineRule="exact"/>
        <w:ind w:left="0" w:right="0" w:firstLine="460"/>
        <w:jc w:val="left"/>
      </w:pPr>
      <w:bookmarkStart w:id="267" w:name="bookmark267"/>
      <w:r>
        <w:rPr>
          <w:color w:val="000000"/>
          <w:spacing w:val="0"/>
          <w:w w:val="100"/>
          <w:position w:val="0"/>
        </w:rPr>
        <w:t>（</w:t>
      </w:r>
      <w:bookmarkEnd w:id="267"/>
      <w:r>
        <w:rPr>
          <w:rFonts w:ascii="Times New Roman" w:eastAsia="Times New Roman" w:hAnsi="Times New Roman" w:cs="Times New Roman"/>
          <w:color w:val="000000"/>
          <w:spacing w:val="0"/>
          <w:w w:val="100"/>
          <w:position w:val="0"/>
        </w:rPr>
        <w:t>1</w:t>
      </w:r>
      <w:r>
        <w:rPr>
          <w:color w:val="000000"/>
          <w:spacing w:val="0"/>
          <w:w w:val="100"/>
          <w:position w:val="0"/>
        </w:rPr>
        <w:t>）</w:t>
        <w:tab/>
        <w:t>持有人辞职或擅自离职的；</w:t>
      </w:r>
    </w:p>
    <w:p>
      <w:pPr>
        <w:pStyle w:val="Style32"/>
        <w:keepNext w:val="0"/>
        <w:keepLines w:val="0"/>
        <w:widowControl w:val="0"/>
        <w:shd w:val="clear" w:color="auto" w:fill="auto"/>
        <w:tabs>
          <w:tab w:pos="958" w:val="left"/>
        </w:tabs>
        <w:bidi w:val="0"/>
        <w:spacing w:before="0" w:after="200" w:line="472" w:lineRule="exact"/>
        <w:ind w:left="0" w:right="0" w:firstLine="460"/>
        <w:jc w:val="left"/>
      </w:pPr>
      <w:bookmarkStart w:id="268" w:name="bookmark268"/>
      <w:r>
        <w:rPr>
          <w:color w:val="000000"/>
          <w:spacing w:val="0"/>
          <w:w w:val="100"/>
          <w:position w:val="0"/>
        </w:rPr>
        <w:t>（</w:t>
      </w:r>
      <w:bookmarkEnd w:id="268"/>
      <w:r>
        <w:rPr>
          <w:rFonts w:ascii="Times New Roman" w:eastAsia="Times New Roman" w:hAnsi="Times New Roman" w:cs="Times New Roman"/>
          <w:color w:val="000000"/>
          <w:spacing w:val="0"/>
          <w:w w:val="100"/>
          <w:position w:val="0"/>
        </w:rPr>
        <w:t>2</w:t>
      </w:r>
      <w:r>
        <w:rPr>
          <w:color w:val="000000"/>
          <w:spacing w:val="0"/>
          <w:w w:val="100"/>
          <w:position w:val="0"/>
        </w:rPr>
        <w:t>）</w:t>
        <w:tab/>
        <w:t>持有人在劳动合同到期后拒绝与公司或控股子公司续签劳动合同的；</w:t>
      </w:r>
    </w:p>
    <w:p>
      <w:pPr>
        <w:pStyle w:val="Style32"/>
        <w:keepNext w:val="0"/>
        <w:keepLines w:val="0"/>
        <w:widowControl w:val="0"/>
        <w:shd w:val="clear" w:color="auto" w:fill="auto"/>
        <w:tabs>
          <w:tab w:pos="958" w:val="left"/>
        </w:tabs>
        <w:bidi w:val="0"/>
        <w:spacing w:before="0" w:after="0" w:line="474" w:lineRule="exact"/>
        <w:ind w:left="0" w:right="0" w:firstLine="460"/>
        <w:jc w:val="left"/>
      </w:pPr>
      <w:bookmarkStart w:id="269" w:name="bookmark269"/>
      <w:r>
        <w:rPr>
          <w:color w:val="000000"/>
          <w:spacing w:val="0"/>
          <w:w w:val="100"/>
          <w:position w:val="0"/>
        </w:rPr>
        <w:t>（</w:t>
      </w:r>
      <w:bookmarkEnd w:id="269"/>
      <w:r>
        <w:rPr>
          <w:rFonts w:ascii="Times New Roman" w:eastAsia="Times New Roman" w:hAnsi="Times New Roman" w:cs="Times New Roman"/>
          <w:color w:val="000000"/>
          <w:spacing w:val="0"/>
          <w:w w:val="100"/>
          <w:position w:val="0"/>
        </w:rPr>
        <w:t>3</w:t>
      </w:r>
      <w:r>
        <w:rPr>
          <w:color w:val="000000"/>
          <w:spacing w:val="0"/>
          <w:w w:val="100"/>
          <w:position w:val="0"/>
        </w:rPr>
        <w:t>）</w:t>
        <w:tab/>
        <w:t>持有人劳动合同到期后，公司或控股子公司不与其续签劳动合同的；</w:t>
      </w:r>
    </w:p>
    <w:p>
      <w:pPr>
        <w:pStyle w:val="Style32"/>
        <w:keepNext w:val="0"/>
        <w:keepLines w:val="0"/>
        <w:widowControl w:val="0"/>
        <w:shd w:val="clear" w:color="auto" w:fill="auto"/>
        <w:tabs>
          <w:tab w:pos="958" w:val="left"/>
        </w:tabs>
        <w:bidi w:val="0"/>
        <w:spacing w:before="0" w:after="0" w:line="474" w:lineRule="exact"/>
        <w:ind w:left="0" w:right="0" w:firstLine="460"/>
        <w:jc w:val="both"/>
      </w:pPr>
      <w:bookmarkStart w:id="270" w:name="bookmark270"/>
      <w:r>
        <w:rPr>
          <w:color w:val="000000"/>
          <w:spacing w:val="0"/>
          <w:w w:val="100"/>
          <w:position w:val="0"/>
        </w:rPr>
        <w:t>（</w:t>
      </w:r>
      <w:bookmarkEnd w:id="270"/>
      <w:r>
        <w:rPr>
          <w:rFonts w:ascii="Times New Roman" w:eastAsia="Times New Roman" w:hAnsi="Times New Roman" w:cs="Times New Roman"/>
          <w:color w:val="000000"/>
          <w:spacing w:val="0"/>
          <w:w w:val="100"/>
          <w:position w:val="0"/>
        </w:rPr>
        <w:t>4</w:t>
      </w:r>
      <w:r>
        <w:rPr>
          <w:color w:val="000000"/>
          <w:spacing w:val="0"/>
          <w:w w:val="100"/>
          <w:position w:val="0"/>
        </w:rPr>
        <w:t>）</w:t>
        <w:tab/>
        <w:t>持有人因违反法律、行政法规或公司规章制度而被公司或控股子公司解除劳动合同的；</w:t>
      </w:r>
    </w:p>
    <w:p>
      <w:pPr>
        <w:pStyle w:val="Style32"/>
        <w:keepNext w:val="0"/>
        <w:keepLines w:val="0"/>
        <w:widowControl w:val="0"/>
        <w:shd w:val="clear" w:color="auto" w:fill="auto"/>
        <w:tabs>
          <w:tab w:pos="958" w:val="left"/>
        </w:tabs>
        <w:bidi w:val="0"/>
        <w:spacing w:before="0" w:after="0" w:line="474" w:lineRule="exact"/>
        <w:ind w:left="0" w:right="0" w:firstLine="460"/>
        <w:jc w:val="both"/>
      </w:pPr>
      <w:bookmarkStart w:id="271" w:name="bookmark271"/>
      <w:r>
        <w:rPr>
          <w:color w:val="000000"/>
          <w:spacing w:val="0"/>
          <w:w w:val="100"/>
          <w:position w:val="0"/>
        </w:rPr>
        <w:t>（</w:t>
      </w:r>
      <w:bookmarkEnd w:id="271"/>
      <w:r>
        <w:rPr>
          <w:rFonts w:ascii="Times New Roman" w:eastAsia="Times New Roman" w:hAnsi="Times New Roman" w:cs="Times New Roman"/>
          <w:color w:val="000000"/>
          <w:spacing w:val="0"/>
          <w:w w:val="100"/>
          <w:position w:val="0"/>
        </w:rPr>
        <w:t>5</w:t>
      </w:r>
      <w:r>
        <w:rPr>
          <w:color w:val="000000"/>
          <w:spacing w:val="0"/>
          <w:w w:val="100"/>
          <w:position w:val="0"/>
        </w:rPr>
        <w:t>）</w:t>
        <w:tab/>
        <w:t>持有人出现重大过错或业绩考核不达标的；</w:t>
      </w:r>
    </w:p>
    <w:p>
      <w:pPr>
        <w:pStyle w:val="Style32"/>
        <w:keepNext w:val="0"/>
        <w:keepLines w:val="0"/>
        <w:widowControl w:val="0"/>
        <w:shd w:val="clear" w:color="auto" w:fill="auto"/>
        <w:tabs>
          <w:tab w:pos="958" w:val="left"/>
        </w:tabs>
        <w:bidi w:val="0"/>
        <w:spacing w:before="0" w:after="0" w:line="474" w:lineRule="exact"/>
        <w:ind w:left="0" w:right="0" w:firstLine="460"/>
        <w:jc w:val="both"/>
      </w:pPr>
      <w:bookmarkStart w:id="272" w:name="bookmark272"/>
      <w:r>
        <w:rPr>
          <w:color w:val="000000"/>
          <w:spacing w:val="0"/>
          <w:w w:val="100"/>
          <w:position w:val="0"/>
        </w:rPr>
        <w:t>（</w:t>
      </w:r>
      <w:bookmarkEnd w:id="272"/>
      <w:r>
        <w:rPr>
          <w:rFonts w:ascii="Times New Roman" w:eastAsia="Times New Roman" w:hAnsi="Times New Roman" w:cs="Times New Roman"/>
          <w:color w:val="000000"/>
          <w:spacing w:val="0"/>
          <w:w w:val="100"/>
          <w:position w:val="0"/>
        </w:rPr>
        <w:t>6</w:t>
      </w:r>
      <w:r>
        <w:rPr>
          <w:color w:val="000000"/>
          <w:spacing w:val="0"/>
          <w:w w:val="100"/>
          <w:position w:val="0"/>
        </w:rPr>
        <w:t>）</w:t>
        <w:tab/>
        <w:t>持有人被降职、降级，导致其不符合参与本员工持股计划条件的。</w:t>
      </w:r>
    </w:p>
    <w:p>
      <w:pPr>
        <w:pStyle w:val="Style32"/>
        <w:keepNext w:val="0"/>
        <w:keepLines w:val="0"/>
        <w:widowControl w:val="0"/>
        <w:shd w:val="clear" w:color="auto" w:fill="auto"/>
        <w:bidi w:val="0"/>
        <w:spacing w:before="0" w:after="0" w:line="474" w:lineRule="exact"/>
        <w:ind w:left="0" w:right="0" w:firstLine="46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日，符合上述情形公司员工</w:t>
      </w:r>
      <w:r>
        <w:rPr>
          <w:rFonts w:ascii="Times New Roman" w:eastAsia="Times New Roman" w:hAnsi="Times New Roman" w:cs="Times New Roman"/>
          <w:color w:val="000000"/>
          <w:spacing w:val="0"/>
          <w:w w:val="100"/>
          <w:position w:val="0"/>
        </w:rPr>
        <w:t>195</w:t>
      </w:r>
      <w:r>
        <w:rPr>
          <w:color w:val="000000"/>
          <w:spacing w:val="0"/>
          <w:w w:val="100"/>
          <w:position w:val="0"/>
        </w:rPr>
        <w:t>人，涉及员工持股计划自筹份额</w:t>
      </w:r>
      <w:r>
        <w:rPr>
          <w:rFonts w:ascii="Times New Roman" w:eastAsia="Times New Roman" w:hAnsi="Times New Roman" w:cs="Times New Roman"/>
          <w:color w:val="000000"/>
          <w:spacing w:val="0"/>
          <w:w w:val="100"/>
          <w:position w:val="0"/>
        </w:rPr>
        <w:t>2,169</w:t>
      </w:r>
      <w:r>
        <w:rPr>
          <w:color w:val="000000"/>
          <w:spacing w:val="0"/>
          <w:w w:val="100"/>
          <w:position w:val="0"/>
        </w:rPr>
        <w:t>万份。</w:t>
      </w:r>
    </w:p>
    <w:p>
      <w:pPr>
        <w:pStyle w:val="Style32"/>
        <w:keepNext w:val="0"/>
        <w:keepLines w:val="0"/>
        <w:widowControl w:val="0"/>
        <w:shd w:val="clear" w:color="auto" w:fill="auto"/>
        <w:bidi w:val="0"/>
        <w:spacing w:before="0" w:after="0" w:line="474" w:lineRule="exact"/>
        <w:ind w:left="0" w:right="0" w:firstLine="460"/>
        <w:jc w:val="both"/>
      </w:pPr>
      <w:bookmarkStart w:id="273" w:name="bookmark273"/>
      <w:r>
        <w:rPr>
          <w:rFonts w:ascii="Times New Roman" w:eastAsia="Times New Roman" w:hAnsi="Times New Roman" w:cs="Times New Roman"/>
          <w:color w:val="000000"/>
          <w:spacing w:val="0"/>
          <w:w w:val="100"/>
          <w:position w:val="0"/>
        </w:rPr>
        <w:t>5</w:t>
      </w:r>
      <w:bookmarkEnd w:id="273"/>
      <w:r>
        <w:rPr>
          <w:color w:val="000000"/>
          <w:spacing w:val="0"/>
          <w:w w:val="100"/>
          <w:position w:val="0"/>
        </w:rPr>
        <w:t>、资产管理机构的变更情况</w:t>
      </w:r>
    </w:p>
    <w:p>
      <w:pPr>
        <w:pStyle w:val="Style32"/>
        <w:keepNext w:val="0"/>
        <w:keepLines w:val="0"/>
        <w:widowControl w:val="0"/>
        <w:shd w:val="clear" w:color="auto" w:fill="auto"/>
        <w:bidi w:val="0"/>
        <w:spacing w:before="0" w:after="0" w:line="474" w:lineRule="exact"/>
        <w:ind w:left="0" w:right="0" w:firstLine="460"/>
        <w:jc w:val="both"/>
      </w:pPr>
      <w:r>
        <w:rPr>
          <w:color w:val="000000"/>
          <w:spacing w:val="0"/>
          <w:w w:val="100"/>
          <w:position w:val="0"/>
        </w:rPr>
        <w:t>公司选任安信证券股份有限公司作为本员工持股计划的管理机构，并与其签订了《安信</w:t>
      </w:r>
      <w:r>
        <w:rPr>
          <w:rFonts w:ascii="Times New Roman" w:eastAsia="Times New Roman" w:hAnsi="Times New Roman" w:cs="Times New Roman"/>
          <w:color w:val="000000"/>
          <w:spacing w:val="0"/>
          <w:w w:val="100"/>
          <w:position w:val="0"/>
        </w:rPr>
        <w:t>-</w:t>
      </w:r>
      <w:r>
        <w:rPr>
          <w:color w:val="000000"/>
          <w:spacing w:val="0"/>
          <w:w w:val="100"/>
          <w:position w:val="0"/>
        </w:rPr>
        <w:t>苏宁众 承定向资产管理计划管理合同》。</w:t>
      </w:r>
    </w:p>
    <w:p>
      <w:pPr>
        <w:pStyle w:val="Style32"/>
        <w:keepNext w:val="0"/>
        <w:keepLines w:val="0"/>
        <w:widowControl w:val="0"/>
        <w:shd w:val="clear" w:color="auto" w:fill="auto"/>
        <w:bidi w:val="0"/>
        <w:spacing w:before="0" w:after="0" w:line="474" w:lineRule="exact"/>
        <w:ind w:left="0" w:right="0" w:firstLine="460"/>
        <w:jc w:val="left"/>
      </w:pPr>
      <w:r>
        <w:rPr>
          <w:color w:val="000000"/>
          <w:spacing w:val="0"/>
          <w:w w:val="100"/>
          <w:position w:val="0"/>
        </w:rPr>
        <w:t>报告期内，本次员工持股计划资产管理机构未发生变更。</w:t>
      </w:r>
    </w:p>
    <w:p>
      <w:pPr>
        <w:pStyle w:val="Style38"/>
        <w:keepNext/>
        <w:keepLines/>
        <w:widowControl w:val="0"/>
        <w:shd w:val="clear" w:color="auto" w:fill="auto"/>
        <w:bidi w:val="0"/>
        <w:spacing w:before="0" w:after="0" w:line="474" w:lineRule="exact"/>
        <w:ind w:left="0" w:right="0" w:firstLine="460"/>
        <w:jc w:val="both"/>
      </w:pPr>
      <w:bookmarkStart w:id="274" w:name="bookmark274"/>
      <w:bookmarkStart w:id="275" w:name="bookmark275"/>
      <w:bookmarkStart w:id="276" w:name="bookmark276"/>
      <w:bookmarkStart w:id="277" w:name="bookmark277"/>
      <w:r>
        <w:rPr>
          <w:color w:val="000000"/>
          <w:spacing w:val="0"/>
          <w:w w:val="100"/>
          <w:position w:val="0"/>
        </w:rPr>
        <w:t>（</w:t>
      </w:r>
      <w:bookmarkEnd w:id="276"/>
      <w:r>
        <w:rPr>
          <w:color w:val="000000"/>
          <w:spacing w:val="0"/>
          <w:w w:val="100"/>
          <w:position w:val="0"/>
        </w:rPr>
        <w:t>二）第二期员工持股计划</w:t>
      </w:r>
      <w:bookmarkEnd w:id="274"/>
      <w:bookmarkEnd w:id="275"/>
      <w:bookmarkEnd w:id="277"/>
    </w:p>
    <w:p>
      <w:pPr>
        <w:pStyle w:val="Style32"/>
        <w:keepNext w:val="0"/>
        <w:keepLines w:val="0"/>
        <w:widowControl w:val="0"/>
        <w:shd w:val="clear" w:color="auto" w:fill="auto"/>
        <w:bidi w:val="0"/>
        <w:spacing w:before="0" w:after="0" w:line="474" w:lineRule="exact"/>
        <w:ind w:left="0" w:right="0" w:firstLine="460"/>
        <w:jc w:val="both"/>
      </w:pPr>
      <w:r>
        <w:rPr>
          <w:color w:val="000000"/>
          <w:spacing w:val="0"/>
          <w:w w:val="100"/>
          <w:position w:val="0"/>
        </w:rPr>
        <w:t>公司第五届董事会第二十三次会议审议、</w:t>
      </w:r>
      <w:r>
        <w:rPr>
          <w:rFonts w:ascii="Times New Roman" w:eastAsia="Times New Roman" w:hAnsi="Times New Roman" w:cs="Times New Roman"/>
          <w:color w:val="000000"/>
          <w:spacing w:val="0"/>
          <w:w w:val="100"/>
          <w:position w:val="0"/>
        </w:rPr>
        <w:t>2015</w:t>
      </w:r>
      <w:r>
        <w:rPr>
          <w:color w:val="000000"/>
          <w:spacing w:val="0"/>
          <w:w w:val="100"/>
          <w:position w:val="0"/>
        </w:rPr>
        <w:t>年第三次临时股东大会决议通过《关于修订</w:t>
      </w:r>
      <w:r>
        <w:rPr>
          <w:color w:val="000000"/>
          <w:spacing w:val="0"/>
          <w:w w:val="100"/>
          <w:position w:val="0"/>
        </w:rPr>
        <w:t>〈</w:t>
      </w:r>
      <w:r>
        <w:rPr>
          <w:color w:val="000000"/>
          <w:spacing w:val="0"/>
          <w:w w:val="100"/>
          <w:position w:val="0"/>
        </w:rPr>
        <w:t>苏宁 云商集团股份有限公司第二期员工持股计划（草案）的议案</w:t>
      </w:r>
      <w:r>
        <w:rPr>
          <w:color w:val="000000"/>
          <w:spacing w:val="0"/>
          <w:w w:val="100"/>
          <w:position w:val="0"/>
        </w:rPr>
        <w:t>〉</w:t>
      </w:r>
      <w:r>
        <w:rPr>
          <w:color w:val="000000"/>
          <w:spacing w:val="0"/>
          <w:w w:val="100"/>
          <w:position w:val="0"/>
        </w:rPr>
        <w:t>》及其相关议案。第二期员工持股计划 实施如下：</w:t>
      </w:r>
    </w:p>
    <w:p>
      <w:pPr>
        <w:pStyle w:val="Style32"/>
        <w:keepNext w:val="0"/>
        <w:keepLines w:val="0"/>
        <w:widowControl w:val="0"/>
        <w:shd w:val="clear" w:color="auto" w:fill="auto"/>
        <w:tabs>
          <w:tab w:pos="868" w:val="left"/>
        </w:tabs>
        <w:bidi w:val="0"/>
        <w:spacing w:before="0" w:after="0" w:line="474" w:lineRule="exact"/>
        <w:ind w:left="0" w:right="0" w:firstLine="460"/>
        <w:jc w:val="both"/>
      </w:pPr>
      <w:bookmarkStart w:id="278" w:name="bookmark278"/>
      <w:r>
        <w:rPr>
          <w:rFonts w:ascii="Times New Roman" w:eastAsia="Times New Roman" w:hAnsi="Times New Roman" w:cs="Times New Roman"/>
          <w:color w:val="000000"/>
          <w:spacing w:val="0"/>
          <w:w w:val="100"/>
          <w:position w:val="0"/>
        </w:rPr>
        <w:t>1</w:t>
      </w:r>
      <w:bookmarkEnd w:id="278"/>
      <w:r>
        <w:rPr>
          <w:color w:val="000000"/>
          <w:spacing w:val="0"/>
          <w:w w:val="100"/>
          <w:position w:val="0"/>
        </w:rPr>
        <w:t>、</w:t>
        <w:tab/>
        <w:t>持股员工的范围</w:t>
      </w:r>
    </w:p>
    <w:p>
      <w:pPr>
        <w:pStyle w:val="Style32"/>
        <w:keepNext w:val="0"/>
        <w:keepLines w:val="0"/>
        <w:widowControl w:val="0"/>
        <w:shd w:val="clear" w:color="auto" w:fill="auto"/>
        <w:bidi w:val="0"/>
        <w:spacing w:before="0" w:after="0" w:line="474" w:lineRule="exact"/>
        <w:ind w:left="0" w:right="0" w:firstLine="460"/>
        <w:jc w:val="left"/>
      </w:pPr>
      <w:r>
        <w:rPr>
          <w:color w:val="000000"/>
          <w:spacing w:val="0"/>
          <w:w w:val="100"/>
          <w:position w:val="0"/>
        </w:rPr>
        <w:t>本次员工持股计划的参加对象及确定标准为符合以下条件之一的公司员工：</w:t>
      </w:r>
    </w:p>
    <w:p>
      <w:pPr>
        <w:pStyle w:val="Style32"/>
        <w:keepNext w:val="0"/>
        <w:keepLines w:val="0"/>
        <w:widowControl w:val="0"/>
        <w:shd w:val="clear" w:color="auto" w:fill="auto"/>
        <w:tabs>
          <w:tab w:pos="958" w:val="left"/>
        </w:tabs>
        <w:bidi w:val="0"/>
        <w:spacing w:before="0" w:after="0" w:line="474" w:lineRule="exact"/>
        <w:ind w:left="0" w:right="0" w:firstLine="460"/>
        <w:jc w:val="both"/>
      </w:pPr>
      <w:bookmarkStart w:id="279" w:name="bookmark279"/>
      <w:r>
        <w:rPr>
          <w:color w:val="000000"/>
          <w:spacing w:val="0"/>
          <w:w w:val="100"/>
          <w:position w:val="0"/>
        </w:rPr>
        <w:t>（</w:t>
      </w:r>
      <w:bookmarkEnd w:id="279"/>
      <w:r>
        <w:rPr>
          <w:rFonts w:ascii="Times New Roman" w:eastAsia="Times New Roman" w:hAnsi="Times New Roman" w:cs="Times New Roman"/>
          <w:color w:val="000000"/>
          <w:spacing w:val="0"/>
          <w:w w:val="100"/>
          <w:position w:val="0"/>
        </w:rPr>
        <w:t>1</w:t>
      </w:r>
      <w:r>
        <w:rPr>
          <w:color w:val="000000"/>
          <w:spacing w:val="0"/>
          <w:w w:val="100"/>
          <w:position w:val="0"/>
        </w:rPr>
        <w:t>）</w:t>
        <w:tab/>
        <w:t>董事、监事和高级管理人员；</w:t>
      </w:r>
    </w:p>
    <w:p>
      <w:pPr>
        <w:pStyle w:val="Style32"/>
        <w:keepNext w:val="0"/>
        <w:keepLines w:val="0"/>
        <w:widowControl w:val="0"/>
        <w:shd w:val="clear" w:color="auto" w:fill="auto"/>
        <w:tabs>
          <w:tab w:pos="958" w:val="left"/>
        </w:tabs>
        <w:bidi w:val="0"/>
        <w:spacing w:before="0" w:after="0" w:line="474" w:lineRule="exact"/>
        <w:ind w:left="0" w:right="0" w:firstLine="460"/>
        <w:jc w:val="both"/>
      </w:pPr>
      <w:bookmarkStart w:id="280" w:name="bookmark280"/>
      <w:r>
        <w:rPr>
          <w:color w:val="000000"/>
          <w:spacing w:val="0"/>
          <w:w w:val="100"/>
          <w:position w:val="0"/>
        </w:rPr>
        <w:t>（</w:t>
      </w:r>
      <w:bookmarkEnd w:id="280"/>
      <w:r>
        <w:rPr>
          <w:rFonts w:ascii="Times New Roman" w:eastAsia="Times New Roman" w:hAnsi="Times New Roman" w:cs="Times New Roman"/>
          <w:color w:val="000000"/>
          <w:spacing w:val="0"/>
          <w:w w:val="100"/>
          <w:position w:val="0"/>
        </w:rPr>
        <w:t>2</w:t>
      </w:r>
      <w:r>
        <w:rPr>
          <w:color w:val="000000"/>
          <w:spacing w:val="0"/>
          <w:w w:val="100"/>
          <w:position w:val="0"/>
        </w:rPr>
        <w:t>）</w:t>
        <w:tab/>
        <w:t>公司线上线下运营管理、商品供应链经营、物流服务等业务体系中高层人员；</w:t>
      </w:r>
    </w:p>
    <w:p>
      <w:pPr>
        <w:pStyle w:val="Style32"/>
        <w:keepNext w:val="0"/>
        <w:keepLines w:val="0"/>
        <w:widowControl w:val="0"/>
        <w:shd w:val="clear" w:color="auto" w:fill="auto"/>
        <w:tabs>
          <w:tab w:pos="958" w:val="left"/>
        </w:tabs>
        <w:bidi w:val="0"/>
        <w:spacing w:before="0" w:after="0" w:line="474" w:lineRule="exact"/>
        <w:ind w:left="0" w:right="0" w:firstLine="460"/>
        <w:jc w:val="both"/>
      </w:pPr>
      <w:bookmarkStart w:id="281" w:name="bookmark281"/>
      <w:r>
        <w:rPr>
          <w:color w:val="000000"/>
          <w:spacing w:val="0"/>
          <w:w w:val="100"/>
          <w:position w:val="0"/>
        </w:rPr>
        <w:t>（</w:t>
      </w:r>
      <w:bookmarkEnd w:id="281"/>
      <w:r>
        <w:rPr>
          <w:rFonts w:ascii="Times New Roman" w:eastAsia="Times New Roman" w:hAnsi="Times New Roman" w:cs="Times New Roman"/>
          <w:color w:val="000000"/>
          <w:spacing w:val="0"/>
          <w:w w:val="100"/>
          <w:position w:val="0"/>
        </w:rPr>
        <w:t>3</w:t>
      </w:r>
      <w:r>
        <w:rPr>
          <w:color w:val="000000"/>
          <w:spacing w:val="0"/>
          <w:w w:val="100"/>
          <w:position w:val="0"/>
        </w:rPr>
        <w:t>）</w:t>
        <w:tab/>
        <w:t>技术开发体系骨干；职能管理体系的中高层人员；</w:t>
      </w:r>
    </w:p>
    <w:p>
      <w:pPr>
        <w:pStyle w:val="Style32"/>
        <w:keepNext w:val="0"/>
        <w:keepLines w:val="0"/>
        <w:widowControl w:val="0"/>
        <w:shd w:val="clear" w:color="auto" w:fill="auto"/>
        <w:tabs>
          <w:tab w:pos="958" w:val="left"/>
        </w:tabs>
        <w:bidi w:val="0"/>
        <w:spacing w:before="0" w:after="0" w:line="474" w:lineRule="exact"/>
        <w:ind w:left="0" w:right="0" w:firstLine="460"/>
        <w:jc w:val="both"/>
      </w:pPr>
      <w:bookmarkStart w:id="282" w:name="bookmark282"/>
      <w:r>
        <w:rPr>
          <w:color w:val="000000"/>
          <w:spacing w:val="0"/>
          <w:w w:val="100"/>
          <w:position w:val="0"/>
        </w:rPr>
        <w:t>（</w:t>
      </w:r>
      <w:bookmarkEnd w:id="282"/>
      <w:r>
        <w:rPr>
          <w:rFonts w:ascii="Times New Roman" w:eastAsia="Times New Roman" w:hAnsi="Times New Roman" w:cs="Times New Roman"/>
          <w:color w:val="000000"/>
          <w:spacing w:val="0"/>
          <w:w w:val="100"/>
          <w:position w:val="0"/>
        </w:rPr>
        <w:t>4</w:t>
      </w:r>
      <w:r>
        <w:rPr>
          <w:color w:val="000000"/>
          <w:spacing w:val="0"/>
          <w:w w:val="100"/>
          <w:position w:val="0"/>
        </w:rPr>
        <w:t>）</w:t>
        <w:tab/>
        <w:t>公司认可的有特殊贡献的其他员工。</w:t>
      </w:r>
    </w:p>
    <w:p>
      <w:pPr>
        <w:pStyle w:val="Style32"/>
        <w:keepNext w:val="0"/>
        <w:keepLines w:val="0"/>
        <w:widowControl w:val="0"/>
        <w:shd w:val="clear" w:color="auto" w:fill="auto"/>
        <w:tabs>
          <w:tab w:pos="868" w:val="left"/>
        </w:tabs>
        <w:bidi w:val="0"/>
        <w:spacing w:before="0" w:after="0" w:line="474" w:lineRule="exact"/>
        <w:ind w:left="0" w:right="0" w:firstLine="460"/>
        <w:jc w:val="both"/>
      </w:pPr>
      <w:bookmarkStart w:id="283" w:name="bookmark283"/>
      <w:r>
        <w:rPr>
          <w:rFonts w:ascii="Times New Roman" w:eastAsia="Times New Roman" w:hAnsi="Times New Roman" w:cs="Times New Roman"/>
          <w:color w:val="000000"/>
          <w:spacing w:val="0"/>
          <w:w w:val="100"/>
          <w:position w:val="0"/>
        </w:rPr>
        <w:t>2</w:t>
      </w:r>
      <w:bookmarkEnd w:id="283"/>
      <w:r>
        <w:rPr>
          <w:color w:val="000000"/>
          <w:spacing w:val="0"/>
          <w:w w:val="100"/>
          <w:position w:val="0"/>
        </w:rPr>
        <w:t>、</w:t>
        <w:tab/>
        <w:t>实施员工持股计划的资金来源</w:t>
      </w:r>
    </w:p>
    <w:p>
      <w:pPr>
        <w:pStyle w:val="Style32"/>
        <w:keepNext w:val="0"/>
        <w:keepLines w:val="0"/>
        <w:widowControl w:val="0"/>
        <w:shd w:val="clear" w:color="auto" w:fill="auto"/>
        <w:bidi w:val="0"/>
        <w:spacing w:before="0" w:after="0" w:line="474" w:lineRule="exact"/>
        <w:ind w:left="0" w:right="0" w:firstLine="460"/>
        <w:jc w:val="left"/>
      </w:pPr>
      <w:r>
        <w:rPr>
          <w:color w:val="000000"/>
          <w:spacing w:val="0"/>
          <w:w w:val="100"/>
          <w:position w:val="0"/>
        </w:rPr>
        <w:t>本员工持股计划的资金来源为公司员工自筹资金、合法借款等按照法律、行政法规允许方式取 得的资金。</w:t>
      </w:r>
    </w:p>
    <w:p>
      <w:pPr>
        <w:pStyle w:val="Style32"/>
        <w:keepNext w:val="0"/>
        <w:keepLines w:val="0"/>
        <w:widowControl w:val="0"/>
        <w:shd w:val="clear" w:color="auto" w:fill="auto"/>
        <w:tabs>
          <w:tab w:pos="868" w:val="left"/>
        </w:tabs>
        <w:bidi w:val="0"/>
        <w:spacing w:before="0" w:after="0" w:line="474" w:lineRule="exact"/>
        <w:ind w:left="0" w:right="0" w:firstLine="460"/>
        <w:jc w:val="left"/>
      </w:pPr>
      <w:bookmarkStart w:id="284" w:name="bookmark284"/>
      <w:r>
        <w:rPr>
          <w:rFonts w:ascii="Times New Roman" w:eastAsia="Times New Roman" w:hAnsi="Times New Roman" w:cs="Times New Roman"/>
          <w:color w:val="000000"/>
          <w:spacing w:val="0"/>
          <w:w w:val="100"/>
          <w:position w:val="0"/>
        </w:rPr>
        <w:t>3</w:t>
      </w:r>
      <w:bookmarkEnd w:id="284"/>
      <w:r>
        <w:rPr>
          <w:color w:val="000000"/>
          <w:spacing w:val="0"/>
          <w:w w:val="100"/>
          <w:position w:val="0"/>
        </w:rPr>
        <w:t>、</w:t>
        <w:tab/>
        <w:t>报告期内员工持股计划持有的股票总额及占上市公司股本总额的比例</w:t>
      </w:r>
    </w:p>
    <w:p>
      <w:pPr>
        <w:pStyle w:val="Style32"/>
        <w:keepNext w:val="0"/>
        <w:keepLines w:val="0"/>
        <w:widowControl w:val="0"/>
        <w:shd w:val="clear" w:color="auto" w:fill="auto"/>
        <w:bidi w:val="0"/>
        <w:spacing w:before="0" w:after="180" w:line="474" w:lineRule="exact"/>
        <w:ind w:left="0" w:right="0" w:firstLine="46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sz w:val="22"/>
          <w:szCs w:val="22"/>
        </w:rPr>
        <w:t>0，</w:t>
      </w:r>
      <w:r>
        <w:rPr>
          <w:color w:val="000000"/>
          <w:spacing w:val="0"/>
          <w:w w:val="100"/>
          <w:position w:val="0"/>
        </w:rPr>
        <w:t>本员工持股计划持有公司股份</w:t>
      </w:r>
      <w:r>
        <w:rPr>
          <w:rFonts w:ascii="Times New Roman" w:eastAsia="Times New Roman" w:hAnsi="Times New Roman" w:cs="Times New Roman"/>
          <w:color w:val="000000"/>
          <w:spacing w:val="0"/>
          <w:w w:val="100"/>
          <w:position w:val="0"/>
        </w:rPr>
        <w:t>65,919,578</w:t>
      </w:r>
      <w:r>
        <w:rPr>
          <w:color w:val="000000"/>
          <w:spacing w:val="0"/>
          <w:w w:val="100"/>
          <w:position w:val="0"/>
        </w:rPr>
        <w:t>股，占公司总股本的比例为</w:t>
      </w:r>
    </w:p>
    <w:p>
      <w:pPr>
        <w:pStyle w:val="Style53"/>
        <w:keepNext w:val="0"/>
        <w:keepLines w:val="0"/>
        <w:widowControl w:val="0"/>
        <w:shd w:val="clear" w:color="auto" w:fill="auto"/>
        <w:bidi w:val="0"/>
        <w:spacing w:before="0" w:after="0" w:line="451" w:lineRule="auto"/>
        <w:ind w:left="0" w:right="0" w:firstLine="0"/>
        <w:jc w:val="both"/>
      </w:pPr>
      <w:r>
        <w:rPr>
          <w:color w:val="000000"/>
          <w:spacing w:val="0"/>
          <w:w w:val="100"/>
          <w:position w:val="0"/>
        </w:rPr>
        <w:t>0.71%</w:t>
      </w:r>
      <w:r>
        <w:rPr>
          <w:rFonts w:ascii="SimSun" w:eastAsia="SimSun" w:hAnsi="SimSun" w:cs="SimSun"/>
          <w:color w:val="000000"/>
          <w:spacing w:val="0"/>
          <w:w w:val="100"/>
          <w:position w:val="0"/>
        </w:rPr>
        <w:t>。</w:t>
      </w:r>
    </w:p>
    <w:p>
      <w:pPr>
        <w:pStyle w:val="Style32"/>
        <w:keepNext w:val="0"/>
        <w:keepLines w:val="0"/>
        <w:widowControl w:val="0"/>
        <w:shd w:val="clear" w:color="auto" w:fill="auto"/>
        <w:tabs>
          <w:tab w:pos="868" w:val="left"/>
        </w:tabs>
        <w:bidi w:val="0"/>
        <w:spacing w:before="0" w:after="0" w:line="474" w:lineRule="exact"/>
        <w:ind w:left="0" w:right="0" w:firstLine="460"/>
        <w:jc w:val="left"/>
      </w:pPr>
      <w:bookmarkStart w:id="285" w:name="bookmark285"/>
      <w:r>
        <w:rPr>
          <w:rFonts w:ascii="Times New Roman" w:eastAsia="Times New Roman" w:hAnsi="Times New Roman" w:cs="Times New Roman"/>
          <w:color w:val="000000"/>
          <w:spacing w:val="0"/>
          <w:w w:val="100"/>
          <w:position w:val="0"/>
        </w:rPr>
        <w:t>4</w:t>
      </w:r>
      <w:bookmarkEnd w:id="285"/>
      <w:r>
        <w:rPr>
          <w:color w:val="000000"/>
          <w:spacing w:val="0"/>
          <w:w w:val="100"/>
          <w:position w:val="0"/>
        </w:rPr>
        <w:t>、</w:t>
        <w:tab/>
        <w:t>因员工持股计划持有人处分权利引起的计划股份权益变动情况</w:t>
      </w:r>
    </w:p>
    <w:p>
      <w:pPr>
        <w:pStyle w:val="Style32"/>
        <w:keepNext w:val="0"/>
        <w:keepLines w:val="0"/>
        <w:widowControl w:val="0"/>
        <w:shd w:val="clear" w:color="auto" w:fill="auto"/>
        <w:bidi w:val="0"/>
        <w:spacing w:before="0" w:after="0" w:line="474" w:lineRule="exact"/>
        <w:ind w:left="0" w:right="0" w:firstLine="460"/>
        <w:jc w:val="left"/>
      </w:pPr>
      <w:r>
        <w:rPr>
          <w:color w:val="000000"/>
          <w:spacing w:val="0"/>
          <w:w w:val="100"/>
          <w:position w:val="0"/>
        </w:rPr>
        <w:t>依据《苏宁云商第二期员工持股计划管理办法》规定，发生如下情形之一的，员工持股计划的 持有人的参与资格将被取消，并返还其自筹资金部分原始出资金额。</w:t>
      </w:r>
    </w:p>
    <w:p>
      <w:pPr>
        <w:pStyle w:val="Style32"/>
        <w:keepNext w:val="0"/>
        <w:keepLines w:val="0"/>
        <w:widowControl w:val="0"/>
        <w:shd w:val="clear" w:color="auto" w:fill="auto"/>
        <w:tabs>
          <w:tab w:pos="958" w:val="left"/>
        </w:tabs>
        <w:bidi w:val="0"/>
        <w:spacing w:before="0" w:after="0" w:line="474" w:lineRule="exact"/>
        <w:ind w:left="0" w:right="0" w:firstLine="460"/>
        <w:jc w:val="both"/>
      </w:pPr>
      <w:bookmarkStart w:id="286" w:name="bookmark286"/>
      <w:r>
        <w:rPr>
          <w:color w:val="000000"/>
          <w:spacing w:val="0"/>
          <w:w w:val="100"/>
          <w:position w:val="0"/>
        </w:rPr>
        <w:t>（</w:t>
      </w:r>
      <w:bookmarkEnd w:id="286"/>
      <w:r>
        <w:rPr>
          <w:rFonts w:ascii="Times New Roman" w:eastAsia="Times New Roman" w:hAnsi="Times New Roman" w:cs="Times New Roman"/>
          <w:color w:val="000000"/>
          <w:spacing w:val="0"/>
          <w:w w:val="100"/>
          <w:position w:val="0"/>
        </w:rPr>
        <w:t>1</w:t>
      </w:r>
      <w:r>
        <w:rPr>
          <w:color w:val="000000"/>
          <w:spacing w:val="0"/>
          <w:w w:val="100"/>
          <w:position w:val="0"/>
        </w:rPr>
        <w:t>）</w:t>
        <w:tab/>
        <w:t>持有人辞职或擅自离职的；</w:t>
      </w:r>
    </w:p>
    <w:p>
      <w:pPr>
        <w:pStyle w:val="Style32"/>
        <w:keepNext w:val="0"/>
        <w:keepLines w:val="0"/>
        <w:widowControl w:val="0"/>
        <w:shd w:val="clear" w:color="auto" w:fill="auto"/>
        <w:tabs>
          <w:tab w:pos="958" w:val="left"/>
        </w:tabs>
        <w:bidi w:val="0"/>
        <w:spacing w:before="0" w:after="0" w:line="474" w:lineRule="exact"/>
        <w:ind w:left="0" w:right="0" w:firstLine="460"/>
        <w:jc w:val="left"/>
      </w:pPr>
      <w:bookmarkStart w:id="287" w:name="bookmark287"/>
      <w:r>
        <w:rPr>
          <w:color w:val="000000"/>
          <w:spacing w:val="0"/>
          <w:w w:val="100"/>
          <w:position w:val="0"/>
        </w:rPr>
        <w:t>（</w:t>
      </w:r>
      <w:bookmarkEnd w:id="287"/>
      <w:r>
        <w:rPr>
          <w:rFonts w:ascii="Times New Roman" w:eastAsia="Times New Roman" w:hAnsi="Times New Roman" w:cs="Times New Roman"/>
          <w:color w:val="000000"/>
          <w:spacing w:val="0"/>
          <w:w w:val="100"/>
          <w:position w:val="0"/>
        </w:rPr>
        <w:t>2</w:t>
      </w:r>
      <w:r>
        <w:rPr>
          <w:color w:val="000000"/>
          <w:spacing w:val="0"/>
          <w:w w:val="100"/>
          <w:position w:val="0"/>
        </w:rPr>
        <w:t>）</w:t>
        <w:tab/>
        <w:t>持有人在劳动合同到期后拒绝与公司或子公司续签劳动合同的；</w:t>
      </w:r>
    </w:p>
    <w:p>
      <w:pPr>
        <w:pStyle w:val="Style32"/>
        <w:keepNext w:val="0"/>
        <w:keepLines w:val="0"/>
        <w:widowControl w:val="0"/>
        <w:shd w:val="clear" w:color="auto" w:fill="auto"/>
        <w:tabs>
          <w:tab w:pos="958" w:val="left"/>
        </w:tabs>
        <w:bidi w:val="0"/>
        <w:spacing w:before="0" w:after="0" w:line="461" w:lineRule="exact"/>
        <w:ind w:left="0" w:right="0" w:firstLine="460"/>
        <w:jc w:val="both"/>
      </w:pPr>
      <w:bookmarkStart w:id="288" w:name="bookmark288"/>
      <w:r>
        <w:rPr>
          <w:color w:val="000000"/>
          <w:spacing w:val="0"/>
          <w:w w:val="100"/>
          <w:position w:val="0"/>
        </w:rPr>
        <w:t>（</w:t>
      </w:r>
      <w:bookmarkEnd w:id="288"/>
      <w:r>
        <w:rPr>
          <w:rFonts w:ascii="Times New Roman" w:eastAsia="Times New Roman" w:hAnsi="Times New Roman" w:cs="Times New Roman"/>
          <w:color w:val="000000"/>
          <w:spacing w:val="0"/>
          <w:w w:val="100"/>
          <w:position w:val="0"/>
        </w:rPr>
        <w:t>3</w:t>
      </w:r>
      <w:r>
        <w:rPr>
          <w:color w:val="000000"/>
          <w:spacing w:val="0"/>
          <w:w w:val="100"/>
          <w:position w:val="0"/>
        </w:rPr>
        <w:t>）</w:t>
        <w:tab/>
        <w:t>持有人劳动合同到期后，公司或子公司不与其续签劳动合同的；</w:t>
      </w:r>
    </w:p>
    <w:p>
      <w:pPr>
        <w:pStyle w:val="Style32"/>
        <w:keepNext w:val="0"/>
        <w:keepLines w:val="0"/>
        <w:widowControl w:val="0"/>
        <w:shd w:val="clear" w:color="auto" w:fill="auto"/>
        <w:tabs>
          <w:tab w:pos="958" w:val="left"/>
        </w:tabs>
        <w:bidi w:val="0"/>
        <w:spacing w:before="0" w:after="0" w:line="461" w:lineRule="exact"/>
        <w:ind w:left="0" w:right="0" w:firstLine="460"/>
        <w:jc w:val="both"/>
      </w:pPr>
      <w:bookmarkStart w:id="289" w:name="bookmark289"/>
      <w:r>
        <w:rPr>
          <w:color w:val="000000"/>
          <w:spacing w:val="0"/>
          <w:w w:val="100"/>
          <w:position w:val="0"/>
        </w:rPr>
        <w:t>（</w:t>
      </w:r>
      <w:bookmarkEnd w:id="289"/>
      <w:r>
        <w:rPr>
          <w:rFonts w:ascii="Times New Roman" w:eastAsia="Times New Roman" w:hAnsi="Times New Roman" w:cs="Times New Roman"/>
          <w:color w:val="000000"/>
          <w:spacing w:val="0"/>
          <w:w w:val="100"/>
          <w:position w:val="0"/>
        </w:rPr>
        <w:t>4</w:t>
      </w:r>
      <w:r>
        <w:rPr>
          <w:color w:val="000000"/>
          <w:spacing w:val="0"/>
          <w:w w:val="100"/>
          <w:position w:val="0"/>
        </w:rPr>
        <w:t>）</w:t>
        <w:tab/>
        <w:t>持有人因违反法律、行政法规或公司规章制度而被公司或子公司解除劳动合同的；</w:t>
      </w:r>
    </w:p>
    <w:p>
      <w:pPr>
        <w:pStyle w:val="Style32"/>
        <w:keepNext w:val="0"/>
        <w:keepLines w:val="0"/>
        <w:widowControl w:val="0"/>
        <w:shd w:val="clear" w:color="auto" w:fill="auto"/>
        <w:tabs>
          <w:tab w:pos="958" w:val="left"/>
        </w:tabs>
        <w:bidi w:val="0"/>
        <w:spacing w:before="0" w:after="0" w:line="461" w:lineRule="exact"/>
        <w:ind w:left="0" w:right="0" w:firstLine="460"/>
        <w:jc w:val="both"/>
      </w:pPr>
      <w:bookmarkStart w:id="290" w:name="bookmark290"/>
      <w:r>
        <w:rPr>
          <w:color w:val="000000"/>
          <w:spacing w:val="0"/>
          <w:w w:val="100"/>
          <w:position w:val="0"/>
        </w:rPr>
        <w:t>（</w:t>
      </w:r>
      <w:bookmarkEnd w:id="290"/>
      <w:r>
        <w:rPr>
          <w:rFonts w:ascii="Times New Roman" w:eastAsia="Times New Roman" w:hAnsi="Times New Roman" w:cs="Times New Roman"/>
          <w:color w:val="000000"/>
          <w:spacing w:val="0"/>
          <w:w w:val="100"/>
          <w:position w:val="0"/>
        </w:rPr>
        <w:t>5</w:t>
      </w:r>
      <w:r>
        <w:rPr>
          <w:color w:val="000000"/>
          <w:spacing w:val="0"/>
          <w:w w:val="100"/>
          <w:position w:val="0"/>
        </w:rPr>
        <w:t>）</w:t>
        <w:tab/>
        <w:t>持有人出现重大过错或业绩考核不达标的；</w:t>
      </w:r>
    </w:p>
    <w:p>
      <w:pPr>
        <w:pStyle w:val="Style32"/>
        <w:keepNext w:val="0"/>
        <w:keepLines w:val="0"/>
        <w:widowControl w:val="0"/>
        <w:shd w:val="clear" w:color="auto" w:fill="auto"/>
        <w:tabs>
          <w:tab w:pos="958" w:val="left"/>
        </w:tabs>
        <w:bidi w:val="0"/>
        <w:spacing w:before="0" w:after="0" w:line="461" w:lineRule="exact"/>
        <w:ind w:left="0" w:right="0" w:firstLine="460"/>
        <w:jc w:val="both"/>
      </w:pPr>
      <w:bookmarkStart w:id="291" w:name="bookmark291"/>
      <w:r>
        <w:rPr>
          <w:color w:val="000000"/>
          <w:spacing w:val="0"/>
          <w:w w:val="100"/>
          <w:position w:val="0"/>
        </w:rPr>
        <w:t>（</w:t>
      </w:r>
      <w:bookmarkEnd w:id="291"/>
      <w:r>
        <w:rPr>
          <w:rFonts w:ascii="Times New Roman" w:eastAsia="Times New Roman" w:hAnsi="Times New Roman" w:cs="Times New Roman"/>
          <w:color w:val="000000"/>
          <w:spacing w:val="0"/>
          <w:w w:val="100"/>
          <w:position w:val="0"/>
        </w:rPr>
        <w:t>6</w:t>
      </w:r>
      <w:r>
        <w:rPr>
          <w:color w:val="000000"/>
          <w:spacing w:val="0"/>
          <w:w w:val="100"/>
          <w:position w:val="0"/>
        </w:rPr>
        <w:t>）</w:t>
        <w:tab/>
        <w:t>持有人被降职、降级，导致其不符合参与本员工持股计划条件的。</w:t>
      </w:r>
    </w:p>
    <w:p>
      <w:pPr>
        <w:pStyle w:val="Style32"/>
        <w:keepNext w:val="0"/>
        <w:keepLines w:val="0"/>
        <w:widowControl w:val="0"/>
        <w:shd w:val="clear" w:color="auto" w:fill="auto"/>
        <w:bidi w:val="0"/>
        <w:spacing w:before="0" w:after="0" w:line="461" w:lineRule="exact"/>
        <w:ind w:left="0" w:right="0" w:firstLine="46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日，符合上述情形公司员工</w:t>
      </w:r>
      <w:r>
        <w:rPr>
          <w:rFonts w:ascii="Times New Roman" w:eastAsia="Times New Roman" w:hAnsi="Times New Roman" w:cs="Times New Roman"/>
          <w:color w:val="000000"/>
          <w:spacing w:val="0"/>
          <w:w w:val="100"/>
          <w:position w:val="0"/>
        </w:rPr>
        <w:t>78</w:t>
      </w:r>
      <w:r>
        <w:rPr>
          <w:color w:val="000000"/>
          <w:spacing w:val="0"/>
          <w:w w:val="100"/>
          <w:position w:val="0"/>
        </w:rPr>
        <w:t>人，涉及员工持股计划自筹份额</w:t>
      </w:r>
      <w:r>
        <w:rPr>
          <w:rFonts w:ascii="Times New Roman" w:eastAsia="Times New Roman" w:hAnsi="Times New Roman" w:cs="Times New Roman"/>
          <w:color w:val="000000"/>
          <w:spacing w:val="0"/>
          <w:w w:val="100"/>
          <w:position w:val="0"/>
        </w:rPr>
        <w:t>1,700</w:t>
      </w:r>
      <w:r>
        <w:rPr>
          <w:color w:val="000000"/>
          <w:spacing w:val="0"/>
          <w:w w:val="100"/>
          <w:position w:val="0"/>
        </w:rPr>
        <w:t>万份。</w:t>
      </w:r>
    </w:p>
    <w:p>
      <w:pPr>
        <w:pStyle w:val="Style32"/>
        <w:keepNext w:val="0"/>
        <w:keepLines w:val="0"/>
        <w:widowControl w:val="0"/>
        <w:shd w:val="clear" w:color="auto" w:fill="auto"/>
        <w:bidi w:val="0"/>
        <w:spacing w:before="0" w:after="0" w:line="461" w:lineRule="exact"/>
        <w:ind w:left="0" w:right="0" w:firstLine="460"/>
        <w:jc w:val="both"/>
      </w:pPr>
      <w:bookmarkStart w:id="292" w:name="bookmark292"/>
      <w:r>
        <w:rPr>
          <w:rFonts w:ascii="Times New Roman" w:eastAsia="Times New Roman" w:hAnsi="Times New Roman" w:cs="Times New Roman"/>
          <w:color w:val="000000"/>
          <w:spacing w:val="0"/>
          <w:w w:val="100"/>
          <w:position w:val="0"/>
        </w:rPr>
        <w:t>5</w:t>
      </w:r>
      <w:bookmarkEnd w:id="292"/>
      <w:r>
        <w:rPr>
          <w:color w:val="000000"/>
          <w:spacing w:val="0"/>
          <w:w w:val="100"/>
          <w:position w:val="0"/>
        </w:rPr>
        <w:t>、资产管理机构的变更情况</w:t>
      </w:r>
    </w:p>
    <w:p>
      <w:pPr>
        <w:pStyle w:val="Style32"/>
        <w:keepNext w:val="0"/>
        <w:keepLines w:val="0"/>
        <w:widowControl w:val="0"/>
        <w:shd w:val="clear" w:color="auto" w:fill="auto"/>
        <w:bidi w:val="0"/>
        <w:spacing w:before="0" w:after="0" w:line="461" w:lineRule="exact"/>
        <w:ind w:left="0" w:right="0" w:firstLine="460"/>
        <w:jc w:val="left"/>
      </w:pPr>
      <w:r>
        <w:rPr>
          <w:color w:val="000000"/>
          <w:spacing w:val="0"/>
          <w:w w:val="100"/>
          <w:position w:val="0"/>
        </w:rPr>
        <w:t>公司选任安信证券股份有限公司作为本员工持股计划的管理机构，并与安信证券签订了《安信</w:t>
      </w:r>
      <w:r>
        <w:rPr>
          <w:rFonts w:ascii="Times New Roman" w:eastAsia="Times New Roman" w:hAnsi="Times New Roman" w:cs="Times New Roman"/>
          <w:color w:val="000000"/>
          <w:spacing w:val="0"/>
          <w:w w:val="100"/>
          <w:position w:val="0"/>
        </w:rPr>
        <w:t xml:space="preserve">- </w:t>
      </w:r>
      <w:r>
        <w:rPr>
          <w:color w:val="000000"/>
          <w:spacing w:val="0"/>
          <w:w w:val="100"/>
          <w:position w:val="0"/>
        </w:rPr>
        <w:t>苏宁众承</w:t>
      </w:r>
      <w:r>
        <w:rPr>
          <w:rFonts w:ascii="Times New Roman" w:eastAsia="Times New Roman" w:hAnsi="Times New Roman" w:cs="Times New Roman"/>
          <w:color w:val="000000"/>
          <w:spacing w:val="0"/>
          <w:w w:val="100"/>
          <w:position w:val="0"/>
        </w:rPr>
        <w:t>2</w:t>
      </w:r>
      <w:r>
        <w:rPr>
          <w:color w:val="000000"/>
          <w:spacing w:val="0"/>
          <w:w w:val="100"/>
          <w:position w:val="0"/>
        </w:rPr>
        <w:t>号定向资产管理计划管理合同》。</w:t>
      </w:r>
    </w:p>
    <w:p>
      <w:pPr>
        <w:pStyle w:val="Style32"/>
        <w:keepNext w:val="0"/>
        <w:keepLines w:val="0"/>
        <w:widowControl w:val="0"/>
        <w:shd w:val="clear" w:color="auto" w:fill="auto"/>
        <w:bidi w:val="0"/>
        <w:spacing w:before="0" w:after="0" w:line="461" w:lineRule="exact"/>
        <w:ind w:left="0" w:right="0" w:firstLine="460"/>
        <w:jc w:val="left"/>
        <w:sectPr>
          <w:footnotePr>
            <w:pos w:val="pageBottom"/>
            <w:numFmt w:val="decimal"/>
            <w:numRestart w:val="continuous"/>
          </w:footnotePr>
          <w:pgSz w:w="11900" w:h="16840"/>
          <w:pgMar w:top="1311" w:right="986" w:bottom="1489" w:left="1036" w:header="0" w:footer="3" w:gutter="0"/>
          <w:cols w:space="720"/>
          <w:noEndnote/>
          <w:rtlGutter w:val="0"/>
          <w:docGrid w:linePitch="360"/>
        </w:sectPr>
      </w:pPr>
      <w:r>
        <w:rPr>
          <w:color w:val="000000"/>
          <w:spacing w:val="0"/>
          <w:w w:val="100"/>
          <w:position w:val="0"/>
        </w:rPr>
        <w:t>报告期内，本次员工持股计划管理机构未发生变更。</w:t>
      </w:r>
    </w:p>
    <w:p>
      <w:pPr>
        <w:pStyle w:val="Style32"/>
        <w:keepNext w:val="0"/>
        <w:keepLines w:val="0"/>
        <w:widowControl w:val="0"/>
        <w:shd w:val="clear" w:color="auto" w:fill="auto"/>
        <w:bidi w:val="0"/>
        <w:spacing w:before="0" w:after="320" w:line="240" w:lineRule="auto"/>
        <w:ind w:left="0" w:right="0" w:firstLine="0"/>
        <w:jc w:val="left"/>
        <w:rPr>
          <w:sz w:val="24"/>
          <w:szCs w:val="24"/>
        </w:rPr>
      </w:pPr>
      <w:r>
        <w:rPr>
          <w:b/>
          <w:bCs/>
          <w:color w:val="000000"/>
          <w:spacing w:val="0"/>
          <w:w w:val="100"/>
          <w:position w:val="0"/>
          <w:sz w:val="24"/>
          <w:szCs w:val="24"/>
        </w:rPr>
        <w:t>十六、重大关联交易</w:t>
      </w:r>
    </w:p>
    <w:p>
      <w:pPr>
        <w:pStyle w:val="Style38"/>
        <w:keepNext/>
        <w:keepLines/>
        <w:widowControl w:val="0"/>
        <w:shd w:val="clear" w:color="auto" w:fill="auto"/>
        <w:bidi w:val="0"/>
        <w:spacing w:before="0" w:after="320" w:line="240" w:lineRule="auto"/>
        <w:ind w:left="0" w:right="0" w:firstLine="0"/>
        <w:jc w:val="left"/>
      </w:pPr>
      <w:bookmarkStart w:id="293" w:name="bookmark293"/>
      <w:bookmarkStart w:id="294" w:name="bookmark294"/>
      <w:bookmarkStart w:id="295" w:name="bookmark295"/>
      <w:bookmarkStart w:id="296" w:name="bookmark296"/>
      <w:r>
        <w:rPr>
          <w:rFonts w:ascii="Times New Roman" w:eastAsia="Times New Roman" w:hAnsi="Times New Roman" w:cs="Times New Roman"/>
          <w:color w:val="000000"/>
          <w:spacing w:val="0"/>
          <w:w w:val="100"/>
          <w:position w:val="0"/>
        </w:rPr>
        <w:t>1</w:t>
      </w:r>
      <w:bookmarkEnd w:id="295"/>
      <w:r>
        <w:rPr>
          <w:color w:val="000000"/>
          <w:spacing w:val="0"/>
          <w:w w:val="100"/>
          <w:position w:val="0"/>
        </w:rPr>
        <w:t>、与日常经营相关的关联交易</w:t>
      </w:r>
      <w:bookmarkEnd w:id="293"/>
      <w:bookmarkEnd w:id="294"/>
      <w:bookmarkEnd w:id="296"/>
    </w:p>
    <w:p>
      <w:pPr>
        <w:pStyle w:val="Style38"/>
        <w:keepNext/>
        <w:keepLines/>
        <w:widowControl w:val="0"/>
        <w:numPr>
          <w:ilvl w:val="0"/>
          <w:numId w:val="11"/>
        </w:numPr>
        <w:shd w:val="clear" w:color="auto" w:fill="auto"/>
        <w:bidi w:val="0"/>
        <w:spacing w:before="0" w:after="200" w:line="240" w:lineRule="auto"/>
        <w:ind w:left="0" w:right="0" w:firstLine="140"/>
        <w:jc w:val="left"/>
      </w:pPr>
      <w:bookmarkStart w:id="293" w:name="bookmark293"/>
      <w:bookmarkStart w:id="294" w:name="bookmark294"/>
      <w:bookmarkStart w:id="297" w:name="bookmark297"/>
      <w:bookmarkStart w:id="298" w:name="bookmark298"/>
      <w:bookmarkEnd w:id="297"/>
      <w:r>
        <w:rPr>
          <w:color w:val="000000"/>
          <w:spacing w:val="0"/>
          <w:w w:val="100"/>
          <w:position w:val="0"/>
        </w:rPr>
        <w:t>接受劳务</w:t>
      </w:r>
      <w:r>
        <w:rPr>
          <w:rFonts w:ascii="Times New Roman" w:eastAsia="Times New Roman" w:hAnsi="Times New Roman" w:cs="Times New Roman"/>
          <w:color w:val="000000"/>
          <w:spacing w:val="0"/>
          <w:w w:val="100"/>
          <w:position w:val="0"/>
        </w:rPr>
        <w:t>/</w:t>
      </w:r>
      <w:r>
        <w:rPr>
          <w:color w:val="000000"/>
          <w:spacing w:val="0"/>
          <w:w w:val="100"/>
          <w:position w:val="0"/>
        </w:rPr>
        <w:t>采购商品</w:t>
      </w:r>
      <w:bookmarkEnd w:id="293"/>
      <w:bookmarkEnd w:id="294"/>
      <w:bookmarkEnd w:id="298"/>
    </w:p>
    <w:p>
      <w:pPr>
        <w:pStyle w:val="Style25"/>
        <w:keepNext w:val="0"/>
        <w:keepLines w:val="0"/>
        <w:widowControl w:val="0"/>
        <w:shd w:val="clear" w:color="auto" w:fill="auto"/>
        <w:bidi w:val="0"/>
        <w:spacing w:before="0" w:after="0" w:line="240" w:lineRule="auto"/>
        <w:ind w:left="12912" w:right="0" w:firstLine="0"/>
        <w:jc w:val="left"/>
        <w:rPr>
          <w:sz w:val="20"/>
          <w:szCs w:val="20"/>
        </w:rPr>
      </w:pPr>
      <w:r>
        <w:rPr>
          <w:color w:val="000000"/>
          <w:spacing w:val="0"/>
          <w:w w:val="100"/>
          <w:position w:val="0"/>
          <w:sz w:val="20"/>
          <w:szCs w:val="20"/>
        </w:rPr>
        <w:t>单位：万元</w:t>
      </w:r>
    </w:p>
    <w:tbl>
      <w:tblPr>
        <w:tblOverlap w:val="never"/>
        <w:jc w:val="center"/>
        <w:tblLayout w:type="fixed"/>
      </w:tblPr>
      <w:tblGrid>
        <w:gridCol w:w="888"/>
        <w:gridCol w:w="907"/>
        <w:gridCol w:w="734"/>
        <w:gridCol w:w="1310"/>
        <w:gridCol w:w="1027"/>
        <w:gridCol w:w="1306"/>
        <w:gridCol w:w="1219"/>
        <w:gridCol w:w="1104"/>
        <w:gridCol w:w="1003"/>
        <w:gridCol w:w="595"/>
        <w:gridCol w:w="1594"/>
        <w:gridCol w:w="749"/>
        <w:gridCol w:w="581"/>
        <w:gridCol w:w="902"/>
      </w:tblGrid>
      <w:tr>
        <w:trPr>
          <w:trHeight w:val="1085" w:hRule="exact"/>
        </w:trPr>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关联交易 方</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关联关系</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关联交 易类型</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关联交易内 容</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关联交易 定价原则</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93" w:lineRule="exact"/>
              <w:ind w:left="0" w:right="0" w:firstLine="0"/>
              <w:jc w:val="center"/>
              <w:rPr>
                <w:sz w:val="20"/>
                <w:szCs w:val="20"/>
              </w:rPr>
            </w:pPr>
            <w:r>
              <w:rPr>
                <w:color w:val="000000"/>
                <w:spacing w:val="0"/>
                <w:w w:val="100"/>
                <w:position w:val="0"/>
                <w:sz w:val="20"/>
                <w:szCs w:val="20"/>
              </w:rPr>
              <w:t>关联交易价 格</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关联交易支 付金额</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占同类交 易金额的 比例</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获批的交 易额度</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66" w:lineRule="exact"/>
              <w:ind w:left="0" w:right="0" w:firstLine="0"/>
              <w:jc w:val="left"/>
              <w:rPr>
                <w:sz w:val="20"/>
                <w:szCs w:val="20"/>
              </w:rPr>
            </w:pPr>
            <w:r>
              <w:rPr>
                <w:color w:val="000000"/>
                <w:spacing w:val="0"/>
                <w:w w:val="100"/>
                <w:position w:val="0"/>
                <w:sz w:val="20"/>
                <w:szCs w:val="20"/>
              </w:rPr>
              <w:t>是否 超过 获批 额度</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关联交易结算方 式</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72" w:lineRule="exact"/>
              <w:ind w:left="0" w:right="0" w:firstLine="0"/>
              <w:jc w:val="center"/>
              <w:rPr>
                <w:sz w:val="20"/>
                <w:szCs w:val="20"/>
              </w:rPr>
            </w:pPr>
            <w:r>
              <w:rPr>
                <w:color w:val="000000"/>
                <w:spacing w:val="0"/>
                <w:w w:val="100"/>
                <w:position w:val="0"/>
                <w:sz w:val="20"/>
                <w:szCs w:val="20"/>
              </w:rPr>
              <w:t>可获得 的同类 交易市 价</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54" w:lineRule="exact"/>
              <w:ind w:left="0" w:right="0" w:firstLine="0"/>
              <w:jc w:val="left"/>
              <w:rPr>
                <w:sz w:val="20"/>
                <w:szCs w:val="20"/>
              </w:rPr>
            </w:pPr>
            <w:r>
              <w:rPr>
                <w:color w:val="000000"/>
                <w:spacing w:val="0"/>
                <w:w w:val="100"/>
                <w:position w:val="0"/>
                <w:sz w:val="20"/>
                <w:szCs w:val="20"/>
              </w:rPr>
              <w:t>披露 日期</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披露索引</w:t>
            </w:r>
          </w:p>
        </w:tc>
      </w:tr>
      <w:tr>
        <w:trPr>
          <w:trHeight w:val="274"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苏宁置业</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公司实际</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接受关</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公司委托苏</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代建费用</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自建连锁店</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2,147.99</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2.15%</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25,000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34"/>
                <w:szCs w:val="34"/>
              </w:rPr>
            </w:pPr>
            <w:r>
              <w:rPr>
                <w:color w:val="000000"/>
                <w:spacing w:val="0"/>
                <w:w w:val="100"/>
                <w:position w:val="0"/>
                <w:sz w:val="34"/>
                <w:szCs w:val="34"/>
                <w:vertAlign w:val="subscript"/>
              </w:rPr>
              <w:t>否</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自建连锁店项</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2015</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巨潮资讯</w:t>
            </w:r>
          </w:p>
        </w:tc>
      </w:tr>
      <w:tr>
        <w:trPr>
          <w:trHeight w:val="274" w:hRule="exact"/>
        </w:trPr>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集团有限</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控制人控</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联方提</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宁置业及其</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由双方依</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项目：按单</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3</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网 </w:t>
            </w:r>
            <w:r>
              <w:rPr>
                <w:rFonts w:ascii="Times New Roman" w:eastAsia="Times New Roman" w:hAnsi="Times New Roman" w:cs="Times New Roman"/>
                <w:color w:val="000000"/>
                <w:spacing w:val="0"/>
                <w:w w:val="100"/>
                <w:position w:val="0"/>
                <w:sz w:val="20"/>
                <w:szCs w:val="20"/>
              </w:rPr>
              <w:t>2015-</w:t>
            </w:r>
          </w:p>
        </w:tc>
      </w:tr>
      <w:tr>
        <w:trPr>
          <w:trHeight w:val="274" w:hRule="exact"/>
        </w:trPr>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公司及子</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股子公司</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供服务</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下属子公司</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据相关的</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个项目建设</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合同签订后</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017</w:t>
            </w:r>
            <w:r>
              <w:rPr>
                <w:color w:val="000000"/>
                <w:spacing w:val="0"/>
                <w:w w:val="100"/>
                <w:position w:val="0"/>
                <w:sz w:val="20"/>
                <w:szCs w:val="20"/>
              </w:rPr>
              <w:t>《关</w:t>
            </w:r>
          </w:p>
        </w:tc>
      </w:tr>
      <w:tr>
        <w:trPr>
          <w:trHeight w:val="269" w:hRule="exact"/>
        </w:trPr>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为公司及下</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成本投入</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总投入(不</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30</w:t>
            </w:r>
            <w:r>
              <w:rPr>
                <w:color w:val="000000"/>
                <w:spacing w:val="0"/>
                <w:w w:val="100"/>
                <w:position w:val="0"/>
                <w:sz w:val="20"/>
                <w:szCs w:val="20"/>
              </w:rPr>
              <w:t>日内支付代建</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日</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于日常关</w:t>
            </w:r>
          </w:p>
        </w:tc>
      </w:tr>
      <w:tr>
        <w:trPr>
          <w:trHeight w:val="27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属分、子公</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以及参考</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含土地款及</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服务费的</w:t>
            </w:r>
            <w:r>
              <w:rPr>
                <w:rFonts w:ascii="Times New Roman" w:eastAsia="Times New Roman" w:hAnsi="Times New Roman" w:cs="Times New Roman"/>
                <w:color w:val="000000"/>
                <w:spacing w:val="0"/>
                <w:w w:val="100"/>
                <w:position w:val="0"/>
                <w:sz w:val="20"/>
                <w:szCs w:val="20"/>
              </w:rPr>
              <w:t>30%</w:t>
            </w:r>
            <w:r>
              <w:rPr>
                <w:color w:val="000000"/>
                <w:spacing w:val="0"/>
                <w:w w:val="100"/>
                <w:position w:val="0"/>
                <w:sz w:val="20"/>
                <w:szCs w:val="20"/>
              </w:rPr>
              <w:t>作</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联交易预</w:t>
            </w:r>
          </w:p>
        </w:tc>
      </w:tr>
      <w:tr>
        <w:trPr>
          <w:trHeight w:val="27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司实施的包</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市场价格</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相关税费、</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为前期管理费</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计的公</w:t>
            </w:r>
          </w:p>
        </w:tc>
      </w:tr>
      <w:tr>
        <w:trPr>
          <w:trHeight w:val="26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括各地物流</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协商确定</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下同)金额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用。</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告》</w:t>
            </w:r>
          </w:p>
        </w:tc>
      </w:tr>
      <w:tr>
        <w:trPr>
          <w:trHeight w:val="278"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基地、自建</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的</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%予以支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项目代建服务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26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店项目在内</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付；</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进度款按照进度</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的各类土建</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物流基地等</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完工量确认，代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26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项目提供工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其他自建项</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建方在每年</w:t>
            </w:r>
            <w:r>
              <w:rPr>
                <w:rFonts w:ascii="Times New Roman" w:eastAsia="Times New Roman" w:hAnsi="Times New Roman" w:cs="Times New Roman"/>
                <w:color w:val="000000"/>
                <w:spacing w:val="0"/>
                <w:w w:val="100"/>
                <w:position w:val="0"/>
                <w:sz w:val="20"/>
                <w:szCs w:val="20"/>
              </w:rPr>
              <w:t>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程代建服</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目：按单个</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月上报项</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务，服务期</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项目建设总</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目半年度内完工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限从</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sz w:val="20"/>
                <w:szCs w:val="20"/>
              </w:rPr>
              <w:t>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投入金额的</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量，经委托方审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26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日起至</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1.5%</w:t>
            </w:r>
            <w:r>
              <w:rPr>
                <w:color w:val="000000"/>
                <w:spacing w:val="0"/>
                <w:w w:val="100"/>
                <w:position w:val="0"/>
                <w:sz w:val="20"/>
                <w:szCs w:val="20"/>
              </w:rPr>
              <w:t>予以支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核后按照核定完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2018</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月</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付</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工量</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费率</w:t>
            </w:r>
            <w:r>
              <w:rPr>
                <w:rFonts w:ascii="Times New Roman" w:eastAsia="Times New Roman" w:hAnsi="Times New Roman" w:cs="Times New Roman"/>
                <w:color w:val="000000"/>
                <w:spacing w:val="0"/>
                <w:w w:val="100"/>
                <w:position w:val="0"/>
                <w:sz w:val="20"/>
                <w:szCs w:val="20"/>
              </w:rPr>
              <w:t>*90%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1896" w:hRule="exact"/>
        </w:trPr>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77" w:lineRule="exact"/>
              <w:ind w:left="0" w:right="0" w:firstLine="0"/>
              <w:jc w:val="both"/>
              <w:rPr>
                <w:sz w:val="20"/>
                <w:szCs w:val="20"/>
              </w:rPr>
            </w:pPr>
            <w:r>
              <w:rPr>
                <w:color w:val="000000"/>
                <w:spacing w:val="0"/>
                <w:w w:val="100"/>
                <w:position w:val="0"/>
                <w:sz w:val="20"/>
                <w:szCs w:val="20"/>
              </w:rPr>
              <w:t>的金额在</w:t>
            </w:r>
            <w:r>
              <w:rPr>
                <w:rFonts w:ascii="Times New Roman" w:eastAsia="Times New Roman" w:hAnsi="Times New Roman" w:cs="Times New Roman"/>
                <w:color w:val="000000"/>
                <w:spacing w:val="0"/>
                <w:w w:val="100"/>
                <w:position w:val="0"/>
                <w:sz w:val="20"/>
                <w:szCs w:val="20"/>
              </w:rPr>
              <w:t>30</w:t>
            </w:r>
            <w:r>
              <w:rPr>
                <w:color w:val="000000"/>
                <w:spacing w:val="0"/>
                <w:w w:val="100"/>
                <w:position w:val="0"/>
                <w:sz w:val="20"/>
                <w:szCs w:val="20"/>
              </w:rPr>
              <w:t>天 内予以支付。</w:t>
            </w:r>
          </w:p>
          <w:p>
            <w:pPr>
              <w:pStyle w:val="Style28"/>
              <w:keepNext w:val="0"/>
              <w:keepLines w:val="0"/>
              <w:widowControl w:val="0"/>
              <w:shd w:val="clear" w:color="auto" w:fill="auto"/>
              <w:bidi w:val="0"/>
              <w:spacing w:before="0" w:after="0" w:line="277"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项目交付使用 甲方验收合格之 日起</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个月内， 代建方上报项目 的预决算完工</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902"/>
        <w:gridCol w:w="907"/>
        <w:gridCol w:w="734"/>
        <w:gridCol w:w="1310"/>
        <w:gridCol w:w="1027"/>
        <w:gridCol w:w="1306"/>
        <w:gridCol w:w="1219"/>
        <w:gridCol w:w="1104"/>
        <w:gridCol w:w="1003"/>
        <w:gridCol w:w="595"/>
        <w:gridCol w:w="1594"/>
        <w:gridCol w:w="749"/>
        <w:gridCol w:w="581"/>
        <w:gridCol w:w="994"/>
      </w:tblGrid>
      <w:tr>
        <w:trPr>
          <w:trHeight w:val="1114" w:hRule="exact"/>
        </w:trPr>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关联交易 方</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关联关系</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88" w:lineRule="exact"/>
              <w:ind w:left="0" w:right="0" w:firstLine="0"/>
              <w:jc w:val="left"/>
              <w:rPr>
                <w:sz w:val="20"/>
                <w:szCs w:val="20"/>
              </w:rPr>
            </w:pPr>
            <w:r>
              <w:rPr>
                <w:color w:val="000000"/>
                <w:spacing w:val="0"/>
                <w:w w:val="100"/>
                <w:position w:val="0"/>
                <w:sz w:val="20"/>
                <w:szCs w:val="20"/>
              </w:rPr>
              <w:t>关联交 易类型</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关联交易内 容</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88" w:lineRule="exact"/>
              <w:ind w:left="0" w:right="0" w:firstLine="0"/>
              <w:jc w:val="center"/>
              <w:rPr>
                <w:sz w:val="20"/>
                <w:szCs w:val="20"/>
              </w:rPr>
            </w:pPr>
            <w:r>
              <w:rPr>
                <w:color w:val="000000"/>
                <w:spacing w:val="0"/>
                <w:w w:val="100"/>
                <w:position w:val="0"/>
                <w:sz w:val="20"/>
                <w:szCs w:val="20"/>
              </w:rPr>
              <w:t>关联交易 定价原则</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88" w:lineRule="exact"/>
              <w:ind w:left="0" w:right="0" w:firstLine="0"/>
              <w:jc w:val="center"/>
              <w:rPr>
                <w:sz w:val="20"/>
                <w:szCs w:val="20"/>
              </w:rPr>
            </w:pPr>
            <w:r>
              <w:rPr>
                <w:color w:val="000000"/>
                <w:spacing w:val="0"/>
                <w:w w:val="100"/>
                <w:position w:val="0"/>
                <w:sz w:val="20"/>
                <w:szCs w:val="20"/>
              </w:rPr>
              <w:t>关联交易价 格</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关联交易支 付金额</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占同类交 易金额的 比例</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获批的交 易额度</w:t>
            </w:r>
          </w:p>
        </w:tc>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66" w:lineRule="exact"/>
              <w:ind w:left="0" w:right="0" w:firstLine="0"/>
              <w:jc w:val="left"/>
              <w:rPr>
                <w:sz w:val="20"/>
                <w:szCs w:val="20"/>
              </w:rPr>
            </w:pPr>
            <w:r>
              <w:rPr>
                <w:color w:val="000000"/>
                <w:spacing w:val="0"/>
                <w:w w:val="100"/>
                <w:position w:val="0"/>
                <w:sz w:val="20"/>
                <w:szCs w:val="20"/>
              </w:rPr>
              <w:t>是否 超过 获批 额度</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关联交易结算方 式</w:t>
            </w:r>
          </w:p>
        </w:tc>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72" w:lineRule="exact"/>
              <w:ind w:left="0" w:right="0" w:firstLine="0"/>
              <w:jc w:val="center"/>
              <w:rPr>
                <w:sz w:val="20"/>
                <w:szCs w:val="20"/>
              </w:rPr>
            </w:pPr>
            <w:r>
              <w:rPr>
                <w:color w:val="000000"/>
                <w:spacing w:val="0"/>
                <w:w w:val="100"/>
                <w:position w:val="0"/>
                <w:sz w:val="20"/>
                <w:szCs w:val="20"/>
              </w:rPr>
              <w:t>可获得 的同类 交易市 价</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50" w:lineRule="exact"/>
              <w:ind w:left="0" w:right="0" w:firstLine="0"/>
              <w:jc w:val="left"/>
              <w:rPr>
                <w:sz w:val="20"/>
                <w:szCs w:val="20"/>
              </w:rPr>
            </w:pPr>
            <w:r>
              <w:rPr>
                <w:color w:val="000000"/>
                <w:spacing w:val="0"/>
                <w:w w:val="100"/>
                <w:position w:val="0"/>
                <w:sz w:val="20"/>
                <w:szCs w:val="20"/>
              </w:rPr>
              <w:t>披露 日期</w:t>
            </w:r>
          </w:p>
        </w:tc>
        <w:tc>
          <w:tcPr>
            <w:tcBorders>
              <w:top w:val="single" w:sz="4"/>
              <w:left w:val="single" w:sz="4"/>
              <w:righ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披露索引</w:t>
            </w:r>
          </w:p>
        </w:tc>
      </w:tr>
      <w:tr>
        <w:trPr>
          <w:trHeight w:val="8184"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量，经委托方审 核后按照完工量 的</w:t>
            </w:r>
            <w:r>
              <w:rPr>
                <w:rFonts w:ascii="Times New Roman" w:eastAsia="Times New Roman" w:hAnsi="Times New Roman" w:cs="Times New Roman"/>
                <w:color w:val="000000"/>
                <w:spacing w:val="0"/>
                <w:w w:val="100"/>
                <w:position w:val="0"/>
                <w:sz w:val="20"/>
                <w:szCs w:val="20"/>
              </w:rPr>
              <w:t>90%</w:t>
            </w:r>
            <w:r>
              <w:rPr>
                <w:color w:val="000000"/>
                <w:spacing w:val="0"/>
                <w:w w:val="100"/>
                <w:position w:val="0"/>
                <w:sz w:val="20"/>
                <w:szCs w:val="20"/>
              </w:rPr>
              <w:t>对前期已 付款进行清算， 多退少补。</w:t>
            </w:r>
          </w:p>
          <w:p>
            <w:pPr>
              <w:pStyle w:val="Style28"/>
              <w:keepNext w:val="0"/>
              <w:keepLines w:val="0"/>
              <w:widowControl w:val="0"/>
              <w:shd w:val="clear" w:color="auto" w:fill="auto"/>
              <w:bidi w:val="0"/>
              <w:spacing w:before="0" w:after="0" w:line="274" w:lineRule="exact"/>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工程项目决算 后并取得产权证 后，双方根据结 算定案单金额重 新计算调整代建 服务费，并于</w:t>
            </w:r>
            <w:r>
              <w:rPr>
                <w:rFonts w:ascii="Times New Roman" w:eastAsia="Times New Roman" w:hAnsi="Times New Roman" w:cs="Times New Roman"/>
                <w:color w:val="000000"/>
                <w:spacing w:val="0"/>
                <w:w w:val="100"/>
                <w:position w:val="0"/>
                <w:sz w:val="20"/>
                <w:szCs w:val="20"/>
              </w:rPr>
              <w:t xml:space="preserve">30 </w:t>
            </w:r>
            <w:r>
              <w:rPr>
                <w:color w:val="000000"/>
                <w:spacing w:val="0"/>
                <w:w w:val="100"/>
                <w:position w:val="0"/>
                <w:sz w:val="20"/>
                <w:szCs w:val="20"/>
              </w:rPr>
              <w:t>日内进行最终清 算。</w:t>
            </w:r>
          </w:p>
          <w:p>
            <w:pPr>
              <w:pStyle w:val="Style28"/>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物流基地工程项 目：</w:t>
            </w:r>
          </w:p>
          <w:p>
            <w:pPr>
              <w:pStyle w:val="Style28"/>
              <w:keepNext w:val="0"/>
              <w:keepLines w:val="0"/>
              <w:widowControl w:val="0"/>
              <w:shd w:val="clear" w:color="auto" w:fill="auto"/>
              <w:tabs>
                <w:tab w:pos="533" w:val="left"/>
              </w:tabs>
              <w:bidi w:val="0"/>
              <w:spacing w:before="0" w:after="0" w:line="274" w:lineRule="exact"/>
              <w:ind w:left="0" w:right="0" w:firstLine="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tab/>
              <w:t>合同签订 后</w:t>
            </w:r>
            <w:r>
              <w:rPr>
                <w:rFonts w:ascii="Times New Roman" w:eastAsia="Times New Roman" w:hAnsi="Times New Roman" w:cs="Times New Roman"/>
                <w:color w:val="000000"/>
                <w:spacing w:val="0"/>
                <w:w w:val="100"/>
                <w:position w:val="0"/>
                <w:sz w:val="20"/>
                <w:szCs w:val="20"/>
              </w:rPr>
              <w:t>30</w:t>
            </w:r>
            <w:r>
              <w:rPr>
                <w:color w:val="000000"/>
                <w:spacing w:val="0"/>
                <w:w w:val="100"/>
                <w:position w:val="0"/>
                <w:sz w:val="20"/>
                <w:szCs w:val="20"/>
              </w:rPr>
              <w:t xml:space="preserve">日内支付 代建服务费的 </w:t>
            </w:r>
            <w:r>
              <w:rPr>
                <w:rFonts w:ascii="Times New Roman" w:eastAsia="Times New Roman" w:hAnsi="Times New Roman" w:cs="Times New Roman"/>
                <w:color w:val="000000"/>
                <w:spacing w:val="0"/>
                <w:w w:val="100"/>
                <w:position w:val="0"/>
                <w:sz w:val="20"/>
                <w:szCs w:val="20"/>
              </w:rPr>
              <w:t>30%</w:t>
            </w:r>
            <w:r>
              <w:rPr>
                <w:color w:val="000000"/>
                <w:spacing w:val="0"/>
                <w:w w:val="100"/>
                <w:position w:val="0"/>
                <w:sz w:val="20"/>
                <w:szCs w:val="20"/>
              </w:rPr>
              <w:t>作为前期管 理费用。</w:t>
            </w:r>
          </w:p>
          <w:p>
            <w:pPr>
              <w:pStyle w:val="Style28"/>
              <w:keepNext w:val="0"/>
              <w:keepLines w:val="0"/>
              <w:widowControl w:val="0"/>
              <w:shd w:val="clear" w:color="auto" w:fill="auto"/>
              <w:tabs>
                <w:tab w:pos="528" w:val="left"/>
              </w:tabs>
              <w:bidi w:val="0"/>
              <w:spacing w:before="0" w:after="0" w:line="274" w:lineRule="exact"/>
              <w:ind w:left="0" w:right="0" w:firstLine="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tab/>
              <w:t>项目代建 服务进度款按照 完工形象进度节 点支付，仓库屋 面结构封顶后</w:t>
            </w:r>
            <w:r>
              <w:rPr>
                <w:rFonts w:ascii="Times New Roman" w:eastAsia="Times New Roman" w:hAnsi="Times New Roman" w:cs="Times New Roman"/>
                <w:color w:val="000000"/>
                <w:spacing w:val="0"/>
                <w:w w:val="100"/>
                <w:position w:val="0"/>
                <w:sz w:val="20"/>
                <w:szCs w:val="20"/>
              </w:rPr>
              <w:t xml:space="preserve">30 </w:t>
            </w:r>
            <w:r>
              <w:rPr>
                <w:color w:val="000000"/>
                <w:spacing w:val="0"/>
                <w:w w:val="100"/>
                <w:position w:val="0"/>
                <w:sz w:val="20"/>
                <w:szCs w:val="20"/>
              </w:rPr>
              <w:t>日内支付代建服 务费的</w:t>
            </w:r>
            <w:r>
              <w:rPr>
                <w:rFonts w:ascii="Times New Roman" w:eastAsia="Times New Roman" w:hAnsi="Times New Roman" w:cs="Times New Roman"/>
                <w:color w:val="000000"/>
                <w:spacing w:val="0"/>
                <w:w w:val="100"/>
                <w:position w:val="0"/>
                <w:sz w:val="20"/>
                <w:szCs w:val="20"/>
              </w:rPr>
              <w:t>30%</w:t>
            </w:r>
            <w:r>
              <w:rPr>
                <w:color w:val="000000"/>
                <w:spacing w:val="0"/>
                <w:w w:val="100"/>
                <w:position w:val="0"/>
                <w:sz w:val="20"/>
                <w:szCs w:val="20"/>
              </w:rPr>
              <w:t>，工 程完工且交付甲 方使用后</w:t>
            </w:r>
            <w:r>
              <w:rPr>
                <w:rFonts w:ascii="Times New Roman" w:eastAsia="Times New Roman" w:hAnsi="Times New Roman" w:cs="Times New Roman"/>
                <w:color w:val="000000"/>
                <w:spacing w:val="0"/>
                <w:w w:val="100"/>
                <w:position w:val="0"/>
                <w:sz w:val="20"/>
                <w:szCs w:val="20"/>
              </w:rPr>
              <w:t>30</w:t>
            </w:r>
            <w:r>
              <w:rPr>
                <w:color w:val="000000"/>
                <w:spacing w:val="0"/>
                <w:w w:val="100"/>
                <w:position w:val="0"/>
                <w:sz w:val="20"/>
                <w:szCs w:val="20"/>
              </w:rPr>
              <w:t>日 内支付代建服务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902"/>
        <w:gridCol w:w="907"/>
        <w:gridCol w:w="734"/>
        <w:gridCol w:w="1310"/>
        <w:gridCol w:w="1027"/>
        <w:gridCol w:w="1306"/>
        <w:gridCol w:w="1219"/>
        <w:gridCol w:w="1104"/>
        <w:gridCol w:w="1003"/>
        <w:gridCol w:w="595"/>
        <w:gridCol w:w="1594"/>
        <w:gridCol w:w="749"/>
        <w:gridCol w:w="581"/>
        <w:gridCol w:w="994"/>
      </w:tblGrid>
      <w:tr>
        <w:trPr>
          <w:trHeight w:val="1114" w:hRule="exact"/>
        </w:trPr>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关联交易 方</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关联关系</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88" w:lineRule="exact"/>
              <w:ind w:left="0" w:right="0" w:firstLine="0"/>
              <w:jc w:val="left"/>
              <w:rPr>
                <w:sz w:val="20"/>
                <w:szCs w:val="20"/>
              </w:rPr>
            </w:pPr>
            <w:r>
              <w:rPr>
                <w:color w:val="000000"/>
                <w:spacing w:val="0"/>
                <w:w w:val="100"/>
                <w:position w:val="0"/>
                <w:sz w:val="20"/>
                <w:szCs w:val="20"/>
              </w:rPr>
              <w:t>关联交 易类型</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关联交易内 容</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88" w:lineRule="exact"/>
              <w:ind w:left="0" w:right="0" w:firstLine="0"/>
              <w:jc w:val="left"/>
              <w:rPr>
                <w:sz w:val="20"/>
                <w:szCs w:val="20"/>
              </w:rPr>
            </w:pPr>
            <w:r>
              <w:rPr>
                <w:color w:val="000000"/>
                <w:spacing w:val="0"/>
                <w:w w:val="100"/>
                <w:position w:val="0"/>
                <w:sz w:val="20"/>
                <w:szCs w:val="20"/>
              </w:rPr>
              <w:t>关联交易 定价原则</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88" w:lineRule="exact"/>
              <w:ind w:left="0" w:right="0" w:firstLine="0"/>
              <w:jc w:val="center"/>
              <w:rPr>
                <w:sz w:val="20"/>
                <w:szCs w:val="20"/>
              </w:rPr>
            </w:pPr>
            <w:r>
              <w:rPr>
                <w:color w:val="000000"/>
                <w:spacing w:val="0"/>
                <w:w w:val="100"/>
                <w:position w:val="0"/>
                <w:sz w:val="20"/>
                <w:szCs w:val="20"/>
              </w:rPr>
              <w:t>关联交易价 格</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关联交易支 付金额</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占同类交 易金额的 比例</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获批的交 易额度</w:t>
            </w:r>
          </w:p>
        </w:tc>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66" w:lineRule="exact"/>
              <w:ind w:left="0" w:right="0" w:firstLine="0"/>
              <w:jc w:val="left"/>
              <w:rPr>
                <w:sz w:val="20"/>
                <w:szCs w:val="20"/>
              </w:rPr>
            </w:pPr>
            <w:r>
              <w:rPr>
                <w:color w:val="000000"/>
                <w:spacing w:val="0"/>
                <w:w w:val="100"/>
                <w:position w:val="0"/>
                <w:sz w:val="20"/>
                <w:szCs w:val="20"/>
              </w:rPr>
              <w:t>是否 超过 获批 额度</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关联交易结算方 式</w:t>
            </w:r>
          </w:p>
        </w:tc>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72" w:lineRule="exact"/>
              <w:ind w:left="0" w:right="0" w:firstLine="0"/>
              <w:jc w:val="center"/>
              <w:rPr>
                <w:sz w:val="20"/>
                <w:szCs w:val="20"/>
              </w:rPr>
            </w:pPr>
            <w:r>
              <w:rPr>
                <w:color w:val="000000"/>
                <w:spacing w:val="0"/>
                <w:w w:val="100"/>
                <w:position w:val="0"/>
                <w:sz w:val="20"/>
                <w:szCs w:val="20"/>
              </w:rPr>
              <w:t>可获得 的同类 交易市 价</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50" w:lineRule="exact"/>
              <w:ind w:left="0" w:right="0" w:firstLine="0"/>
              <w:jc w:val="left"/>
              <w:rPr>
                <w:sz w:val="20"/>
                <w:szCs w:val="20"/>
              </w:rPr>
            </w:pPr>
            <w:r>
              <w:rPr>
                <w:color w:val="000000"/>
                <w:spacing w:val="0"/>
                <w:w w:val="100"/>
                <w:position w:val="0"/>
                <w:sz w:val="20"/>
                <w:szCs w:val="20"/>
              </w:rPr>
              <w:t>披露 日期</w:t>
            </w:r>
          </w:p>
        </w:tc>
        <w:tc>
          <w:tcPr>
            <w:tcBorders>
              <w:top w:val="single" w:sz="4"/>
              <w:left w:val="single" w:sz="4"/>
              <w:righ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披露索引</w:t>
            </w:r>
          </w:p>
        </w:tc>
      </w:tr>
      <w:tr>
        <w:trPr>
          <w:trHeight w:val="518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费的</w:t>
            </w:r>
            <w:r>
              <w:rPr>
                <w:rFonts w:ascii="Times New Roman" w:eastAsia="Times New Roman" w:hAnsi="Times New Roman" w:cs="Times New Roman"/>
                <w:color w:val="000000"/>
                <w:spacing w:val="0"/>
                <w:w w:val="100"/>
                <w:position w:val="0"/>
                <w:sz w:val="20"/>
                <w:szCs w:val="20"/>
              </w:rPr>
              <w:t>20%</w:t>
            </w:r>
            <w:r>
              <w:rPr>
                <w:color w:val="000000"/>
                <w:spacing w:val="0"/>
                <w:w w:val="100"/>
                <w:position w:val="0"/>
                <w:sz w:val="20"/>
                <w:szCs w:val="20"/>
              </w:rPr>
              <w:t>。</w:t>
            </w:r>
          </w:p>
          <w:p>
            <w:pPr>
              <w:pStyle w:val="Style28"/>
              <w:keepNext w:val="0"/>
              <w:keepLines w:val="0"/>
              <w:widowControl w:val="0"/>
              <w:shd w:val="clear" w:color="auto" w:fill="auto"/>
              <w:tabs>
                <w:tab w:pos="533" w:val="left"/>
              </w:tabs>
              <w:bidi w:val="0"/>
              <w:spacing w:before="0" w:after="0" w:line="274" w:lineRule="exact"/>
              <w:ind w:left="0" w:right="0" w:firstLine="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w:t>
              <w:tab/>
              <w:t xml:space="preserve">项目交付 甲方使用之日起 </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个月内，乙方 上报项目的进度 完工量，经甲方 审核后按照完工 量的</w:t>
            </w:r>
            <w:r>
              <w:rPr>
                <w:rFonts w:ascii="Times New Roman" w:eastAsia="Times New Roman" w:hAnsi="Times New Roman" w:cs="Times New Roman"/>
                <w:color w:val="000000"/>
                <w:spacing w:val="0"/>
                <w:w w:val="100"/>
                <w:position w:val="0"/>
                <w:sz w:val="20"/>
                <w:szCs w:val="20"/>
              </w:rPr>
              <w:t>90%</w:t>
            </w:r>
            <w:r>
              <w:rPr>
                <w:color w:val="000000"/>
                <w:spacing w:val="0"/>
                <w:w w:val="100"/>
                <w:position w:val="0"/>
                <w:sz w:val="20"/>
                <w:szCs w:val="20"/>
              </w:rPr>
              <w:t>对前期 已付款进行清 算，多退少补。</w:t>
            </w:r>
          </w:p>
          <w:p>
            <w:pPr>
              <w:pStyle w:val="Style28"/>
              <w:keepNext w:val="0"/>
              <w:keepLines w:val="0"/>
              <w:widowControl w:val="0"/>
              <w:shd w:val="clear" w:color="auto" w:fill="auto"/>
              <w:tabs>
                <w:tab w:pos="528" w:val="left"/>
              </w:tabs>
              <w:bidi w:val="0"/>
              <w:spacing w:before="0" w:after="0" w:line="274" w:lineRule="exact"/>
              <w:ind w:left="0" w:right="0" w:firstLine="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w:t>
              <w:tab/>
              <w:t>工程项目 决算后并取得产 权证后，双方根 据结算定案单金 额重新计算调整 代建服务费，并 于决算金额确定 后</w:t>
            </w:r>
            <w:r>
              <w:rPr>
                <w:rFonts w:ascii="Times New Roman" w:eastAsia="Times New Roman" w:hAnsi="Times New Roman" w:cs="Times New Roman"/>
                <w:color w:val="000000"/>
                <w:spacing w:val="0"/>
                <w:w w:val="100"/>
                <w:position w:val="0"/>
                <w:sz w:val="20"/>
                <w:szCs w:val="20"/>
              </w:rPr>
              <w:t>30</w:t>
            </w:r>
            <w:r>
              <w:rPr>
                <w:color w:val="000000"/>
                <w:spacing w:val="0"/>
                <w:w w:val="100"/>
                <w:position w:val="0"/>
                <w:sz w:val="20"/>
                <w:szCs w:val="20"/>
              </w:rPr>
              <w:t>日内进行 最终清算支付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05"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76" w:lineRule="exact"/>
              <w:ind w:left="0" w:right="0" w:firstLine="0"/>
              <w:jc w:val="both"/>
              <w:rPr>
                <w:sz w:val="20"/>
                <w:szCs w:val="20"/>
              </w:rPr>
            </w:pPr>
            <w:r>
              <w:rPr>
                <w:color w:val="000000"/>
                <w:spacing w:val="0"/>
                <w:w w:val="100"/>
                <w:position w:val="0"/>
                <w:sz w:val="20"/>
                <w:szCs w:val="20"/>
              </w:rPr>
              <w:t>江苏银河 物业管理 有限公司</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苏宁置业 集团子公 司</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71" w:lineRule="exact"/>
              <w:ind w:left="0" w:right="0" w:firstLine="0"/>
              <w:jc w:val="left"/>
              <w:rPr>
                <w:sz w:val="20"/>
                <w:szCs w:val="20"/>
              </w:rPr>
            </w:pPr>
            <w:r>
              <w:rPr>
                <w:color w:val="000000"/>
                <w:spacing w:val="0"/>
                <w:w w:val="100"/>
                <w:position w:val="0"/>
                <w:sz w:val="20"/>
                <w:szCs w:val="20"/>
              </w:rPr>
              <w:t>接受关 联方提 供服务</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72" w:lineRule="exact"/>
              <w:ind w:left="0" w:right="0" w:firstLine="0"/>
              <w:jc w:val="left"/>
              <w:rPr>
                <w:sz w:val="20"/>
                <w:szCs w:val="20"/>
              </w:rPr>
            </w:pPr>
            <w:r>
              <w:rPr>
                <w:color w:val="000000"/>
                <w:spacing w:val="0"/>
                <w:w w:val="100"/>
                <w:position w:val="0"/>
                <w:sz w:val="20"/>
                <w:szCs w:val="20"/>
              </w:rPr>
              <w:t>公司委托江 苏银河物业 负责徐庄总 部园区的物 业管理服 务，服务内 容包括安 全、环境、 设备的管理 及其他专项 服务。物业</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市场价格</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71" w:lineRule="exact"/>
              <w:ind w:left="0" w:right="0" w:firstLine="0"/>
              <w:jc w:val="left"/>
              <w:rPr>
                <w:sz w:val="20"/>
                <w:szCs w:val="20"/>
              </w:rPr>
            </w:pPr>
            <w:r>
              <w:rPr>
                <w:color w:val="000000"/>
                <w:spacing w:val="0"/>
                <w:w w:val="100"/>
                <w:position w:val="0"/>
                <w:sz w:val="20"/>
                <w:szCs w:val="20"/>
              </w:rPr>
              <w:t>一期东区</w:t>
            </w:r>
            <w:r>
              <w:rPr>
                <w:rFonts w:ascii="Times New Roman" w:eastAsia="Times New Roman" w:hAnsi="Times New Roman" w:cs="Times New Roman"/>
                <w:color w:val="000000"/>
                <w:spacing w:val="0"/>
                <w:w w:val="100"/>
                <w:position w:val="0"/>
                <w:sz w:val="20"/>
                <w:szCs w:val="20"/>
              </w:rPr>
              <w:t xml:space="preserve">10 </w:t>
            </w:r>
            <w:r>
              <w:rPr>
                <w:color w:val="000000"/>
                <w:spacing w:val="0"/>
                <w:w w:val="100"/>
                <w:position w:val="0"/>
                <w:sz w:val="20"/>
                <w:szCs w:val="20"/>
              </w:rPr>
              <w:t>元</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平方 米、西区</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 xml:space="preserve">元 </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平方米， 二期</w:t>
            </w:r>
            <w:r>
              <w:rPr>
                <w:rFonts w:ascii="Times New Roman" w:eastAsia="Times New Roman" w:hAnsi="Times New Roman" w:cs="Times New Roman"/>
                <w:color w:val="000000"/>
                <w:spacing w:val="0"/>
                <w:w w:val="100"/>
                <w:position w:val="0"/>
                <w:sz w:val="20"/>
                <w:szCs w:val="20"/>
              </w:rPr>
              <w:t>8</w:t>
            </w:r>
            <w:r>
              <w:rPr>
                <w:color w:val="000000"/>
                <w:spacing w:val="0"/>
                <w:w w:val="100"/>
                <w:position w:val="0"/>
                <w:sz w:val="20"/>
                <w:szCs w:val="20"/>
              </w:rPr>
              <w:t>元</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 xml:space="preserve">/ </w:t>
            </w:r>
            <w:r>
              <w:rPr>
                <w:color w:val="000000"/>
                <w:spacing w:val="0"/>
                <w:w w:val="100"/>
                <w:position w:val="0"/>
                <w:sz w:val="20"/>
                <w:szCs w:val="20"/>
              </w:rPr>
              <w:t>平方米</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2,944.07</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2.94%</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13,854</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34"/>
                <w:szCs w:val="34"/>
              </w:rPr>
            </w:pPr>
            <w:r>
              <w:rPr>
                <w:color w:val="000000"/>
                <w:spacing w:val="0"/>
                <w:w w:val="100"/>
                <w:position w:val="0"/>
                <w:sz w:val="34"/>
                <w:szCs w:val="34"/>
                <w:vertAlign w:val="subscript"/>
              </w:rPr>
              <w:t>否</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季度支付</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86"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2015</w:t>
            </w:r>
          </w:p>
          <w:p>
            <w:pPr>
              <w:pStyle w:val="Style28"/>
              <w:keepNext w:val="0"/>
              <w:keepLines w:val="0"/>
              <w:widowControl w:val="0"/>
              <w:shd w:val="clear" w:color="auto" w:fill="auto"/>
              <w:bidi w:val="0"/>
              <w:spacing w:before="0" w:after="60" w:line="274" w:lineRule="exact"/>
              <w:ind w:left="0" w:right="0" w:firstLine="0"/>
              <w:jc w:val="left"/>
              <w:rPr>
                <w:sz w:val="20"/>
                <w:szCs w:val="20"/>
              </w:rPr>
            </w:pP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 xml:space="preserve">1 </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p>
          <w:p>
            <w:pPr>
              <w:pStyle w:val="Style28"/>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日</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73" w:lineRule="exact"/>
              <w:ind w:left="0" w:right="0" w:firstLine="0"/>
              <w:jc w:val="left"/>
              <w:rPr>
                <w:sz w:val="20"/>
                <w:szCs w:val="20"/>
              </w:rPr>
            </w:pPr>
            <w:r>
              <w:rPr>
                <w:color w:val="000000"/>
                <w:spacing w:val="0"/>
                <w:w w:val="100"/>
                <w:position w:val="0"/>
                <w:sz w:val="20"/>
                <w:szCs w:val="20"/>
              </w:rPr>
              <w:t xml:space="preserve">巨潮资讯 网 </w:t>
            </w:r>
            <w:r>
              <w:rPr>
                <w:rFonts w:ascii="Times New Roman" w:eastAsia="Times New Roman" w:hAnsi="Times New Roman" w:cs="Times New Roman"/>
                <w:color w:val="000000"/>
                <w:spacing w:val="0"/>
                <w:w w:val="100"/>
                <w:position w:val="0"/>
                <w:sz w:val="20"/>
                <w:szCs w:val="20"/>
              </w:rPr>
              <w:t xml:space="preserve">2015- </w:t>
            </w:r>
            <w:r>
              <w:rPr>
                <w:rFonts w:ascii="Times New Roman" w:eastAsia="Times New Roman" w:hAnsi="Times New Roman" w:cs="Times New Roman"/>
                <w:color w:val="000000"/>
                <w:spacing w:val="0"/>
                <w:w w:val="100"/>
                <w:position w:val="0"/>
                <w:sz w:val="20"/>
                <w:szCs w:val="20"/>
              </w:rPr>
              <w:t>004</w:t>
            </w:r>
            <w:r>
              <w:rPr>
                <w:color w:val="000000"/>
                <w:spacing w:val="0"/>
                <w:w w:val="100"/>
                <w:position w:val="0"/>
                <w:sz w:val="20"/>
                <w:szCs w:val="20"/>
              </w:rPr>
              <w:t>《关 于接受关 联方提供 物业服务 的关联交 易公告》</w:t>
            </w:r>
          </w:p>
        </w:tc>
      </w:tr>
    </w:tbl>
    <w:p>
      <w:pPr>
        <w:spacing w:lineRule="exact" w:line="1"/>
        <w:rPr>
          <w:sz w:val="2"/>
          <w:szCs w:val="2"/>
        </w:rPr>
      </w:pPr>
      <w:r>
        <w:br w:type="page"/>
      </w:r>
    </w:p>
    <w:tbl>
      <w:tblPr>
        <w:tblOverlap w:val="never"/>
        <w:jc w:val="center"/>
        <w:tblLayout w:type="fixed"/>
      </w:tblPr>
      <w:tblGrid>
        <w:gridCol w:w="902"/>
        <w:gridCol w:w="907"/>
        <w:gridCol w:w="734"/>
        <w:gridCol w:w="1310"/>
        <w:gridCol w:w="1027"/>
        <w:gridCol w:w="1306"/>
        <w:gridCol w:w="1219"/>
        <w:gridCol w:w="1104"/>
        <w:gridCol w:w="1003"/>
        <w:gridCol w:w="595"/>
        <w:gridCol w:w="1594"/>
        <w:gridCol w:w="749"/>
        <w:gridCol w:w="581"/>
        <w:gridCol w:w="994"/>
      </w:tblGrid>
      <w:tr>
        <w:trPr>
          <w:trHeight w:val="1114" w:hRule="exact"/>
        </w:trPr>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关联交易 方</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关联关系</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88" w:lineRule="exact"/>
              <w:ind w:left="0" w:right="0" w:firstLine="0"/>
              <w:jc w:val="left"/>
              <w:rPr>
                <w:sz w:val="20"/>
                <w:szCs w:val="20"/>
              </w:rPr>
            </w:pPr>
            <w:r>
              <w:rPr>
                <w:color w:val="000000"/>
                <w:spacing w:val="0"/>
                <w:w w:val="100"/>
                <w:position w:val="0"/>
                <w:sz w:val="20"/>
                <w:szCs w:val="20"/>
              </w:rPr>
              <w:t>关联交 易类型</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关联交易内 容</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88" w:lineRule="exact"/>
              <w:ind w:left="0" w:right="0" w:firstLine="0"/>
              <w:jc w:val="left"/>
              <w:rPr>
                <w:sz w:val="20"/>
                <w:szCs w:val="20"/>
              </w:rPr>
            </w:pPr>
            <w:r>
              <w:rPr>
                <w:color w:val="000000"/>
                <w:spacing w:val="0"/>
                <w:w w:val="100"/>
                <w:position w:val="0"/>
                <w:sz w:val="20"/>
                <w:szCs w:val="20"/>
              </w:rPr>
              <w:t>关联交易 定价原则</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88" w:lineRule="exact"/>
              <w:ind w:left="0" w:right="0" w:firstLine="0"/>
              <w:jc w:val="center"/>
              <w:rPr>
                <w:sz w:val="20"/>
                <w:szCs w:val="20"/>
              </w:rPr>
            </w:pPr>
            <w:r>
              <w:rPr>
                <w:color w:val="000000"/>
                <w:spacing w:val="0"/>
                <w:w w:val="100"/>
                <w:position w:val="0"/>
                <w:sz w:val="20"/>
                <w:szCs w:val="20"/>
              </w:rPr>
              <w:t>关联交易价 格</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关联交易支 付金额</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占同类交 易金额的 比例</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获批的交 易额度</w:t>
            </w:r>
          </w:p>
        </w:tc>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66" w:lineRule="exact"/>
              <w:ind w:left="0" w:right="0" w:firstLine="0"/>
              <w:jc w:val="left"/>
              <w:rPr>
                <w:sz w:val="20"/>
                <w:szCs w:val="20"/>
              </w:rPr>
            </w:pPr>
            <w:r>
              <w:rPr>
                <w:color w:val="000000"/>
                <w:spacing w:val="0"/>
                <w:w w:val="100"/>
                <w:position w:val="0"/>
                <w:sz w:val="20"/>
                <w:szCs w:val="20"/>
              </w:rPr>
              <w:t>是否 超过 获批 额度</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关联交易结算方 式</w:t>
            </w:r>
          </w:p>
        </w:tc>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72" w:lineRule="exact"/>
              <w:ind w:left="0" w:right="0" w:firstLine="0"/>
              <w:jc w:val="center"/>
              <w:rPr>
                <w:sz w:val="20"/>
                <w:szCs w:val="20"/>
              </w:rPr>
            </w:pPr>
            <w:r>
              <w:rPr>
                <w:color w:val="000000"/>
                <w:spacing w:val="0"/>
                <w:w w:val="100"/>
                <w:position w:val="0"/>
                <w:sz w:val="20"/>
                <w:szCs w:val="20"/>
              </w:rPr>
              <w:t>可获得 的同类 交易市 价</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50" w:lineRule="exact"/>
              <w:ind w:left="0" w:right="0" w:firstLine="0"/>
              <w:jc w:val="left"/>
              <w:rPr>
                <w:sz w:val="20"/>
                <w:szCs w:val="20"/>
              </w:rPr>
            </w:pPr>
            <w:r>
              <w:rPr>
                <w:color w:val="000000"/>
                <w:spacing w:val="0"/>
                <w:w w:val="100"/>
                <w:position w:val="0"/>
                <w:sz w:val="20"/>
                <w:szCs w:val="20"/>
              </w:rPr>
              <w:t>披露 日期</w:t>
            </w:r>
          </w:p>
        </w:tc>
        <w:tc>
          <w:tcPr>
            <w:tcBorders>
              <w:top w:val="single" w:sz="4"/>
              <w:left w:val="single" w:sz="4"/>
              <w:righ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披露索引</w:t>
            </w:r>
          </w:p>
        </w:tc>
      </w:tr>
      <w:tr>
        <w:trPr>
          <w:trHeight w:val="137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2" w:lineRule="exact"/>
              <w:ind w:left="0" w:right="0" w:firstLine="0"/>
              <w:jc w:val="left"/>
              <w:rPr>
                <w:sz w:val="20"/>
                <w:szCs w:val="20"/>
              </w:rPr>
            </w:pPr>
            <w:r>
              <w:rPr>
                <w:color w:val="000000"/>
                <w:spacing w:val="0"/>
                <w:w w:val="100"/>
                <w:position w:val="0"/>
                <w:sz w:val="20"/>
                <w:szCs w:val="20"/>
              </w:rPr>
              <w:t>服务期限为 三年，自</w:t>
            </w:r>
          </w:p>
          <w:p>
            <w:pPr>
              <w:pStyle w:val="Style28"/>
              <w:keepNext w:val="0"/>
              <w:keepLines w:val="0"/>
              <w:widowControl w:val="0"/>
              <w:shd w:val="clear" w:color="auto" w:fill="auto"/>
              <w:bidi w:val="0"/>
              <w:spacing w:before="0" w:after="0" w:line="272" w:lineRule="exact"/>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2015</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 xml:space="preserve">1 </w:t>
            </w:r>
            <w:r>
              <w:rPr>
                <w:color w:val="000000"/>
                <w:spacing w:val="0"/>
                <w:w w:val="100"/>
                <w:position w:val="0"/>
                <w:sz w:val="20"/>
                <w:szCs w:val="20"/>
              </w:rPr>
              <w:t>日起至</w:t>
            </w:r>
            <w:r>
              <w:rPr>
                <w:rFonts w:ascii="Times New Roman" w:eastAsia="Times New Roman" w:hAnsi="Times New Roman" w:cs="Times New Roman"/>
                <w:color w:val="000000"/>
                <w:spacing w:val="0"/>
                <w:w w:val="100"/>
                <w:position w:val="0"/>
                <w:sz w:val="20"/>
                <w:szCs w:val="20"/>
              </w:rPr>
              <w:t xml:space="preserve">2017 </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821"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江苏银河 物业管理 有限公司</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76" w:lineRule="exact"/>
              <w:ind w:left="0" w:right="0" w:firstLine="0"/>
              <w:jc w:val="both"/>
              <w:rPr>
                <w:sz w:val="20"/>
                <w:szCs w:val="20"/>
              </w:rPr>
            </w:pPr>
            <w:r>
              <w:rPr>
                <w:color w:val="000000"/>
                <w:spacing w:val="0"/>
                <w:w w:val="100"/>
                <w:position w:val="0"/>
                <w:sz w:val="20"/>
                <w:szCs w:val="20"/>
              </w:rPr>
              <w:t>苏宁置业 集团子公 司</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接受关 联方提 供服务</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公司及子公 司委托江苏 银河物业管 理有限公司 为公司物流 基地、自建 店提供物业 服务</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参照市场 同类型物 业服务公 司市场价 格水平</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73" w:lineRule="exact"/>
              <w:ind w:left="0" w:right="0" w:firstLine="0"/>
              <w:jc w:val="both"/>
              <w:rPr>
                <w:sz w:val="20"/>
                <w:szCs w:val="20"/>
              </w:rPr>
            </w:pPr>
            <w:r>
              <w:rPr>
                <w:color w:val="000000"/>
                <w:spacing w:val="0"/>
                <w:w w:val="100"/>
                <w:position w:val="0"/>
                <w:sz w:val="20"/>
                <w:szCs w:val="20"/>
              </w:rPr>
              <w:t>物流基地物 业服务价 格：按照物 流基地所在 地区、物业 服务面积综 合判定，物 业服务单价 约在</w:t>
            </w:r>
            <w:r>
              <w:rPr>
                <w:rFonts w:ascii="Times New Roman" w:eastAsia="Times New Roman" w:hAnsi="Times New Roman" w:cs="Times New Roman"/>
                <w:color w:val="000000"/>
                <w:spacing w:val="0"/>
                <w:w w:val="100"/>
                <w:position w:val="0"/>
                <w:sz w:val="20"/>
                <w:szCs w:val="20"/>
              </w:rPr>
              <w:t>1.5</w:t>
            </w:r>
            <w:r>
              <w:rPr>
                <w:color w:val="000000"/>
                <w:spacing w:val="0"/>
                <w:w w:val="100"/>
                <w:position w:val="0"/>
                <w:sz w:val="20"/>
                <w:szCs w:val="20"/>
              </w:rPr>
              <w:t>元</w:t>
            </w:r>
            <w:r>
              <w:rPr>
                <w:rFonts w:ascii="Times New Roman" w:eastAsia="Times New Roman" w:hAnsi="Times New Roman" w:cs="Times New Roman"/>
                <w:color w:val="000000"/>
                <w:spacing w:val="0"/>
                <w:w w:val="100"/>
                <w:position w:val="0"/>
                <w:sz w:val="20"/>
                <w:szCs w:val="20"/>
              </w:rPr>
              <w:t xml:space="preserve">/ </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平米</w:t>
            </w:r>
            <w:r>
              <w:rPr>
                <w:rFonts w:ascii="Times New Roman" w:eastAsia="Times New Roman" w:hAnsi="Times New Roman" w:cs="Times New Roman"/>
                <w:color w:val="000000"/>
                <w:spacing w:val="0"/>
                <w:w w:val="100"/>
                <w:position w:val="0"/>
                <w:sz w:val="20"/>
                <w:szCs w:val="20"/>
              </w:rPr>
              <w:t xml:space="preserve">-3.5 </w:t>
            </w:r>
            <w:r>
              <w:rPr>
                <w:color w:val="000000"/>
                <w:spacing w:val="0"/>
                <w:w w:val="100"/>
                <w:position w:val="0"/>
                <w:sz w:val="20"/>
                <w:szCs w:val="20"/>
              </w:rPr>
              <w:t>元</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平米</w:t>
            </w:r>
          </w:p>
          <w:p>
            <w:pPr>
              <w:pStyle w:val="Style28"/>
              <w:keepNext w:val="0"/>
              <w:keepLines w:val="0"/>
              <w:widowControl w:val="0"/>
              <w:shd w:val="clear" w:color="auto" w:fill="auto"/>
              <w:bidi w:val="0"/>
              <w:spacing w:before="0" w:after="0" w:line="273" w:lineRule="exact"/>
              <w:ind w:left="0" w:right="0" w:firstLine="0"/>
              <w:jc w:val="both"/>
              <w:rPr>
                <w:sz w:val="20"/>
                <w:szCs w:val="20"/>
              </w:rPr>
            </w:pPr>
            <w:r>
              <w:rPr>
                <w:color w:val="000000"/>
                <w:spacing w:val="0"/>
                <w:w w:val="100"/>
                <w:position w:val="0"/>
                <w:sz w:val="20"/>
                <w:szCs w:val="20"/>
              </w:rPr>
              <w:t xml:space="preserve">（按照物流 基地逐个项 目核定）。 自建店物业 服务价格： 按照自建店 所在地区， 以及自建店 涵盖商业业 态，逐个项 目确定物业 服务价格， 预计单价在 </w:t>
            </w:r>
            <w:r>
              <w:rPr>
                <w:rFonts w:ascii="Times New Roman" w:eastAsia="Times New Roman" w:hAnsi="Times New Roman" w:cs="Times New Roman"/>
                <w:color w:val="000000"/>
                <w:spacing w:val="0"/>
                <w:w w:val="100"/>
                <w:position w:val="0"/>
                <w:sz w:val="20"/>
                <w:szCs w:val="20"/>
              </w:rPr>
              <w:t>4.80</w:t>
            </w:r>
            <w:r>
              <w:rPr>
                <w:color w:val="000000"/>
                <w:spacing w:val="0"/>
                <w:w w:val="100"/>
                <w:position w:val="0"/>
                <w:sz w:val="20"/>
                <w:szCs w:val="20"/>
              </w:rPr>
              <w:t>元</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平米</w:t>
            </w: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10,384.62</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10.38%</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14,000</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34"/>
                <w:szCs w:val="34"/>
              </w:rPr>
            </w:pPr>
            <w:r>
              <w:rPr>
                <w:color w:val="000000"/>
                <w:spacing w:val="0"/>
                <w:w w:val="100"/>
                <w:position w:val="0"/>
                <w:sz w:val="34"/>
                <w:szCs w:val="34"/>
                <w:vertAlign w:val="subscript"/>
              </w:rPr>
              <w:t>否</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季度支付</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9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2016</w:t>
            </w:r>
          </w:p>
          <w:p>
            <w:pPr>
              <w:pStyle w:val="Style28"/>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 xml:space="preserve">3 </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 xml:space="preserve">31 </w:t>
            </w:r>
            <w:r>
              <w:rPr>
                <w:color w:val="000000"/>
                <w:spacing w:val="0"/>
                <w:w w:val="100"/>
                <w:position w:val="0"/>
                <w:sz w:val="20"/>
                <w:szCs w:val="20"/>
              </w:rPr>
              <w:t>日</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巨潮资讯</w:t>
            </w:r>
          </w:p>
          <w:p>
            <w:pPr>
              <w:pStyle w:val="Style28"/>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 xml:space="preserve">网 </w:t>
            </w:r>
            <w:r>
              <w:rPr>
                <w:rFonts w:ascii="Times New Roman" w:eastAsia="Times New Roman" w:hAnsi="Times New Roman" w:cs="Times New Roman"/>
                <w:color w:val="000000"/>
                <w:spacing w:val="0"/>
                <w:w w:val="100"/>
                <w:position w:val="0"/>
                <w:sz w:val="20"/>
                <w:szCs w:val="20"/>
              </w:rPr>
              <w:t xml:space="preserve">2016- </w:t>
            </w:r>
            <w:r>
              <w:rPr>
                <w:rFonts w:ascii="Times New Roman" w:eastAsia="Times New Roman" w:hAnsi="Times New Roman" w:cs="Times New Roman"/>
                <w:color w:val="000000"/>
                <w:spacing w:val="0"/>
                <w:w w:val="100"/>
                <w:position w:val="0"/>
                <w:sz w:val="20"/>
                <w:szCs w:val="20"/>
              </w:rPr>
              <w:t>020</w:t>
            </w:r>
            <w:r>
              <w:rPr>
                <w:color w:val="000000"/>
                <w:spacing w:val="0"/>
                <w:w w:val="100"/>
                <w:position w:val="0"/>
                <w:sz w:val="20"/>
                <w:szCs w:val="20"/>
              </w:rPr>
              <w:t>《关</w:t>
            </w:r>
          </w:p>
          <w:p>
            <w:pPr>
              <w:pStyle w:val="Style28"/>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于日常关 联交易预 计的公 告》</w:t>
            </w:r>
          </w:p>
        </w:tc>
      </w:tr>
    </w:tbl>
    <w:p>
      <w:pPr>
        <w:spacing w:lineRule="exact" w:line="1"/>
        <w:rPr>
          <w:sz w:val="2"/>
          <w:szCs w:val="2"/>
        </w:rPr>
      </w:pPr>
      <w:r>
        <w:br w:type="page"/>
      </w:r>
    </w:p>
    <w:tbl>
      <w:tblPr>
        <w:tblOverlap w:val="never"/>
        <w:jc w:val="center"/>
        <w:tblLayout w:type="fixed"/>
      </w:tblPr>
      <w:tblGrid>
        <w:gridCol w:w="902"/>
        <w:gridCol w:w="907"/>
        <w:gridCol w:w="734"/>
        <w:gridCol w:w="1310"/>
        <w:gridCol w:w="1027"/>
        <w:gridCol w:w="1306"/>
        <w:gridCol w:w="1219"/>
        <w:gridCol w:w="1104"/>
        <w:gridCol w:w="1003"/>
        <w:gridCol w:w="595"/>
        <w:gridCol w:w="1594"/>
        <w:gridCol w:w="749"/>
        <w:gridCol w:w="581"/>
        <w:gridCol w:w="994"/>
      </w:tblGrid>
      <w:tr>
        <w:trPr>
          <w:trHeight w:val="1114" w:hRule="exact"/>
        </w:trPr>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关联交易 方</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关联关系</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88" w:lineRule="exact"/>
              <w:ind w:left="0" w:right="0" w:firstLine="0"/>
              <w:jc w:val="left"/>
              <w:rPr>
                <w:sz w:val="20"/>
                <w:szCs w:val="20"/>
              </w:rPr>
            </w:pPr>
            <w:r>
              <w:rPr>
                <w:color w:val="000000"/>
                <w:spacing w:val="0"/>
                <w:w w:val="100"/>
                <w:position w:val="0"/>
                <w:sz w:val="20"/>
                <w:szCs w:val="20"/>
              </w:rPr>
              <w:t>关联交 易类型</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关联交易内 容</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88" w:lineRule="exact"/>
              <w:ind w:left="0" w:right="0" w:firstLine="0"/>
              <w:jc w:val="left"/>
              <w:rPr>
                <w:sz w:val="20"/>
                <w:szCs w:val="20"/>
              </w:rPr>
            </w:pPr>
            <w:r>
              <w:rPr>
                <w:color w:val="000000"/>
                <w:spacing w:val="0"/>
                <w:w w:val="100"/>
                <w:position w:val="0"/>
                <w:sz w:val="20"/>
                <w:szCs w:val="20"/>
              </w:rPr>
              <w:t>关联交易 定价原则</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88" w:lineRule="exact"/>
              <w:ind w:left="0" w:right="0" w:firstLine="0"/>
              <w:jc w:val="center"/>
              <w:rPr>
                <w:sz w:val="20"/>
                <w:szCs w:val="20"/>
              </w:rPr>
            </w:pPr>
            <w:r>
              <w:rPr>
                <w:color w:val="000000"/>
                <w:spacing w:val="0"/>
                <w:w w:val="100"/>
                <w:position w:val="0"/>
                <w:sz w:val="20"/>
                <w:szCs w:val="20"/>
              </w:rPr>
              <w:t>关联交易价 格</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关联交易支 付金额</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占同类交 易金额的 比例</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获批的交 易额度</w:t>
            </w:r>
          </w:p>
        </w:tc>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66" w:lineRule="exact"/>
              <w:ind w:left="0" w:right="0" w:firstLine="0"/>
              <w:jc w:val="left"/>
              <w:rPr>
                <w:sz w:val="20"/>
                <w:szCs w:val="20"/>
              </w:rPr>
            </w:pPr>
            <w:r>
              <w:rPr>
                <w:color w:val="000000"/>
                <w:spacing w:val="0"/>
                <w:w w:val="100"/>
                <w:position w:val="0"/>
                <w:sz w:val="20"/>
                <w:szCs w:val="20"/>
              </w:rPr>
              <w:t>是否 超过 获批 额度</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关联交易结算方 式</w:t>
            </w:r>
          </w:p>
        </w:tc>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72" w:lineRule="exact"/>
              <w:ind w:left="0" w:right="0" w:firstLine="0"/>
              <w:jc w:val="center"/>
              <w:rPr>
                <w:sz w:val="20"/>
                <w:szCs w:val="20"/>
              </w:rPr>
            </w:pPr>
            <w:r>
              <w:rPr>
                <w:color w:val="000000"/>
                <w:spacing w:val="0"/>
                <w:w w:val="100"/>
                <w:position w:val="0"/>
                <w:sz w:val="20"/>
                <w:szCs w:val="20"/>
              </w:rPr>
              <w:t>可获得 的同类 交易市 价</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披露 日期</w:t>
            </w:r>
          </w:p>
        </w:tc>
        <w:tc>
          <w:tcPr>
            <w:tcBorders>
              <w:top w:val="single" w:sz="4"/>
              <w:left w:val="single" w:sz="4"/>
              <w:righ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披露索引</w:t>
            </w:r>
          </w:p>
        </w:tc>
      </w:tr>
      <w:tr>
        <w:trPr>
          <w:trHeight w:val="164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5" w:lineRule="exact"/>
              <w:ind w:left="0" w:right="0" w:firstLine="0"/>
              <w:jc w:val="both"/>
              <w:rPr>
                <w:sz w:val="20"/>
                <w:szCs w:val="20"/>
              </w:rPr>
            </w:pP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 xml:space="preserve">-11.00 </w:t>
            </w:r>
            <w:r>
              <w:rPr>
                <w:color w:val="000000"/>
                <w:spacing w:val="0"/>
                <w:w w:val="100"/>
                <w:position w:val="0"/>
                <w:sz w:val="20"/>
                <w:szCs w:val="20"/>
              </w:rPr>
              <w:t>元</w:t>
            </w:r>
            <w:r>
              <w:rPr>
                <w:rFonts w:ascii="Times New Roman" w:eastAsia="Times New Roman" w:hAnsi="Times New Roman" w:cs="Times New Roman"/>
                <w:color w:val="000000"/>
                <w:spacing w:val="0"/>
                <w:w w:val="100"/>
                <w:position w:val="0"/>
                <w:sz w:val="20"/>
                <w:szCs w:val="20"/>
              </w:rPr>
              <w:t xml:space="preserve">/ </w:t>
            </w:r>
            <w:r>
              <w:rPr>
                <w:color w:val="000000"/>
                <w:spacing w:val="0"/>
                <w:w w:val="100"/>
                <w:position w:val="0"/>
                <w:sz w:val="20"/>
                <w:szCs w:val="20"/>
              </w:rPr>
              <w:t>平米</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月（具 体自建店物 业服务价格 逐个项目确 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547"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江苏苏宁 广场商业 管理有限 公司</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苏宁置业 集团子公 司</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71" w:lineRule="exact"/>
              <w:ind w:left="0" w:right="0" w:firstLine="0"/>
              <w:jc w:val="left"/>
              <w:rPr>
                <w:sz w:val="20"/>
                <w:szCs w:val="20"/>
              </w:rPr>
            </w:pPr>
            <w:r>
              <w:rPr>
                <w:color w:val="000000"/>
                <w:spacing w:val="0"/>
                <w:w w:val="100"/>
                <w:position w:val="0"/>
                <w:sz w:val="20"/>
                <w:szCs w:val="20"/>
              </w:rPr>
              <w:t>接受关 联方提 供服务</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70" w:lineRule="exact"/>
              <w:ind w:left="0" w:right="0" w:firstLine="0"/>
              <w:jc w:val="left"/>
              <w:rPr>
                <w:sz w:val="20"/>
                <w:szCs w:val="20"/>
              </w:rPr>
            </w:pPr>
            <w:r>
              <w:rPr>
                <w:color w:val="000000"/>
                <w:spacing w:val="0"/>
                <w:w w:val="100"/>
                <w:position w:val="0"/>
                <w:sz w:val="20"/>
                <w:szCs w:val="20"/>
              </w:rPr>
              <w:t>公司及子公 司委托江苏 苏宁广场商 业管理有限 公司为公司 自建店及配 套物业提供 代理招商、 代理运营相 关服务</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参照市场 服务水平</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）代理招 商佣金标 准：</w:t>
            </w:r>
          </w:p>
          <w:p>
            <w:pPr>
              <w:pStyle w:val="Style28"/>
              <w:keepNext w:val="0"/>
              <w:keepLines w:val="0"/>
              <w:widowControl w:val="0"/>
              <w:numPr>
                <w:ilvl w:val="0"/>
                <w:numId w:val="13"/>
              </w:numPr>
              <w:shd w:val="clear" w:color="auto" w:fill="auto"/>
              <w:tabs>
                <w:tab w:pos="216" w:val="left"/>
              </w:tabs>
              <w:bidi w:val="0"/>
              <w:spacing w:before="0" w:after="0" w:line="272" w:lineRule="exact"/>
              <w:ind w:left="0" w:right="0" w:firstLine="0"/>
              <w:jc w:val="both"/>
              <w:rPr>
                <w:sz w:val="20"/>
                <w:szCs w:val="20"/>
              </w:rPr>
            </w:pPr>
            <w:r>
              <w:rPr>
                <w:color w:val="000000"/>
                <w:spacing w:val="0"/>
                <w:w w:val="100"/>
                <w:position w:val="0"/>
                <w:sz w:val="20"/>
                <w:szCs w:val="20"/>
              </w:rPr>
              <w:t xml:space="preserve">商业策划 佣金：依据 自建店体量 不同，按照 </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万元</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 xml:space="preserve">个、 </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万元</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个固 定标准收 取；</w:t>
            </w:r>
          </w:p>
          <w:p>
            <w:pPr>
              <w:pStyle w:val="Style28"/>
              <w:keepNext w:val="0"/>
              <w:keepLines w:val="0"/>
              <w:widowControl w:val="0"/>
              <w:numPr>
                <w:ilvl w:val="0"/>
                <w:numId w:val="13"/>
              </w:numPr>
              <w:shd w:val="clear" w:color="auto" w:fill="auto"/>
              <w:tabs>
                <w:tab w:pos="216" w:val="left"/>
              </w:tabs>
              <w:bidi w:val="0"/>
              <w:spacing w:before="0" w:after="0" w:line="272" w:lineRule="exact"/>
              <w:ind w:left="0" w:right="0" w:firstLine="0"/>
              <w:jc w:val="both"/>
              <w:rPr>
                <w:sz w:val="20"/>
                <w:szCs w:val="20"/>
              </w:rPr>
            </w:pPr>
            <w:r>
              <w:rPr>
                <w:color w:val="000000"/>
                <w:spacing w:val="0"/>
                <w:w w:val="100"/>
                <w:position w:val="0"/>
                <w:sz w:val="20"/>
                <w:szCs w:val="20"/>
              </w:rPr>
              <w:t>代理招商 佣金：商户 签约年限</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年 及以下，按 首年平均月 租金（含物 业费）的</w:t>
            </w:r>
            <w:r>
              <w:rPr>
                <w:rFonts w:ascii="Times New Roman" w:eastAsia="Times New Roman" w:hAnsi="Times New Roman" w:cs="Times New Roman"/>
                <w:color w:val="000000"/>
                <w:spacing w:val="0"/>
                <w:w w:val="100"/>
                <w:position w:val="0"/>
                <w:sz w:val="20"/>
                <w:szCs w:val="20"/>
              </w:rPr>
              <w:t xml:space="preserve">1.2 </w:t>
            </w:r>
            <w:r>
              <w:rPr>
                <w:color w:val="000000"/>
                <w:spacing w:val="0"/>
                <w:w w:val="100"/>
                <w:position w:val="0"/>
                <w:sz w:val="20"/>
                <w:szCs w:val="20"/>
              </w:rPr>
              <w:t>倍进行计 收；签约年 限</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年以上， 按首年平均 月租金（含 物业费）的</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00"/>
              <w:jc w:val="left"/>
              <w:rPr>
                <w:sz w:val="20"/>
                <w:szCs w:val="20"/>
              </w:rPr>
            </w:pPr>
            <w:r>
              <w:rPr>
                <w:rFonts w:ascii="Times New Roman" w:eastAsia="Times New Roman" w:hAnsi="Times New Roman" w:cs="Times New Roman"/>
                <w:color w:val="000000"/>
                <w:spacing w:val="0"/>
                <w:w w:val="100"/>
                <w:position w:val="0"/>
                <w:sz w:val="20"/>
                <w:szCs w:val="20"/>
              </w:rPr>
              <w:t>327.18</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0.33%</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2,200</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34"/>
                <w:szCs w:val="34"/>
              </w:rPr>
            </w:pPr>
            <w:r>
              <w:rPr>
                <w:color w:val="000000"/>
                <w:spacing w:val="0"/>
                <w:w w:val="100"/>
                <w:position w:val="0"/>
                <w:sz w:val="34"/>
                <w:szCs w:val="34"/>
                <w:vertAlign w:val="subscript"/>
              </w:rPr>
              <w:t>否</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商业策划、代理 招商佣金在招商 结束后进行结 算；代理运营佣 金按月计提，按 季度（三个月） 结算</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9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2016</w:t>
            </w:r>
          </w:p>
          <w:p>
            <w:pPr>
              <w:pStyle w:val="Style28"/>
              <w:keepNext w:val="0"/>
              <w:keepLines w:val="0"/>
              <w:widowControl w:val="0"/>
              <w:shd w:val="clear" w:color="auto" w:fill="auto"/>
              <w:bidi w:val="0"/>
              <w:spacing w:before="0" w:after="40" w:line="278" w:lineRule="exact"/>
              <w:ind w:left="0" w:right="0" w:firstLine="0"/>
              <w:jc w:val="left"/>
              <w:rPr>
                <w:sz w:val="20"/>
                <w:szCs w:val="20"/>
              </w:rPr>
            </w:pP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 xml:space="preserve">3 </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p>
          <w:p>
            <w:pPr>
              <w:pStyle w:val="Style28"/>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日</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72" w:lineRule="exact"/>
              <w:ind w:left="0" w:right="0" w:firstLine="0"/>
              <w:jc w:val="left"/>
              <w:rPr>
                <w:sz w:val="20"/>
                <w:szCs w:val="20"/>
              </w:rPr>
            </w:pPr>
            <w:r>
              <w:rPr>
                <w:color w:val="000000"/>
                <w:spacing w:val="0"/>
                <w:w w:val="100"/>
                <w:position w:val="0"/>
                <w:sz w:val="20"/>
                <w:szCs w:val="20"/>
              </w:rPr>
              <w:t>巨潮资讯</w:t>
            </w:r>
          </w:p>
          <w:p>
            <w:pPr>
              <w:pStyle w:val="Style28"/>
              <w:keepNext w:val="0"/>
              <w:keepLines w:val="0"/>
              <w:widowControl w:val="0"/>
              <w:shd w:val="clear" w:color="auto" w:fill="auto"/>
              <w:bidi w:val="0"/>
              <w:spacing w:before="0" w:after="0" w:line="272" w:lineRule="exact"/>
              <w:ind w:left="0" w:right="0" w:firstLine="0"/>
              <w:jc w:val="left"/>
              <w:rPr>
                <w:sz w:val="20"/>
                <w:szCs w:val="20"/>
              </w:rPr>
            </w:pPr>
            <w:r>
              <w:rPr>
                <w:color w:val="000000"/>
                <w:spacing w:val="0"/>
                <w:w w:val="100"/>
                <w:position w:val="0"/>
                <w:sz w:val="20"/>
                <w:szCs w:val="20"/>
              </w:rPr>
              <w:t xml:space="preserve">网 </w:t>
            </w:r>
            <w:r>
              <w:rPr>
                <w:rFonts w:ascii="Times New Roman" w:eastAsia="Times New Roman" w:hAnsi="Times New Roman" w:cs="Times New Roman"/>
                <w:color w:val="000000"/>
                <w:spacing w:val="0"/>
                <w:w w:val="100"/>
                <w:position w:val="0"/>
                <w:sz w:val="20"/>
                <w:szCs w:val="20"/>
              </w:rPr>
              <w:t xml:space="preserve">2016- </w:t>
            </w:r>
            <w:r>
              <w:rPr>
                <w:rFonts w:ascii="Times New Roman" w:eastAsia="Times New Roman" w:hAnsi="Times New Roman" w:cs="Times New Roman"/>
                <w:color w:val="000000"/>
                <w:spacing w:val="0"/>
                <w:w w:val="100"/>
                <w:position w:val="0"/>
                <w:sz w:val="20"/>
                <w:szCs w:val="20"/>
              </w:rPr>
              <w:t>020</w:t>
            </w:r>
            <w:r>
              <w:rPr>
                <w:color w:val="000000"/>
                <w:spacing w:val="0"/>
                <w:w w:val="100"/>
                <w:position w:val="0"/>
                <w:sz w:val="20"/>
                <w:szCs w:val="20"/>
              </w:rPr>
              <w:t>《关</w:t>
            </w:r>
          </w:p>
          <w:p>
            <w:pPr>
              <w:pStyle w:val="Style28"/>
              <w:keepNext w:val="0"/>
              <w:keepLines w:val="0"/>
              <w:widowControl w:val="0"/>
              <w:shd w:val="clear" w:color="auto" w:fill="auto"/>
              <w:bidi w:val="0"/>
              <w:spacing w:before="0" w:after="0" w:line="272" w:lineRule="exact"/>
              <w:ind w:left="0" w:right="0" w:firstLine="0"/>
              <w:jc w:val="left"/>
              <w:rPr>
                <w:sz w:val="20"/>
                <w:szCs w:val="20"/>
              </w:rPr>
            </w:pPr>
            <w:r>
              <w:rPr>
                <w:color w:val="000000"/>
                <w:spacing w:val="0"/>
                <w:w w:val="100"/>
                <w:position w:val="0"/>
                <w:sz w:val="20"/>
                <w:szCs w:val="20"/>
              </w:rPr>
              <w:t>于日常关 联交易预 计的公 告》</w:t>
            </w:r>
          </w:p>
        </w:tc>
      </w:tr>
    </w:tbl>
    <w:p>
      <w:pPr>
        <w:spacing w:lineRule="exact" w:line="1"/>
        <w:rPr>
          <w:sz w:val="2"/>
          <w:szCs w:val="2"/>
        </w:rPr>
      </w:pPr>
      <w:r>
        <w:br w:type="page"/>
      </w:r>
    </w:p>
    <w:tbl>
      <w:tblPr>
        <w:tblOverlap w:val="never"/>
        <w:jc w:val="center"/>
        <w:tblLayout w:type="fixed"/>
      </w:tblPr>
      <w:tblGrid>
        <w:gridCol w:w="902"/>
        <w:gridCol w:w="907"/>
        <w:gridCol w:w="734"/>
        <w:gridCol w:w="1310"/>
        <w:gridCol w:w="1027"/>
        <w:gridCol w:w="1306"/>
        <w:gridCol w:w="1219"/>
        <w:gridCol w:w="1104"/>
        <w:gridCol w:w="1003"/>
        <w:gridCol w:w="595"/>
        <w:gridCol w:w="1594"/>
        <w:gridCol w:w="749"/>
        <w:gridCol w:w="581"/>
        <w:gridCol w:w="994"/>
      </w:tblGrid>
      <w:tr>
        <w:trPr>
          <w:trHeight w:val="1114" w:hRule="exact"/>
        </w:trPr>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关联交易 方</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关联关系</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88" w:lineRule="exact"/>
              <w:ind w:left="0" w:right="0" w:firstLine="0"/>
              <w:jc w:val="left"/>
              <w:rPr>
                <w:sz w:val="20"/>
                <w:szCs w:val="20"/>
              </w:rPr>
            </w:pPr>
            <w:r>
              <w:rPr>
                <w:color w:val="000000"/>
                <w:spacing w:val="0"/>
                <w:w w:val="100"/>
                <w:position w:val="0"/>
                <w:sz w:val="20"/>
                <w:szCs w:val="20"/>
              </w:rPr>
              <w:t>关联交 易类型</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关联交易内 容</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88" w:lineRule="exact"/>
              <w:ind w:left="0" w:right="0" w:firstLine="0"/>
              <w:jc w:val="left"/>
              <w:rPr>
                <w:sz w:val="20"/>
                <w:szCs w:val="20"/>
              </w:rPr>
            </w:pPr>
            <w:r>
              <w:rPr>
                <w:color w:val="000000"/>
                <w:spacing w:val="0"/>
                <w:w w:val="100"/>
                <w:position w:val="0"/>
                <w:sz w:val="20"/>
                <w:szCs w:val="20"/>
              </w:rPr>
              <w:t>关联交易 定价原则</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88" w:lineRule="exact"/>
              <w:ind w:left="0" w:right="0" w:firstLine="0"/>
              <w:jc w:val="center"/>
              <w:rPr>
                <w:sz w:val="20"/>
                <w:szCs w:val="20"/>
              </w:rPr>
            </w:pPr>
            <w:r>
              <w:rPr>
                <w:color w:val="000000"/>
                <w:spacing w:val="0"/>
                <w:w w:val="100"/>
                <w:position w:val="0"/>
                <w:sz w:val="20"/>
                <w:szCs w:val="20"/>
              </w:rPr>
              <w:t>关联交易价 格</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关联交易支 付金额</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占同类交 易金额的 比例</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54" w:lineRule="exact"/>
              <w:ind w:left="0" w:right="0" w:firstLine="0"/>
              <w:jc w:val="center"/>
              <w:rPr>
                <w:sz w:val="20"/>
                <w:szCs w:val="20"/>
              </w:rPr>
            </w:pPr>
            <w:r>
              <w:rPr>
                <w:color w:val="000000"/>
                <w:spacing w:val="0"/>
                <w:w w:val="100"/>
                <w:position w:val="0"/>
                <w:sz w:val="20"/>
                <w:szCs w:val="20"/>
              </w:rPr>
              <w:t>获批的交 易额度</w:t>
            </w:r>
          </w:p>
        </w:tc>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66" w:lineRule="exact"/>
              <w:ind w:left="0" w:right="0" w:firstLine="0"/>
              <w:jc w:val="left"/>
              <w:rPr>
                <w:sz w:val="20"/>
                <w:szCs w:val="20"/>
              </w:rPr>
            </w:pPr>
            <w:r>
              <w:rPr>
                <w:color w:val="000000"/>
                <w:spacing w:val="0"/>
                <w:w w:val="100"/>
                <w:position w:val="0"/>
                <w:sz w:val="20"/>
                <w:szCs w:val="20"/>
              </w:rPr>
              <w:t>是否 超过 获批 额度</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88" w:lineRule="exact"/>
              <w:ind w:left="0" w:right="0" w:firstLine="0"/>
              <w:jc w:val="center"/>
              <w:rPr>
                <w:sz w:val="20"/>
                <w:szCs w:val="20"/>
              </w:rPr>
            </w:pPr>
            <w:r>
              <w:rPr>
                <w:color w:val="000000"/>
                <w:spacing w:val="0"/>
                <w:w w:val="100"/>
                <w:position w:val="0"/>
                <w:sz w:val="20"/>
                <w:szCs w:val="20"/>
              </w:rPr>
              <w:t>关联交易结算方 式</w:t>
            </w:r>
          </w:p>
        </w:tc>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72" w:lineRule="exact"/>
              <w:ind w:left="0" w:right="0" w:firstLine="0"/>
              <w:jc w:val="center"/>
              <w:rPr>
                <w:sz w:val="20"/>
                <w:szCs w:val="20"/>
              </w:rPr>
            </w:pPr>
            <w:r>
              <w:rPr>
                <w:color w:val="000000"/>
                <w:spacing w:val="0"/>
                <w:w w:val="100"/>
                <w:position w:val="0"/>
                <w:sz w:val="20"/>
                <w:szCs w:val="20"/>
              </w:rPr>
              <w:t>可获得 的同类 交易市 价</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50" w:lineRule="exact"/>
              <w:ind w:left="0" w:right="0" w:firstLine="0"/>
              <w:jc w:val="left"/>
              <w:rPr>
                <w:sz w:val="20"/>
                <w:szCs w:val="20"/>
              </w:rPr>
            </w:pPr>
            <w:r>
              <w:rPr>
                <w:color w:val="000000"/>
                <w:spacing w:val="0"/>
                <w:w w:val="100"/>
                <w:position w:val="0"/>
                <w:sz w:val="20"/>
                <w:szCs w:val="20"/>
              </w:rPr>
              <w:t>披露 日期</w:t>
            </w:r>
          </w:p>
        </w:tc>
        <w:tc>
          <w:tcPr>
            <w:tcBorders>
              <w:top w:val="single" w:sz="4"/>
              <w:left w:val="single" w:sz="4"/>
              <w:righ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披露索引</w:t>
            </w:r>
          </w:p>
        </w:tc>
      </w:tr>
      <w:tr>
        <w:trPr>
          <w:trHeight w:val="573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1.5</w:t>
            </w:r>
            <w:r>
              <w:rPr>
                <w:color w:val="000000"/>
                <w:spacing w:val="0"/>
                <w:w w:val="100"/>
                <w:position w:val="0"/>
                <w:sz w:val="20"/>
                <w:szCs w:val="20"/>
              </w:rPr>
              <w:t>倍进行计 收。</w:t>
            </w:r>
          </w:p>
          <w:p>
            <w:pPr>
              <w:pStyle w:val="Style28"/>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 xml:space="preserve">）代理运 营佣金：按 照各项目租 金、物业费 等总收入的 </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计收,根 据各项目当 月实际收入 按月计提， 按季度结 算。 以上佣金收 取的范围不 包括公司经 营的自有业 态，包括云 店、红孩子 店、超市店 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62"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71" w:lineRule="exact"/>
              <w:ind w:left="0" w:right="0" w:firstLine="0"/>
              <w:jc w:val="both"/>
              <w:rPr>
                <w:sz w:val="20"/>
                <w:szCs w:val="20"/>
              </w:rPr>
            </w:pPr>
            <w:r>
              <w:rPr>
                <w:color w:val="000000"/>
                <w:spacing w:val="0"/>
                <w:w w:val="100"/>
                <w:position w:val="0"/>
                <w:sz w:val="20"/>
                <w:szCs w:val="20"/>
              </w:rPr>
              <w:t>天津聚力 传媒技术 有限公司</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71" w:lineRule="exact"/>
              <w:ind w:left="0" w:right="0" w:firstLine="0"/>
              <w:jc w:val="both"/>
              <w:rPr>
                <w:sz w:val="20"/>
                <w:szCs w:val="20"/>
              </w:rPr>
            </w:pPr>
            <w:r>
              <w:rPr>
                <w:color w:val="000000"/>
                <w:spacing w:val="0"/>
                <w:w w:val="100"/>
                <w:position w:val="0"/>
                <w:sz w:val="20"/>
                <w:szCs w:val="20"/>
              </w:rPr>
              <w:t>苏宁控股 集团子公 司</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71" w:lineRule="exact"/>
              <w:ind w:left="0" w:right="0" w:firstLine="0"/>
              <w:jc w:val="left"/>
              <w:rPr>
                <w:sz w:val="20"/>
                <w:szCs w:val="20"/>
              </w:rPr>
            </w:pPr>
            <w:r>
              <w:rPr>
                <w:color w:val="000000"/>
                <w:spacing w:val="0"/>
                <w:w w:val="100"/>
                <w:position w:val="0"/>
                <w:sz w:val="20"/>
                <w:szCs w:val="20"/>
              </w:rPr>
              <w:t>接受关 联方提 供服务</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为公司提供</w:t>
            </w:r>
          </w:p>
          <w:p>
            <w:pPr>
              <w:pStyle w:val="Style28"/>
              <w:keepNext w:val="0"/>
              <w:keepLines w:val="0"/>
              <w:widowControl w:val="0"/>
              <w:shd w:val="clear" w:color="auto" w:fill="auto"/>
              <w:bidi w:val="0"/>
              <w:spacing w:before="0" w:after="0" w:line="278" w:lineRule="exact"/>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CDN</w:t>
            </w:r>
            <w:r>
              <w:rPr>
                <w:color w:val="000000"/>
                <w:spacing w:val="0"/>
                <w:w w:val="100"/>
                <w:position w:val="0"/>
                <w:sz w:val="20"/>
                <w:szCs w:val="20"/>
              </w:rPr>
              <w:t>、</w:t>
            </w:r>
            <w:r>
              <w:rPr>
                <w:color w:val="000000"/>
                <w:spacing w:val="0"/>
                <w:w w:val="100"/>
                <w:position w:val="0"/>
                <w:sz w:val="20"/>
                <w:szCs w:val="20"/>
              </w:rPr>
              <w:t>广 告、市场推 广等引流服 务</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市场价格</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73" w:lineRule="exact"/>
              <w:ind w:left="0" w:right="0" w:firstLine="0"/>
              <w:jc w:val="left"/>
              <w:rPr>
                <w:sz w:val="20"/>
                <w:szCs w:val="20"/>
              </w:rPr>
            </w:pPr>
            <w:r>
              <w:rPr>
                <w:color w:val="000000"/>
                <w:spacing w:val="0"/>
                <w:w w:val="100"/>
                <w:position w:val="0"/>
                <w:sz w:val="20"/>
                <w:szCs w:val="20"/>
              </w:rPr>
              <w:t>在合作期限 内，品牌广 告排期按照 固定费用执 行；剩余流 量排期费用 按照考核有 效订单金额 执行；具体</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00"/>
              <w:jc w:val="left"/>
              <w:rPr>
                <w:sz w:val="20"/>
                <w:szCs w:val="20"/>
              </w:rPr>
            </w:pPr>
            <w:r>
              <w:rPr>
                <w:rFonts w:ascii="Times New Roman" w:eastAsia="Times New Roman" w:hAnsi="Times New Roman" w:cs="Times New Roman"/>
                <w:color w:val="000000"/>
                <w:spacing w:val="0"/>
                <w:w w:val="100"/>
                <w:position w:val="0"/>
                <w:sz w:val="20"/>
                <w:szCs w:val="20"/>
              </w:rPr>
              <w:t>662.31</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0.66%</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3,500</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34"/>
                <w:szCs w:val="34"/>
              </w:rPr>
            </w:pPr>
            <w:r>
              <w:rPr>
                <w:color w:val="000000"/>
                <w:spacing w:val="0"/>
                <w:w w:val="100"/>
                <w:position w:val="0"/>
                <w:sz w:val="34"/>
                <w:szCs w:val="34"/>
                <w:vertAlign w:val="subscript"/>
              </w:rPr>
              <w:t>否</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73" w:lineRule="exact"/>
              <w:ind w:left="0" w:right="0" w:firstLine="0"/>
              <w:jc w:val="left"/>
              <w:rPr>
                <w:sz w:val="20"/>
                <w:szCs w:val="20"/>
              </w:rPr>
            </w:pPr>
            <w:r>
              <w:rPr>
                <w:color w:val="000000"/>
                <w:spacing w:val="0"/>
                <w:w w:val="100"/>
                <w:position w:val="0"/>
                <w:sz w:val="20"/>
                <w:szCs w:val="20"/>
              </w:rPr>
              <w:t>依据合同约定的 合作内容发布结 束后结算，甲方 应收到并确认结 算资料之日起</w:t>
            </w:r>
            <w:r>
              <w:rPr>
                <w:rFonts w:ascii="Times New Roman" w:eastAsia="Times New Roman" w:hAnsi="Times New Roman" w:cs="Times New Roman"/>
                <w:color w:val="000000"/>
                <w:spacing w:val="0"/>
                <w:w w:val="100"/>
                <w:position w:val="0"/>
                <w:sz w:val="20"/>
                <w:szCs w:val="20"/>
              </w:rPr>
              <w:t xml:space="preserve">30 </w:t>
            </w:r>
            <w:r>
              <w:rPr>
                <w:color w:val="000000"/>
                <w:spacing w:val="0"/>
                <w:w w:val="100"/>
                <w:position w:val="0"/>
                <w:sz w:val="20"/>
                <w:szCs w:val="20"/>
              </w:rPr>
              <w:t>天内向乙方完成 付款。 按照实际占用的 流量及对应结算</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2016</w:t>
            </w:r>
          </w:p>
          <w:p>
            <w:pPr>
              <w:pStyle w:val="Style28"/>
              <w:keepNext w:val="0"/>
              <w:keepLines w:val="0"/>
              <w:widowControl w:val="0"/>
              <w:shd w:val="clear" w:color="auto" w:fill="auto"/>
              <w:bidi w:val="0"/>
              <w:spacing w:before="0" w:after="0" w:line="281" w:lineRule="exact"/>
              <w:ind w:left="0" w:right="0" w:firstLine="0"/>
              <w:jc w:val="left"/>
              <w:rPr>
                <w:sz w:val="20"/>
                <w:szCs w:val="20"/>
              </w:rPr>
            </w:pP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 xml:space="preserve">3 </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 xml:space="preserve">31 </w:t>
            </w:r>
            <w:r>
              <w:rPr>
                <w:color w:val="000000"/>
                <w:spacing w:val="0"/>
                <w:w w:val="100"/>
                <w:position w:val="0"/>
                <w:sz w:val="20"/>
                <w:szCs w:val="20"/>
              </w:rPr>
              <w:t>日</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81" w:lineRule="exact"/>
              <w:ind w:left="0" w:right="0" w:firstLine="0"/>
              <w:jc w:val="left"/>
              <w:rPr>
                <w:sz w:val="20"/>
                <w:szCs w:val="20"/>
              </w:rPr>
            </w:pPr>
            <w:r>
              <w:rPr>
                <w:color w:val="000000"/>
                <w:spacing w:val="0"/>
                <w:w w:val="100"/>
                <w:position w:val="0"/>
                <w:sz w:val="20"/>
                <w:szCs w:val="20"/>
              </w:rPr>
              <w:t>巨潮资讯</w:t>
            </w:r>
          </w:p>
          <w:p>
            <w:pPr>
              <w:pStyle w:val="Style28"/>
              <w:keepNext w:val="0"/>
              <w:keepLines w:val="0"/>
              <w:widowControl w:val="0"/>
              <w:shd w:val="clear" w:color="auto" w:fill="auto"/>
              <w:bidi w:val="0"/>
              <w:spacing w:before="0" w:after="0" w:line="281" w:lineRule="exact"/>
              <w:ind w:left="0" w:right="0" w:firstLine="0"/>
              <w:jc w:val="left"/>
              <w:rPr>
                <w:sz w:val="20"/>
                <w:szCs w:val="20"/>
              </w:rPr>
            </w:pPr>
            <w:r>
              <w:rPr>
                <w:color w:val="000000"/>
                <w:spacing w:val="0"/>
                <w:w w:val="100"/>
                <w:position w:val="0"/>
                <w:sz w:val="20"/>
                <w:szCs w:val="20"/>
              </w:rPr>
              <w:t xml:space="preserve">网 </w:t>
            </w:r>
            <w:r>
              <w:rPr>
                <w:rFonts w:ascii="Times New Roman" w:eastAsia="Times New Roman" w:hAnsi="Times New Roman" w:cs="Times New Roman"/>
                <w:color w:val="000000"/>
                <w:spacing w:val="0"/>
                <w:w w:val="100"/>
                <w:position w:val="0"/>
                <w:sz w:val="20"/>
                <w:szCs w:val="20"/>
              </w:rPr>
              <w:t xml:space="preserve">2016- </w:t>
            </w:r>
            <w:r>
              <w:rPr>
                <w:rFonts w:ascii="Times New Roman" w:eastAsia="Times New Roman" w:hAnsi="Times New Roman" w:cs="Times New Roman"/>
                <w:color w:val="000000"/>
                <w:spacing w:val="0"/>
                <w:w w:val="100"/>
                <w:position w:val="0"/>
                <w:sz w:val="20"/>
                <w:szCs w:val="20"/>
              </w:rPr>
              <w:t>022</w:t>
            </w:r>
            <w:r>
              <w:rPr>
                <w:color w:val="000000"/>
                <w:spacing w:val="0"/>
                <w:w w:val="100"/>
                <w:position w:val="0"/>
                <w:sz w:val="20"/>
                <w:szCs w:val="20"/>
              </w:rPr>
              <w:t>《关 于公司与</w:t>
            </w:r>
          </w:p>
          <w:p>
            <w:pPr>
              <w:pStyle w:val="Style28"/>
              <w:keepNext w:val="0"/>
              <w:keepLines w:val="0"/>
              <w:widowControl w:val="0"/>
              <w:shd w:val="clear" w:color="auto" w:fill="auto"/>
              <w:bidi w:val="0"/>
              <w:spacing w:before="0" w:after="0" w:line="272" w:lineRule="exact"/>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PPTV2016 </w:t>
            </w:r>
            <w:r>
              <w:rPr>
                <w:color w:val="000000"/>
                <w:spacing w:val="0"/>
                <w:w w:val="100"/>
                <w:position w:val="0"/>
                <w:sz w:val="20"/>
                <w:szCs w:val="20"/>
              </w:rPr>
              <w:t>年度日常 关联交易 预计的公 告》</w:t>
            </w:r>
          </w:p>
        </w:tc>
      </w:tr>
    </w:tbl>
    <w:p>
      <w:pPr>
        <w:spacing w:lineRule="exact" w:line="1"/>
        <w:rPr>
          <w:sz w:val="2"/>
          <w:szCs w:val="2"/>
        </w:rPr>
      </w:pPr>
      <w:r>
        <w:br w:type="page"/>
      </w:r>
    </w:p>
    <w:tbl>
      <w:tblPr>
        <w:tblOverlap w:val="never"/>
        <w:jc w:val="center"/>
        <w:tblLayout w:type="fixed"/>
      </w:tblPr>
      <w:tblGrid>
        <w:gridCol w:w="902"/>
        <w:gridCol w:w="907"/>
        <w:gridCol w:w="734"/>
        <w:gridCol w:w="1310"/>
        <w:gridCol w:w="1027"/>
        <w:gridCol w:w="1306"/>
        <w:gridCol w:w="1219"/>
        <w:gridCol w:w="1104"/>
        <w:gridCol w:w="1003"/>
        <w:gridCol w:w="595"/>
        <w:gridCol w:w="1594"/>
        <w:gridCol w:w="749"/>
        <w:gridCol w:w="581"/>
        <w:gridCol w:w="994"/>
      </w:tblGrid>
      <w:tr>
        <w:trPr>
          <w:trHeight w:val="1114" w:hRule="exact"/>
        </w:trPr>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关联交易 方</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关联关系</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88" w:lineRule="exact"/>
              <w:ind w:left="0" w:right="0" w:firstLine="0"/>
              <w:jc w:val="left"/>
              <w:rPr>
                <w:sz w:val="20"/>
                <w:szCs w:val="20"/>
              </w:rPr>
            </w:pPr>
            <w:r>
              <w:rPr>
                <w:color w:val="000000"/>
                <w:spacing w:val="0"/>
                <w:w w:val="100"/>
                <w:position w:val="0"/>
                <w:sz w:val="20"/>
                <w:szCs w:val="20"/>
              </w:rPr>
              <w:t>关联交 易类型</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88" w:lineRule="exact"/>
              <w:ind w:left="0" w:right="0" w:firstLine="0"/>
              <w:jc w:val="center"/>
              <w:rPr>
                <w:sz w:val="20"/>
                <w:szCs w:val="20"/>
              </w:rPr>
            </w:pPr>
            <w:r>
              <w:rPr>
                <w:color w:val="000000"/>
                <w:spacing w:val="0"/>
                <w:w w:val="100"/>
                <w:position w:val="0"/>
                <w:sz w:val="20"/>
                <w:szCs w:val="20"/>
              </w:rPr>
              <w:t>关联交易内 容</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88" w:lineRule="exact"/>
              <w:ind w:left="0" w:right="0" w:firstLine="0"/>
              <w:jc w:val="center"/>
              <w:rPr>
                <w:sz w:val="20"/>
                <w:szCs w:val="20"/>
              </w:rPr>
            </w:pPr>
            <w:r>
              <w:rPr>
                <w:color w:val="000000"/>
                <w:spacing w:val="0"/>
                <w:w w:val="100"/>
                <w:position w:val="0"/>
                <w:sz w:val="20"/>
                <w:szCs w:val="20"/>
              </w:rPr>
              <w:t>关联交易 定价原则</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88" w:lineRule="exact"/>
              <w:ind w:left="0" w:right="0" w:firstLine="0"/>
              <w:jc w:val="center"/>
              <w:rPr>
                <w:sz w:val="20"/>
                <w:szCs w:val="20"/>
              </w:rPr>
            </w:pPr>
            <w:r>
              <w:rPr>
                <w:color w:val="000000"/>
                <w:spacing w:val="0"/>
                <w:w w:val="100"/>
                <w:position w:val="0"/>
                <w:sz w:val="20"/>
                <w:szCs w:val="20"/>
              </w:rPr>
              <w:t>关联交易价 格</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关联交易支 付金额</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占同类交 易金额的 比例</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获批的交 易额度</w:t>
            </w:r>
          </w:p>
        </w:tc>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66" w:lineRule="exact"/>
              <w:ind w:left="0" w:right="0" w:firstLine="0"/>
              <w:jc w:val="left"/>
              <w:rPr>
                <w:sz w:val="20"/>
                <w:szCs w:val="20"/>
              </w:rPr>
            </w:pPr>
            <w:r>
              <w:rPr>
                <w:color w:val="000000"/>
                <w:spacing w:val="0"/>
                <w:w w:val="100"/>
                <w:position w:val="0"/>
                <w:sz w:val="20"/>
                <w:szCs w:val="20"/>
              </w:rPr>
              <w:t>是否 超过 获批 额度</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88" w:lineRule="exact"/>
              <w:ind w:left="0" w:right="0" w:firstLine="0"/>
              <w:jc w:val="center"/>
              <w:rPr>
                <w:sz w:val="20"/>
                <w:szCs w:val="20"/>
              </w:rPr>
            </w:pPr>
            <w:r>
              <w:rPr>
                <w:color w:val="000000"/>
                <w:spacing w:val="0"/>
                <w:w w:val="100"/>
                <w:position w:val="0"/>
                <w:sz w:val="20"/>
                <w:szCs w:val="20"/>
              </w:rPr>
              <w:t>关联交易结算方 式</w:t>
            </w:r>
          </w:p>
        </w:tc>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72" w:lineRule="exact"/>
              <w:ind w:left="0" w:right="0" w:firstLine="0"/>
              <w:jc w:val="center"/>
              <w:rPr>
                <w:sz w:val="20"/>
                <w:szCs w:val="20"/>
              </w:rPr>
            </w:pPr>
            <w:r>
              <w:rPr>
                <w:color w:val="000000"/>
                <w:spacing w:val="0"/>
                <w:w w:val="100"/>
                <w:position w:val="0"/>
                <w:sz w:val="20"/>
                <w:szCs w:val="20"/>
              </w:rPr>
              <w:t>可获得 的同类 交易市 价</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50" w:lineRule="exact"/>
              <w:ind w:left="0" w:right="0" w:firstLine="0"/>
              <w:jc w:val="left"/>
              <w:rPr>
                <w:sz w:val="20"/>
                <w:szCs w:val="20"/>
              </w:rPr>
            </w:pPr>
            <w:r>
              <w:rPr>
                <w:color w:val="000000"/>
                <w:spacing w:val="0"/>
                <w:w w:val="100"/>
                <w:position w:val="0"/>
                <w:sz w:val="20"/>
                <w:szCs w:val="20"/>
              </w:rPr>
              <w:t>披露 日期</w:t>
            </w:r>
          </w:p>
        </w:tc>
        <w:tc>
          <w:tcPr>
            <w:tcBorders>
              <w:top w:val="single" w:sz="4"/>
              <w:left w:val="single" w:sz="4"/>
              <w:righ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披露索引</w:t>
            </w:r>
          </w:p>
        </w:tc>
      </w:tr>
      <w:tr>
        <w:trPr>
          <w:trHeight w:val="464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2" w:lineRule="exact"/>
              <w:ind w:left="0" w:right="0" w:firstLine="0"/>
              <w:jc w:val="left"/>
              <w:rPr>
                <w:sz w:val="20"/>
                <w:szCs w:val="20"/>
              </w:rPr>
            </w:pPr>
            <w:r>
              <w:rPr>
                <w:color w:val="000000"/>
                <w:spacing w:val="0"/>
                <w:w w:val="100"/>
                <w:position w:val="0"/>
                <w:sz w:val="20"/>
                <w:szCs w:val="20"/>
              </w:rPr>
              <w:t>费用以双方 确认的广告 发布排期表 为准。</w:t>
            </w:r>
          </w:p>
          <w:p>
            <w:pPr>
              <w:pStyle w:val="Style28"/>
              <w:keepNext w:val="0"/>
              <w:keepLines w:val="0"/>
              <w:widowControl w:val="0"/>
              <w:shd w:val="clear" w:color="auto" w:fill="auto"/>
              <w:bidi w:val="0"/>
              <w:spacing w:before="0" w:after="0" w:line="274" w:lineRule="exact"/>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CDN</w:t>
            </w:r>
            <w:r>
              <w:rPr>
                <w:color w:val="000000"/>
                <w:spacing w:val="0"/>
                <w:w w:val="100"/>
                <w:position w:val="0"/>
                <w:sz w:val="20"/>
                <w:szCs w:val="20"/>
              </w:rPr>
              <w:t>结算单 价为</w:t>
            </w:r>
            <w:r>
              <w:rPr>
                <w:rFonts w:ascii="Times New Roman" w:eastAsia="Times New Roman" w:hAnsi="Times New Roman" w:cs="Times New Roman"/>
                <w:color w:val="000000"/>
                <w:spacing w:val="0"/>
                <w:w w:val="100"/>
                <w:position w:val="0"/>
                <w:sz w:val="20"/>
                <w:szCs w:val="20"/>
              </w:rPr>
              <w:t>18</w:t>
            </w:r>
            <w:r>
              <w:rPr>
                <w:color w:val="000000"/>
                <w:spacing w:val="0"/>
                <w:w w:val="100"/>
                <w:position w:val="0"/>
                <w:sz w:val="20"/>
                <w:szCs w:val="20"/>
              </w:rPr>
              <w:t xml:space="preserve">元 </w:t>
            </w:r>
            <w:r>
              <w:rPr>
                <w:rFonts w:ascii="Times New Roman" w:eastAsia="Times New Roman" w:hAnsi="Times New Roman" w:cs="Times New Roman"/>
                <w:color w:val="000000"/>
                <w:spacing w:val="0"/>
                <w:w w:val="100"/>
                <w:position w:val="0"/>
                <w:sz w:val="20"/>
                <w:szCs w:val="20"/>
              </w:rPr>
              <w:t>/Mbps/</w:t>
            </w:r>
            <w:r>
              <w:rPr>
                <w:color w:val="000000"/>
                <w:spacing w:val="0"/>
                <w:w w:val="100"/>
                <w:position w:val="0"/>
                <w:sz w:val="20"/>
                <w:szCs w:val="20"/>
              </w:rPr>
              <w:t>月。若 甲方重要促 销节点需要 增加占用， 则结算价格 按照</w:t>
            </w:r>
            <w:r>
              <w:rPr>
                <w:rFonts w:ascii="Times New Roman" w:eastAsia="Times New Roman" w:hAnsi="Times New Roman" w:cs="Times New Roman"/>
                <w:color w:val="000000"/>
                <w:spacing w:val="0"/>
                <w:w w:val="100"/>
                <w:position w:val="0"/>
                <w:sz w:val="20"/>
                <w:szCs w:val="20"/>
              </w:rPr>
              <w:t>1000</w:t>
            </w:r>
            <w:r>
              <w:rPr>
                <w:color w:val="000000"/>
                <w:spacing w:val="0"/>
                <w:w w:val="100"/>
                <w:position w:val="0"/>
                <w:sz w:val="20"/>
                <w:szCs w:val="20"/>
              </w:rPr>
              <w:t xml:space="preserve">元 </w:t>
            </w:r>
            <w:r>
              <w:rPr>
                <w:rFonts w:ascii="Times New Roman" w:eastAsia="Times New Roman" w:hAnsi="Times New Roman" w:cs="Times New Roman"/>
                <w:color w:val="000000"/>
                <w:spacing w:val="0"/>
                <w:w w:val="100"/>
                <w:position w:val="0"/>
                <w:sz w:val="20"/>
                <w:szCs w:val="20"/>
              </w:rPr>
              <w:t>/G/</w:t>
            </w:r>
            <w:r>
              <w:rPr>
                <w:color w:val="000000"/>
                <w:spacing w:val="0"/>
                <w:w w:val="100"/>
                <w:position w:val="0"/>
                <w:sz w:val="20"/>
                <w:szCs w:val="20"/>
              </w:rPr>
              <w:t>日计算</w:t>
            </w:r>
          </w:p>
          <w:p>
            <w:pPr>
              <w:pStyle w:val="Style28"/>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（不满</w:t>
            </w:r>
            <w:r>
              <w:rPr>
                <w:rFonts w:ascii="Times New Roman" w:eastAsia="Times New Roman" w:hAnsi="Times New Roman" w:cs="Times New Roman"/>
                <w:color w:val="000000"/>
                <w:spacing w:val="0"/>
                <w:w w:val="100"/>
                <w:position w:val="0"/>
                <w:sz w:val="20"/>
                <w:szCs w:val="20"/>
              </w:rPr>
              <w:t>1G</w:t>
            </w:r>
            <w:r>
              <w:rPr>
                <w:color w:val="000000"/>
                <w:spacing w:val="0"/>
                <w:w w:val="100"/>
                <w:position w:val="0"/>
                <w:sz w:val="20"/>
                <w:szCs w:val="20"/>
              </w:rPr>
              <w:t xml:space="preserve">， </w:t>
            </w:r>
            <w:r>
              <w:rPr>
                <w:color w:val="000000"/>
                <w:spacing w:val="0"/>
                <w:w w:val="100"/>
                <w:position w:val="0"/>
                <w:sz w:val="20"/>
                <w:szCs w:val="20"/>
              </w:rPr>
              <w:t>则按</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 xml:space="preserve">元 </w:t>
            </w:r>
            <w:r>
              <w:rPr>
                <w:rFonts w:ascii="Times New Roman" w:eastAsia="Times New Roman" w:hAnsi="Times New Roman" w:cs="Times New Roman"/>
                <w:color w:val="000000"/>
                <w:spacing w:val="0"/>
                <w:w w:val="100"/>
                <w:position w:val="0"/>
                <w:sz w:val="20"/>
                <w:szCs w:val="20"/>
              </w:rPr>
              <w:t>/Mbps/</w:t>
            </w:r>
            <w:r>
              <w:rPr>
                <w:color w:val="000000"/>
                <w:spacing w:val="0"/>
                <w:w w:val="100"/>
                <w:position w:val="0"/>
                <w:sz w:val="20"/>
                <w:szCs w:val="20"/>
              </w:rPr>
              <w:t>日结 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50" w:lineRule="exact"/>
              <w:ind w:left="0" w:right="0" w:firstLine="0"/>
              <w:jc w:val="left"/>
              <w:rPr>
                <w:sz w:val="20"/>
                <w:szCs w:val="20"/>
              </w:rPr>
            </w:pPr>
            <w:r>
              <w:rPr>
                <w:color w:val="000000"/>
                <w:spacing w:val="0"/>
                <w:w w:val="100"/>
                <w:position w:val="0"/>
                <w:sz w:val="20"/>
                <w:szCs w:val="20"/>
              </w:rPr>
              <w:t>价格按季度进行 结算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29"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上海通视 铭泰数码 科技有限 公司</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上</w:t>
            </w:r>
          </w:p>
          <w:p>
            <w:pPr>
              <w:pStyle w:val="Style28"/>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海骋娱传 媒技术有 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苏宁控股 集团子公 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采购商 品</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采购电视、 手机、</w:t>
            </w:r>
            <w:r>
              <w:rPr>
                <w:rFonts w:ascii="Times New Roman" w:eastAsia="Times New Roman" w:hAnsi="Times New Roman" w:cs="Times New Roman"/>
                <w:color w:val="000000"/>
                <w:spacing w:val="0"/>
                <w:w w:val="100"/>
                <w:position w:val="0"/>
                <w:sz w:val="20"/>
                <w:szCs w:val="20"/>
              </w:rPr>
              <w:t xml:space="preserve">OTT </w:t>
            </w:r>
            <w:r>
              <w:rPr>
                <w:color w:val="000000"/>
                <w:spacing w:val="0"/>
                <w:w w:val="100"/>
                <w:position w:val="0"/>
                <w:sz w:val="20"/>
                <w:szCs w:val="20"/>
              </w:rPr>
              <w:t>等硬件产品</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市场价格</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按照市场价 格采购商品</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83,580.05</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83.54%</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200,000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34"/>
                <w:szCs w:val="34"/>
              </w:rPr>
            </w:pPr>
            <w:r>
              <w:rPr>
                <w:color w:val="000000"/>
                <w:spacing w:val="0"/>
                <w:w w:val="100"/>
                <w:position w:val="0"/>
                <w:sz w:val="34"/>
                <w:szCs w:val="34"/>
                <w:vertAlign w:val="subscript"/>
              </w:rPr>
              <w:t>否</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依据公司订单数 量进行费用结算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2016</w:t>
            </w:r>
          </w:p>
          <w:p>
            <w:pPr>
              <w:pStyle w:val="Style28"/>
              <w:keepNext w:val="0"/>
              <w:keepLines w:val="0"/>
              <w:widowControl w:val="0"/>
              <w:shd w:val="clear" w:color="auto" w:fill="auto"/>
              <w:bidi w:val="0"/>
              <w:spacing w:before="0" w:after="40" w:line="240" w:lineRule="auto"/>
              <w:ind w:left="0" w:right="0" w:firstLine="0"/>
              <w:jc w:val="both"/>
              <w:rPr>
                <w:sz w:val="20"/>
                <w:szCs w:val="20"/>
              </w:rPr>
            </w:pP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3</w:t>
            </w:r>
          </w:p>
          <w:p>
            <w:pPr>
              <w:pStyle w:val="Style28"/>
              <w:keepNext w:val="0"/>
              <w:keepLines w:val="0"/>
              <w:widowControl w:val="0"/>
              <w:shd w:val="clear" w:color="auto" w:fill="auto"/>
              <w:bidi w:val="0"/>
              <w:spacing w:before="0" w:after="40" w:line="240" w:lineRule="auto"/>
              <w:ind w:left="0" w:right="0" w:firstLine="0"/>
              <w:jc w:val="both"/>
              <w:rPr>
                <w:sz w:val="20"/>
                <w:szCs w:val="20"/>
              </w:rPr>
            </w:pP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p>
          <w:p>
            <w:pPr>
              <w:pStyle w:val="Style28"/>
              <w:keepNext w:val="0"/>
              <w:keepLines w:val="0"/>
              <w:widowControl w:val="0"/>
              <w:shd w:val="clear" w:color="auto" w:fill="auto"/>
              <w:bidi w:val="0"/>
              <w:spacing w:before="0" w:after="40" w:line="240" w:lineRule="auto"/>
              <w:ind w:left="0" w:right="0" w:firstLine="0"/>
              <w:jc w:val="both"/>
              <w:rPr>
                <w:sz w:val="20"/>
                <w:szCs w:val="20"/>
              </w:rPr>
            </w:pPr>
            <w:r>
              <w:rPr>
                <w:color w:val="000000"/>
                <w:spacing w:val="0"/>
                <w:w w:val="100"/>
                <w:position w:val="0"/>
                <w:sz w:val="20"/>
                <w:szCs w:val="20"/>
              </w:rPr>
              <w:t>日</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80" w:lineRule="exact"/>
              <w:ind w:left="0" w:right="0" w:firstLine="0"/>
              <w:jc w:val="left"/>
              <w:rPr>
                <w:sz w:val="20"/>
                <w:szCs w:val="20"/>
              </w:rPr>
            </w:pPr>
            <w:r>
              <w:rPr>
                <w:color w:val="000000"/>
                <w:spacing w:val="0"/>
                <w:w w:val="100"/>
                <w:position w:val="0"/>
                <w:sz w:val="20"/>
                <w:szCs w:val="20"/>
              </w:rPr>
              <w:t>巨潮资讯</w:t>
            </w:r>
          </w:p>
          <w:p>
            <w:pPr>
              <w:pStyle w:val="Style28"/>
              <w:keepNext w:val="0"/>
              <w:keepLines w:val="0"/>
              <w:widowControl w:val="0"/>
              <w:shd w:val="clear" w:color="auto" w:fill="auto"/>
              <w:bidi w:val="0"/>
              <w:spacing w:before="0" w:after="0" w:line="281" w:lineRule="exact"/>
              <w:ind w:left="0" w:right="0" w:firstLine="0"/>
              <w:jc w:val="left"/>
              <w:rPr>
                <w:sz w:val="20"/>
                <w:szCs w:val="20"/>
              </w:rPr>
            </w:pPr>
            <w:r>
              <w:rPr>
                <w:color w:val="000000"/>
                <w:spacing w:val="0"/>
                <w:w w:val="100"/>
                <w:position w:val="0"/>
                <w:sz w:val="20"/>
                <w:szCs w:val="20"/>
              </w:rPr>
              <w:t xml:space="preserve">网 </w:t>
            </w:r>
            <w:r>
              <w:rPr>
                <w:rFonts w:ascii="Times New Roman" w:eastAsia="Times New Roman" w:hAnsi="Times New Roman" w:cs="Times New Roman"/>
                <w:color w:val="000000"/>
                <w:spacing w:val="0"/>
                <w:w w:val="100"/>
                <w:position w:val="0"/>
                <w:sz w:val="20"/>
                <w:szCs w:val="20"/>
              </w:rPr>
              <w:t xml:space="preserve">2016- </w:t>
            </w:r>
            <w:r>
              <w:rPr>
                <w:rFonts w:ascii="Times New Roman" w:eastAsia="Times New Roman" w:hAnsi="Times New Roman" w:cs="Times New Roman"/>
                <w:color w:val="000000"/>
                <w:spacing w:val="0"/>
                <w:w w:val="100"/>
                <w:position w:val="0"/>
                <w:sz w:val="20"/>
                <w:szCs w:val="20"/>
              </w:rPr>
              <w:t>022</w:t>
            </w:r>
            <w:r>
              <w:rPr>
                <w:color w:val="000000"/>
                <w:spacing w:val="0"/>
                <w:w w:val="100"/>
                <w:position w:val="0"/>
                <w:sz w:val="20"/>
                <w:szCs w:val="20"/>
              </w:rPr>
              <w:t>《关 于公司与</w:t>
            </w:r>
          </w:p>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PPTV2016</w:t>
            </w:r>
          </w:p>
          <w:p>
            <w:pPr>
              <w:pStyle w:val="Style28"/>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年度日常 关联交易 预计的公 告》</w:t>
            </w:r>
          </w:p>
        </w:tc>
      </w:tr>
      <w:tr>
        <w:trPr>
          <w:trHeight w:val="283" w:hRule="exact"/>
        </w:trPr>
        <w:tc>
          <w:tcPr>
            <w:gridSpan w:val="4"/>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100,046.22</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258,554.00</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r>
      <w:tr>
        <w:trPr>
          <w:trHeight w:val="283" w:hRule="exact"/>
        </w:trPr>
        <w:tc>
          <w:tcPr>
            <w:gridSpan w:val="4"/>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大额销货退回的详细情况</w:t>
            </w:r>
          </w:p>
        </w:tc>
        <w:tc>
          <w:tcPr>
            <w:gridSpan w:val="10"/>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无</w:t>
            </w:r>
          </w:p>
        </w:tc>
      </w:tr>
      <w:tr>
        <w:trPr>
          <w:trHeight w:val="638" w:hRule="exact"/>
        </w:trPr>
        <w:tc>
          <w:tcPr>
            <w:gridSpan w:val="4"/>
            <w:tcBorders>
              <w:top w:val="single" w:sz="4"/>
              <w:left w:val="single" w:sz="4"/>
              <w:bottom w:val="single" w:sz="4"/>
            </w:tcBorders>
            <w:shd w:val="clear" w:color="auto" w:fill="D3D3D3"/>
            <w:vAlign w:val="top"/>
          </w:tcPr>
          <w:p>
            <w:pPr>
              <w:pStyle w:val="Style28"/>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按类别对本期将发生的日常关联交易进行 总金额预计的，在报告期内的实际履行情</w:t>
            </w:r>
          </w:p>
        </w:tc>
        <w:tc>
          <w:tcPr>
            <w:gridSpan w:val="10"/>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98" w:lineRule="exact"/>
              <w:ind w:left="0" w:right="160" w:firstLine="0"/>
              <w:jc w:val="righ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、公司委托苏宁置业及其下属子公司为公司及下属分、子公司实施的包括各地物流基地、自建店项目在 内的各类土建项目提供工程代建服务。</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-2018</w:t>
            </w:r>
            <w:r>
              <w:rPr>
                <w:color w:val="000000"/>
                <w:spacing w:val="0"/>
                <w:w w:val="100"/>
                <w:position w:val="0"/>
                <w:sz w:val="20"/>
                <w:szCs w:val="20"/>
              </w:rPr>
              <w:t>年三年累计发生额不超过</w:t>
            </w:r>
            <w:r>
              <w:rPr>
                <w:rFonts w:ascii="Times New Roman" w:eastAsia="Times New Roman" w:hAnsi="Times New Roman" w:cs="Times New Roman"/>
                <w:color w:val="000000"/>
                <w:spacing w:val="0"/>
                <w:w w:val="100"/>
                <w:position w:val="0"/>
                <w:sz w:val="20"/>
                <w:szCs w:val="20"/>
              </w:rPr>
              <w:t>25,000</w:t>
            </w:r>
            <w:r>
              <w:rPr>
                <w:color w:val="000000"/>
                <w:spacing w:val="0"/>
                <w:w w:val="100"/>
                <w:position w:val="0"/>
                <w:sz w:val="20"/>
                <w:szCs w:val="20"/>
              </w:rPr>
              <w:t>万元，</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年支付工程</w:t>
            </w:r>
          </w:p>
        </w:tc>
      </w:tr>
    </w:tbl>
    <w:p>
      <w:pPr>
        <w:spacing w:lineRule="exact" w:line="1"/>
        <w:rPr>
          <w:sz w:val="2"/>
          <w:szCs w:val="2"/>
        </w:rPr>
      </w:pPr>
      <w:r>
        <w:br w:type="page"/>
      </w:r>
    </w:p>
    <w:tbl>
      <w:tblPr>
        <w:tblOverlap w:val="never"/>
        <w:jc w:val="center"/>
        <w:tblLayout w:type="fixed"/>
      </w:tblPr>
      <w:tblGrid>
        <w:gridCol w:w="902"/>
        <w:gridCol w:w="907"/>
        <w:gridCol w:w="734"/>
        <w:gridCol w:w="1310"/>
        <w:gridCol w:w="1027"/>
        <w:gridCol w:w="1306"/>
        <w:gridCol w:w="1219"/>
        <w:gridCol w:w="1104"/>
        <w:gridCol w:w="1003"/>
        <w:gridCol w:w="595"/>
        <w:gridCol w:w="1594"/>
        <w:gridCol w:w="749"/>
        <w:gridCol w:w="581"/>
        <w:gridCol w:w="994"/>
      </w:tblGrid>
      <w:tr>
        <w:trPr>
          <w:trHeight w:val="1114" w:hRule="exact"/>
        </w:trPr>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关联交易 方</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关联关系</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88" w:lineRule="exact"/>
              <w:ind w:left="0" w:right="0" w:firstLine="0"/>
              <w:jc w:val="left"/>
              <w:rPr>
                <w:sz w:val="20"/>
                <w:szCs w:val="20"/>
              </w:rPr>
            </w:pPr>
            <w:r>
              <w:rPr>
                <w:color w:val="000000"/>
                <w:spacing w:val="0"/>
                <w:w w:val="100"/>
                <w:position w:val="0"/>
                <w:sz w:val="20"/>
                <w:szCs w:val="20"/>
              </w:rPr>
              <w:t>关联交 易类型</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88" w:lineRule="exact"/>
              <w:ind w:left="0" w:right="0" w:firstLine="0"/>
              <w:jc w:val="center"/>
              <w:rPr>
                <w:sz w:val="20"/>
                <w:szCs w:val="20"/>
              </w:rPr>
            </w:pPr>
            <w:r>
              <w:rPr>
                <w:color w:val="000000"/>
                <w:spacing w:val="0"/>
                <w:w w:val="100"/>
                <w:position w:val="0"/>
                <w:sz w:val="20"/>
                <w:szCs w:val="20"/>
              </w:rPr>
              <w:t>关联交易内 容</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88" w:lineRule="exact"/>
              <w:ind w:left="0" w:right="0" w:firstLine="0"/>
              <w:jc w:val="center"/>
              <w:rPr>
                <w:sz w:val="20"/>
                <w:szCs w:val="20"/>
              </w:rPr>
            </w:pPr>
            <w:r>
              <w:rPr>
                <w:color w:val="000000"/>
                <w:spacing w:val="0"/>
                <w:w w:val="100"/>
                <w:position w:val="0"/>
                <w:sz w:val="20"/>
                <w:szCs w:val="20"/>
              </w:rPr>
              <w:t>关联交易 定价原则</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88" w:lineRule="exact"/>
              <w:ind w:left="0" w:right="0" w:firstLine="0"/>
              <w:jc w:val="center"/>
              <w:rPr>
                <w:sz w:val="20"/>
                <w:szCs w:val="20"/>
              </w:rPr>
            </w:pPr>
            <w:r>
              <w:rPr>
                <w:color w:val="000000"/>
                <w:spacing w:val="0"/>
                <w:w w:val="100"/>
                <w:position w:val="0"/>
                <w:sz w:val="20"/>
                <w:szCs w:val="20"/>
              </w:rPr>
              <w:t>关联交易价 格</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关联交易支 付金额</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占同类交 易金额的 比例</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54" w:lineRule="exact"/>
              <w:ind w:left="0" w:right="0" w:firstLine="0"/>
              <w:jc w:val="center"/>
              <w:rPr>
                <w:sz w:val="20"/>
                <w:szCs w:val="20"/>
              </w:rPr>
            </w:pPr>
            <w:r>
              <w:rPr>
                <w:color w:val="000000"/>
                <w:spacing w:val="0"/>
                <w:w w:val="100"/>
                <w:position w:val="0"/>
                <w:sz w:val="20"/>
                <w:szCs w:val="20"/>
              </w:rPr>
              <w:t>获批的交 易额度</w:t>
            </w:r>
          </w:p>
        </w:tc>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66" w:lineRule="exact"/>
              <w:ind w:left="0" w:right="0" w:firstLine="0"/>
              <w:jc w:val="left"/>
              <w:rPr>
                <w:sz w:val="20"/>
                <w:szCs w:val="20"/>
              </w:rPr>
            </w:pPr>
            <w:r>
              <w:rPr>
                <w:color w:val="000000"/>
                <w:spacing w:val="0"/>
                <w:w w:val="100"/>
                <w:position w:val="0"/>
                <w:sz w:val="20"/>
                <w:szCs w:val="20"/>
              </w:rPr>
              <w:t>是否 超过 获批 额度</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88" w:lineRule="exact"/>
              <w:ind w:left="0" w:right="0" w:firstLine="0"/>
              <w:jc w:val="center"/>
              <w:rPr>
                <w:sz w:val="20"/>
                <w:szCs w:val="20"/>
              </w:rPr>
            </w:pPr>
            <w:r>
              <w:rPr>
                <w:color w:val="000000"/>
                <w:spacing w:val="0"/>
                <w:w w:val="100"/>
                <w:position w:val="0"/>
                <w:sz w:val="20"/>
                <w:szCs w:val="20"/>
              </w:rPr>
              <w:t>关联交易结算方 式</w:t>
            </w:r>
          </w:p>
        </w:tc>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72" w:lineRule="exact"/>
              <w:ind w:left="0" w:right="0" w:firstLine="0"/>
              <w:jc w:val="center"/>
              <w:rPr>
                <w:sz w:val="20"/>
                <w:szCs w:val="20"/>
              </w:rPr>
            </w:pPr>
            <w:r>
              <w:rPr>
                <w:color w:val="000000"/>
                <w:spacing w:val="0"/>
                <w:w w:val="100"/>
                <w:position w:val="0"/>
                <w:sz w:val="20"/>
                <w:szCs w:val="20"/>
              </w:rPr>
              <w:t>可获得 的同类 交易市 价</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50" w:lineRule="exact"/>
              <w:ind w:left="0" w:right="0" w:firstLine="0"/>
              <w:jc w:val="left"/>
              <w:rPr>
                <w:sz w:val="20"/>
                <w:szCs w:val="20"/>
              </w:rPr>
            </w:pPr>
            <w:r>
              <w:rPr>
                <w:color w:val="000000"/>
                <w:spacing w:val="0"/>
                <w:w w:val="100"/>
                <w:position w:val="0"/>
                <w:sz w:val="20"/>
                <w:szCs w:val="20"/>
              </w:rPr>
              <w:t>披露 日期</w:t>
            </w:r>
          </w:p>
        </w:tc>
        <w:tc>
          <w:tcPr>
            <w:tcBorders>
              <w:top w:val="single" w:sz="4"/>
              <w:left w:val="single" w:sz="4"/>
              <w:righ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披露索引</w:t>
            </w:r>
          </w:p>
        </w:tc>
      </w:tr>
      <w:tr>
        <w:trPr>
          <w:trHeight w:val="4397" w:hRule="exact"/>
        </w:trPr>
        <w:tc>
          <w:tcPr>
            <w:gridSpan w:val="4"/>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况</w:t>
            </w:r>
          </w:p>
        </w:tc>
        <w:tc>
          <w:tcPr>
            <w:gridSpan w:val="10"/>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313" w:lineRule="exact"/>
              <w:ind w:left="0" w:right="0" w:firstLine="0"/>
              <w:jc w:val="left"/>
              <w:rPr>
                <w:sz w:val="20"/>
                <w:szCs w:val="20"/>
              </w:rPr>
            </w:pPr>
            <w:r>
              <w:rPr>
                <w:color w:val="000000"/>
                <w:spacing w:val="0"/>
                <w:w w:val="100"/>
                <w:position w:val="0"/>
                <w:sz w:val="20"/>
                <w:szCs w:val="20"/>
              </w:rPr>
              <w:t>代建服务费</w:t>
            </w:r>
            <w:r>
              <w:rPr>
                <w:rFonts w:ascii="Times New Roman" w:eastAsia="Times New Roman" w:hAnsi="Times New Roman" w:cs="Times New Roman"/>
                <w:color w:val="000000"/>
                <w:spacing w:val="0"/>
                <w:w w:val="100"/>
                <w:position w:val="0"/>
                <w:sz w:val="20"/>
                <w:szCs w:val="20"/>
              </w:rPr>
              <w:t>2,147.99</w:t>
            </w:r>
            <w:r>
              <w:rPr>
                <w:color w:val="000000"/>
                <w:spacing w:val="0"/>
                <w:w w:val="100"/>
                <w:position w:val="0"/>
                <w:sz w:val="20"/>
                <w:szCs w:val="20"/>
              </w:rPr>
              <w:t>万元，截至</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月已累计支付代建服务费</w:t>
            </w:r>
            <w:r>
              <w:rPr>
                <w:rFonts w:ascii="Times New Roman" w:eastAsia="Times New Roman" w:hAnsi="Times New Roman" w:cs="Times New Roman"/>
                <w:color w:val="000000"/>
                <w:spacing w:val="0"/>
                <w:w w:val="100"/>
                <w:position w:val="0"/>
                <w:sz w:val="20"/>
                <w:szCs w:val="20"/>
              </w:rPr>
              <w:t>2,370.74</w:t>
            </w:r>
            <w:r>
              <w:rPr>
                <w:color w:val="000000"/>
                <w:spacing w:val="0"/>
                <w:w w:val="100"/>
                <w:position w:val="0"/>
                <w:sz w:val="20"/>
                <w:szCs w:val="20"/>
              </w:rPr>
              <w:t>万元。</w:t>
            </w:r>
          </w:p>
          <w:p>
            <w:pPr>
              <w:pStyle w:val="Style28"/>
              <w:keepNext w:val="0"/>
              <w:keepLines w:val="0"/>
              <w:widowControl w:val="0"/>
              <w:shd w:val="clear" w:color="auto" w:fill="auto"/>
              <w:tabs>
                <w:tab w:pos="744" w:val="left"/>
              </w:tabs>
              <w:bidi w:val="0"/>
              <w:spacing w:before="0" w:after="0" w:line="313" w:lineRule="exact"/>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tab/>
              <w:t>公司及子公司委托江苏银河物业负责徐庄总部园区的物业管理服务，服务内容包括安全、环境、设备 的管理及其他专项服务。</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-2017</w:t>
            </w:r>
            <w:r>
              <w:rPr>
                <w:color w:val="000000"/>
                <w:spacing w:val="0"/>
                <w:w w:val="100"/>
                <w:position w:val="0"/>
                <w:sz w:val="20"/>
                <w:szCs w:val="20"/>
              </w:rPr>
              <w:t>年物业费合计支付</w:t>
            </w:r>
            <w:r>
              <w:rPr>
                <w:rFonts w:ascii="Times New Roman" w:eastAsia="Times New Roman" w:hAnsi="Times New Roman" w:cs="Times New Roman"/>
                <w:color w:val="000000"/>
                <w:spacing w:val="0"/>
                <w:w w:val="100"/>
                <w:position w:val="0"/>
                <w:sz w:val="20"/>
                <w:szCs w:val="20"/>
              </w:rPr>
              <w:t>13,854</w:t>
            </w:r>
            <w:r>
              <w:rPr>
                <w:color w:val="000000"/>
                <w:spacing w:val="0"/>
                <w:w w:val="100"/>
                <w:position w:val="0"/>
                <w:sz w:val="20"/>
                <w:szCs w:val="20"/>
              </w:rPr>
              <w:t>万元。</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年支付物业费</w:t>
            </w:r>
            <w:r>
              <w:rPr>
                <w:rFonts w:ascii="Times New Roman" w:eastAsia="Times New Roman" w:hAnsi="Times New Roman" w:cs="Times New Roman"/>
                <w:color w:val="000000"/>
                <w:spacing w:val="0"/>
                <w:w w:val="100"/>
                <w:position w:val="0"/>
                <w:sz w:val="20"/>
                <w:szCs w:val="20"/>
              </w:rPr>
              <w:t>2,944.07</w:t>
            </w:r>
            <w:r>
              <w:rPr>
                <w:color w:val="000000"/>
                <w:spacing w:val="0"/>
                <w:w w:val="100"/>
                <w:position w:val="0"/>
                <w:sz w:val="20"/>
                <w:szCs w:val="20"/>
              </w:rPr>
              <w:t xml:space="preserve">万元，截至 </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月已累计支付发生额</w:t>
            </w:r>
            <w:r>
              <w:rPr>
                <w:rFonts w:ascii="Times New Roman" w:eastAsia="Times New Roman" w:hAnsi="Times New Roman" w:cs="Times New Roman"/>
                <w:color w:val="000000"/>
                <w:spacing w:val="0"/>
                <w:w w:val="100"/>
                <w:position w:val="0"/>
                <w:sz w:val="20"/>
                <w:szCs w:val="20"/>
              </w:rPr>
              <w:t>8,498.44</w:t>
            </w:r>
            <w:r>
              <w:rPr>
                <w:color w:val="000000"/>
                <w:spacing w:val="0"/>
                <w:w w:val="100"/>
                <w:position w:val="0"/>
                <w:sz w:val="20"/>
                <w:szCs w:val="20"/>
              </w:rPr>
              <w:t>万元。</w:t>
            </w:r>
          </w:p>
          <w:p>
            <w:pPr>
              <w:pStyle w:val="Style28"/>
              <w:keepNext w:val="0"/>
              <w:keepLines w:val="0"/>
              <w:widowControl w:val="0"/>
              <w:shd w:val="clear" w:color="auto" w:fill="auto"/>
              <w:tabs>
                <w:tab w:pos="739" w:val="left"/>
              </w:tabs>
              <w:bidi w:val="0"/>
              <w:spacing w:before="0" w:after="0" w:line="313" w:lineRule="exact"/>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w:t>
              <w:tab/>
              <w:t>公司及子公司委托江苏银河物业为公司物流基地、自建店提供物业服务，预计</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年公司及子公司支 付物业服务费不超过</w:t>
            </w:r>
            <w:r>
              <w:rPr>
                <w:rFonts w:ascii="Times New Roman" w:eastAsia="Times New Roman" w:hAnsi="Times New Roman" w:cs="Times New Roman"/>
                <w:color w:val="000000"/>
                <w:spacing w:val="0"/>
                <w:w w:val="100"/>
                <w:position w:val="0"/>
                <w:sz w:val="20"/>
                <w:szCs w:val="20"/>
              </w:rPr>
              <w:t>14,000</w:t>
            </w:r>
            <w:r>
              <w:rPr>
                <w:color w:val="000000"/>
                <w:spacing w:val="0"/>
                <w:w w:val="100"/>
                <w:position w:val="0"/>
                <w:sz w:val="20"/>
                <w:szCs w:val="20"/>
              </w:rPr>
              <w:t>万元，</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年公司及子公司支付物业服务费</w:t>
            </w:r>
            <w:r>
              <w:rPr>
                <w:rFonts w:ascii="Times New Roman" w:eastAsia="Times New Roman" w:hAnsi="Times New Roman" w:cs="Times New Roman"/>
                <w:color w:val="000000"/>
                <w:spacing w:val="0"/>
                <w:w w:val="100"/>
                <w:position w:val="0"/>
                <w:sz w:val="20"/>
                <w:szCs w:val="20"/>
              </w:rPr>
              <w:t>10,384.62</w:t>
            </w:r>
            <w:r>
              <w:rPr>
                <w:color w:val="000000"/>
                <w:spacing w:val="0"/>
                <w:w w:val="100"/>
                <w:position w:val="0"/>
                <w:sz w:val="20"/>
                <w:szCs w:val="20"/>
              </w:rPr>
              <w:t>万元。</w:t>
            </w:r>
          </w:p>
          <w:p>
            <w:pPr>
              <w:pStyle w:val="Style28"/>
              <w:keepNext w:val="0"/>
              <w:keepLines w:val="0"/>
              <w:widowControl w:val="0"/>
              <w:shd w:val="clear" w:color="auto" w:fill="auto"/>
              <w:tabs>
                <w:tab w:pos="739" w:val="left"/>
              </w:tabs>
              <w:bidi w:val="0"/>
              <w:spacing w:before="0" w:after="0" w:line="313" w:lineRule="exact"/>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w:t>
              <w:tab/>
              <w:t>公司及子公司委托江苏苏宁广场商业管理有限公司为公司自建店及配套物业提供代理招商、代理运营 相关服务，预计</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年公司及子公司支付代理招商、代理运营相关服务费不超过</w:t>
            </w:r>
            <w:r>
              <w:rPr>
                <w:rFonts w:ascii="Times New Roman" w:eastAsia="Times New Roman" w:hAnsi="Times New Roman" w:cs="Times New Roman"/>
                <w:color w:val="000000"/>
                <w:spacing w:val="0"/>
                <w:w w:val="100"/>
                <w:position w:val="0"/>
                <w:sz w:val="20"/>
                <w:szCs w:val="20"/>
              </w:rPr>
              <w:t>2,200</w:t>
            </w:r>
            <w:r>
              <w:rPr>
                <w:color w:val="000000"/>
                <w:spacing w:val="0"/>
                <w:w w:val="100"/>
                <w:position w:val="0"/>
                <w:sz w:val="20"/>
                <w:szCs w:val="20"/>
              </w:rPr>
              <w:t>万元，</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年公司子 公司支付代理招商、代理运营相关服务费</w:t>
            </w:r>
            <w:r>
              <w:rPr>
                <w:rFonts w:ascii="Times New Roman" w:eastAsia="Times New Roman" w:hAnsi="Times New Roman" w:cs="Times New Roman"/>
                <w:color w:val="000000"/>
                <w:spacing w:val="0"/>
                <w:w w:val="100"/>
                <w:position w:val="0"/>
                <w:sz w:val="20"/>
                <w:szCs w:val="20"/>
              </w:rPr>
              <w:t>327.18</w:t>
            </w:r>
            <w:r>
              <w:rPr>
                <w:color w:val="000000"/>
                <w:spacing w:val="0"/>
                <w:w w:val="100"/>
                <w:position w:val="0"/>
                <w:sz w:val="20"/>
                <w:szCs w:val="20"/>
              </w:rPr>
              <w:t>万元。</w:t>
            </w:r>
          </w:p>
          <w:p>
            <w:pPr>
              <w:pStyle w:val="Style28"/>
              <w:keepNext w:val="0"/>
              <w:keepLines w:val="0"/>
              <w:widowControl w:val="0"/>
              <w:shd w:val="clear" w:color="auto" w:fill="auto"/>
              <w:tabs>
                <w:tab w:pos="725" w:val="left"/>
              </w:tabs>
              <w:bidi w:val="0"/>
              <w:spacing w:before="0" w:after="0" w:line="313" w:lineRule="exact"/>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w:t>
              <w:tab/>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年，公司预计向</w:t>
            </w:r>
            <w:r>
              <w:rPr>
                <w:rFonts w:ascii="Times New Roman" w:eastAsia="Times New Roman" w:hAnsi="Times New Roman" w:cs="Times New Roman"/>
                <w:color w:val="000000"/>
                <w:spacing w:val="0"/>
                <w:w w:val="100"/>
                <w:position w:val="0"/>
                <w:sz w:val="20"/>
                <w:szCs w:val="20"/>
              </w:rPr>
              <w:t>PPTV</w:t>
            </w:r>
            <w:r>
              <w:rPr>
                <w:color w:val="000000"/>
                <w:spacing w:val="0"/>
                <w:w w:val="100"/>
                <w:position w:val="0"/>
                <w:sz w:val="20"/>
                <w:szCs w:val="20"/>
              </w:rPr>
              <w:t>下属公司天津聚力传媒技术有限公司支付</w:t>
            </w:r>
            <w:r>
              <w:rPr>
                <w:rFonts w:ascii="Times New Roman" w:eastAsia="Times New Roman" w:hAnsi="Times New Roman" w:cs="Times New Roman"/>
                <w:color w:val="000000"/>
                <w:spacing w:val="0"/>
                <w:w w:val="100"/>
                <w:position w:val="0"/>
                <w:sz w:val="20"/>
                <w:szCs w:val="20"/>
              </w:rPr>
              <w:t>CDN</w:t>
            </w:r>
            <w:r>
              <w:rPr>
                <w:color w:val="000000"/>
                <w:spacing w:val="0"/>
                <w:w w:val="100"/>
                <w:position w:val="0"/>
                <w:sz w:val="20"/>
                <w:szCs w:val="20"/>
              </w:rPr>
              <w:t>、</w:t>
            </w:r>
            <w:r>
              <w:rPr>
                <w:color w:val="000000"/>
                <w:spacing w:val="0"/>
                <w:w w:val="100"/>
                <w:position w:val="0"/>
                <w:sz w:val="20"/>
                <w:szCs w:val="20"/>
              </w:rPr>
              <w:t>广告等引流服务，</w:t>
            </w:r>
            <w:r>
              <w:rPr>
                <w:rFonts w:ascii="Times New Roman" w:eastAsia="Times New Roman" w:hAnsi="Times New Roman" w:cs="Times New Roman"/>
                <w:color w:val="000000"/>
                <w:spacing w:val="0"/>
                <w:w w:val="100"/>
                <w:position w:val="0"/>
                <w:sz w:val="20"/>
                <w:szCs w:val="20"/>
              </w:rPr>
              <w:t xml:space="preserve">2016 </w:t>
            </w:r>
            <w:r>
              <w:rPr>
                <w:color w:val="000000"/>
                <w:spacing w:val="0"/>
                <w:w w:val="100"/>
                <w:position w:val="0"/>
                <w:sz w:val="20"/>
                <w:szCs w:val="20"/>
              </w:rPr>
              <w:t>年公司支付天津聚力相关费用</w:t>
            </w:r>
            <w:r>
              <w:rPr>
                <w:rFonts w:ascii="Times New Roman" w:eastAsia="Times New Roman" w:hAnsi="Times New Roman" w:cs="Times New Roman"/>
                <w:color w:val="000000"/>
                <w:spacing w:val="0"/>
                <w:w w:val="100"/>
                <w:position w:val="0"/>
                <w:sz w:val="20"/>
                <w:szCs w:val="20"/>
              </w:rPr>
              <w:t>662.31</w:t>
            </w:r>
            <w:r>
              <w:rPr>
                <w:color w:val="000000"/>
                <w:spacing w:val="0"/>
                <w:w w:val="100"/>
                <w:position w:val="0"/>
                <w:sz w:val="20"/>
                <w:szCs w:val="20"/>
              </w:rPr>
              <w:t>万元。</w:t>
            </w:r>
          </w:p>
          <w:p>
            <w:pPr>
              <w:pStyle w:val="Style28"/>
              <w:keepNext w:val="0"/>
              <w:keepLines w:val="0"/>
              <w:widowControl w:val="0"/>
              <w:shd w:val="clear" w:color="auto" w:fill="auto"/>
              <w:tabs>
                <w:tab w:pos="730" w:val="left"/>
              </w:tabs>
              <w:bidi w:val="0"/>
              <w:spacing w:before="0" w:after="0" w:line="313" w:lineRule="exact"/>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w:t>
              <w:tab/>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年，公司预计将向</w:t>
            </w:r>
            <w:r>
              <w:rPr>
                <w:rFonts w:ascii="Times New Roman" w:eastAsia="Times New Roman" w:hAnsi="Times New Roman" w:cs="Times New Roman"/>
                <w:color w:val="000000"/>
                <w:spacing w:val="0"/>
                <w:w w:val="100"/>
                <w:position w:val="0"/>
                <w:sz w:val="20"/>
                <w:szCs w:val="20"/>
              </w:rPr>
              <w:t>PPTV</w:t>
            </w:r>
            <w:r>
              <w:rPr>
                <w:color w:val="000000"/>
                <w:spacing w:val="0"/>
                <w:w w:val="100"/>
                <w:position w:val="0"/>
                <w:sz w:val="20"/>
                <w:szCs w:val="20"/>
              </w:rPr>
              <w:t>下属公司上海通视铭泰数码科技有限公司、上海骋娱传媒技术有限公司 采购电视、手机、</w:t>
            </w:r>
            <w:r>
              <w:rPr>
                <w:rFonts w:ascii="Times New Roman" w:eastAsia="Times New Roman" w:hAnsi="Times New Roman" w:cs="Times New Roman"/>
                <w:color w:val="000000"/>
                <w:spacing w:val="0"/>
                <w:w w:val="100"/>
                <w:position w:val="0"/>
                <w:sz w:val="20"/>
                <w:szCs w:val="20"/>
              </w:rPr>
              <w:t>OTT</w:t>
            </w:r>
            <w:r>
              <w:rPr>
                <w:color w:val="000000"/>
                <w:spacing w:val="0"/>
                <w:w w:val="100"/>
                <w:position w:val="0"/>
                <w:sz w:val="20"/>
                <w:szCs w:val="20"/>
              </w:rPr>
              <w:t>等硬件产品，合计采购规模预计不超过</w:t>
            </w:r>
            <w:r>
              <w:rPr>
                <w:rFonts w:ascii="Times New Roman" w:eastAsia="Times New Roman" w:hAnsi="Times New Roman" w:cs="Times New Roman"/>
                <w:color w:val="000000"/>
                <w:spacing w:val="0"/>
                <w:w w:val="100"/>
                <w:position w:val="0"/>
                <w:sz w:val="20"/>
                <w:szCs w:val="20"/>
              </w:rPr>
              <w:t>200,000</w:t>
            </w:r>
            <w:r>
              <w:rPr>
                <w:color w:val="000000"/>
                <w:spacing w:val="0"/>
                <w:w w:val="100"/>
                <w:position w:val="0"/>
                <w:sz w:val="20"/>
                <w:szCs w:val="20"/>
              </w:rPr>
              <w:t>万元</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含税</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 xml:space="preserve">年公司支付采购商品 款 </w:t>
            </w:r>
            <w:r>
              <w:rPr>
                <w:rFonts w:ascii="Times New Roman" w:eastAsia="Times New Roman" w:hAnsi="Times New Roman" w:cs="Times New Roman"/>
                <w:color w:val="000000"/>
                <w:spacing w:val="0"/>
                <w:w w:val="100"/>
                <w:position w:val="0"/>
                <w:sz w:val="20"/>
                <w:szCs w:val="20"/>
              </w:rPr>
              <w:t xml:space="preserve">75,524.15 </w:t>
            </w:r>
            <w:r>
              <w:rPr>
                <w:color w:val="000000"/>
                <w:spacing w:val="0"/>
                <w:w w:val="100"/>
                <w:position w:val="0"/>
                <w:sz w:val="20"/>
                <w:szCs w:val="20"/>
              </w:rPr>
              <w:t>万元。</w:t>
            </w:r>
          </w:p>
        </w:tc>
      </w:tr>
      <w:tr>
        <w:trPr>
          <w:trHeight w:val="288" w:hRule="exact"/>
        </w:trPr>
        <w:tc>
          <w:tcPr>
            <w:gridSpan w:val="4"/>
            <w:tcBorders>
              <w:top w:val="single" w:sz="4"/>
              <w:left w:val="single" w:sz="4"/>
              <w:bottom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交易价格与市场参考价格差异较大的原因</w:t>
            </w:r>
          </w:p>
        </w:tc>
        <w:tc>
          <w:tcPr>
            <w:gridSpan w:val="10"/>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不适用</w:t>
            </w:r>
          </w:p>
        </w:tc>
      </w:tr>
    </w:tbl>
    <w:p>
      <w:pPr>
        <w:pStyle w:val="Style32"/>
        <w:keepNext w:val="0"/>
        <w:keepLines w:val="0"/>
        <w:widowControl w:val="0"/>
        <w:shd w:val="clear" w:color="auto" w:fill="auto"/>
        <w:bidi w:val="0"/>
        <w:spacing w:before="0" w:after="0" w:line="467" w:lineRule="exact"/>
        <w:ind w:left="0" w:right="0" w:firstLine="0"/>
        <w:jc w:val="left"/>
        <w:rPr>
          <w:sz w:val="20"/>
          <w:szCs w:val="20"/>
        </w:rPr>
      </w:pPr>
      <w:r>
        <w:rPr>
          <w:color w:val="000000"/>
          <w:spacing w:val="0"/>
          <w:w w:val="100"/>
          <w:position w:val="0"/>
          <w:sz w:val="20"/>
          <w:szCs w:val="20"/>
        </w:rPr>
        <w:t>注：报告期内，公司与苏宁置业集团协商，就物流基地工程代建结算方式进行优化调整，以使得代建服务进度款与项目代建节点考核相匹配，调整后代 建服务费支付方式：（</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）合同签订后</w:t>
      </w:r>
      <w:r>
        <w:rPr>
          <w:rFonts w:ascii="Times New Roman" w:eastAsia="Times New Roman" w:hAnsi="Times New Roman" w:cs="Times New Roman"/>
          <w:color w:val="000000"/>
          <w:spacing w:val="0"/>
          <w:w w:val="100"/>
          <w:position w:val="0"/>
          <w:sz w:val="20"/>
          <w:szCs w:val="20"/>
        </w:rPr>
        <w:t>30</w:t>
      </w:r>
      <w:r>
        <w:rPr>
          <w:color w:val="000000"/>
          <w:spacing w:val="0"/>
          <w:w w:val="100"/>
          <w:position w:val="0"/>
          <w:sz w:val="20"/>
          <w:szCs w:val="20"/>
        </w:rPr>
        <w:t>日内支付代建服务费的</w:t>
      </w:r>
      <w:r>
        <w:rPr>
          <w:rFonts w:ascii="Times New Roman" w:eastAsia="Times New Roman" w:hAnsi="Times New Roman" w:cs="Times New Roman"/>
          <w:color w:val="000000"/>
          <w:spacing w:val="0"/>
          <w:w w:val="100"/>
          <w:position w:val="0"/>
          <w:sz w:val="20"/>
          <w:szCs w:val="20"/>
        </w:rPr>
        <w:t>30%</w:t>
      </w:r>
      <w:r>
        <w:rPr>
          <w:color w:val="000000"/>
          <w:spacing w:val="0"/>
          <w:w w:val="100"/>
          <w:position w:val="0"/>
          <w:sz w:val="20"/>
          <w:szCs w:val="20"/>
        </w:rPr>
        <w:t>作为前期管理费用。（</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）项目代建服务进度款按照完工形象进度节点支付，仓库 屋面结构封顶后</w:t>
      </w:r>
      <w:r>
        <w:rPr>
          <w:rFonts w:ascii="Times New Roman" w:eastAsia="Times New Roman" w:hAnsi="Times New Roman" w:cs="Times New Roman"/>
          <w:color w:val="000000"/>
          <w:spacing w:val="0"/>
          <w:w w:val="100"/>
          <w:position w:val="0"/>
          <w:sz w:val="20"/>
          <w:szCs w:val="20"/>
        </w:rPr>
        <w:t>30</w:t>
      </w:r>
      <w:r>
        <w:rPr>
          <w:color w:val="000000"/>
          <w:spacing w:val="0"/>
          <w:w w:val="100"/>
          <w:position w:val="0"/>
          <w:sz w:val="20"/>
          <w:szCs w:val="20"/>
        </w:rPr>
        <w:t>日内支付代建服务费的</w:t>
      </w:r>
      <w:r>
        <w:rPr>
          <w:rFonts w:ascii="Times New Roman" w:eastAsia="Times New Roman" w:hAnsi="Times New Roman" w:cs="Times New Roman"/>
          <w:color w:val="000000"/>
          <w:spacing w:val="0"/>
          <w:w w:val="100"/>
          <w:position w:val="0"/>
          <w:sz w:val="20"/>
          <w:szCs w:val="20"/>
        </w:rPr>
        <w:t>30%</w:t>
      </w:r>
      <w:r>
        <w:rPr>
          <w:color w:val="000000"/>
          <w:spacing w:val="0"/>
          <w:w w:val="100"/>
          <w:position w:val="0"/>
          <w:sz w:val="20"/>
          <w:szCs w:val="20"/>
        </w:rPr>
        <w:t>，工程完工且交付甲方使用后</w:t>
      </w:r>
      <w:r>
        <w:rPr>
          <w:rFonts w:ascii="Times New Roman" w:eastAsia="Times New Roman" w:hAnsi="Times New Roman" w:cs="Times New Roman"/>
          <w:color w:val="000000"/>
          <w:spacing w:val="0"/>
          <w:w w:val="100"/>
          <w:position w:val="0"/>
          <w:sz w:val="20"/>
          <w:szCs w:val="20"/>
        </w:rPr>
        <w:t>30</w:t>
      </w:r>
      <w:r>
        <w:rPr>
          <w:color w:val="000000"/>
          <w:spacing w:val="0"/>
          <w:w w:val="100"/>
          <w:position w:val="0"/>
          <w:sz w:val="20"/>
          <w:szCs w:val="20"/>
        </w:rPr>
        <w:t>日内支付代建服务费的</w:t>
      </w:r>
      <w:r>
        <w:rPr>
          <w:rFonts w:ascii="Times New Roman" w:eastAsia="Times New Roman" w:hAnsi="Times New Roman" w:cs="Times New Roman"/>
          <w:color w:val="000000"/>
          <w:spacing w:val="0"/>
          <w:w w:val="100"/>
          <w:position w:val="0"/>
          <w:sz w:val="20"/>
          <w:szCs w:val="20"/>
        </w:rPr>
        <w:t>20%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）项目交付甲方使用之日起</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个月内， 乙方上报项目的进度完工量，经甲方审核后按照完工量的</w:t>
      </w:r>
      <w:r>
        <w:rPr>
          <w:rFonts w:ascii="Times New Roman" w:eastAsia="Times New Roman" w:hAnsi="Times New Roman" w:cs="Times New Roman"/>
          <w:color w:val="000000"/>
          <w:spacing w:val="0"/>
          <w:w w:val="100"/>
          <w:position w:val="0"/>
          <w:sz w:val="20"/>
          <w:szCs w:val="20"/>
        </w:rPr>
        <w:t>90%</w:t>
      </w:r>
      <w:r>
        <w:rPr>
          <w:color w:val="000000"/>
          <w:spacing w:val="0"/>
          <w:w w:val="100"/>
          <w:position w:val="0"/>
          <w:sz w:val="20"/>
          <w:szCs w:val="20"/>
        </w:rPr>
        <w:t>对前期已付款进行清算，多退少补。（</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）工程项目决算后并取得产权证后，双方根据结 算定案单金额重新计算调整代建服务费，并于决算金额确定后</w:t>
      </w:r>
      <w:r>
        <w:rPr>
          <w:rFonts w:ascii="Times New Roman" w:eastAsia="Times New Roman" w:hAnsi="Times New Roman" w:cs="Times New Roman"/>
          <w:color w:val="000000"/>
          <w:spacing w:val="0"/>
          <w:w w:val="100"/>
          <w:position w:val="0"/>
          <w:sz w:val="20"/>
          <w:szCs w:val="20"/>
        </w:rPr>
        <w:t>30</w:t>
      </w:r>
      <w:r>
        <w:rPr>
          <w:color w:val="000000"/>
          <w:spacing w:val="0"/>
          <w:w w:val="100"/>
          <w:position w:val="0"/>
          <w:sz w:val="20"/>
          <w:szCs w:val="20"/>
        </w:rPr>
        <w:t>日内进行最终清算支付。</w:t>
      </w:r>
      <w:r>
        <w:br w:type="page"/>
      </w:r>
    </w:p>
    <w:p>
      <w:pPr>
        <w:pStyle w:val="Style38"/>
        <w:keepNext/>
        <w:keepLines/>
        <w:widowControl w:val="0"/>
        <w:shd w:val="clear" w:color="auto" w:fill="auto"/>
        <w:bidi w:val="0"/>
        <w:spacing w:before="0" w:after="220" w:line="240" w:lineRule="auto"/>
        <w:ind w:left="0" w:right="0" w:firstLine="140"/>
        <w:jc w:val="left"/>
      </w:pPr>
      <w:bookmarkStart w:id="299" w:name="bookmark299"/>
      <w:bookmarkStart w:id="300" w:name="bookmark300"/>
      <w:bookmarkStart w:id="301" w:name="bookmark301"/>
      <w:bookmarkStart w:id="302" w:name="bookmark302"/>
      <w:r>
        <w:rPr>
          <w:color w:val="000000"/>
          <w:spacing w:val="0"/>
          <w:w w:val="100"/>
          <w:position w:val="0"/>
        </w:rPr>
        <w:t>（</w:t>
      </w:r>
      <w:bookmarkEnd w:id="301"/>
      <w:r>
        <w:rPr>
          <w:rFonts w:ascii="Times New Roman" w:eastAsia="Times New Roman" w:hAnsi="Times New Roman" w:cs="Times New Roman"/>
          <w:color w:val="000000"/>
          <w:spacing w:val="0"/>
          <w:w w:val="100"/>
          <w:position w:val="0"/>
        </w:rPr>
        <w:t>2</w:t>
      </w:r>
      <w:r>
        <w:rPr>
          <w:color w:val="000000"/>
          <w:spacing w:val="0"/>
          <w:w w:val="100"/>
          <w:position w:val="0"/>
        </w:rPr>
        <w:t>）提供劳务</w:t>
      </w:r>
      <w:bookmarkEnd w:id="299"/>
      <w:bookmarkEnd w:id="300"/>
      <w:bookmarkEnd w:id="302"/>
    </w:p>
    <w:p>
      <w:pPr>
        <w:pStyle w:val="Style25"/>
        <w:keepNext w:val="0"/>
        <w:keepLines w:val="0"/>
        <w:widowControl w:val="0"/>
        <w:shd w:val="clear" w:color="auto" w:fill="auto"/>
        <w:bidi w:val="0"/>
        <w:spacing w:before="0" w:after="0" w:line="240" w:lineRule="auto"/>
        <w:ind w:left="12926" w:right="0" w:firstLine="0"/>
        <w:jc w:val="left"/>
        <w:rPr>
          <w:sz w:val="20"/>
          <w:szCs w:val="20"/>
        </w:rPr>
      </w:pPr>
      <w:r>
        <w:rPr>
          <w:color w:val="000000"/>
          <w:spacing w:val="0"/>
          <w:w w:val="100"/>
          <w:position w:val="0"/>
          <w:sz w:val="20"/>
          <w:szCs w:val="20"/>
        </w:rPr>
        <w:t>单位：万元</w:t>
      </w:r>
    </w:p>
    <w:tbl>
      <w:tblPr>
        <w:tblOverlap w:val="never"/>
        <w:jc w:val="center"/>
        <w:tblLayout w:type="fixed"/>
      </w:tblPr>
      <w:tblGrid>
        <w:gridCol w:w="1166"/>
        <w:gridCol w:w="854"/>
        <w:gridCol w:w="850"/>
        <w:gridCol w:w="1138"/>
        <w:gridCol w:w="1133"/>
        <w:gridCol w:w="998"/>
        <w:gridCol w:w="1267"/>
        <w:gridCol w:w="1282"/>
        <w:gridCol w:w="1075"/>
        <w:gridCol w:w="907"/>
        <w:gridCol w:w="1166"/>
        <w:gridCol w:w="686"/>
        <w:gridCol w:w="514"/>
        <w:gridCol w:w="989"/>
      </w:tblGrid>
      <w:tr>
        <w:trPr>
          <w:trHeight w:val="1104" w:hRule="exact"/>
        </w:trPr>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关联交易方</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88" w:lineRule="exact"/>
              <w:ind w:left="0" w:right="0" w:firstLine="0"/>
              <w:jc w:val="center"/>
              <w:rPr>
                <w:sz w:val="20"/>
                <w:szCs w:val="20"/>
              </w:rPr>
            </w:pPr>
            <w:r>
              <w:rPr>
                <w:color w:val="000000"/>
                <w:spacing w:val="0"/>
                <w:w w:val="100"/>
                <w:position w:val="0"/>
                <w:sz w:val="20"/>
                <w:szCs w:val="20"/>
              </w:rPr>
              <w:t>关联关 系</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88" w:lineRule="exact"/>
              <w:ind w:left="0" w:right="0" w:firstLine="0"/>
              <w:jc w:val="right"/>
              <w:rPr>
                <w:sz w:val="20"/>
                <w:szCs w:val="20"/>
              </w:rPr>
            </w:pPr>
            <w:r>
              <w:rPr>
                <w:color w:val="000000"/>
                <w:spacing w:val="0"/>
                <w:w w:val="100"/>
                <w:position w:val="0"/>
                <w:sz w:val="20"/>
                <w:szCs w:val="20"/>
              </w:rPr>
              <w:t>关联交 易类型</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88" w:lineRule="exact"/>
              <w:ind w:left="0" w:right="0" w:firstLine="0"/>
              <w:jc w:val="center"/>
              <w:rPr>
                <w:sz w:val="20"/>
                <w:szCs w:val="20"/>
              </w:rPr>
            </w:pPr>
            <w:r>
              <w:rPr>
                <w:color w:val="000000"/>
                <w:spacing w:val="0"/>
                <w:w w:val="100"/>
                <w:position w:val="0"/>
                <w:sz w:val="20"/>
                <w:szCs w:val="20"/>
              </w:rPr>
              <w:t>关联交易内 容</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关联交易定 价原则</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关联交易 价格</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关联交易支 付金额</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64" w:lineRule="exact"/>
              <w:ind w:left="0" w:right="0" w:firstLine="0"/>
              <w:jc w:val="center"/>
              <w:rPr>
                <w:sz w:val="20"/>
                <w:szCs w:val="20"/>
              </w:rPr>
            </w:pPr>
            <w:r>
              <w:rPr>
                <w:color w:val="000000"/>
                <w:spacing w:val="0"/>
                <w:w w:val="100"/>
                <w:position w:val="0"/>
                <w:sz w:val="20"/>
                <w:szCs w:val="20"/>
              </w:rPr>
              <w:t>占同类交易 金额的比例</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获批的交 易额度</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54" w:lineRule="exact"/>
              <w:ind w:left="0" w:right="0" w:firstLine="0"/>
              <w:jc w:val="left"/>
              <w:rPr>
                <w:sz w:val="20"/>
                <w:szCs w:val="20"/>
              </w:rPr>
            </w:pPr>
            <w:r>
              <w:rPr>
                <w:color w:val="000000"/>
                <w:spacing w:val="0"/>
                <w:w w:val="100"/>
                <w:position w:val="0"/>
                <w:sz w:val="20"/>
                <w:szCs w:val="20"/>
              </w:rPr>
              <w:t>是否超过 获批额度</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关联交易结 算方式</w:t>
            </w:r>
          </w:p>
        </w:tc>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72" w:lineRule="exact"/>
              <w:ind w:left="0" w:right="0" w:firstLine="0"/>
              <w:jc w:val="center"/>
              <w:rPr>
                <w:sz w:val="20"/>
                <w:szCs w:val="20"/>
              </w:rPr>
            </w:pPr>
            <w:r>
              <w:rPr>
                <w:color w:val="000000"/>
                <w:spacing w:val="0"/>
                <w:w w:val="100"/>
                <w:position w:val="0"/>
                <w:sz w:val="20"/>
                <w:szCs w:val="20"/>
              </w:rPr>
              <w:t>可获得 的同类 交易市 价</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50" w:lineRule="exact"/>
              <w:ind w:left="0" w:right="0" w:firstLine="0"/>
              <w:jc w:val="left"/>
              <w:rPr>
                <w:sz w:val="20"/>
                <w:szCs w:val="20"/>
              </w:rPr>
            </w:pPr>
            <w:r>
              <w:rPr>
                <w:color w:val="000000"/>
                <w:spacing w:val="0"/>
                <w:w w:val="100"/>
                <w:position w:val="0"/>
                <w:sz w:val="20"/>
                <w:szCs w:val="20"/>
              </w:rPr>
              <w:t>披露 日期</w:t>
            </w:r>
          </w:p>
        </w:tc>
        <w:tc>
          <w:tcPr>
            <w:tcBorders>
              <w:top w:val="single" w:sz="4"/>
              <w:left w:val="single" w:sz="4"/>
              <w:righ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披露索引</w:t>
            </w:r>
          </w:p>
        </w:tc>
      </w:tr>
      <w:tr>
        <w:trPr>
          <w:trHeight w:val="2429"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上海通视铭 泰数码科技 有限公司</w:t>
            </w:r>
            <w:r>
              <w:rPr>
                <w:rFonts w:ascii="Times New Roman" w:eastAsia="Times New Roman" w:hAnsi="Times New Roman" w:cs="Times New Roman"/>
                <w:color w:val="000000"/>
                <w:spacing w:val="0"/>
                <w:w w:val="100"/>
                <w:position w:val="0"/>
                <w:sz w:val="20"/>
                <w:szCs w:val="20"/>
              </w:rPr>
              <w:t>/</w:t>
            </w:r>
          </w:p>
          <w:p>
            <w:pPr>
              <w:pStyle w:val="Style28"/>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上海骋娱传 媒技术有限 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苏宁控 股集团 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1" w:lineRule="exact"/>
              <w:ind w:left="0" w:right="0" w:firstLine="0"/>
              <w:jc w:val="left"/>
              <w:rPr>
                <w:sz w:val="20"/>
                <w:szCs w:val="20"/>
              </w:rPr>
            </w:pPr>
            <w:r>
              <w:rPr>
                <w:color w:val="000000"/>
                <w:spacing w:val="0"/>
                <w:w w:val="100"/>
                <w:position w:val="0"/>
                <w:sz w:val="20"/>
                <w:szCs w:val="20"/>
              </w:rPr>
              <w:t>接受公 司提供 的服务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提供商品仓 储、干线调 拨、售后维 修等服务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市场价格</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54" w:lineRule="exact"/>
              <w:ind w:left="0" w:right="0" w:firstLine="0"/>
              <w:jc w:val="left"/>
              <w:rPr>
                <w:sz w:val="20"/>
                <w:szCs w:val="20"/>
              </w:rPr>
            </w:pPr>
            <w:r>
              <w:rPr>
                <w:color w:val="000000"/>
                <w:spacing w:val="0"/>
                <w:w w:val="100"/>
                <w:position w:val="0"/>
                <w:sz w:val="20"/>
                <w:szCs w:val="20"/>
              </w:rPr>
              <w:t>协议约定 价格</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271.64</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34"/>
                <w:szCs w:val="34"/>
              </w:rPr>
            </w:pPr>
            <w:r>
              <w:rPr>
                <w:color w:val="000000"/>
                <w:spacing w:val="0"/>
                <w:w w:val="100"/>
                <w:position w:val="0"/>
                <w:sz w:val="34"/>
                <w:szCs w:val="34"/>
                <w:vertAlign w:val="subscript"/>
              </w:rPr>
              <w:t>否</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88" w:lineRule="exact"/>
              <w:ind w:left="0" w:right="0" w:firstLine="0"/>
              <w:jc w:val="left"/>
              <w:rPr>
                <w:sz w:val="20"/>
                <w:szCs w:val="20"/>
              </w:rPr>
            </w:pPr>
            <w:r>
              <w:rPr>
                <w:color w:val="000000"/>
                <w:spacing w:val="0"/>
                <w:w w:val="100"/>
                <w:position w:val="0"/>
                <w:sz w:val="20"/>
                <w:szCs w:val="20"/>
              </w:rPr>
              <w:t>协议约定方 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2016</w:t>
            </w:r>
          </w:p>
          <w:p>
            <w:pPr>
              <w:pStyle w:val="Style28"/>
              <w:keepNext w:val="0"/>
              <w:keepLines w:val="0"/>
              <w:widowControl w:val="0"/>
              <w:shd w:val="clear" w:color="auto" w:fill="auto"/>
              <w:bidi w:val="0"/>
              <w:spacing w:before="0" w:after="0" w:line="293" w:lineRule="exact"/>
              <w:ind w:left="0" w:right="0" w:firstLine="0"/>
              <w:jc w:val="left"/>
              <w:rPr>
                <w:sz w:val="20"/>
                <w:szCs w:val="20"/>
              </w:rPr>
            </w:pP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 xml:space="preserve">3 </w:t>
            </w:r>
            <w:r>
              <w:rPr>
                <w:color w:val="000000"/>
                <w:spacing w:val="0"/>
                <w:w w:val="100"/>
                <w:position w:val="0"/>
                <w:sz w:val="20"/>
                <w:szCs w:val="20"/>
              </w:rPr>
              <w:t>月</w:t>
            </w:r>
          </w:p>
          <w:p>
            <w:pPr>
              <w:pStyle w:val="Style28"/>
              <w:keepNext w:val="0"/>
              <w:keepLines w:val="0"/>
              <w:widowControl w:val="0"/>
              <w:shd w:val="clear" w:color="auto" w:fill="auto"/>
              <w:bidi w:val="0"/>
              <w:spacing w:before="0" w:after="6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31</w:t>
            </w:r>
          </w:p>
          <w:p>
            <w:pPr>
              <w:pStyle w:val="Style28"/>
              <w:keepNext w:val="0"/>
              <w:keepLines w:val="0"/>
              <w:widowControl w:val="0"/>
              <w:shd w:val="clear" w:color="auto" w:fill="auto"/>
              <w:bidi w:val="0"/>
              <w:spacing w:before="0" w:after="0" w:line="293" w:lineRule="exact"/>
              <w:ind w:left="0" w:right="0" w:firstLine="0"/>
              <w:jc w:val="left"/>
              <w:rPr>
                <w:sz w:val="20"/>
                <w:szCs w:val="20"/>
              </w:rPr>
            </w:pPr>
            <w:r>
              <w:rPr>
                <w:color w:val="000000"/>
                <w:spacing w:val="0"/>
                <w:w w:val="100"/>
                <w:position w:val="0"/>
                <w:sz w:val="20"/>
                <w:szCs w:val="20"/>
              </w:rPr>
              <w:t>日</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70" w:lineRule="exact"/>
              <w:ind w:left="0" w:right="0" w:firstLine="0"/>
              <w:jc w:val="left"/>
              <w:rPr>
                <w:sz w:val="20"/>
                <w:szCs w:val="20"/>
              </w:rPr>
            </w:pPr>
            <w:r>
              <w:rPr>
                <w:color w:val="000000"/>
                <w:spacing w:val="0"/>
                <w:w w:val="100"/>
                <w:position w:val="0"/>
                <w:sz w:val="20"/>
                <w:szCs w:val="20"/>
              </w:rPr>
              <w:t xml:space="preserve">巨潮资讯 网 </w:t>
            </w:r>
            <w:r>
              <w:rPr>
                <w:rFonts w:ascii="Times New Roman" w:eastAsia="Times New Roman" w:hAnsi="Times New Roman" w:cs="Times New Roman"/>
                <w:color w:val="000000"/>
                <w:spacing w:val="0"/>
                <w:w w:val="100"/>
                <w:position w:val="0"/>
                <w:sz w:val="20"/>
                <w:szCs w:val="20"/>
              </w:rPr>
              <w:t xml:space="preserve">2016- </w:t>
            </w:r>
            <w:r>
              <w:rPr>
                <w:rFonts w:ascii="Times New Roman" w:eastAsia="Times New Roman" w:hAnsi="Times New Roman" w:cs="Times New Roman"/>
                <w:color w:val="000000"/>
                <w:spacing w:val="0"/>
                <w:w w:val="100"/>
                <w:position w:val="0"/>
                <w:sz w:val="20"/>
                <w:szCs w:val="20"/>
              </w:rPr>
              <w:t>022</w:t>
            </w:r>
            <w:r>
              <w:rPr>
                <w:color w:val="000000"/>
                <w:spacing w:val="0"/>
                <w:w w:val="100"/>
                <w:position w:val="0"/>
                <w:sz w:val="20"/>
                <w:szCs w:val="20"/>
              </w:rPr>
              <w:t>《关 于公司与</w:t>
            </w:r>
          </w:p>
          <w:p>
            <w:pPr>
              <w:pStyle w:val="Style28"/>
              <w:keepNext w:val="0"/>
              <w:keepLines w:val="0"/>
              <w:widowControl w:val="0"/>
              <w:shd w:val="clear" w:color="auto" w:fill="auto"/>
              <w:bidi w:val="0"/>
              <w:spacing w:before="0" w:after="0" w:line="270" w:lineRule="exact"/>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PPTV201 </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年度日 常关联交 易预计的 公告》</w:t>
            </w:r>
          </w:p>
        </w:tc>
      </w:tr>
      <w:tr>
        <w:trPr>
          <w:trHeight w:val="283" w:hRule="exact"/>
        </w:trPr>
        <w:tc>
          <w:tcPr>
            <w:gridSpan w:val="4"/>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271.64</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r>
      <w:tr>
        <w:trPr>
          <w:trHeight w:val="283" w:hRule="exact"/>
        </w:trPr>
        <w:tc>
          <w:tcPr>
            <w:gridSpan w:val="4"/>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大额销货退回的详细情况</w:t>
            </w:r>
          </w:p>
        </w:tc>
        <w:tc>
          <w:tcPr>
            <w:gridSpan w:val="10"/>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无</w:t>
            </w:r>
          </w:p>
        </w:tc>
      </w:tr>
      <w:tr>
        <w:trPr>
          <w:trHeight w:val="950" w:hRule="exact"/>
        </w:trPr>
        <w:tc>
          <w:tcPr>
            <w:gridSpan w:val="4"/>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71" w:lineRule="exact"/>
              <w:ind w:left="0" w:right="0" w:firstLine="0"/>
              <w:jc w:val="left"/>
              <w:rPr>
                <w:sz w:val="20"/>
                <w:szCs w:val="20"/>
              </w:rPr>
            </w:pPr>
            <w:r>
              <w:rPr>
                <w:color w:val="000000"/>
                <w:spacing w:val="0"/>
                <w:w w:val="100"/>
                <w:position w:val="0"/>
                <w:sz w:val="20"/>
                <w:szCs w:val="20"/>
              </w:rPr>
              <w:t>按类别对本期将发生的日常关联交易进行 总金额预计的，在报告期内的实际履行情 况</w:t>
            </w:r>
          </w:p>
        </w:tc>
        <w:tc>
          <w:tcPr>
            <w:gridSpan w:val="10"/>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公司将为</w:t>
            </w:r>
            <w:r>
              <w:rPr>
                <w:rFonts w:ascii="Times New Roman" w:eastAsia="Times New Roman" w:hAnsi="Times New Roman" w:cs="Times New Roman"/>
                <w:color w:val="000000"/>
                <w:spacing w:val="0"/>
                <w:w w:val="100"/>
                <w:position w:val="0"/>
                <w:sz w:val="20"/>
                <w:szCs w:val="20"/>
              </w:rPr>
              <w:t>PPTV</w:t>
            </w:r>
            <w:r>
              <w:rPr>
                <w:color w:val="000000"/>
                <w:spacing w:val="0"/>
                <w:w w:val="100"/>
                <w:position w:val="0"/>
                <w:sz w:val="20"/>
                <w:szCs w:val="20"/>
              </w:rPr>
              <w:t>基于自身渠道销售的商品提供商品仓储、干线调拨、售后维修等服务，</w:t>
            </w:r>
            <w:r>
              <w:rPr>
                <w:rFonts w:ascii="Times New Roman" w:eastAsia="Times New Roman" w:hAnsi="Times New Roman" w:cs="Times New Roman"/>
                <w:color w:val="000000"/>
                <w:spacing w:val="0"/>
                <w:w w:val="100"/>
                <w:position w:val="0"/>
                <w:sz w:val="20"/>
                <w:szCs w:val="20"/>
              </w:rPr>
              <w:t>PPTV</w:t>
            </w:r>
            <w:r>
              <w:rPr>
                <w:color w:val="000000"/>
                <w:spacing w:val="0"/>
                <w:w w:val="100"/>
                <w:position w:val="0"/>
                <w:sz w:val="20"/>
                <w:szCs w:val="20"/>
              </w:rPr>
              <w:t>下属公司通视 铭泰、上海骋娱预计将向公司支付服务费用不超过</w:t>
            </w:r>
            <w:r>
              <w:rPr>
                <w:rFonts w:ascii="Times New Roman" w:eastAsia="Times New Roman" w:hAnsi="Times New Roman" w:cs="Times New Roman"/>
                <w:color w:val="000000"/>
                <w:spacing w:val="0"/>
                <w:w w:val="100"/>
                <w:position w:val="0"/>
                <w:sz w:val="20"/>
                <w:szCs w:val="20"/>
              </w:rPr>
              <w:t>10,000</w:t>
            </w:r>
            <w:r>
              <w:rPr>
                <w:color w:val="000000"/>
                <w:spacing w:val="0"/>
                <w:w w:val="100"/>
                <w:position w:val="0"/>
                <w:sz w:val="20"/>
                <w:szCs w:val="20"/>
              </w:rPr>
              <w:t>万元，</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年公司收取相关服务费用</w:t>
            </w:r>
            <w:r>
              <w:rPr>
                <w:rFonts w:ascii="Times New Roman" w:eastAsia="Times New Roman" w:hAnsi="Times New Roman" w:cs="Times New Roman"/>
                <w:color w:val="000000"/>
                <w:spacing w:val="0"/>
                <w:w w:val="100"/>
                <w:position w:val="0"/>
                <w:sz w:val="20"/>
                <w:szCs w:val="20"/>
              </w:rPr>
              <w:t>271.64</w:t>
            </w:r>
            <w:r>
              <w:rPr>
                <w:color w:val="000000"/>
                <w:spacing w:val="0"/>
                <w:w w:val="100"/>
                <w:position w:val="0"/>
                <w:sz w:val="20"/>
                <w:szCs w:val="20"/>
              </w:rPr>
              <w:t xml:space="preserve">万 </w:t>
            </w:r>
            <w:r>
              <w:rPr>
                <w:rFonts w:ascii="Times New Roman" w:eastAsia="Times New Roman" w:hAnsi="Times New Roman" w:cs="Times New Roman"/>
                <w:color w:val="000000"/>
                <w:spacing w:val="0"/>
                <w:w w:val="100"/>
                <w:position w:val="0"/>
                <w:sz w:val="20"/>
                <w:szCs w:val="20"/>
              </w:rPr>
              <w:t>y</w:t>
            </w:r>
            <w:r>
              <w:rPr>
                <w:color w:val="000000"/>
                <w:spacing w:val="0"/>
                <w:w w:val="100"/>
                <w:position w:val="0"/>
                <w:sz w:val="20"/>
                <w:szCs w:val="20"/>
              </w:rPr>
              <w:t>元</w:t>
            </w:r>
            <w:r>
              <w:rPr>
                <w:rFonts w:ascii="Times New Roman" w:eastAsia="Times New Roman" w:hAnsi="Times New Roman" w:cs="Times New Roman"/>
                <w:color w:val="000000"/>
                <w:spacing w:val="0"/>
                <w:w w:val="100"/>
                <w:position w:val="0"/>
                <w:sz w:val="20"/>
                <w:szCs w:val="20"/>
              </w:rPr>
              <w:t>O</w:t>
            </w:r>
          </w:p>
        </w:tc>
      </w:tr>
      <w:tr>
        <w:trPr>
          <w:trHeight w:val="283" w:hRule="exact"/>
        </w:trPr>
        <w:tc>
          <w:tcPr>
            <w:gridSpan w:val="4"/>
            <w:tcBorders>
              <w:top w:val="single" w:sz="4"/>
              <w:left w:val="single" w:sz="4"/>
              <w:bottom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交易价格与市场参考价格差异较大的原因</w:t>
            </w:r>
          </w:p>
        </w:tc>
        <w:tc>
          <w:tcPr>
            <w:gridSpan w:val="10"/>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不适用</w:t>
            </w:r>
          </w:p>
        </w:tc>
      </w:tr>
    </w:tbl>
    <w:p>
      <w:pPr>
        <w:spacing w:lineRule="exact" w:line="1"/>
        <w:rPr>
          <w:sz w:val="2"/>
          <w:szCs w:val="2"/>
        </w:rPr>
      </w:pPr>
      <w:r>
        <w:br w:type="page"/>
      </w:r>
    </w:p>
    <w:p>
      <w:pPr>
        <w:pStyle w:val="Style38"/>
        <w:keepNext/>
        <w:keepLines/>
        <w:widowControl w:val="0"/>
        <w:numPr>
          <w:ilvl w:val="0"/>
          <w:numId w:val="15"/>
        </w:numPr>
        <w:shd w:val="clear" w:color="auto" w:fill="auto"/>
        <w:bidi w:val="0"/>
        <w:spacing w:before="0" w:after="100" w:line="240" w:lineRule="auto"/>
        <w:ind w:left="0" w:right="0" w:firstLine="140"/>
        <w:jc w:val="left"/>
      </w:pPr>
      <w:bookmarkStart w:id="303" w:name="bookmark303"/>
      <w:bookmarkStart w:id="304" w:name="bookmark304"/>
      <w:bookmarkStart w:id="305" w:name="bookmark305"/>
      <w:bookmarkStart w:id="306" w:name="bookmark306"/>
      <w:bookmarkEnd w:id="305"/>
      <w:r>
        <w:rPr>
          <w:color w:val="000000"/>
          <w:spacing w:val="0"/>
          <w:w w:val="100"/>
          <w:position w:val="0"/>
        </w:rPr>
        <w:t>物业租赁</w:t>
      </w:r>
      <w:bookmarkEnd w:id="303"/>
      <w:bookmarkEnd w:id="304"/>
      <w:bookmarkEnd w:id="306"/>
    </w:p>
    <w:p>
      <w:pPr>
        <w:pStyle w:val="Style25"/>
        <w:keepNext w:val="0"/>
        <w:keepLines w:val="0"/>
        <w:widowControl w:val="0"/>
        <w:shd w:val="clear" w:color="auto" w:fill="auto"/>
        <w:bidi w:val="0"/>
        <w:spacing w:before="0" w:after="0" w:line="240" w:lineRule="auto"/>
        <w:ind w:left="12926" w:right="0" w:firstLine="0"/>
        <w:jc w:val="left"/>
        <w:rPr>
          <w:sz w:val="20"/>
          <w:szCs w:val="20"/>
        </w:rPr>
      </w:pPr>
      <w:r>
        <w:rPr>
          <w:color w:val="000000"/>
          <w:spacing w:val="0"/>
          <w:w w:val="100"/>
          <w:position w:val="0"/>
          <w:sz w:val="20"/>
          <w:szCs w:val="20"/>
        </w:rPr>
        <w:t>单位：万元</w:t>
      </w:r>
    </w:p>
    <w:tbl>
      <w:tblPr>
        <w:tblOverlap w:val="never"/>
        <w:jc w:val="center"/>
        <w:tblLayout w:type="fixed"/>
      </w:tblPr>
      <w:tblGrid>
        <w:gridCol w:w="946"/>
        <w:gridCol w:w="941"/>
        <w:gridCol w:w="941"/>
        <w:gridCol w:w="2026"/>
        <w:gridCol w:w="854"/>
        <w:gridCol w:w="1056"/>
        <w:gridCol w:w="926"/>
        <w:gridCol w:w="850"/>
        <w:gridCol w:w="1310"/>
        <w:gridCol w:w="581"/>
        <w:gridCol w:w="1104"/>
        <w:gridCol w:w="782"/>
        <w:gridCol w:w="763"/>
        <w:gridCol w:w="946"/>
      </w:tblGrid>
      <w:tr>
        <w:trPr>
          <w:trHeight w:val="1104" w:hRule="exact"/>
        </w:trPr>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关联交易 方</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关联关系</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93" w:lineRule="exact"/>
              <w:ind w:left="0" w:right="0" w:firstLine="0"/>
              <w:jc w:val="center"/>
              <w:rPr>
                <w:sz w:val="20"/>
                <w:szCs w:val="20"/>
              </w:rPr>
            </w:pPr>
            <w:r>
              <w:rPr>
                <w:color w:val="000000"/>
                <w:spacing w:val="0"/>
                <w:w w:val="100"/>
                <w:position w:val="0"/>
                <w:sz w:val="20"/>
                <w:szCs w:val="20"/>
              </w:rPr>
              <w:t>关联交易 类型</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关联交易内容</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76" w:lineRule="exact"/>
              <w:ind w:left="0" w:right="0" w:firstLine="0"/>
              <w:jc w:val="center"/>
              <w:rPr>
                <w:sz w:val="20"/>
                <w:szCs w:val="20"/>
              </w:rPr>
            </w:pPr>
            <w:r>
              <w:rPr>
                <w:color w:val="000000"/>
                <w:spacing w:val="0"/>
                <w:w w:val="100"/>
                <w:position w:val="0"/>
                <w:sz w:val="20"/>
                <w:szCs w:val="20"/>
              </w:rPr>
              <w:t>关联交 易定价 原则</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关联交易 价格</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关联交易 支付金额</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72" w:lineRule="exact"/>
              <w:ind w:left="0" w:right="0" w:firstLine="0"/>
              <w:jc w:val="center"/>
              <w:rPr>
                <w:sz w:val="20"/>
                <w:szCs w:val="20"/>
              </w:rPr>
            </w:pPr>
            <w:r>
              <w:rPr>
                <w:color w:val="000000"/>
                <w:spacing w:val="0"/>
                <w:w w:val="100"/>
                <w:position w:val="0"/>
                <w:sz w:val="20"/>
                <w:szCs w:val="20"/>
              </w:rPr>
              <w:t>占同类 交易金 额的比 例</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59" w:lineRule="exact"/>
              <w:ind w:left="0" w:right="0" w:firstLine="0"/>
              <w:jc w:val="center"/>
              <w:rPr>
                <w:sz w:val="20"/>
                <w:szCs w:val="20"/>
              </w:rPr>
            </w:pPr>
            <w:r>
              <w:rPr>
                <w:color w:val="000000"/>
                <w:spacing w:val="0"/>
                <w:w w:val="100"/>
                <w:position w:val="0"/>
                <w:sz w:val="20"/>
                <w:szCs w:val="20"/>
              </w:rPr>
              <w:t>获批的交易 额度</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66" w:lineRule="exact"/>
              <w:ind w:left="0" w:right="0" w:firstLine="0"/>
              <w:jc w:val="left"/>
              <w:rPr>
                <w:sz w:val="20"/>
                <w:szCs w:val="20"/>
              </w:rPr>
            </w:pPr>
            <w:r>
              <w:rPr>
                <w:color w:val="000000"/>
                <w:spacing w:val="0"/>
                <w:w w:val="100"/>
                <w:position w:val="0"/>
                <w:sz w:val="20"/>
                <w:szCs w:val="20"/>
              </w:rPr>
              <w:t>是否 超过 获批 额度</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93" w:lineRule="exact"/>
              <w:ind w:left="0" w:right="0" w:firstLine="0"/>
              <w:jc w:val="center"/>
              <w:rPr>
                <w:sz w:val="20"/>
                <w:szCs w:val="20"/>
              </w:rPr>
            </w:pPr>
            <w:r>
              <w:rPr>
                <w:color w:val="000000"/>
                <w:spacing w:val="0"/>
                <w:w w:val="100"/>
                <w:position w:val="0"/>
                <w:sz w:val="20"/>
                <w:szCs w:val="20"/>
              </w:rPr>
              <w:t>关联交易 结算方式</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72" w:lineRule="exact"/>
              <w:ind w:left="0" w:right="0" w:firstLine="0"/>
              <w:jc w:val="center"/>
              <w:rPr>
                <w:sz w:val="20"/>
                <w:szCs w:val="20"/>
              </w:rPr>
            </w:pPr>
            <w:r>
              <w:rPr>
                <w:color w:val="000000"/>
                <w:spacing w:val="0"/>
                <w:w w:val="100"/>
                <w:position w:val="0"/>
                <w:sz w:val="20"/>
                <w:szCs w:val="20"/>
              </w:rPr>
              <w:t>可获得 的同类 交易市 价</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披露日 期</w:t>
            </w:r>
          </w:p>
        </w:tc>
        <w:tc>
          <w:tcPr>
            <w:tcBorders>
              <w:top w:val="single" w:sz="4"/>
              <w:left w:val="single" w:sz="4"/>
              <w:righ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披露索引</w:t>
            </w:r>
          </w:p>
        </w:tc>
      </w:tr>
      <w:tr>
        <w:trPr>
          <w:trHeight w:val="274"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成都鸿业</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苏宁置业</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物业租赁</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租赁位于成都市高新</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市场价</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租赁费采</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1,657.05</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9.60%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按该店年实</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34"/>
                <w:szCs w:val="34"/>
              </w:rPr>
            </w:pPr>
            <w:r>
              <w:rPr>
                <w:color w:val="000000"/>
                <w:spacing w:val="0"/>
                <w:w w:val="100"/>
                <w:position w:val="0"/>
                <w:sz w:val="34"/>
                <w:szCs w:val="34"/>
                <w:vertAlign w:val="subscript"/>
              </w:rPr>
              <w:t>否</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保底租赁</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2011 </w:t>
            </w:r>
            <w:r>
              <w:rPr>
                <w:color w:val="000000"/>
                <w:spacing w:val="0"/>
                <w:w w:val="100"/>
                <w:position w:val="0"/>
                <w:sz w:val="20"/>
                <w:szCs w:val="20"/>
              </w:rPr>
              <w:t>年</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巨潮资讯</w:t>
            </w:r>
          </w:p>
        </w:tc>
      </w:tr>
      <w:tr>
        <w:trPr>
          <w:trHeight w:val="274" w:hRule="exact"/>
        </w:trPr>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置业有限</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集团子公</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及服务</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区南部园区天府大道</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格</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用</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保底加</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现销售收入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费用采取</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7</w:t>
            </w:r>
          </w:p>
        </w:tc>
        <w:tc>
          <w:tcPr>
            <w:tcBorders>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网 </w:t>
            </w:r>
            <w:r>
              <w:rPr>
                <w:rFonts w:ascii="Times New Roman" w:eastAsia="Times New Roman" w:hAnsi="Times New Roman" w:cs="Times New Roman"/>
                <w:color w:val="000000"/>
                <w:spacing w:val="0"/>
                <w:w w:val="100"/>
                <w:position w:val="0"/>
                <w:sz w:val="20"/>
                <w:szCs w:val="20"/>
              </w:rPr>
              <w:t>2011-</w:t>
            </w:r>
          </w:p>
        </w:tc>
      </w:tr>
      <w:tr>
        <w:trPr>
          <w:trHeight w:val="269" w:hRule="exact"/>
        </w:trPr>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公司苏宁</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北段</w:t>
            </w:r>
            <w:r>
              <w:rPr>
                <w:rFonts w:ascii="Times New Roman" w:eastAsia="Times New Roman" w:hAnsi="Times New Roman" w:cs="Times New Roman"/>
                <w:color w:val="000000"/>
                <w:spacing w:val="0"/>
                <w:w w:val="100"/>
                <w:position w:val="0"/>
                <w:sz w:val="20"/>
                <w:szCs w:val="20"/>
              </w:rPr>
              <w:t>8</w:t>
            </w:r>
            <w:r>
              <w:rPr>
                <w:color w:val="000000"/>
                <w:spacing w:val="0"/>
                <w:w w:val="100"/>
                <w:position w:val="0"/>
                <w:sz w:val="20"/>
                <w:szCs w:val="20"/>
              </w:rPr>
              <w:t>号物业一到四</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提成</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方</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(含税)的</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先付后租</w:t>
            </w:r>
            <w:r>
              <w:rPr>
                <w:color w:val="000000"/>
                <w:spacing w:val="0"/>
                <w:w w:val="100"/>
                <w:position w:val="0"/>
                <w:sz w:val="20"/>
                <w:szCs w:val="20"/>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日</w:t>
            </w:r>
          </w:p>
        </w:tc>
        <w:tc>
          <w:tcPr>
            <w:tcBorders>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003</w:t>
            </w:r>
            <w:r>
              <w:rPr>
                <w:color w:val="000000"/>
                <w:spacing w:val="0"/>
                <w:w w:val="100"/>
                <w:position w:val="0"/>
                <w:sz w:val="20"/>
                <w:szCs w:val="20"/>
              </w:rPr>
              <w:t>《关</w:t>
            </w:r>
          </w:p>
        </w:tc>
      </w:tr>
      <w:tr>
        <w:trPr>
          <w:trHeight w:val="274" w:hRule="exact"/>
        </w:trPr>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广场购物</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层用于开设旗舰店，</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式，每年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3.2%</w:t>
            </w:r>
            <w:r>
              <w:rPr>
                <w:color w:val="000000"/>
                <w:spacing w:val="0"/>
                <w:w w:val="100"/>
                <w:position w:val="0"/>
                <w:sz w:val="20"/>
                <w:szCs w:val="20"/>
              </w:rPr>
              <w:t>计算租</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的方式按</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于物业租</w:t>
            </w:r>
          </w:p>
        </w:tc>
      </w:tr>
      <w:tr>
        <w:trPr>
          <w:trHeight w:val="274" w:hRule="exact"/>
        </w:trPr>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分公司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租赁面积共约</w:t>
            </w:r>
            <w:r>
              <w:rPr>
                <w:rFonts w:ascii="Times New Roman" w:eastAsia="Times New Roman" w:hAnsi="Times New Roman" w:cs="Times New Roman"/>
                <w:color w:val="000000"/>
                <w:spacing w:val="0"/>
                <w:w w:val="100"/>
                <w:position w:val="0"/>
                <w:sz w:val="20"/>
                <w:szCs w:val="20"/>
              </w:rPr>
              <w:t>10,973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度按含税</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金费用，但</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季提前支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赁的关联</w:t>
            </w:r>
          </w:p>
        </w:tc>
      </w:tr>
      <w:tr>
        <w:trPr>
          <w:trHeight w:val="26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平方米，租赁期限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销售总额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每平米租金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付；提成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交易公</w:t>
            </w:r>
          </w:p>
        </w:tc>
      </w:tr>
      <w:tr>
        <w:trPr>
          <w:trHeight w:val="27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2011/1/11-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的</w:t>
            </w:r>
            <w:r>
              <w:rPr>
                <w:rFonts w:ascii="Times New Roman" w:eastAsia="Times New Roman" w:hAnsi="Times New Roman" w:cs="Times New Roman"/>
                <w:color w:val="000000"/>
                <w:spacing w:val="0"/>
                <w:w w:val="100"/>
                <w:position w:val="0"/>
                <w:sz w:val="20"/>
                <w:szCs w:val="20"/>
              </w:rPr>
              <w:t>3.2%</w:t>
            </w:r>
            <w:r>
              <w:rPr>
                <w:color w:val="000000"/>
                <w:spacing w:val="0"/>
                <w:w w:val="100"/>
                <w:position w:val="0"/>
                <w:sz w:val="20"/>
                <w:szCs w:val="20"/>
              </w:rPr>
              <w:t>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单价不低于</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租赁费用</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告》</w:t>
            </w:r>
          </w:p>
        </w:tc>
      </w:tr>
      <w:tr>
        <w:trPr>
          <w:trHeight w:val="26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2031/1/10</w:t>
            </w:r>
            <w:r>
              <w:rPr>
                <w:color w:val="000000"/>
                <w:spacing w:val="0"/>
                <w:w w:val="100"/>
                <w:position w:val="0"/>
                <w:sz w:val="20"/>
                <w:szCs w:val="20"/>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付租赁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70</w:t>
            </w:r>
            <w:r>
              <w:rPr>
                <w:color w:val="000000"/>
                <w:spacing w:val="0"/>
                <w:w w:val="100"/>
                <w:position w:val="0"/>
                <w:sz w:val="20"/>
                <w:szCs w:val="20"/>
              </w:rPr>
              <w:t>元</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月；物</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采取先租</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2014</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月，公司退</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费，但租</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业服务费</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后付方式</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租部分经营区域，退</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金单价不</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16.5</w:t>
            </w:r>
            <w:r>
              <w:rPr>
                <w:color w:val="000000"/>
                <w:spacing w:val="0"/>
                <w:w w:val="100"/>
                <w:position w:val="0"/>
                <w:sz w:val="20"/>
                <w:szCs w:val="20"/>
              </w:rPr>
              <w:t>元</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平米</w:t>
            </w:r>
            <w:r>
              <w:rPr>
                <w:rFonts w:ascii="Times New Roman" w:eastAsia="Times New Roman" w:hAnsi="Times New Roman" w:cs="Times New Roman"/>
                <w:color w:val="000000"/>
                <w:spacing w:val="0"/>
                <w:w w:val="100"/>
                <w:position w:val="0"/>
                <w:sz w:val="20"/>
                <w:szCs w:val="20"/>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每年度结</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6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租后租赁面积为</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低于</w:t>
            </w:r>
            <w:r>
              <w:rPr>
                <w:rFonts w:ascii="Times New Roman" w:eastAsia="Times New Roman" w:hAnsi="Times New Roman" w:cs="Times New Roman"/>
                <w:color w:val="000000"/>
                <w:spacing w:val="0"/>
                <w:w w:val="100"/>
                <w:position w:val="0"/>
                <w:sz w:val="20"/>
                <w:szCs w:val="20"/>
              </w:rPr>
              <w:t>70</w:t>
            </w:r>
            <w:r>
              <w:rPr>
                <w:color w:val="000000"/>
                <w:spacing w:val="0"/>
                <w:w w:val="100"/>
                <w:position w:val="0"/>
                <w:sz w:val="20"/>
                <w:szCs w:val="20"/>
              </w:rPr>
              <w:t>元</w:t>
            </w:r>
            <w:r>
              <w:rPr>
                <w:rFonts w:ascii="Times New Roman" w:eastAsia="Times New Roman" w:hAnsi="Times New Roman" w:cs="Times New Roman"/>
                <w:color w:val="000000"/>
                <w:spacing w:val="0"/>
                <w:w w:val="100"/>
                <w:position w:val="0"/>
                <w:sz w:val="20"/>
                <w:szCs w:val="20"/>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月</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束后结算</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6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9,342</w:t>
            </w:r>
            <w:r>
              <w:rPr>
                <w:color w:val="000000"/>
                <w:spacing w:val="0"/>
                <w:w w:val="100"/>
                <w:position w:val="0"/>
                <w:sz w:val="20"/>
                <w:szCs w:val="20"/>
              </w:rPr>
              <w:t>平方米。</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平米，</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6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2015</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月，公司子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即年保底</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公司与成都鸿业置业</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租赁费</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6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有限公司苏宁广场购</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784.728 </w:t>
            </w:r>
            <w:r>
              <w:rPr>
                <w:color w:val="000000"/>
                <w:spacing w:val="0"/>
                <w:w w:val="100"/>
                <w:position w:val="0"/>
                <w:sz w:val="20"/>
                <w:szCs w:val="20"/>
              </w:rPr>
              <w:t>万</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物分公司签订服务合</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元；物业</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同，委托成都鸿业置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服务费</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业为店面提供物业服</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16.5</w:t>
            </w:r>
            <w:r>
              <w:rPr>
                <w:color w:val="000000"/>
                <w:spacing w:val="0"/>
                <w:w w:val="100"/>
                <w:position w:val="0"/>
                <w:sz w:val="20"/>
                <w:szCs w:val="20"/>
              </w:rPr>
              <w:t>元</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平</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78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务，服务期限</w:t>
            </w:r>
          </w:p>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2014/10/11 </w:t>
            </w:r>
            <w:r>
              <w:rPr>
                <w:color w:val="000000"/>
                <w:spacing w:val="0"/>
                <w:w w:val="100"/>
                <w:position w:val="0"/>
                <w:sz w:val="20"/>
                <w:szCs w:val="20"/>
              </w:rPr>
              <w:t>至</w:t>
            </w:r>
          </w:p>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2021/1/10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米</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月</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南京玄武</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苏宁置业</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物业出租</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出租位于南京市徐庄</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市场价</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第一年至</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2,044.91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11.84%</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32,240.14</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34"/>
                <w:szCs w:val="34"/>
              </w:rPr>
            </w:pPr>
            <w:r>
              <w:rPr>
                <w:color w:val="000000"/>
                <w:spacing w:val="0"/>
                <w:w w:val="100"/>
                <w:position w:val="0"/>
                <w:sz w:val="34"/>
                <w:szCs w:val="34"/>
                <w:vertAlign w:val="subscript"/>
              </w:rPr>
              <w:t>否</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按季度支</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2011 </w:t>
            </w:r>
            <w:r>
              <w:rPr>
                <w:color w:val="000000"/>
                <w:spacing w:val="0"/>
                <w:w w:val="100"/>
                <w:position w:val="0"/>
                <w:sz w:val="20"/>
                <w:szCs w:val="20"/>
              </w:rPr>
              <w:t>年</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巨潮资讯</w:t>
            </w:r>
          </w:p>
        </w:tc>
      </w:tr>
      <w:tr>
        <w:trPr>
          <w:trHeight w:val="274" w:hRule="exact"/>
        </w:trPr>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苏宁置业</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集团子公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软件园内苏宁电器总</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格</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第五年</w:t>
            </w:r>
            <w:r>
              <w:rPr>
                <w:rFonts w:ascii="Times New Roman" w:eastAsia="Times New Roman" w:hAnsi="Times New Roman" w:cs="Times New Roman"/>
                <w:color w:val="000000"/>
                <w:spacing w:val="0"/>
                <w:w w:val="100"/>
                <w:position w:val="0"/>
                <w:sz w:val="20"/>
                <w:szCs w:val="20"/>
              </w:rPr>
              <w:t>1.2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付</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16</w:t>
            </w:r>
          </w:p>
        </w:tc>
        <w:tc>
          <w:tcPr>
            <w:tcBorders>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网 </w:t>
            </w:r>
            <w:r>
              <w:rPr>
                <w:rFonts w:ascii="Times New Roman" w:eastAsia="Times New Roman" w:hAnsi="Times New Roman" w:cs="Times New Roman"/>
                <w:color w:val="000000"/>
                <w:spacing w:val="0"/>
                <w:w w:val="100"/>
                <w:position w:val="0"/>
                <w:sz w:val="20"/>
                <w:szCs w:val="20"/>
              </w:rPr>
              <w:t>2011-</w:t>
            </w:r>
          </w:p>
        </w:tc>
      </w:tr>
      <w:tr>
        <w:trPr>
          <w:trHeight w:val="269" w:hRule="exact"/>
        </w:trPr>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有限公司</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部</w:t>
            </w:r>
            <w:r>
              <w:rPr>
                <w:rFonts w:ascii="Times New Roman" w:eastAsia="Times New Roman" w:hAnsi="Times New Roman" w:cs="Times New Roman"/>
                <w:color w:val="000000"/>
                <w:spacing w:val="0"/>
                <w:w w:val="100"/>
                <w:position w:val="0"/>
                <w:sz w:val="20"/>
                <w:szCs w:val="20"/>
              </w:rPr>
              <w:t>7</w:t>
            </w:r>
            <w:r>
              <w:rPr>
                <w:color w:val="000000"/>
                <w:spacing w:val="0"/>
                <w:w w:val="100"/>
                <w:position w:val="0"/>
                <w:sz w:val="20"/>
                <w:szCs w:val="20"/>
              </w:rPr>
              <w:t>号、</w:t>
            </w:r>
            <w:r>
              <w:rPr>
                <w:rFonts w:ascii="Times New Roman" w:eastAsia="Times New Roman" w:hAnsi="Times New Roman" w:cs="Times New Roman"/>
                <w:color w:val="000000"/>
                <w:spacing w:val="0"/>
                <w:w w:val="100"/>
                <w:position w:val="0"/>
                <w:sz w:val="20"/>
                <w:szCs w:val="20"/>
              </w:rPr>
              <w:t>8</w:t>
            </w:r>
            <w:r>
              <w:rPr>
                <w:color w:val="000000"/>
                <w:spacing w:val="0"/>
                <w:w w:val="100"/>
                <w:position w:val="0"/>
                <w:sz w:val="20"/>
                <w:szCs w:val="20"/>
              </w:rPr>
              <w:t>号楼</w:t>
            </w:r>
            <w:r>
              <w:rPr>
                <w:rFonts w:ascii="Times New Roman" w:eastAsia="Times New Roman" w:hAnsi="Times New Roman" w:cs="Times New Roman"/>
                <w:color w:val="000000"/>
                <w:spacing w:val="0"/>
                <w:w w:val="100"/>
                <w:position w:val="0"/>
                <w:sz w:val="20"/>
                <w:szCs w:val="20"/>
              </w:rPr>
              <w:t>1-7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元</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平方米</w:t>
            </w:r>
            <w:r>
              <w:rPr>
                <w:rFonts w:ascii="Times New Roman" w:eastAsia="Times New Roman" w:hAnsi="Times New Roman" w:cs="Times New Roman"/>
                <w:color w:val="000000"/>
                <w:spacing w:val="0"/>
                <w:w w:val="100"/>
                <w:position w:val="0"/>
                <w:sz w:val="20"/>
                <w:szCs w:val="20"/>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日</w:t>
            </w:r>
          </w:p>
        </w:tc>
        <w:tc>
          <w:tcPr>
            <w:tcBorders>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010</w:t>
            </w:r>
            <w:r>
              <w:rPr>
                <w:color w:val="000000"/>
                <w:spacing w:val="0"/>
                <w:w w:val="100"/>
                <w:position w:val="0"/>
                <w:sz w:val="20"/>
                <w:szCs w:val="20"/>
              </w:rPr>
              <w:t>《关</w:t>
            </w:r>
          </w:p>
        </w:tc>
      </w:tr>
      <w:tr>
        <w:trPr>
          <w:trHeight w:val="274" w:hRule="exact"/>
        </w:trPr>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玄武苏宁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层、地下夹层及负一</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日，自第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于向关联</w:t>
            </w:r>
          </w:p>
        </w:tc>
      </w:tr>
      <w:tr>
        <w:trPr>
          <w:trHeight w:val="274" w:hRule="exact"/>
        </w:trPr>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银河诺富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层部分物业用于其开</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六年起每</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方出租物</w:t>
            </w:r>
          </w:p>
        </w:tc>
      </w:tr>
      <w:tr>
        <w:trPr>
          <w:trHeight w:val="269" w:hRule="exact"/>
        </w:trPr>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特酒店</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展酒店经营业务。出</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两年在上</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业的关联</w:t>
            </w:r>
          </w:p>
        </w:tc>
      </w:tr>
      <w:tr>
        <w:trPr>
          <w:trHeight w:val="288" w:hRule="exact"/>
        </w:trPr>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租物业面积约为</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一年的基</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交易公</w:t>
            </w:r>
          </w:p>
        </w:tc>
      </w:tr>
    </w:tbl>
    <w:p>
      <w:pPr>
        <w:spacing w:lineRule="exact" w:line="1"/>
        <w:rPr>
          <w:sz w:val="2"/>
          <w:szCs w:val="2"/>
        </w:rPr>
      </w:pPr>
      <w:r>
        <w:br w:type="page"/>
      </w:r>
    </w:p>
    <w:tbl>
      <w:tblPr>
        <w:tblOverlap w:val="never"/>
        <w:jc w:val="center"/>
        <w:tblLayout w:type="fixed"/>
      </w:tblPr>
      <w:tblGrid>
        <w:gridCol w:w="946"/>
        <w:gridCol w:w="941"/>
        <w:gridCol w:w="941"/>
        <w:gridCol w:w="2026"/>
        <w:gridCol w:w="854"/>
        <w:gridCol w:w="1056"/>
        <w:gridCol w:w="926"/>
        <w:gridCol w:w="850"/>
        <w:gridCol w:w="1310"/>
        <w:gridCol w:w="581"/>
        <w:gridCol w:w="1099"/>
        <w:gridCol w:w="787"/>
        <w:gridCol w:w="763"/>
        <w:gridCol w:w="946"/>
      </w:tblGrid>
      <w:tr>
        <w:trPr>
          <w:trHeight w:val="1114" w:hRule="exact"/>
        </w:trPr>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关联交易 方</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关联关系</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88" w:lineRule="exact"/>
              <w:ind w:left="0" w:right="0" w:firstLine="0"/>
              <w:jc w:val="center"/>
              <w:rPr>
                <w:sz w:val="20"/>
                <w:szCs w:val="20"/>
              </w:rPr>
            </w:pPr>
            <w:r>
              <w:rPr>
                <w:color w:val="000000"/>
                <w:spacing w:val="0"/>
                <w:w w:val="100"/>
                <w:position w:val="0"/>
                <w:sz w:val="20"/>
                <w:szCs w:val="20"/>
              </w:rPr>
              <w:t>关联交易 类型</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关联交易内容</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76" w:lineRule="exact"/>
              <w:ind w:left="0" w:right="0" w:firstLine="0"/>
              <w:jc w:val="center"/>
              <w:rPr>
                <w:sz w:val="20"/>
                <w:szCs w:val="20"/>
              </w:rPr>
            </w:pPr>
            <w:r>
              <w:rPr>
                <w:color w:val="000000"/>
                <w:spacing w:val="0"/>
                <w:w w:val="100"/>
                <w:position w:val="0"/>
                <w:sz w:val="20"/>
                <w:szCs w:val="20"/>
              </w:rPr>
              <w:t>关联交 易定价 原则</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关联交易 价格</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关联交易 支付金额</w:t>
            </w:r>
          </w:p>
        </w:tc>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72" w:lineRule="exact"/>
              <w:ind w:left="0" w:right="0" w:firstLine="0"/>
              <w:jc w:val="center"/>
              <w:rPr>
                <w:sz w:val="20"/>
                <w:szCs w:val="20"/>
              </w:rPr>
            </w:pPr>
            <w:r>
              <w:rPr>
                <w:color w:val="000000"/>
                <w:spacing w:val="0"/>
                <w:w w:val="100"/>
                <w:position w:val="0"/>
                <w:sz w:val="20"/>
                <w:szCs w:val="20"/>
              </w:rPr>
              <w:t>占同类 交易金 额的比 例</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54" w:lineRule="exact"/>
              <w:ind w:left="0" w:right="0" w:firstLine="0"/>
              <w:jc w:val="center"/>
              <w:rPr>
                <w:sz w:val="20"/>
                <w:szCs w:val="20"/>
              </w:rPr>
            </w:pPr>
            <w:r>
              <w:rPr>
                <w:color w:val="000000"/>
                <w:spacing w:val="0"/>
                <w:w w:val="100"/>
                <w:position w:val="0"/>
                <w:sz w:val="20"/>
                <w:szCs w:val="20"/>
              </w:rPr>
              <w:t>获批的交易 额度</w:t>
            </w:r>
          </w:p>
        </w:tc>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66" w:lineRule="exact"/>
              <w:ind w:left="0" w:right="0" w:firstLine="0"/>
              <w:jc w:val="left"/>
              <w:rPr>
                <w:sz w:val="20"/>
                <w:szCs w:val="20"/>
              </w:rPr>
            </w:pPr>
            <w:r>
              <w:rPr>
                <w:color w:val="000000"/>
                <w:spacing w:val="0"/>
                <w:w w:val="100"/>
                <w:position w:val="0"/>
                <w:sz w:val="20"/>
                <w:szCs w:val="20"/>
              </w:rPr>
              <w:t>是否 超过 获批 额度</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88" w:lineRule="exact"/>
              <w:ind w:left="0" w:right="0" w:firstLine="0"/>
              <w:jc w:val="left"/>
              <w:rPr>
                <w:sz w:val="20"/>
                <w:szCs w:val="20"/>
              </w:rPr>
            </w:pPr>
            <w:r>
              <w:rPr>
                <w:color w:val="000000"/>
                <w:spacing w:val="0"/>
                <w:w w:val="100"/>
                <w:position w:val="0"/>
                <w:sz w:val="20"/>
                <w:szCs w:val="20"/>
              </w:rPr>
              <w:t>关联交易 结算方式</w:t>
            </w:r>
          </w:p>
        </w:tc>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72" w:lineRule="exact"/>
              <w:ind w:left="0" w:right="0" w:firstLine="0"/>
              <w:jc w:val="center"/>
              <w:rPr>
                <w:sz w:val="20"/>
                <w:szCs w:val="20"/>
              </w:rPr>
            </w:pPr>
            <w:r>
              <w:rPr>
                <w:color w:val="000000"/>
                <w:spacing w:val="0"/>
                <w:w w:val="100"/>
                <w:position w:val="0"/>
                <w:sz w:val="20"/>
                <w:szCs w:val="20"/>
              </w:rPr>
              <w:t>可获得 的同类 交易市 价</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披露日 期</w:t>
            </w:r>
          </w:p>
        </w:tc>
        <w:tc>
          <w:tcPr>
            <w:tcBorders>
              <w:top w:val="single" w:sz="4"/>
              <w:left w:val="single" w:sz="4"/>
              <w:righ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披露索引</w:t>
            </w:r>
          </w:p>
        </w:tc>
      </w:tr>
      <w:tr>
        <w:trPr>
          <w:trHeight w:val="79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64" w:lineRule="exact"/>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45,000</w:t>
            </w:r>
            <w:r>
              <w:rPr>
                <w:color w:val="000000"/>
                <w:spacing w:val="0"/>
                <w:w w:val="100"/>
                <w:position w:val="0"/>
                <w:sz w:val="20"/>
                <w:szCs w:val="20"/>
              </w:rPr>
              <w:t xml:space="preserve">平米，租赁期 限 </w:t>
            </w:r>
            <w:r>
              <w:rPr>
                <w:rFonts w:ascii="Times New Roman" w:eastAsia="Times New Roman" w:hAnsi="Times New Roman" w:cs="Times New Roman"/>
                <w:color w:val="000000"/>
                <w:spacing w:val="0"/>
                <w:w w:val="100"/>
                <w:position w:val="0"/>
                <w:sz w:val="20"/>
                <w:szCs w:val="20"/>
              </w:rPr>
              <w:t>2011/3/20</w:t>
              <w:softHyphen/>
              <w:t>2026/3/19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础上递增</w:t>
            </w:r>
          </w:p>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告》</w:t>
            </w:r>
          </w:p>
        </w:tc>
      </w:tr>
      <w:tr>
        <w:trPr>
          <w:trHeight w:val="488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青岛苏宁 置业有限 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83" w:lineRule="exact"/>
              <w:ind w:left="0" w:right="0" w:firstLine="0"/>
              <w:jc w:val="left"/>
              <w:rPr>
                <w:sz w:val="20"/>
                <w:szCs w:val="20"/>
              </w:rPr>
            </w:pPr>
            <w:r>
              <w:rPr>
                <w:color w:val="000000"/>
                <w:spacing w:val="0"/>
                <w:w w:val="100"/>
                <w:position w:val="0"/>
                <w:sz w:val="20"/>
                <w:szCs w:val="20"/>
              </w:rPr>
              <w:t>苏宁置业 集团子公 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物业租赁</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68" w:lineRule="exact"/>
              <w:ind w:left="0" w:right="0" w:firstLine="0"/>
              <w:jc w:val="left"/>
              <w:rPr>
                <w:sz w:val="20"/>
                <w:szCs w:val="20"/>
              </w:rPr>
            </w:pPr>
            <w:r>
              <w:rPr>
                <w:color w:val="000000"/>
                <w:spacing w:val="0"/>
                <w:w w:val="100"/>
                <w:position w:val="0"/>
                <w:sz w:val="20"/>
                <w:szCs w:val="20"/>
              </w:rPr>
              <w:t>租赁位于青岛市李沧 区京口路</w:t>
            </w:r>
            <w:r>
              <w:rPr>
                <w:rFonts w:ascii="Times New Roman" w:eastAsia="Times New Roman" w:hAnsi="Times New Roman" w:cs="Times New Roman"/>
                <w:color w:val="000000"/>
                <w:spacing w:val="0"/>
                <w:w w:val="100"/>
                <w:position w:val="0"/>
                <w:sz w:val="20"/>
                <w:szCs w:val="20"/>
              </w:rPr>
              <w:t>22-42</w:t>
            </w:r>
            <w:r>
              <w:rPr>
                <w:color w:val="000000"/>
                <w:spacing w:val="0"/>
                <w:w w:val="100"/>
                <w:position w:val="0"/>
                <w:sz w:val="20"/>
                <w:szCs w:val="20"/>
              </w:rPr>
              <w:t>号、 古镇路</w:t>
            </w:r>
            <w:r>
              <w:rPr>
                <w:rFonts w:ascii="Times New Roman" w:eastAsia="Times New Roman" w:hAnsi="Times New Roman" w:cs="Times New Roman"/>
                <w:color w:val="000000"/>
                <w:spacing w:val="0"/>
                <w:w w:val="100"/>
                <w:position w:val="0"/>
                <w:sz w:val="20"/>
                <w:szCs w:val="20"/>
              </w:rPr>
              <w:t>1-29</w:t>
            </w:r>
            <w:r>
              <w:rPr>
                <w:color w:val="000000"/>
                <w:spacing w:val="0"/>
                <w:w w:val="100"/>
                <w:position w:val="0"/>
                <w:sz w:val="20"/>
                <w:szCs w:val="20"/>
              </w:rPr>
              <w:t>号、书院 路</w:t>
            </w:r>
            <w:r>
              <w:rPr>
                <w:rFonts w:ascii="Times New Roman" w:eastAsia="Times New Roman" w:hAnsi="Times New Roman" w:cs="Times New Roman"/>
                <w:color w:val="000000"/>
                <w:spacing w:val="0"/>
                <w:w w:val="100"/>
                <w:position w:val="0"/>
                <w:sz w:val="20"/>
                <w:szCs w:val="20"/>
              </w:rPr>
              <w:t>1-11</w:t>
            </w:r>
            <w:r>
              <w:rPr>
                <w:color w:val="000000"/>
                <w:spacing w:val="0"/>
                <w:w w:val="100"/>
                <w:position w:val="0"/>
                <w:sz w:val="20"/>
                <w:szCs w:val="20"/>
              </w:rPr>
              <w:t>号的物业一至 三层用于开设</w:t>
            </w:r>
            <w:r>
              <w:rPr>
                <w:rFonts w:ascii="Times New Roman" w:eastAsia="Times New Roman" w:hAnsi="Times New Roman" w:cs="Times New Roman"/>
                <w:color w:val="000000"/>
                <w:spacing w:val="0"/>
                <w:w w:val="100"/>
                <w:position w:val="0"/>
                <w:sz w:val="20"/>
                <w:szCs w:val="20"/>
              </w:rPr>
              <w:t xml:space="preserve">EXPO </w:t>
            </w:r>
            <w:r>
              <w:rPr>
                <w:color w:val="000000"/>
                <w:spacing w:val="0"/>
                <w:w w:val="100"/>
                <w:position w:val="0"/>
                <w:sz w:val="20"/>
                <w:szCs w:val="20"/>
              </w:rPr>
              <w:t xml:space="preserve">超级旗舰店，租赁物 业建筑面积合计约 </w:t>
            </w:r>
            <w:r>
              <w:rPr>
                <w:rFonts w:ascii="Times New Roman" w:eastAsia="Times New Roman" w:hAnsi="Times New Roman" w:cs="Times New Roman"/>
                <w:color w:val="000000"/>
                <w:spacing w:val="0"/>
                <w:w w:val="100"/>
                <w:position w:val="0"/>
                <w:sz w:val="20"/>
                <w:szCs w:val="20"/>
              </w:rPr>
              <w:t>14,120</w:t>
            </w:r>
            <w:r>
              <w:rPr>
                <w:color w:val="000000"/>
                <w:spacing w:val="0"/>
                <w:w w:val="100"/>
                <w:position w:val="0"/>
                <w:sz w:val="20"/>
                <w:szCs w:val="20"/>
              </w:rPr>
              <w:t xml:space="preserve">平米，租赁期 </w:t>
            </w:r>
            <w:r>
              <w:rPr>
                <w:rFonts w:ascii="Times New Roman" w:eastAsia="Times New Roman" w:hAnsi="Times New Roman" w:cs="Times New Roman"/>
                <w:color w:val="000000"/>
                <w:spacing w:val="0"/>
                <w:w w:val="100"/>
                <w:position w:val="0"/>
                <w:sz w:val="20"/>
                <w:szCs w:val="20"/>
              </w:rPr>
              <w:t>2011/4/19-2021/4/18</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市场价</w:t>
            </w:r>
          </w:p>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格</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租赁费用 米用</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保底 加提成</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 xml:space="preserve">方 式计算， 按含税销 售总额的 </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计算的 金额作为 租赁费 用，但每 平米单价 不低于</w:t>
            </w:r>
            <w:r>
              <w:rPr>
                <w:rFonts w:ascii="Times New Roman" w:eastAsia="Times New Roman" w:hAnsi="Times New Roman" w:cs="Times New Roman"/>
                <w:color w:val="000000"/>
                <w:spacing w:val="0"/>
                <w:w w:val="100"/>
                <w:position w:val="0"/>
                <w:sz w:val="20"/>
                <w:szCs w:val="20"/>
              </w:rPr>
              <w:t xml:space="preserve">2.5 </w:t>
            </w:r>
            <w:r>
              <w:rPr>
                <w:color w:val="000000"/>
                <w:spacing w:val="0"/>
                <w:w w:val="100"/>
                <w:position w:val="0"/>
                <w:sz w:val="20"/>
                <w:szCs w:val="20"/>
              </w:rPr>
              <w:t>元</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 xml:space="preserve">天，即 年保底租 赁费用为 </w:t>
            </w:r>
            <w:r>
              <w:rPr>
                <w:rFonts w:ascii="Times New Roman" w:eastAsia="Times New Roman" w:hAnsi="Times New Roman" w:cs="Times New Roman"/>
                <w:color w:val="000000"/>
                <w:spacing w:val="0"/>
                <w:w w:val="100"/>
                <w:position w:val="0"/>
                <w:sz w:val="20"/>
                <w:szCs w:val="20"/>
              </w:rPr>
              <w:t xml:space="preserve">1,288.45 </w:t>
            </w:r>
            <w:r>
              <w:rPr>
                <w:color w:val="000000"/>
                <w:spacing w:val="0"/>
                <w:w w:val="100"/>
                <w:position w:val="0"/>
                <w:sz w:val="20"/>
                <w:szCs w:val="20"/>
              </w:rPr>
              <w:t>万 元</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1,575.65</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9.13%</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0" w:lineRule="exact"/>
              <w:ind w:left="0" w:right="0" w:firstLine="0"/>
              <w:jc w:val="left"/>
              <w:rPr>
                <w:sz w:val="20"/>
                <w:szCs w:val="20"/>
              </w:rPr>
            </w:pPr>
            <w:r>
              <w:rPr>
                <w:color w:val="000000"/>
                <w:spacing w:val="0"/>
                <w:w w:val="100"/>
                <w:position w:val="0"/>
                <w:sz w:val="20"/>
                <w:szCs w:val="20"/>
              </w:rPr>
              <w:t>按该店年实 现销售收入</w:t>
            </w:r>
          </w:p>
          <w:p>
            <w:pPr>
              <w:pStyle w:val="Style28"/>
              <w:keepNext w:val="0"/>
              <w:keepLines w:val="0"/>
              <w:widowControl w:val="0"/>
              <w:shd w:val="clear" w:color="auto" w:fill="auto"/>
              <w:bidi w:val="0"/>
              <w:spacing w:before="0" w:after="0" w:line="270" w:lineRule="exact"/>
              <w:ind w:left="0" w:right="0" w:firstLine="0"/>
              <w:jc w:val="left"/>
              <w:rPr>
                <w:sz w:val="20"/>
                <w:szCs w:val="20"/>
              </w:rPr>
            </w:pPr>
            <w:r>
              <w:rPr>
                <w:color w:val="000000"/>
                <w:spacing w:val="0"/>
                <w:w w:val="100"/>
                <w:position w:val="0"/>
                <w:sz w:val="20"/>
                <w:szCs w:val="20"/>
              </w:rPr>
              <w:t xml:space="preserve">（含税）的 </w:t>
            </w:r>
            <w:r>
              <w:rPr>
                <w:rFonts w:ascii="Times New Roman" w:eastAsia="Times New Roman" w:hAnsi="Times New Roman" w:cs="Times New Roman"/>
                <w:color w:val="000000"/>
                <w:spacing w:val="0"/>
                <w:w w:val="100"/>
                <w:position w:val="0"/>
                <w:sz w:val="20"/>
                <w:szCs w:val="20"/>
              </w:rPr>
              <w:t>3.0%</w:t>
            </w:r>
            <w:r>
              <w:rPr>
                <w:color w:val="000000"/>
                <w:spacing w:val="0"/>
                <w:w w:val="100"/>
                <w:position w:val="0"/>
                <w:sz w:val="20"/>
                <w:szCs w:val="20"/>
              </w:rPr>
              <w:t xml:space="preserve">计算租 金费用，但 每平米租金 单价不低于 </w:t>
            </w:r>
            <w:r>
              <w:rPr>
                <w:rFonts w:ascii="Times New Roman" w:eastAsia="Times New Roman" w:hAnsi="Times New Roman" w:cs="Times New Roman"/>
                <w:color w:val="000000"/>
                <w:spacing w:val="0"/>
                <w:w w:val="100"/>
                <w:position w:val="0"/>
                <w:sz w:val="20"/>
                <w:szCs w:val="20"/>
              </w:rPr>
              <w:t>2.5</w:t>
            </w:r>
            <w:r>
              <w:rPr>
                <w:color w:val="000000"/>
                <w:spacing w:val="0"/>
                <w:w w:val="100"/>
                <w:position w:val="0"/>
                <w:sz w:val="20"/>
                <w:szCs w:val="20"/>
              </w:rPr>
              <w:t>元</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天</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34"/>
                <w:szCs w:val="34"/>
              </w:rPr>
            </w:pPr>
            <w:r>
              <w:rPr>
                <w:color w:val="000000"/>
                <w:spacing w:val="0"/>
                <w:w w:val="100"/>
                <w:position w:val="0"/>
                <w:sz w:val="34"/>
                <w:szCs w:val="34"/>
                <w:vertAlign w:val="subscript"/>
              </w:rPr>
              <w:t>否</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保底租赁 费用采取 先付后租 的方式按 季提前支 付；提成 租赁费用 采取先租 后付方式 每年度结 束后结算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2011 </w:t>
            </w:r>
            <w:r>
              <w:rPr>
                <w:color w:val="000000"/>
                <w:spacing w:val="0"/>
                <w:w w:val="100"/>
                <w:position w:val="0"/>
                <w:sz w:val="20"/>
                <w:szCs w:val="20"/>
              </w:rPr>
              <w:t>年</w:t>
            </w:r>
          </w:p>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19</w:t>
            </w:r>
          </w:p>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日</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70" w:lineRule="exact"/>
              <w:ind w:left="0" w:right="0" w:firstLine="0"/>
              <w:jc w:val="left"/>
              <w:rPr>
                <w:sz w:val="20"/>
                <w:szCs w:val="20"/>
              </w:rPr>
            </w:pPr>
            <w:r>
              <w:rPr>
                <w:color w:val="000000"/>
                <w:spacing w:val="0"/>
                <w:w w:val="100"/>
                <w:position w:val="0"/>
                <w:sz w:val="20"/>
                <w:szCs w:val="20"/>
              </w:rPr>
              <w:t xml:space="preserve">巨潮资讯 网 </w:t>
            </w:r>
            <w:r>
              <w:rPr>
                <w:rFonts w:ascii="Times New Roman" w:eastAsia="Times New Roman" w:hAnsi="Times New Roman" w:cs="Times New Roman"/>
                <w:color w:val="000000"/>
                <w:spacing w:val="0"/>
                <w:w w:val="100"/>
                <w:position w:val="0"/>
                <w:sz w:val="20"/>
                <w:szCs w:val="20"/>
              </w:rPr>
              <w:t xml:space="preserve">2011- </w:t>
            </w:r>
            <w:r>
              <w:rPr>
                <w:rFonts w:ascii="Times New Roman" w:eastAsia="Times New Roman" w:hAnsi="Times New Roman" w:cs="Times New Roman"/>
                <w:color w:val="000000"/>
                <w:spacing w:val="0"/>
                <w:w w:val="100"/>
                <w:position w:val="0"/>
                <w:sz w:val="20"/>
                <w:szCs w:val="20"/>
              </w:rPr>
              <w:t>020</w:t>
            </w:r>
            <w:r>
              <w:rPr>
                <w:color w:val="000000"/>
                <w:spacing w:val="0"/>
                <w:w w:val="100"/>
                <w:position w:val="0"/>
                <w:sz w:val="20"/>
                <w:szCs w:val="20"/>
              </w:rPr>
              <w:t>《关 于物业租 赁的关联 交易公 告》</w:t>
            </w:r>
          </w:p>
        </w:tc>
      </w:tr>
      <w:tr>
        <w:trPr>
          <w:trHeight w:val="2736"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76" w:lineRule="exact"/>
              <w:ind w:left="0" w:right="0" w:firstLine="0"/>
              <w:jc w:val="both"/>
              <w:rPr>
                <w:sz w:val="20"/>
                <w:szCs w:val="20"/>
              </w:rPr>
            </w:pPr>
            <w:r>
              <w:rPr>
                <w:color w:val="000000"/>
                <w:spacing w:val="0"/>
                <w:w w:val="100"/>
                <w:position w:val="0"/>
                <w:sz w:val="20"/>
                <w:szCs w:val="20"/>
              </w:rPr>
              <w:t>苏宁电器 集团有限 公司</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81" w:lineRule="exact"/>
              <w:ind w:left="0" w:right="0" w:firstLine="0"/>
              <w:jc w:val="left"/>
              <w:rPr>
                <w:sz w:val="20"/>
                <w:szCs w:val="20"/>
              </w:rPr>
            </w:pPr>
            <w:r>
              <w:rPr>
                <w:color w:val="000000"/>
                <w:spacing w:val="0"/>
                <w:w w:val="100"/>
                <w:position w:val="0"/>
                <w:sz w:val="20"/>
                <w:szCs w:val="20"/>
              </w:rPr>
              <w:t>持有公司</w:t>
            </w:r>
          </w:p>
          <w:p>
            <w:pPr>
              <w:pStyle w:val="Style28"/>
              <w:keepNext w:val="0"/>
              <w:keepLines w:val="0"/>
              <w:widowControl w:val="0"/>
              <w:shd w:val="clear" w:color="auto" w:fill="auto"/>
              <w:bidi w:val="0"/>
              <w:spacing w:before="0" w:after="0" w:line="281" w:lineRule="exact"/>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以上 股份的股 东</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物业租赁</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72" w:lineRule="exact"/>
              <w:ind w:left="0" w:right="0" w:firstLine="0"/>
              <w:jc w:val="left"/>
              <w:rPr>
                <w:sz w:val="20"/>
                <w:szCs w:val="20"/>
              </w:rPr>
            </w:pPr>
            <w:r>
              <w:rPr>
                <w:color w:val="000000"/>
                <w:spacing w:val="0"/>
                <w:w w:val="100"/>
                <w:position w:val="0"/>
                <w:sz w:val="20"/>
                <w:szCs w:val="20"/>
              </w:rPr>
              <w:t>租赁位于南京市山西 路一号银河大厦裙楼 部分</w:t>
            </w:r>
            <w:r>
              <w:rPr>
                <w:rFonts w:ascii="Times New Roman" w:eastAsia="Times New Roman" w:hAnsi="Times New Roman" w:cs="Times New Roman"/>
                <w:color w:val="000000"/>
                <w:spacing w:val="0"/>
                <w:w w:val="100"/>
                <w:position w:val="0"/>
                <w:sz w:val="20"/>
                <w:szCs w:val="20"/>
              </w:rPr>
              <w:t>1-5</w:t>
            </w:r>
            <w:r>
              <w:rPr>
                <w:color w:val="000000"/>
                <w:spacing w:val="0"/>
                <w:w w:val="100"/>
                <w:position w:val="0"/>
                <w:sz w:val="20"/>
                <w:szCs w:val="20"/>
              </w:rPr>
              <w:t>层用于乐购 仕生活广场的经营业 务，租赁物业面积共 计</w:t>
            </w:r>
            <w:r>
              <w:rPr>
                <w:rFonts w:ascii="Times New Roman" w:eastAsia="Times New Roman" w:hAnsi="Times New Roman" w:cs="Times New Roman"/>
                <w:color w:val="000000"/>
                <w:spacing w:val="0"/>
                <w:w w:val="100"/>
                <w:position w:val="0"/>
                <w:sz w:val="20"/>
                <w:szCs w:val="20"/>
              </w:rPr>
              <w:t>19,291</w:t>
            </w:r>
            <w:r>
              <w:rPr>
                <w:color w:val="000000"/>
                <w:spacing w:val="0"/>
                <w:w w:val="100"/>
                <w:position w:val="0"/>
                <w:sz w:val="20"/>
                <w:szCs w:val="20"/>
              </w:rPr>
              <w:t xml:space="preserve">平米，租赁 期自 </w:t>
            </w:r>
            <w:r>
              <w:rPr>
                <w:rFonts w:ascii="Times New Roman" w:eastAsia="Times New Roman" w:hAnsi="Times New Roman" w:cs="Times New Roman"/>
                <w:color w:val="000000"/>
                <w:spacing w:val="0"/>
                <w:w w:val="100"/>
                <w:position w:val="0"/>
                <w:sz w:val="20"/>
                <w:szCs w:val="20"/>
              </w:rPr>
              <w:t xml:space="preserve">2011/11/1- </w:t>
            </w:r>
            <w:r>
              <w:rPr>
                <w:rFonts w:ascii="Times New Roman" w:eastAsia="Times New Roman" w:hAnsi="Times New Roman" w:cs="Times New Roman"/>
                <w:color w:val="000000"/>
                <w:spacing w:val="0"/>
                <w:w w:val="100"/>
                <w:position w:val="0"/>
                <w:sz w:val="20"/>
                <w:szCs w:val="20"/>
              </w:rPr>
              <w:t>2021/12/31</w:t>
            </w:r>
            <w:r>
              <w:rPr>
                <w:color w:val="000000"/>
                <w:spacing w:val="0"/>
                <w:w w:val="100"/>
                <w:position w:val="0"/>
                <w:sz w:val="20"/>
                <w:szCs w:val="20"/>
              </w:rPr>
              <w:t>。</w:t>
            </w:r>
          </w:p>
          <w:p>
            <w:pPr>
              <w:pStyle w:val="Style28"/>
              <w:keepNext w:val="0"/>
              <w:keepLines w:val="0"/>
              <w:widowControl w:val="0"/>
              <w:shd w:val="clear" w:color="auto" w:fill="auto"/>
              <w:bidi w:val="0"/>
              <w:spacing w:before="0" w:after="0" w:line="272" w:lineRule="exact"/>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月，公司 子公司与关联方苏宁</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市场价</w:t>
            </w:r>
          </w:p>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格</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70" w:lineRule="exact"/>
              <w:ind w:left="0" w:right="0" w:firstLine="0"/>
              <w:jc w:val="both"/>
              <w:rPr>
                <w:sz w:val="20"/>
                <w:szCs w:val="20"/>
              </w:rPr>
            </w:pPr>
            <w:r>
              <w:rPr>
                <w:color w:val="000000"/>
                <w:spacing w:val="0"/>
                <w:w w:val="100"/>
                <w:position w:val="0"/>
                <w:sz w:val="20"/>
                <w:szCs w:val="20"/>
              </w:rPr>
              <w:t>首年（自</w:t>
            </w:r>
          </w:p>
          <w:p>
            <w:pPr>
              <w:pStyle w:val="Style28"/>
              <w:keepNext w:val="0"/>
              <w:keepLines w:val="0"/>
              <w:widowControl w:val="0"/>
              <w:shd w:val="clear" w:color="auto" w:fill="auto"/>
              <w:bidi w:val="0"/>
              <w:spacing w:before="0" w:after="0" w:line="270"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2014</w:t>
            </w:r>
            <w:r>
              <w:rPr>
                <w:color w:val="000000"/>
                <w:spacing w:val="0"/>
                <w:w w:val="100"/>
                <w:position w:val="0"/>
                <w:sz w:val="20"/>
                <w:szCs w:val="20"/>
              </w:rPr>
              <w:t>年度 起）租赁 费用为</w:t>
            </w:r>
          </w:p>
          <w:p>
            <w:pPr>
              <w:pStyle w:val="Style28"/>
              <w:keepNext w:val="0"/>
              <w:keepLines w:val="0"/>
              <w:widowControl w:val="0"/>
              <w:shd w:val="clear" w:color="auto" w:fill="auto"/>
              <w:bidi w:val="0"/>
              <w:spacing w:before="0" w:after="0" w:line="270"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1347 </w:t>
            </w:r>
            <w:r>
              <w:rPr>
                <w:color w:val="000000"/>
                <w:spacing w:val="0"/>
                <w:w w:val="100"/>
                <w:position w:val="0"/>
                <w:sz w:val="20"/>
                <w:szCs w:val="20"/>
              </w:rPr>
              <w:t>万 元，第</w:t>
            </w:r>
            <w:r>
              <w:rPr>
                <w:rFonts w:ascii="Times New Roman" w:eastAsia="Times New Roman" w:hAnsi="Times New Roman" w:cs="Times New Roman"/>
                <w:color w:val="000000"/>
                <w:spacing w:val="0"/>
                <w:w w:val="100"/>
                <w:position w:val="0"/>
                <w:sz w:val="20"/>
                <w:szCs w:val="20"/>
              </w:rPr>
              <w:t xml:space="preserve">3 </w:t>
            </w:r>
            <w:r>
              <w:rPr>
                <w:color w:val="000000"/>
                <w:spacing w:val="0"/>
                <w:w w:val="100"/>
                <w:position w:val="0"/>
                <w:sz w:val="20"/>
                <w:szCs w:val="20"/>
              </w:rPr>
              <w:t xml:space="preserve">年起，每 两年递增 </w:t>
            </w:r>
            <w:r>
              <w:rPr>
                <w:rFonts w:ascii="Times New Roman" w:eastAsia="Times New Roman" w:hAnsi="Times New Roman" w:cs="Times New Roman"/>
                <w:color w:val="000000"/>
                <w:spacing w:val="0"/>
                <w:w w:val="100"/>
                <w:position w:val="0"/>
                <w:sz w:val="20"/>
                <w:szCs w:val="20"/>
              </w:rPr>
              <w:t>3%</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693.50</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4.02%</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26,162</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34"/>
                <w:szCs w:val="34"/>
              </w:rPr>
            </w:pPr>
            <w:r>
              <w:rPr>
                <w:color w:val="000000"/>
                <w:spacing w:val="0"/>
                <w:w w:val="100"/>
                <w:position w:val="0"/>
                <w:sz w:val="34"/>
                <w:szCs w:val="34"/>
                <w:vertAlign w:val="subscript"/>
              </w:rPr>
              <w:t>否</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按季度提 前支付</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2011 </w:t>
            </w:r>
            <w:r>
              <w:rPr>
                <w:color w:val="000000"/>
                <w:spacing w:val="0"/>
                <w:w w:val="100"/>
                <w:position w:val="0"/>
                <w:sz w:val="20"/>
                <w:szCs w:val="20"/>
              </w:rPr>
              <w:t>年</w:t>
            </w:r>
          </w:p>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月</w:t>
            </w:r>
          </w:p>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日</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72" w:lineRule="exact"/>
              <w:ind w:left="0" w:right="0" w:firstLine="0"/>
              <w:jc w:val="left"/>
              <w:rPr>
                <w:sz w:val="20"/>
                <w:szCs w:val="20"/>
              </w:rPr>
            </w:pPr>
            <w:r>
              <w:rPr>
                <w:color w:val="000000"/>
                <w:spacing w:val="0"/>
                <w:w w:val="100"/>
                <w:position w:val="0"/>
                <w:sz w:val="20"/>
                <w:szCs w:val="20"/>
              </w:rPr>
              <w:t xml:space="preserve">巨潮资讯 网 </w:t>
            </w:r>
            <w:r>
              <w:rPr>
                <w:rFonts w:ascii="Times New Roman" w:eastAsia="Times New Roman" w:hAnsi="Times New Roman" w:cs="Times New Roman"/>
                <w:color w:val="000000"/>
                <w:spacing w:val="0"/>
                <w:w w:val="100"/>
                <w:position w:val="0"/>
                <w:sz w:val="20"/>
                <w:szCs w:val="20"/>
              </w:rPr>
              <w:t>2011- 044</w:t>
            </w:r>
            <w:r>
              <w:rPr>
                <w:color w:val="000000"/>
                <w:spacing w:val="0"/>
                <w:w w:val="100"/>
                <w:position w:val="0"/>
                <w:sz w:val="20"/>
                <w:szCs w:val="20"/>
              </w:rPr>
              <w:t>《关 于向关联 方租赁物 业的关联 交易公 告》</w:t>
            </w:r>
          </w:p>
        </w:tc>
      </w:tr>
    </w:tbl>
    <w:p>
      <w:pPr>
        <w:sectPr>
          <w:headerReference w:type="default" r:id="rId39"/>
          <w:footerReference w:type="default" r:id="rId40"/>
          <w:headerReference w:type="even" r:id="rId41"/>
          <w:footerReference w:type="even" r:id="rId42"/>
          <w:footnotePr>
            <w:pos w:val="pageBottom"/>
            <w:numFmt w:val="decimal"/>
            <w:numRestart w:val="continuous"/>
          </w:footnotePr>
          <w:pgSz w:w="16840" w:h="11900" w:orient="landscape"/>
          <w:pgMar w:top="1137" w:right="1407" w:bottom="1235" w:left="1407" w:header="0" w:footer="3" w:gutter="0"/>
          <w:cols w:space="720"/>
          <w:noEndnote/>
          <w:rtlGutter w:val="0"/>
          <w:docGrid w:linePitch="360"/>
        </w:sectPr>
      </w:pPr>
    </w:p>
    <w:tbl>
      <w:tblPr>
        <w:tblOverlap w:val="never"/>
        <w:jc w:val="center"/>
        <w:tblLayout w:type="fixed"/>
      </w:tblPr>
      <w:tblGrid>
        <w:gridCol w:w="946"/>
        <w:gridCol w:w="941"/>
        <w:gridCol w:w="941"/>
        <w:gridCol w:w="2026"/>
        <w:gridCol w:w="854"/>
        <w:gridCol w:w="1056"/>
      </w:tblGrid>
      <w:tr>
        <w:trPr>
          <w:trHeight w:val="1114" w:hRule="exact"/>
        </w:trPr>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关联交易 方</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关联关系</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关联交易 类型</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关联交易内容</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66" w:lineRule="exact"/>
              <w:ind w:left="0" w:right="0" w:firstLine="0"/>
              <w:jc w:val="center"/>
              <w:rPr>
                <w:sz w:val="20"/>
                <w:szCs w:val="20"/>
              </w:rPr>
            </w:pPr>
            <w:r>
              <w:rPr>
                <w:color w:val="000000"/>
                <w:spacing w:val="0"/>
                <w:w w:val="100"/>
                <w:position w:val="0"/>
                <w:sz w:val="20"/>
                <w:szCs w:val="20"/>
              </w:rPr>
              <w:t>关联交 易定价 原则</w:t>
            </w:r>
          </w:p>
        </w:tc>
        <w:tc>
          <w:tcPr>
            <w:tcBorders>
              <w:top w:val="single" w:sz="4"/>
              <w:left w:val="single" w:sz="4"/>
              <w:right w:val="single" w:sz="4"/>
            </w:tcBorders>
            <w:shd w:val="clear" w:color="auto" w:fill="D3D3D3"/>
            <w:vAlign w:val="top"/>
          </w:tcPr>
          <w:p>
            <w:pPr>
              <w:pStyle w:val="Style28"/>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关联交易 价格</w:t>
            </w:r>
          </w:p>
        </w:tc>
      </w:tr>
      <w:tr>
        <w:trPr>
          <w:trHeight w:val="409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3" w:lineRule="exact"/>
              <w:ind w:left="0" w:right="0" w:firstLine="0"/>
              <w:jc w:val="both"/>
              <w:rPr>
                <w:sz w:val="20"/>
                <w:szCs w:val="20"/>
              </w:rPr>
            </w:pPr>
            <w:r>
              <w:rPr>
                <w:color w:val="000000"/>
                <w:spacing w:val="0"/>
                <w:w w:val="100"/>
                <w:position w:val="0"/>
                <w:sz w:val="20"/>
                <w:szCs w:val="20"/>
              </w:rPr>
              <w:t>电器集团签订补充协 议，自</w:t>
            </w:r>
            <w:r>
              <w:rPr>
                <w:rFonts w:ascii="Times New Roman" w:eastAsia="Times New Roman" w:hAnsi="Times New Roman" w:cs="Times New Roman"/>
                <w:color w:val="000000"/>
                <w:spacing w:val="0"/>
                <w:w w:val="100"/>
                <w:position w:val="0"/>
                <w:sz w:val="20"/>
                <w:szCs w:val="20"/>
              </w:rPr>
              <w:t>2014</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 xml:space="preserve">1 </w:t>
            </w:r>
            <w:r>
              <w:rPr>
                <w:color w:val="000000"/>
                <w:spacing w:val="0"/>
                <w:w w:val="100"/>
                <w:position w:val="0"/>
                <w:sz w:val="20"/>
                <w:szCs w:val="20"/>
              </w:rPr>
              <w:t>日起退租</w:t>
            </w:r>
            <w:r>
              <w:rPr>
                <w:rFonts w:ascii="Times New Roman" w:eastAsia="Times New Roman" w:hAnsi="Times New Roman" w:cs="Times New Roman"/>
                <w:color w:val="000000"/>
                <w:spacing w:val="0"/>
                <w:w w:val="100"/>
                <w:position w:val="0"/>
                <w:sz w:val="20"/>
                <w:szCs w:val="20"/>
              </w:rPr>
              <w:t>1-5</w:t>
            </w:r>
            <w:r>
              <w:rPr>
                <w:color w:val="000000"/>
                <w:spacing w:val="0"/>
                <w:w w:val="100"/>
                <w:position w:val="0"/>
                <w:sz w:val="20"/>
                <w:szCs w:val="20"/>
              </w:rPr>
              <w:t xml:space="preserve">层部分 租赁区域，退租后的 租赁物建筑面积共计 </w:t>
            </w:r>
            <w:r>
              <w:rPr>
                <w:rFonts w:ascii="Times New Roman" w:eastAsia="Times New Roman" w:hAnsi="Times New Roman" w:cs="Times New Roman"/>
                <w:color w:val="000000"/>
                <w:spacing w:val="0"/>
                <w:w w:val="100"/>
                <w:position w:val="0"/>
                <w:sz w:val="20"/>
                <w:szCs w:val="20"/>
              </w:rPr>
              <w:t>13182</w:t>
            </w:r>
            <w:r>
              <w:rPr>
                <w:color w:val="000000"/>
                <w:spacing w:val="0"/>
                <w:w w:val="100"/>
                <w:position w:val="0"/>
                <w:sz w:val="20"/>
                <w:szCs w:val="20"/>
              </w:rPr>
              <w:t>平方米，租赁 期限自</w:t>
            </w:r>
            <w:r>
              <w:rPr>
                <w:rFonts w:ascii="Times New Roman" w:eastAsia="Times New Roman" w:hAnsi="Times New Roman" w:cs="Times New Roman"/>
                <w:color w:val="000000"/>
                <w:spacing w:val="0"/>
                <w:w w:val="100"/>
                <w:position w:val="0"/>
                <w:sz w:val="20"/>
                <w:szCs w:val="20"/>
              </w:rPr>
              <w:t xml:space="preserve">2014/1/1- </w:t>
            </w:r>
            <w:r>
              <w:rPr>
                <w:rFonts w:ascii="Times New Roman" w:eastAsia="Times New Roman" w:hAnsi="Times New Roman" w:cs="Times New Roman"/>
                <w:color w:val="000000"/>
                <w:spacing w:val="0"/>
                <w:w w:val="100"/>
                <w:position w:val="0"/>
                <w:sz w:val="20"/>
                <w:szCs w:val="20"/>
              </w:rPr>
              <w:t>2021/12/31„</w:t>
            </w:r>
          </w:p>
          <w:p>
            <w:pPr>
              <w:pStyle w:val="Style28"/>
              <w:keepNext w:val="0"/>
              <w:keepLines w:val="0"/>
              <w:widowControl w:val="0"/>
              <w:shd w:val="clear" w:color="auto" w:fill="auto"/>
              <w:bidi w:val="0"/>
              <w:spacing w:before="0" w:after="0" w:line="273"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 xml:space="preserve">月，公司子 公司与苏宁电器集团 签订退租协议，自 </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日止 公司停止租赁物业， 双方友好协商解除租 赁关系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94"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苏宁置业 集团有限 公司</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71" w:lineRule="exact"/>
              <w:ind w:left="0" w:right="0" w:firstLine="0"/>
              <w:jc w:val="both"/>
              <w:rPr>
                <w:sz w:val="20"/>
                <w:szCs w:val="20"/>
              </w:rPr>
            </w:pPr>
            <w:r>
              <w:rPr>
                <w:color w:val="000000"/>
                <w:spacing w:val="0"/>
                <w:w w:val="100"/>
                <w:position w:val="0"/>
                <w:sz w:val="20"/>
                <w:szCs w:val="20"/>
              </w:rPr>
              <w:t>公司实际 控制人控 股子公司</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物业租赁</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租赁位于南京市淮海 路</w:t>
            </w:r>
            <w:r>
              <w:rPr>
                <w:rFonts w:ascii="Times New Roman" w:eastAsia="Times New Roman" w:hAnsi="Times New Roman" w:cs="Times New Roman"/>
                <w:color w:val="000000"/>
                <w:spacing w:val="0"/>
                <w:w w:val="100"/>
                <w:position w:val="0"/>
                <w:sz w:val="20"/>
                <w:szCs w:val="20"/>
              </w:rPr>
              <w:t>68</w:t>
            </w:r>
            <w:r>
              <w:rPr>
                <w:color w:val="000000"/>
                <w:spacing w:val="0"/>
                <w:w w:val="100"/>
                <w:position w:val="0"/>
                <w:sz w:val="20"/>
                <w:szCs w:val="20"/>
              </w:rPr>
              <w:t>号苏宁广场</w:t>
            </w:r>
            <w:r>
              <w:rPr>
                <w:rFonts w:ascii="Times New Roman" w:eastAsia="Times New Roman" w:hAnsi="Times New Roman" w:cs="Times New Roman"/>
                <w:color w:val="000000"/>
                <w:spacing w:val="0"/>
                <w:w w:val="100"/>
                <w:position w:val="0"/>
                <w:sz w:val="20"/>
                <w:szCs w:val="20"/>
              </w:rPr>
              <w:t xml:space="preserve">1-6 </w:t>
            </w:r>
            <w:r>
              <w:rPr>
                <w:color w:val="000000"/>
                <w:spacing w:val="0"/>
                <w:w w:val="100"/>
                <w:position w:val="0"/>
                <w:sz w:val="20"/>
                <w:szCs w:val="20"/>
              </w:rPr>
              <w:t xml:space="preserve">层部分物业，用于新 街口 </w:t>
            </w:r>
            <w:r>
              <w:rPr>
                <w:rFonts w:ascii="Times New Roman" w:eastAsia="Times New Roman" w:hAnsi="Times New Roman" w:cs="Times New Roman"/>
                <w:color w:val="000000"/>
                <w:spacing w:val="0"/>
                <w:w w:val="100"/>
                <w:position w:val="0"/>
                <w:sz w:val="20"/>
                <w:szCs w:val="20"/>
              </w:rPr>
              <w:t>EXPO</w:t>
            </w:r>
            <w:r>
              <w:rPr>
                <w:color w:val="000000"/>
                <w:spacing w:val="0"/>
                <w:w w:val="100"/>
                <w:position w:val="0"/>
                <w:sz w:val="20"/>
                <w:szCs w:val="20"/>
              </w:rPr>
              <w:t xml:space="preserve">超级旗舰 店的经营管理，租赁 物业建筑面积合计为 </w:t>
            </w:r>
            <w:r>
              <w:rPr>
                <w:rFonts w:ascii="Times New Roman" w:eastAsia="Times New Roman" w:hAnsi="Times New Roman" w:cs="Times New Roman"/>
                <w:color w:val="000000"/>
                <w:spacing w:val="0"/>
                <w:w w:val="100"/>
                <w:position w:val="0"/>
                <w:sz w:val="20"/>
                <w:szCs w:val="20"/>
              </w:rPr>
              <w:t>18,611</w:t>
            </w:r>
            <w:r>
              <w:rPr>
                <w:color w:val="000000"/>
                <w:spacing w:val="0"/>
                <w:w w:val="100"/>
                <w:position w:val="0"/>
                <w:sz w:val="20"/>
                <w:szCs w:val="20"/>
              </w:rPr>
              <w:t xml:space="preserve">平方米，租赁 期限 </w:t>
            </w:r>
            <w:r>
              <w:rPr>
                <w:rFonts w:ascii="Times New Roman" w:eastAsia="Times New Roman" w:hAnsi="Times New Roman" w:cs="Times New Roman"/>
                <w:color w:val="000000"/>
                <w:spacing w:val="0"/>
                <w:w w:val="100"/>
                <w:position w:val="0"/>
                <w:sz w:val="20"/>
                <w:szCs w:val="20"/>
              </w:rPr>
              <w:t xml:space="preserve">2012/12/28- </w:t>
            </w:r>
            <w:r>
              <w:rPr>
                <w:rFonts w:ascii="Times New Roman" w:eastAsia="Times New Roman" w:hAnsi="Times New Roman" w:cs="Times New Roman"/>
                <w:color w:val="000000"/>
                <w:spacing w:val="0"/>
                <w:w w:val="100"/>
                <w:position w:val="0"/>
                <w:sz w:val="20"/>
                <w:szCs w:val="20"/>
              </w:rPr>
              <w:t>2022/12/27 „</w:t>
            </w:r>
          </w:p>
          <w:p>
            <w:pPr>
              <w:pStyle w:val="Style28"/>
              <w:keepNext w:val="0"/>
              <w:keepLines w:val="0"/>
              <w:widowControl w:val="0"/>
              <w:shd w:val="clear" w:color="auto" w:fill="auto"/>
              <w:bidi w:val="0"/>
              <w:spacing w:before="0" w:after="0" w:line="272"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2015</w:t>
            </w:r>
            <w:r>
              <w:rPr>
                <w:color w:val="000000"/>
                <w:spacing w:val="0"/>
                <w:w w:val="100"/>
                <w:position w:val="0"/>
                <w:sz w:val="20"/>
                <w:szCs w:val="20"/>
              </w:rPr>
              <w:t>年新街口云店扩 租租赁面积</w:t>
            </w:r>
            <w:r>
              <w:rPr>
                <w:rFonts w:ascii="Times New Roman" w:eastAsia="Times New Roman" w:hAnsi="Times New Roman" w:cs="Times New Roman"/>
                <w:color w:val="000000"/>
                <w:spacing w:val="0"/>
                <w:w w:val="100"/>
                <w:position w:val="0"/>
                <w:sz w:val="20"/>
                <w:szCs w:val="20"/>
              </w:rPr>
              <w:t xml:space="preserve">5546.27 </w:t>
            </w:r>
            <w:r>
              <w:rPr>
                <w:color w:val="000000"/>
                <w:spacing w:val="0"/>
                <w:w w:val="100"/>
                <w:position w:val="0"/>
                <w:sz w:val="20"/>
                <w:szCs w:val="20"/>
              </w:rPr>
              <w:t xml:space="preserve">平方米（其中租赁苏 宁置业集团面积为 </w:t>
            </w:r>
            <w:r>
              <w:rPr>
                <w:rFonts w:ascii="Times New Roman" w:eastAsia="Times New Roman" w:hAnsi="Times New Roman" w:cs="Times New Roman"/>
                <w:color w:val="000000"/>
                <w:spacing w:val="0"/>
                <w:w w:val="100"/>
                <w:position w:val="0"/>
                <w:sz w:val="20"/>
                <w:szCs w:val="20"/>
              </w:rPr>
              <w:t>5023.01</w:t>
            </w:r>
            <w:r>
              <w:rPr>
                <w:color w:val="000000"/>
                <w:spacing w:val="0"/>
                <w:w w:val="100"/>
                <w:position w:val="0"/>
                <w:sz w:val="20"/>
                <w:szCs w:val="20"/>
              </w:rPr>
              <w:t>平方米，租 赁苏宁电器集团面积</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市场价 格</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68" w:lineRule="exact"/>
              <w:ind w:left="0" w:right="0" w:firstLine="0"/>
              <w:jc w:val="left"/>
              <w:rPr>
                <w:sz w:val="20"/>
                <w:szCs w:val="20"/>
              </w:rPr>
            </w:pPr>
            <w:r>
              <w:rPr>
                <w:color w:val="000000"/>
                <w:spacing w:val="0"/>
                <w:w w:val="100"/>
                <w:position w:val="0"/>
                <w:sz w:val="20"/>
                <w:szCs w:val="20"/>
              </w:rPr>
              <w:t>首个租赁 年度</w:t>
            </w:r>
            <w:r>
              <w:rPr>
                <w:rFonts w:ascii="Times New Roman" w:eastAsia="Times New Roman" w:hAnsi="Times New Roman" w:cs="Times New Roman"/>
                <w:color w:val="000000"/>
                <w:spacing w:val="0"/>
                <w:w w:val="100"/>
                <w:position w:val="0"/>
                <w:sz w:val="20"/>
                <w:szCs w:val="20"/>
              </w:rPr>
              <w:t>5.5</w:t>
            </w:r>
            <w:r>
              <w:rPr>
                <w:color w:val="000000"/>
                <w:spacing w:val="0"/>
                <w:w w:val="100"/>
                <w:position w:val="0"/>
                <w:sz w:val="20"/>
                <w:szCs w:val="20"/>
              </w:rPr>
              <w:t xml:space="preserve">元 /平方米/ 日，自第 三年起每 两个租赁 年度在上 一年的基 础上递增 </w:t>
            </w:r>
            <w:r>
              <w:rPr>
                <w:rFonts w:ascii="Times New Roman" w:eastAsia="Times New Roman" w:hAnsi="Times New Roman" w:cs="Times New Roman"/>
                <w:color w:val="000000"/>
                <w:spacing w:val="0"/>
                <w:w w:val="100"/>
                <w:position w:val="0"/>
                <w:sz w:val="20"/>
                <w:szCs w:val="20"/>
              </w:rPr>
              <w:t>3%</w:t>
            </w:r>
          </w:p>
        </w:tc>
      </w:tr>
    </w:tbl>
    <w:p>
      <w:pPr>
        <w:sectPr>
          <w:headerReference w:type="default" r:id="rId43"/>
          <w:footerReference w:type="default" r:id="rId44"/>
          <w:headerReference w:type="even" r:id="rId45"/>
          <w:footerReference w:type="even" r:id="rId46"/>
          <w:footnotePr>
            <w:pos w:val="pageBottom"/>
            <w:numFmt w:val="decimal"/>
            <w:numRestart w:val="continuous"/>
          </w:footnotePr>
          <w:pgSz w:w="8400" w:h="11900"/>
          <w:pgMar w:top="1126" w:right="116" w:bottom="1126" w:left="1522" w:header="698" w:footer="698" w:gutter="0"/>
          <w:pgNumType w:start="83"/>
          <w:cols w:space="720"/>
          <w:noEndnote/>
          <w:rtlGutter w:val="0"/>
          <w:docGrid w:linePitch="360"/>
        </w:sectPr>
      </w:pPr>
    </w:p>
    <w:tbl>
      <w:tblPr>
        <w:tblOverlap w:val="never"/>
        <w:jc w:val="center"/>
        <w:tblLayout w:type="fixed"/>
      </w:tblPr>
      <w:tblGrid>
        <w:gridCol w:w="926"/>
        <w:gridCol w:w="850"/>
        <w:gridCol w:w="1310"/>
        <w:gridCol w:w="581"/>
        <w:gridCol w:w="1099"/>
        <w:gridCol w:w="787"/>
        <w:gridCol w:w="763"/>
        <w:gridCol w:w="946"/>
      </w:tblGrid>
      <w:tr>
        <w:trPr>
          <w:trHeight w:val="1114" w:hRule="exact"/>
        </w:trPr>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59" w:lineRule="exact"/>
              <w:ind w:left="0" w:right="0" w:firstLine="0"/>
              <w:jc w:val="left"/>
              <w:rPr>
                <w:sz w:val="20"/>
                <w:szCs w:val="20"/>
              </w:rPr>
            </w:pPr>
            <w:r>
              <w:rPr>
                <w:color w:val="000000"/>
                <w:spacing w:val="0"/>
                <w:w w:val="100"/>
                <w:position w:val="0"/>
                <w:sz w:val="20"/>
                <w:szCs w:val="20"/>
              </w:rPr>
              <w:t>关联交易 支付金额</w:t>
            </w:r>
          </w:p>
        </w:tc>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72" w:lineRule="exact"/>
              <w:ind w:left="0" w:right="0" w:firstLine="0"/>
              <w:jc w:val="center"/>
              <w:rPr>
                <w:sz w:val="20"/>
                <w:szCs w:val="20"/>
              </w:rPr>
            </w:pPr>
            <w:r>
              <w:rPr>
                <w:color w:val="000000"/>
                <w:spacing w:val="0"/>
                <w:w w:val="100"/>
                <w:position w:val="0"/>
                <w:sz w:val="20"/>
                <w:szCs w:val="20"/>
              </w:rPr>
              <w:t>占同类 交易金 额的比 例</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获批的交易 额度</w:t>
            </w:r>
          </w:p>
        </w:tc>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是否 超过 获批 额度</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关联交易 结算方式</w:t>
            </w:r>
          </w:p>
        </w:tc>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72" w:lineRule="exact"/>
              <w:ind w:left="0" w:right="0" w:firstLine="0"/>
              <w:jc w:val="center"/>
              <w:rPr>
                <w:sz w:val="20"/>
                <w:szCs w:val="20"/>
              </w:rPr>
            </w:pPr>
            <w:r>
              <w:rPr>
                <w:color w:val="000000"/>
                <w:spacing w:val="0"/>
                <w:w w:val="100"/>
                <w:position w:val="0"/>
                <w:sz w:val="20"/>
                <w:szCs w:val="20"/>
              </w:rPr>
              <w:t>可获得 的同类 交易市 价</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64" w:lineRule="exact"/>
              <w:ind w:left="0" w:right="0" w:firstLine="0"/>
              <w:jc w:val="center"/>
              <w:rPr>
                <w:sz w:val="20"/>
                <w:szCs w:val="20"/>
              </w:rPr>
            </w:pPr>
            <w:r>
              <w:rPr>
                <w:color w:val="000000"/>
                <w:spacing w:val="0"/>
                <w:w w:val="100"/>
                <w:position w:val="0"/>
                <w:sz w:val="20"/>
                <w:szCs w:val="20"/>
              </w:rPr>
              <w:t>披露日 期</w:t>
            </w:r>
          </w:p>
        </w:tc>
        <w:tc>
          <w:tcPr>
            <w:tcBorders>
              <w:top w:val="single" w:sz="4"/>
              <w:left w:val="single" w:sz="4"/>
              <w:righ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披露索引</w:t>
            </w:r>
          </w:p>
        </w:tc>
      </w:tr>
      <w:tr>
        <w:trPr>
          <w:trHeight w:val="409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94"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5,483.26</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31.76%</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39,671.54</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按季度提</w:t>
            </w:r>
          </w:p>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前支付</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4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2012 </w:t>
            </w:r>
            <w:r>
              <w:rPr>
                <w:color w:val="000000"/>
                <w:spacing w:val="0"/>
                <w:w w:val="100"/>
                <w:position w:val="0"/>
                <w:sz w:val="20"/>
                <w:szCs w:val="20"/>
              </w:rPr>
              <w:t>年</w:t>
            </w:r>
          </w:p>
          <w:p>
            <w:pPr>
              <w:pStyle w:val="Style28"/>
              <w:keepNext w:val="0"/>
              <w:keepLines w:val="0"/>
              <w:widowControl w:val="0"/>
              <w:shd w:val="clear" w:color="auto" w:fill="auto"/>
              <w:bidi w:val="0"/>
              <w:spacing w:before="0" w:after="4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p>
          <w:p>
            <w:pPr>
              <w:pStyle w:val="Style28"/>
              <w:keepNext w:val="0"/>
              <w:keepLines w:val="0"/>
              <w:widowControl w:val="0"/>
              <w:shd w:val="clear" w:color="auto" w:fill="auto"/>
              <w:bidi w:val="0"/>
              <w:spacing w:before="0" w:after="4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28</w:t>
            </w:r>
            <w:r>
              <w:rPr>
                <w:color w:val="000000"/>
                <w:spacing w:val="0"/>
                <w:w w:val="100"/>
                <w:position w:val="0"/>
                <w:sz w:val="20"/>
                <w:szCs w:val="20"/>
              </w:rPr>
              <w:t>日</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73" w:lineRule="exact"/>
              <w:ind w:left="0" w:right="0" w:firstLine="0"/>
              <w:jc w:val="left"/>
              <w:rPr>
                <w:sz w:val="20"/>
                <w:szCs w:val="20"/>
              </w:rPr>
            </w:pPr>
            <w:r>
              <w:rPr>
                <w:color w:val="000000"/>
                <w:spacing w:val="0"/>
                <w:w w:val="100"/>
                <w:position w:val="0"/>
                <w:sz w:val="20"/>
                <w:szCs w:val="20"/>
              </w:rPr>
              <w:t xml:space="preserve">巨潮资讯 网 </w:t>
            </w:r>
            <w:r>
              <w:rPr>
                <w:rFonts w:ascii="Times New Roman" w:eastAsia="Times New Roman" w:hAnsi="Times New Roman" w:cs="Times New Roman"/>
                <w:color w:val="000000"/>
                <w:spacing w:val="0"/>
                <w:w w:val="100"/>
                <w:position w:val="0"/>
                <w:sz w:val="20"/>
                <w:szCs w:val="20"/>
              </w:rPr>
              <w:t xml:space="preserve">2012- </w:t>
            </w:r>
            <w:r>
              <w:rPr>
                <w:rFonts w:ascii="Times New Roman" w:eastAsia="Times New Roman" w:hAnsi="Times New Roman" w:cs="Times New Roman"/>
                <w:color w:val="000000"/>
                <w:spacing w:val="0"/>
                <w:w w:val="100"/>
                <w:position w:val="0"/>
                <w:sz w:val="20"/>
                <w:szCs w:val="20"/>
              </w:rPr>
              <w:t>057</w:t>
            </w:r>
            <w:r>
              <w:rPr>
                <w:color w:val="000000"/>
                <w:spacing w:val="0"/>
                <w:w w:val="100"/>
                <w:position w:val="0"/>
                <w:sz w:val="20"/>
                <w:szCs w:val="20"/>
              </w:rPr>
              <w:t>《关 于向关联 方租赁物 业的关联 交易公 告》</w:t>
            </w:r>
          </w:p>
        </w:tc>
      </w:tr>
    </w:tbl>
    <w:p>
      <w:pPr>
        <w:sectPr>
          <w:headerReference w:type="default" r:id="rId47"/>
          <w:footerReference w:type="default" r:id="rId48"/>
          <w:headerReference w:type="even" r:id="rId49"/>
          <w:footerReference w:type="even" r:id="rId50"/>
          <w:footnotePr>
            <w:pos w:val="pageBottom"/>
            <w:numFmt w:val="decimal"/>
            <w:numRestart w:val="continuous"/>
          </w:footnotePr>
          <w:pgSz w:w="8400" w:h="11900"/>
          <w:pgMar w:top="1126" w:right="1138" w:bottom="1169" w:left="0" w:header="0" w:footer="3" w:gutter="0"/>
          <w:pgNumType w:start="82"/>
          <w:cols w:space="720"/>
          <w:noEndnote/>
          <w:rtlGutter w:val="0"/>
          <w:docGrid w:linePitch="360"/>
        </w:sectPr>
      </w:pPr>
    </w:p>
    <w:tbl>
      <w:tblPr>
        <w:tblOverlap w:val="never"/>
        <w:jc w:val="center"/>
        <w:tblLayout w:type="fixed"/>
      </w:tblPr>
      <w:tblGrid>
        <w:gridCol w:w="946"/>
        <w:gridCol w:w="941"/>
        <w:gridCol w:w="941"/>
        <w:gridCol w:w="2026"/>
        <w:gridCol w:w="854"/>
        <w:gridCol w:w="1056"/>
      </w:tblGrid>
      <w:tr>
        <w:trPr>
          <w:trHeight w:val="1114" w:hRule="exact"/>
        </w:trPr>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关联交易 方</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关联关系</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关联交易 类型</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关联交易内容</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66" w:lineRule="exact"/>
              <w:ind w:left="0" w:right="0" w:firstLine="0"/>
              <w:jc w:val="center"/>
              <w:rPr>
                <w:sz w:val="20"/>
                <w:szCs w:val="20"/>
              </w:rPr>
            </w:pPr>
            <w:r>
              <w:rPr>
                <w:color w:val="000000"/>
                <w:spacing w:val="0"/>
                <w:w w:val="100"/>
                <w:position w:val="0"/>
                <w:sz w:val="20"/>
                <w:szCs w:val="20"/>
              </w:rPr>
              <w:t>关联交 易定价 原则</w:t>
            </w:r>
          </w:p>
        </w:tc>
        <w:tc>
          <w:tcPr>
            <w:tcBorders>
              <w:top w:val="single" w:sz="4"/>
              <w:left w:val="single" w:sz="4"/>
              <w:right w:val="single" w:sz="4"/>
            </w:tcBorders>
            <w:shd w:val="clear" w:color="auto" w:fill="D3D3D3"/>
            <w:vAlign w:val="top"/>
          </w:tcPr>
          <w:p>
            <w:pPr>
              <w:pStyle w:val="Style28"/>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关联交易 价格</w:t>
            </w:r>
          </w:p>
        </w:tc>
      </w:tr>
      <w:tr>
        <w:trPr>
          <w:trHeight w:val="38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5" w:lineRule="exact"/>
              <w:ind w:left="0" w:right="0" w:firstLine="0"/>
              <w:jc w:val="left"/>
              <w:rPr>
                <w:sz w:val="20"/>
                <w:szCs w:val="20"/>
              </w:rPr>
            </w:pPr>
            <w:r>
              <w:rPr>
                <w:color w:val="000000"/>
                <w:spacing w:val="0"/>
                <w:w w:val="100"/>
                <w:position w:val="0"/>
                <w:sz w:val="20"/>
                <w:szCs w:val="20"/>
              </w:rPr>
              <w:t>为</w:t>
            </w:r>
            <w:r>
              <w:rPr>
                <w:rFonts w:ascii="Times New Roman" w:eastAsia="Times New Roman" w:hAnsi="Times New Roman" w:cs="Times New Roman"/>
                <w:color w:val="000000"/>
                <w:spacing w:val="0"/>
                <w:w w:val="100"/>
                <w:position w:val="0"/>
                <w:sz w:val="20"/>
                <w:szCs w:val="20"/>
              </w:rPr>
              <w:t>523.26</w:t>
            </w:r>
            <w:r>
              <w:rPr>
                <w:color w:val="000000"/>
                <w:spacing w:val="0"/>
                <w:w w:val="100"/>
                <w:position w:val="0"/>
                <w:sz w:val="20"/>
                <w:szCs w:val="20"/>
              </w:rPr>
              <w:t>平方米）</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 xml:space="preserve"> </w:t>
            </w:r>
            <w:r>
              <w:rPr>
                <w:color w:val="000000"/>
                <w:spacing w:val="0"/>
                <w:w w:val="100"/>
                <w:position w:val="0"/>
                <w:sz w:val="20"/>
                <w:szCs w:val="20"/>
              </w:rPr>
              <w:t xml:space="preserve">扩租部分租赁期自 </w:t>
            </w:r>
            <w:r>
              <w:rPr>
                <w:rFonts w:ascii="Times New Roman" w:eastAsia="Times New Roman" w:hAnsi="Times New Roman" w:cs="Times New Roman"/>
                <w:color w:val="000000"/>
                <w:spacing w:val="0"/>
                <w:w w:val="100"/>
                <w:position w:val="0"/>
                <w:sz w:val="20"/>
                <w:szCs w:val="20"/>
              </w:rPr>
              <w:t>2014</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28</w:t>
            </w:r>
            <w:r>
              <w:rPr>
                <w:color w:val="000000"/>
                <w:spacing w:val="0"/>
                <w:w w:val="100"/>
                <w:position w:val="0"/>
                <w:sz w:val="20"/>
                <w:szCs w:val="20"/>
              </w:rPr>
              <w:t xml:space="preserve">日至 </w:t>
            </w:r>
            <w:r>
              <w:rPr>
                <w:rFonts w:ascii="Times New Roman" w:eastAsia="Times New Roman" w:hAnsi="Times New Roman" w:cs="Times New Roman"/>
                <w:color w:val="000000"/>
                <w:spacing w:val="0"/>
                <w:w w:val="100"/>
                <w:position w:val="0"/>
                <w:sz w:val="20"/>
                <w:szCs w:val="20"/>
              </w:rPr>
              <w:t xml:space="preserve">2022 </w:t>
            </w:r>
            <w:r>
              <w:rPr>
                <w:color w:val="000000"/>
                <w:spacing w:val="0"/>
                <w:w w:val="100"/>
                <w:position w:val="0"/>
                <w:sz w:val="20"/>
                <w:szCs w:val="20"/>
              </w:rPr>
              <w:t xml:space="preserve">年 </w:t>
            </w:r>
            <w:r>
              <w:rPr>
                <w:rFonts w:ascii="Times New Roman" w:eastAsia="Times New Roman" w:hAnsi="Times New Roman" w:cs="Times New Roman"/>
                <w:color w:val="000000"/>
                <w:spacing w:val="0"/>
                <w:w w:val="100"/>
                <w:position w:val="0"/>
                <w:sz w:val="20"/>
                <w:szCs w:val="20"/>
              </w:rPr>
              <w:t xml:space="preserve">12 </w:t>
            </w:r>
            <w:r>
              <w:rPr>
                <w:color w:val="000000"/>
                <w:spacing w:val="0"/>
                <w:w w:val="100"/>
                <w:position w:val="0"/>
                <w:sz w:val="20"/>
                <w:szCs w:val="20"/>
              </w:rPr>
              <w:t xml:space="preserve">月 </w:t>
            </w:r>
            <w:r>
              <w:rPr>
                <w:rFonts w:ascii="Times New Roman" w:eastAsia="Times New Roman" w:hAnsi="Times New Roman" w:cs="Times New Roman"/>
                <w:color w:val="000000"/>
                <w:spacing w:val="0"/>
                <w:w w:val="100"/>
                <w:position w:val="0"/>
                <w:sz w:val="20"/>
                <w:szCs w:val="20"/>
              </w:rPr>
              <w:t xml:space="preserve">27 0, </w:t>
            </w:r>
            <w:r>
              <w:rPr>
                <w:color w:val="000000"/>
                <w:spacing w:val="0"/>
                <w:w w:val="100"/>
                <w:position w:val="0"/>
                <w:sz w:val="20"/>
                <w:szCs w:val="20"/>
              </w:rPr>
              <w:t>租赁价格按照原合同 相同标准执行，扩租 租金总额为</w:t>
            </w:r>
            <w:r>
              <w:rPr>
                <w:rFonts w:ascii="Times New Roman" w:eastAsia="Times New Roman" w:hAnsi="Times New Roman" w:cs="Times New Roman"/>
                <w:color w:val="000000"/>
                <w:spacing w:val="0"/>
                <w:w w:val="100"/>
                <w:position w:val="0"/>
                <w:sz w:val="20"/>
                <w:szCs w:val="20"/>
              </w:rPr>
              <w:t xml:space="preserve">9,587.234 </w:t>
            </w:r>
            <w:r>
              <w:rPr>
                <w:color w:val="000000"/>
                <w:spacing w:val="0"/>
                <w:w w:val="100"/>
                <w:position w:val="0"/>
                <w:sz w:val="20"/>
                <w:szCs w:val="20"/>
              </w:rPr>
              <w:t>万元。</w:t>
            </w:r>
          </w:p>
          <w:p>
            <w:pPr>
              <w:pStyle w:val="Style28"/>
              <w:keepNext w:val="0"/>
              <w:keepLines w:val="0"/>
              <w:widowControl w:val="0"/>
              <w:shd w:val="clear" w:color="auto" w:fill="auto"/>
              <w:bidi w:val="0"/>
              <w:spacing w:before="0" w:after="0" w:line="276" w:lineRule="exact"/>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月，公司与 苏宁置业集团签订补 充协议，自</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 xml:space="preserve">4 </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日起公司租赁面 积调整至</w:t>
            </w:r>
            <w:r>
              <w:rPr>
                <w:rFonts w:ascii="Times New Roman" w:eastAsia="Times New Roman" w:hAnsi="Times New Roman" w:cs="Times New Roman"/>
                <w:color w:val="000000"/>
                <w:spacing w:val="0"/>
                <w:w w:val="100"/>
                <w:position w:val="0"/>
                <w:sz w:val="20"/>
                <w:szCs w:val="20"/>
              </w:rPr>
              <w:t>17405.09</w:t>
            </w:r>
            <w:r>
              <w:rPr>
                <w:color w:val="000000"/>
                <w:spacing w:val="0"/>
                <w:w w:val="100"/>
                <w:position w:val="0"/>
                <w:sz w:val="20"/>
                <w:szCs w:val="20"/>
              </w:rPr>
              <w:t>平 米</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1" w:lineRule="exact"/>
              <w:ind w:left="0" w:right="0" w:firstLine="0"/>
              <w:jc w:val="both"/>
              <w:rPr>
                <w:sz w:val="20"/>
                <w:szCs w:val="20"/>
              </w:rPr>
            </w:pPr>
            <w:r>
              <w:rPr>
                <w:color w:val="000000"/>
                <w:spacing w:val="0"/>
                <w:w w:val="100"/>
                <w:position w:val="0"/>
                <w:sz w:val="20"/>
                <w:szCs w:val="20"/>
              </w:rPr>
              <w:t>无锡苏宁 商业管理 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苏宁电器 集团子公 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6" w:lineRule="exact"/>
              <w:ind w:left="0" w:right="0" w:firstLine="0"/>
              <w:jc w:val="both"/>
              <w:rPr>
                <w:sz w:val="20"/>
                <w:szCs w:val="20"/>
              </w:rPr>
            </w:pPr>
            <w:r>
              <w:rPr>
                <w:color w:val="000000"/>
                <w:spacing w:val="0"/>
                <w:w w:val="100"/>
                <w:position w:val="0"/>
                <w:sz w:val="20"/>
                <w:szCs w:val="20"/>
              </w:rPr>
              <w:t>物业租赁 及物业服 务</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0" w:lineRule="exact"/>
              <w:ind w:left="0" w:right="0" w:firstLine="0"/>
              <w:jc w:val="left"/>
              <w:rPr>
                <w:sz w:val="20"/>
                <w:szCs w:val="20"/>
              </w:rPr>
            </w:pPr>
            <w:r>
              <w:rPr>
                <w:color w:val="000000"/>
                <w:spacing w:val="0"/>
                <w:w w:val="100"/>
                <w:position w:val="0"/>
                <w:sz w:val="20"/>
                <w:szCs w:val="20"/>
              </w:rPr>
              <w:t>租赁其位于无锡市人 民中路</w:t>
            </w:r>
            <w:r>
              <w:rPr>
                <w:rFonts w:ascii="Times New Roman" w:eastAsia="Times New Roman" w:hAnsi="Times New Roman" w:cs="Times New Roman"/>
                <w:color w:val="000000"/>
                <w:spacing w:val="0"/>
                <w:w w:val="100"/>
                <w:position w:val="0"/>
                <w:sz w:val="20"/>
                <w:szCs w:val="20"/>
              </w:rPr>
              <w:t>111</w:t>
            </w:r>
            <w:r>
              <w:rPr>
                <w:color w:val="000000"/>
                <w:spacing w:val="0"/>
                <w:w w:val="100"/>
                <w:position w:val="0"/>
                <w:sz w:val="20"/>
                <w:szCs w:val="20"/>
              </w:rPr>
              <w:t>号无锡苏 宁广场大厦</w:t>
            </w:r>
            <w:r>
              <w:rPr>
                <w:rFonts w:ascii="Times New Roman" w:eastAsia="Times New Roman" w:hAnsi="Times New Roman" w:cs="Times New Roman"/>
                <w:color w:val="000000"/>
                <w:spacing w:val="0"/>
                <w:w w:val="100"/>
                <w:position w:val="0"/>
                <w:sz w:val="20"/>
                <w:szCs w:val="20"/>
              </w:rPr>
              <w:t>1-5</w:t>
            </w:r>
            <w:r>
              <w:rPr>
                <w:color w:val="000000"/>
                <w:spacing w:val="0"/>
                <w:w w:val="100"/>
                <w:position w:val="0"/>
                <w:sz w:val="20"/>
                <w:szCs w:val="20"/>
              </w:rPr>
              <w:t>层用 于店面经营，租赁面 积</w:t>
            </w:r>
            <w:r>
              <w:rPr>
                <w:rFonts w:ascii="Times New Roman" w:eastAsia="Times New Roman" w:hAnsi="Times New Roman" w:cs="Times New Roman"/>
                <w:color w:val="000000"/>
                <w:spacing w:val="0"/>
                <w:w w:val="100"/>
                <w:position w:val="0"/>
                <w:sz w:val="20"/>
                <w:szCs w:val="20"/>
              </w:rPr>
              <w:t>19,217.40</w:t>
            </w:r>
            <w:r>
              <w:rPr>
                <w:color w:val="000000"/>
                <w:spacing w:val="0"/>
                <w:w w:val="100"/>
                <w:position w:val="0"/>
                <w:sz w:val="20"/>
                <w:szCs w:val="20"/>
              </w:rPr>
              <w:t xml:space="preserve">平方 米，租赁期限 </w:t>
            </w:r>
            <w:r>
              <w:rPr>
                <w:rFonts w:ascii="Times New Roman" w:eastAsia="Times New Roman" w:hAnsi="Times New Roman" w:cs="Times New Roman"/>
                <w:color w:val="000000"/>
                <w:spacing w:val="0"/>
                <w:w w:val="100"/>
                <w:position w:val="0"/>
                <w:sz w:val="20"/>
                <w:szCs w:val="20"/>
              </w:rPr>
              <w:t>2013/9/30-</w:t>
            </w:r>
          </w:p>
          <w:p>
            <w:pPr>
              <w:pStyle w:val="Style28"/>
              <w:keepNext w:val="0"/>
              <w:keepLines w:val="0"/>
              <w:widowControl w:val="0"/>
              <w:shd w:val="clear" w:color="auto" w:fill="auto"/>
              <w:bidi w:val="0"/>
              <w:spacing w:before="0" w:after="0" w:line="270" w:lineRule="exact"/>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2028/9/29 „ 2014 </w:t>
            </w:r>
            <w:r>
              <w:rPr>
                <w:color w:val="000000"/>
                <w:spacing w:val="0"/>
                <w:w w:val="100"/>
                <w:position w:val="0"/>
                <w:sz w:val="20"/>
                <w:szCs w:val="20"/>
              </w:rPr>
              <w:t xml:space="preserve">年 </w:t>
            </w:r>
            <w:r>
              <w:rPr>
                <w:rFonts w:ascii="Times New Roman" w:eastAsia="Times New Roman" w:hAnsi="Times New Roman" w:cs="Times New Roman"/>
                <w:color w:val="000000"/>
                <w:spacing w:val="0"/>
                <w:w w:val="100"/>
                <w:position w:val="0"/>
                <w:sz w:val="20"/>
                <w:szCs w:val="20"/>
              </w:rPr>
              <w:t xml:space="preserve">8 </w:t>
            </w:r>
            <w:r>
              <w:rPr>
                <w:color w:val="000000"/>
                <w:spacing w:val="0"/>
                <w:w w:val="100"/>
                <w:position w:val="0"/>
                <w:sz w:val="20"/>
                <w:szCs w:val="20"/>
              </w:rPr>
              <w:t>月，公司子公司与无 锡苏宁商管公司签订 补充协议，退租部分 租赁区域，自</w:t>
            </w:r>
            <w:r>
              <w:rPr>
                <w:rFonts w:ascii="Times New Roman" w:eastAsia="Times New Roman" w:hAnsi="Times New Roman" w:cs="Times New Roman"/>
                <w:color w:val="000000"/>
                <w:spacing w:val="0"/>
                <w:w w:val="100"/>
                <w:position w:val="0"/>
                <w:sz w:val="20"/>
                <w:szCs w:val="20"/>
              </w:rPr>
              <w:t xml:space="preserve">2014 </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30</w:t>
            </w:r>
            <w:r>
              <w:rPr>
                <w:color w:val="000000"/>
                <w:spacing w:val="0"/>
                <w:w w:val="100"/>
                <w:position w:val="0"/>
                <w:sz w:val="20"/>
                <w:szCs w:val="20"/>
              </w:rPr>
              <w:t xml:space="preserve">日起公司 实际承租面积为 </w:t>
            </w:r>
            <w:r>
              <w:rPr>
                <w:rFonts w:ascii="Times New Roman" w:eastAsia="Times New Roman" w:hAnsi="Times New Roman" w:cs="Times New Roman"/>
                <w:color w:val="000000"/>
                <w:spacing w:val="0"/>
                <w:w w:val="100"/>
                <w:position w:val="0"/>
                <w:sz w:val="20"/>
                <w:szCs w:val="20"/>
              </w:rPr>
              <w:t>18,945.49</w:t>
            </w:r>
            <w:r>
              <w:rPr>
                <w:color w:val="000000"/>
                <w:spacing w:val="0"/>
                <w:w w:val="100"/>
                <w:position w:val="0"/>
                <w:sz w:val="20"/>
                <w:szCs w:val="20"/>
              </w:rPr>
              <w:t>平方米</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市场价 格</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72" w:lineRule="exact"/>
              <w:ind w:left="0" w:right="0" w:firstLine="0"/>
              <w:jc w:val="left"/>
              <w:rPr>
                <w:sz w:val="20"/>
                <w:szCs w:val="20"/>
              </w:rPr>
            </w:pPr>
            <w:r>
              <w:rPr>
                <w:color w:val="000000"/>
                <w:spacing w:val="0"/>
                <w:w w:val="100"/>
                <w:position w:val="0"/>
                <w:sz w:val="20"/>
                <w:szCs w:val="20"/>
              </w:rPr>
              <w:t>租赁费用 按照</w:t>
            </w:r>
            <w:r>
              <w:rPr>
                <w:rFonts w:ascii="Times New Roman" w:eastAsia="Times New Roman" w:hAnsi="Times New Roman" w:cs="Times New Roman"/>
                <w:color w:val="000000"/>
                <w:spacing w:val="0"/>
                <w:w w:val="100"/>
                <w:position w:val="0"/>
                <w:sz w:val="20"/>
                <w:szCs w:val="20"/>
              </w:rPr>
              <w:t xml:space="preserve">3.50 </w:t>
            </w:r>
            <w:r>
              <w:rPr>
                <w:color w:val="000000"/>
                <w:spacing w:val="0"/>
                <w:w w:val="100"/>
                <w:position w:val="0"/>
                <w:sz w:val="20"/>
                <w:szCs w:val="20"/>
              </w:rPr>
              <w:t>元/平米/天 计算，自 第三年起 每三年递 增</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w:t>
            </w:r>
            <w:r>
              <w:rPr>
                <w:color w:val="000000"/>
                <w:spacing w:val="0"/>
                <w:w w:val="100"/>
                <w:position w:val="0"/>
                <w:sz w:val="20"/>
                <w:szCs w:val="20"/>
              </w:rPr>
              <w:t xml:space="preserve">物 业服务费 </w:t>
            </w:r>
            <w:r>
              <w:rPr>
                <w:rFonts w:ascii="Times New Roman" w:eastAsia="Times New Roman" w:hAnsi="Times New Roman" w:cs="Times New Roman"/>
                <w:color w:val="000000"/>
                <w:spacing w:val="0"/>
                <w:w w:val="100"/>
                <w:position w:val="0"/>
                <w:sz w:val="20"/>
                <w:szCs w:val="20"/>
              </w:rPr>
              <w:t>15</w:t>
            </w:r>
            <w:r>
              <w:rPr>
                <w:i/>
                <w:iCs/>
                <w:color w:val="000000"/>
                <w:spacing w:val="0"/>
                <w:w w:val="100"/>
                <w:position w:val="0"/>
                <w:sz w:val="20"/>
                <w:szCs w:val="20"/>
              </w:rPr>
              <w:t>元</w:t>
            </w:r>
            <w:r>
              <w:rPr>
                <w:rFonts w:ascii="Times New Roman" w:eastAsia="Times New Roman" w:hAnsi="Times New Roman" w:cs="Times New Roman"/>
                <w:i/>
                <w:iCs/>
                <w:color w:val="000000"/>
                <w:spacing w:val="0"/>
                <w:w w:val="100"/>
                <w:position w:val="0"/>
                <w:sz w:val="20"/>
                <w:szCs w:val="20"/>
              </w:rPr>
              <w:t>/</w:t>
            </w:r>
            <w:r>
              <w:rPr>
                <w:i/>
                <w:iCs/>
                <w:color w:val="000000"/>
                <w:spacing w:val="0"/>
                <w:w w:val="100"/>
                <w:position w:val="0"/>
                <w:sz w:val="20"/>
                <w:szCs w:val="20"/>
              </w:rPr>
              <w:t>月</w:t>
            </w:r>
            <w:r>
              <w:rPr>
                <w:rFonts w:ascii="Times New Roman" w:eastAsia="Times New Roman" w:hAnsi="Times New Roman" w:cs="Times New Roman"/>
                <w:i/>
                <w:iCs/>
                <w:color w:val="000000"/>
                <w:spacing w:val="0"/>
                <w:w w:val="100"/>
                <w:position w:val="0"/>
                <w:sz w:val="20"/>
                <w:szCs w:val="20"/>
              </w:rPr>
              <w:t xml:space="preserve">/ </w:t>
            </w:r>
            <w:r>
              <w:rPr>
                <w:color w:val="000000"/>
                <w:spacing w:val="0"/>
                <w:w w:val="100"/>
                <w:position w:val="0"/>
                <w:sz w:val="20"/>
                <w:szCs w:val="20"/>
              </w:rPr>
              <w:t>平米</w:t>
            </w:r>
          </w:p>
        </w:tc>
      </w:tr>
      <w:tr>
        <w:trPr>
          <w:trHeight w:val="283"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福州苏宁</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苏宁置业</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物业租赁</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租赁其位于福州市工</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市场价</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自首个租</w:t>
            </w:r>
          </w:p>
        </w:tc>
      </w:tr>
    </w:tbl>
    <w:p>
      <w:pPr>
        <w:sectPr>
          <w:headerReference w:type="default" r:id="rId51"/>
          <w:footerReference w:type="default" r:id="rId52"/>
          <w:headerReference w:type="even" r:id="rId53"/>
          <w:footerReference w:type="even" r:id="rId54"/>
          <w:footnotePr>
            <w:pos w:val="pageBottom"/>
            <w:numFmt w:val="decimal"/>
            <w:numRestart w:val="continuous"/>
          </w:footnotePr>
          <w:pgSz w:w="8400" w:h="11900"/>
          <w:pgMar w:top="1126" w:right="116" w:bottom="1126" w:left="1522" w:header="698" w:footer="698" w:gutter="0"/>
          <w:pgNumType w:start="85"/>
          <w:cols w:space="720"/>
          <w:noEndnote/>
          <w:rtlGutter w:val="0"/>
          <w:docGrid w:linePitch="360"/>
        </w:sectPr>
      </w:pPr>
    </w:p>
    <w:tbl>
      <w:tblPr>
        <w:tblOverlap w:val="never"/>
        <w:jc w:val="center"/>
        <w:tblLayout w:type="fixed"/>
      </w:tblPr>
      <w:tblGrid>
        <w:gridCol w:w="926"/>
        <w:gridCol w:w="850"/>
        <w:gridCol w:w="1310"/>
        <w:gridCol w:w="581"/>
        <w:gridCol w:w="1099"/>
        <w:gridCol w:w="787"/>
        <w:gridCol w:w="763"/>
        <w:gridCol w:w="946"/>
      </w:tblGrid>
      <w:tr>
        <w:trPr>
          <w:trHeight w:val="1114" w:hRule="exact"/>
        </w:trPr>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59" w:lineRule="exact"/>
              <w:ind w:left="0" w:right="0" w:firstLine="0"/>
              <w:jc w:val="left"/>
              <w:rPr>
                <w:sz w:val="20"/>
                <w:szCs w:val="20"/>
              </w:rPr>
            </w:pPr>
            <w:r>
              <w:rPr>
                <w:color w:val="000000"/>
                <w:spacing w:val="0"/>
                <w:w w:val="100"/>
                <w:position w:val="0"/>
                <w:sz w:val="20"/>
                <w:szCs w:val="20"/>
              </w:rPr>
              <w:t>关联交易 支付金额</w:t>
            </w:r>
          </w:p>
        </w:tc>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72" w:lineRule="exact"/>
              <w:ind w:left="0" w:right="0" w:firstLine="0"/>
              <w:jc w:val="center"/>
              <w:rPr>
                <w:sz w:val="20"/>
                <w:szCs w:val="20"/>
              </w:rPr>
            </w:pPr>
            <w:r>
              <w:rPr>
                <w:color w:val="000000"/>
                <w:spacing w:val="0"/>
                <w:w w:val="100"/>
                <w:position w:val="0"/>
                <w:sz w:val="20"/>
                <w:szCs w:val="20"/>
              </w:rPr>
              <w:t>占同类 交易金 额的比 例</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获批的交易 额度</w:t>
            </w:r>
          </w:p>
        </w:tc>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是否 超过 获批 额度</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关联交易 结算方式</w:t>
            </w:r>
          </w:p>
        </w:tc>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72" w:lineRule="exact"/>
              <w:ind w:left="0" w:right="0" w:firstLine="0"/>
              <w:jc w:val="center"/>
              <w:rPr>
                <w:sz w:val="20"/>
                <w:szCs w:val="20"/>
              </w:rPr>
            </w:pPr>
            <w:r>
              <w:rPr>
                <w:color w:val="000000"/>
                <w:spacing w:val="0"/>
                <w:w w:val="100"/>
                <w:position w:val="0"/>
                <w:sz w:val="20"/>
                <w:szCs w:val="20"/>
              </w:rPr>
              <w:t>可获得 的同类 交易市 价</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64" w:lineRule="exact"/>
              <w:ind w:left="0" w:right="0" w:firstLine="0"/>
              <w:jc w:val="center"/>
              <w:rPr>
                <w:sz w:val="20"/>
                <w:szCs w:val="20"/>
              </w:rPr>
            </w:pPr>
            <w:r>
              <w:rPr>
                <w:color w:val="000000"/>
                <w:spacing w:val="0"/>
                <w:w w:val="100"/>
                <w:position w:val="0"/>
                <w:sz w:val="20"/>
                <w:szCs w:val="20"/>
              </w:rPr>
              <w:t>披露日 期</w:t>
            </w:r>
          </w:p>
        </w:tc>
        <w:tc>
          <w:tcPr>
            <w:tcBorders>
              <w:top w:val="single" w:sz="4"/>
              <w:left w:val="single" w:sz="4"/>
              <w:righ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披露索引</w:t>
            </w:r>
          </w:p>
        </w:tc>
      </w:tr>
      <w:tr>
        <w:trPr>
          <w:trHeight w:val="38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2,756.82</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15.97%</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45,831.11</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按季度支</w:t>
            </w:r>
          </w:p>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2013 </w:t>
            </w:r>
            <w:r>
              <w:rPr>
                <w:color w:val="000000"/>
                <w:spacing w:val="0"/>
                <w:w w:val="100"/>
                <w:position w:val="0"/>
                <w:sz w:val="20"/>
                <w:szCs w:val="20"/>
              </w:rPr>
              <w:t>年</w:t>
            </w:r>
          </w:p>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9</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28</w:t>
            </w:r>
          </w:p>
          <w:p>
            <w:pPr>
              <w:pStyle w:val="Style28"/>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color w:val="000000"/>
                <w:spacing w:val="0"/>
                <w:w w:val="100"/>
                <w:position w:val="0"/>
                <w:sz w:val="24"/>
                <w:szCs w:val="24"/>
              </w:rPr>
              <w:t>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73" w:lineRule="exact"/>
              <w:ind w:left="0" w:right="0" w:firstLine="0"/>
              <w:jc w:val="left"/>
              <w:rPr>
                <w:sz w:val="20"/>
                <w:szCs w:val="20"/>
              </w:rPr>
            </w:pPr>
            <w:r>
              <w:rPr>
                <w:color w:val="000000"/>
                <w:spacing w:val="0"/>
                <w:w w:val="100"/>
                <w:position w:val="0"/>
                <w:sz w:val="20"/>
                <w:szCs w:val="20"/>
              </w:rPr>
              <w:t xml:space="preserve">巨潮资讯 网 </w:t>
            </w:r>
            <w:r>
              <w:rPr>
                <w:rFonts w:ascii="Times New Roman" w:eastAsia="Times New Roman" w:hAnsi="Times New Roman" w:cs="Times New Roman"/>
                <w:color w:val="000000"/>
                <w:spacing w:val="0"/>
                <w:w w:val="100"/>
                <w:position w:val="0"/>
                <w:sz w:val="20"/>
                <w:szCs w:val="20"/>
              </w:rPr>
              <w:t xml:space="preserve">2013- </w:t>
            </w:r>
            <w:r>
              <w:rPr>
                <w:rFonts w:ascii="Times New Roman" w:eastAsia="Times New Roman" w:hAnsi="Times New Roman" w:cs="Times New Roman"/>
                <w:color w:val="000000"/>
                <w:spacing w:val="0"/>
                <w:w w:val="100"/>
                <w:position w:val="0"/>
                <w:sz w:val="20"/>
                <w:szCs w:val="20"/>
              </w:rPr>
              <w:t>043</w:t>
            </w:r>
            <w:r>
              <w:rPr>
                <w:color w:val="000000"/>
                <w:spacing w:val="0"/>
                <w:w w:val="100"/>
                <w:position w:val="0"/>
                <w:sz w:val="20"/>
                <w:szCs w:val="20"/>
              </w:rPr>
              <w:t>《关 于向关联 方租赁物 业的关联 交易公 告》</w:t>
            </w:r>
          </w:p>
        </w:tc>
      </w:tr>
      <w:tr>
        <w:trPr>
          <w:trHeight w:val="283"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1,049.36</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6.08%</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22,969.53</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按季度支</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4"/>
                <w:szCs w:val="24"/>
              </w:rPr>
            </w:pPr>
            <w:r>
              <w:rPr>
                <w:rFonts w:ascii="Arial" w:eastAsia="Arial" w:hAnsi="Arial" w:cs="Arial"/>
                <w:color w:val="000000"/>
                <w:spacing w:val="0"/>
                <w:w w:val="100"/>
                <w:position w:val="0"/>
                <w:sz w:val="24"/>
                <w:szCs w:val="24"/>
              </w:rPr>
              <w:t>-</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2013 </w:t>
            </w:r>
            <w:r>
              <w:rPr>
                <w:color w:val="000000"/>
                <w:spacing w:val="0"/>
                <w:w w:val="100"/>
                <w:position w:val="0"/>
                <w:sz w:val="20"/>
                <w:szCs w:val="20"/>
              </w:rPr>
              <w:t>年</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巨潮资讯</w:t>
            </w:r>
          </w:p>
        </w:tc>
      </w:tr>
    </w:tbl>
    <w:p>
      <w:pPr>
        <w:sectPr>
          <w:headerReference w:type="default" r:id="rId55"/>
          <w:footerReference w:type="default" r:id="rId56"/>
          <w:headerReference w:type="even" r:id="rId57"/>
          <w:footerReference w:type="even" r:id="rId58"/>
          <w:footnotePr>
            <w:pos w:val="pageBottom"/>
            <w:numFmt w:val="decimal"/>
            <w:numRestart w:val="continuous"/>
          </w:footnotePr>
          <w:pgSz w:w="8400" w:h="11900"/>
          <w:pgMar w:top="1126" w:right="1138" w:bottom="1169" w:left="0" w:header="0" w:footer="3" w:gutter="0"/>
          <w:pgNumType w:start="83"/>
          <w:cols w:space="720"/>
          <w:noEndnote/>
          <w:rtlGutter w:val="0"/>
          <w:docGrid w:linePitch="360"/>
        </w:sectPr>
      </w:pPr>
    </w:p>
    <w:tbl>
      <w:tblPr>
        <w:tblOverlap w:val="never"/>
        <w:jc w:val="center"/>
        <w:tblLayout w:type="fixed"/>
      </w:tblPr>
      <w:tblGrid>
        <w:gridCol w:w="946"/>
        <w:gridCol w:w="941"/>
        <w:gridCol w:w="941"/>
        <w:gridCol w:w="2026"/>
        <w:gridCol w:w="854"/>
        <w:gridCol w:w="1056"/>
      </w:tblGrid>
      <w:tr>
        <w:trPr>
          <w:trHeight w:val="1114" w:hRule="exact"/>
        </w:trPr>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关联交易 方</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关联关系</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关联交易 类型</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关联交易内容</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66" w:lineRule="exact"/>
              <w:ind w:left="0" w:right="0" w:firstLine="0"/>
              <w:jc w:val="center"/>
              <w:rPr>
                <w:sz w:val="20"/>
                <w:szCs w:val="20"/>
              </w:rPr>
            </w:pPr>
            <w:r>
              <w:rPr>
                <w:color w:val="000000"/>
                <w:spacing w:val="0"/>
                <w:w w:val="100"/>
                <w:position w:val="0"/>
                <w:sz w:val="20"/>
                <w:szCs w:val="20"/>
              </w:rPr>
              <w:t>关联交 易定价 原则</w:t>
            </w:r>
          </w:p>
        </w:tc>
        <w:tc>
          <w:tcPr>
            <w:tcBorders>
              <w:top w:val="single" w:sz="4"/>
              <w:left w:val="single" w:sz="4"/>
              <w:right w:val="single" w:sz="4"/>
            </w:tcBorders>
            <w:shd w:val="clear" w:color="auto" w:fill="D3D3D3"/>
            <w:vAlign w:val="top"/>
          </w:tcPr>
          <w:p>
            <w:pPr>
              <w:pStyle w:val="Style28"/>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关联交易 价格</w:t>
            </w:r>
          </w:p>
        </w:tc>
      </w:tr>
      <w:tr>
        <w:trPr>
          <w:trHeight w:val="6005"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置业有限 公司台江 分公司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集团子公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2" w:lineRule="exact"/>
              <w:ind w:left="0" w:right="0" w:firstLine="0"/>
              <w:jc w:val="left"/>
              <w:rPr>
                <w:sz w:val="20"/>
                <w:szCs w:val="20"/>
              </w:rPr>
            </w:pPr>
            <w:r>
              <w:rPr>
                <w:color w:val="000000"/>
                <w:spacing w:val="0"/>
                <w:w w:val="100"/>
                <w:position w:val="0"/>
                <w:sz w:val="20"/>
                <w:szCs w:val="20"/>
              </w:rPr>
              <w:t>业路</w:t>
            </w:r>
            <w:r>
              <w:rPr>
                <w:rFonts w:ascii="Times New Roman" w:eastAsia="Times New Roman" w:hAnsi="Times New Roman" w:cs="Times New Roman"/>
                <w:color w:val="000000"/>
                <w:spacing w:val="0"/>
                <w:w w:val="100"/>
                <w:position w:val="0"/>
                <w:sz w:val="20"/>
                <w:szCs w:val="20"/>
              </w:rPr>
              <w:t>233</w:t>
            </w:r>
            <w:r>
              <w:rPr>
                <w:color w:val="000000"/>
                <w:spacing w:val="0"/>
                <w:w w:val="100"/>
                <w:position w:val="0"/>
                <w:sz w:val="20"/>
                <w:szCs w:val="20"/>
              </w:rPr>
              <w:t>号福州苏宁 广场</w:t>
            </w:r>
            <w:r>
              <w:rPr>
                <w:rFonts w:ascii="Times New Roman" w:eastAsia="Times New Roman" w:hAnsi="Times New Roman" w:cs="Times New Roman"/>
                <w:color w:val="000000"/>
                <w:spacing w:val="0"/>
                <w:w w:val="100"/>
                <w:position w:val="0"/>
                <w:sz w:val="20"/>
                <w:szCs w:val="20"/>
              </w:rPr>
              <w:t>1-5</w:t>
            </w:r>
            <w:r>
              <w:rPr>
                <w:color w:val="000000"/>
                <w:spacing w:val="0"/>
                <w:w w:val="100"/>
                <w:position w:val="0"/>
                <w:sz w:val="20"/>
                <w:szCs w:val="20"/>
              </w:rPr>
              <w:t xml:space="preserve">层用于店面 经营，租赁面积共计 </w:t>
            </w:r>
            <w:r>
              <w:rPr>
                <w:rFonts w:ascii="Times New Roman" w:eastAsia="Times New Roman" w:hAnsi="Times New Roman" w:cs="Times New Roman"/>
                <w:color w:val="000000"/>
                <w:spacing w:val="0"/>
                <w:w w:val="100"/>
                <w:position w:val="0"/>
                <w:sz w:val="20"/>
                <w:szCs w:val="20"/>
              </w:rPr>
              <w:t>16132</w:t>
            </w:r>
            <w:r>
              <w:rPr>
                <w:color w:val="000000"/>
                <w:spacing w:val="0"/>
                <w:w w:val="100"/>
                <w:position w:val="0"/>
                <w:sz w:val="20"/>
                <w:szCs w:val="20"/>
              </w:rPr>
              <w:t xml:space="preserve">平方米，租赁 期限 </w:t>
            </w:r>
            <w:r>
              <w:rPr>
                <w:rFonts w:ascii="Times New Roman" w:eastAsia="Times New Roman" w:hAnsi="Times New Roman" w:cs="Times New Roman"/>
                <w:color w:val="000000"/>
                <w:spacing w:val="0"/>
                <w:w w:val="100"/>
                <w:position w:val="0"/>
                <w:sz w:val="20"/>
                <w:szCs w:val="20"/>
              </w:rPr>
              <w:t xml:space="preserve">2013/10/1- </w:t>
            </w:r>
            <w:r>
              <w:rPr>
                <w:rFonts w:ascii="Times New Roman" w:eastAsia="Times New Roman" w:hAnsi="Times New Roman" w:cs="Times New Roman"/>
                <w:color w:val="000000"/>
                <w:spacing w:val="0"/>
                <w:w w:val="100"/>
                <w:position w:val="0"/>
                <w:sz w:val="20"/>
                <w:szCs w:val="20"/>
              </w:rPr>
              <w:t xml:space="preserve">2028/9/30„ 2015 </w:t>
            </w:r>
            <w:r>
              <w:rPr>
                <w:color w:val="000000"/>
                <w:spacing w:val="0"/>
                <w:w w:val="100"/>
                <w:position w:val="0"/>
                <w:sz w:val="20"/>
                <w:szCs w:val="20"/>
              </w:rPr>
              <w:t xml:space="preserve">年 </w:t>
            </w:r>
            <w:r>
              <w:rPr>
                <w:rFonts w:ascii="Times New Roman" w:eastAsia="Times New Roman" w:hAnsi="Times New Roman" w:cs="Times New Roman"/>
                <w:color w:val="000000"/>
                <w:spacing w:val="0"/>
                <w:w w:val="100"/>
                <w:position w:val="0"/>
                <w:sz w:val="20"/>
                <w:szCs w:val="20"/>
              </w:rPr>
              <w:t xml:space="preserve">5 </w:t>
            </w:r>
            <w:r>
              <w:rPr>
                <w:color w:val="000000"/>
                <w:spacing w:val="0"/>
                <w:w w:val="100"/>
                <w:position w:val="0"/>
                <w:sz w:val="20"/>
                <w:szCs w:val="20"/>
              </w:rPr>
              <w:t>月，公司子公司与福 州苏宁置业签订《补 充协议》，公司退租 部分经营面积与重新 进行店面面积调整， 自</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7</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 xml:space="preserve">日起 公司实际承租面积为 </w:t>
            </w:r>
            <w:r>
              <w:rPr>
                <w:rFonts w:ascii="Times New Roman" w:eastAsia="Times New Roman" w:hAnsi="Times New Roman" w:cs="Times New Roman"/>
                <w:color w:val="000000"/>
                <w:spacing w:val="0"/>
                <w:w w:val="100"/>
                <w:position w:val="0"/>
                <w:sz w:val="20"/>
                <w:szCs w:val="20"/>
              </w:rPr>
              <w:t>14047.66</w:t>
            </w:r>
            <w:r>
              <w:rPr>
                <w:color w:val="000000"/>
                <w:spacing w:val="0"/>
                <w:w w:val="100"/>
                <w:position w:val="0"/>
                <w:sz w:val="20"/>
                <w:szCs w:val="20"/>
              </w:rPr>
              <w:t>平方米。</w:t>
            </w:r>
          </w:p>
          <w:p>
            <w:pPr>
              <w:pStyle w:val="Style28"/>
              <w:keepNext w:val="0"/>
              <w:keepLines w:val="0"/>
              <w:widowControl w:val="0"/>
              <w:shd w:val="clear" w:color="auto" w:fill="auto"/>
              <w:bidi w:val="0"/>
              <w:spacing w:before="0" w:after="0" w:line="272" w:lineRule="exact"/>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2015</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月，公司与 福州苏宁置业签订物 业服务合同，预定福 州苏宁置业为公司店 面提供物业服务，物 业服务面积</w:t>
            </w:r>
            <w:r>
              <w:rPr>
                <w:rFonts w:ascii="Times New Roman" w:eastAsia="Times New Roman" w:hAnsi="Times New Roman" w:cs="Times New Roman"/>
                <w:color w:val="000000"/>
                <w:spacing w:val="0"/>
                <w:w w:val="100"/>
                <w:position w:val="0"/>
                <w:sz w:val="20"/>
                <w:szCs w:val="20"/>
              </w:rPr>
              <w:t xml:space="preserve">9,706.60 </w:t>
            </w:r>
            <w:r>
              <w:rPr>
                <w:color w:val="000000"/>
                <w:spacing w:val="0"/>
                <w:w w:val="100"/>
                <w:position w:val="0"/>
                <w:sz w:val="20"/>
                <w:szCs w:val="20"/>
              </w:rPr>
              <w:t>平方米，物业服务价 格</w:t>
            </w:r>
            <w:r>
              <w:rPr>
                <w:rFonts w:ascii="Times New Roman" w:eastAsia="Times New Roman" w:hAnsi="Times New Roman" w:cs="Times New Roman"/>
                <w:color w:val="000000"/>
                <w:spacing w:val="0"/>
                <w:w w:val="100"/>
                <w:position w:val="0"/>
                <w:sz w:val="20"/>
                <w:szCs w:val="20"/>
              </w:rPr>
              <w:t>15</w:t>
            </w:r>
            <w:r>
              <w:rPr>
                <w:color w:val="000000"/>
                <w:spacing w:val="0"/>
                <w:w w:val="100"/>
                <w:position w:val="0"/>
                <w:sz w:val="20"/>
                <w:szCs w:val="20"/>
              </w:rPr>
              <w:t>元/月*平米</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格</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赁年度起 前三年每 平米租金 单价为</w:t>
            </w:r>
            <w:r>
              <w:rPr>
                <w:rFonts w:ascii="Times New Roman" w:eastAsia="Times New Roman" w:hAnsi="Times New Roman" w:cs="Times New Roman"/>
                <w:color w:val="000000"/>
                <w:spacing w:val="0"/>
                <w:w w:val="100"/>
                <w:position w:val="0"/>
                <w:sz w:val="20"/>
                <w:szCs w:val="20"/>
              </w:rPr>
              <w:t xml:space="preserve">2 </w:t>
            </w:r>
            <w:r>
              <w:rPr>
                <w:color w:val="000000"/>
                <w:spacing w:val="0"/>
                <w:w w:val="100"/>
                <w:position w:val="0"/>
                <w:sz w:val="20"/>
                <w:szCs w:val="20"/>
              </w:rPr>
              <w:t xml:space="preserve">元/天，自 第四个租 赁年度起 每平米租 金单价为 </w:t>
            </w:r>
            <w:r>
              <w:rPr>
                <w:rFonts w:ascii="Times New Roman" w:eastAsia="Times New Roman" w:hAnsi="Times New Roman" w:cs="Times New Roman"/>
                <w:color w:val="000000"/>
                <w:spacing w:val="0"/>
                <w:w w:val="100"/>
                <w:position w:val="0"/>
                <w:sz w:val="20"/>
                <w:szCs w:val="20"/>
              </w:rPr>
              <w:t>2.5</w:t>
            </w:r>
            <w:r>
              <w:rPr>
                <w:color w:val="000000"/>
                <w:spacing w:val="0"/>
                <w:w w:val="100"/>
                <w:position w:val="0"/>
                <w:sz w:val="20"/>
                <w:szCs w:val="20"/>
              </w:rPr>
              <w:t xml:space="preserve">元/天， 且以后每 两年递增 </w:t>
            </w:r>
            <w:r>
              <w:rPr>
                <w:rFonts w:ascii="Times New Roman" w:eastAsia="Times New Roman" w:hAnsi="Times New Roman" w:cs="Times New Roman"/>
                <w:color w:val="000000"/>
                <w:spacing w:val="0"/>
                <w:w w:val="100"/>
                <w:position w:val="0"/>
                <w:sz w:val="20"/>
                <w:szCs w:val="20"/>
              </w:rPr>
              <w:t>5%</w:t>
            </w:r>
          </w:p>
        </w:tc>
      </w:tr>
      <w:tr>
        <w:trPr>
          <w:trHeight w:val="2434"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宿迁苏宁 置业有限 公司</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苏宁置业 集团子公 司</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物业租赁</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67" w:lineRule="exact"/>
              <w:ind w:left="0" w:right="0" w:firstLine="0"/>
              <w:jc w:val="left"/>
              <w:rPr>
                <w:sz w:val="20"/>
                <w:szCs w:val="20"/>
              </w:rPr>
            </w:pPr>
            <w:r>
              <w:rPr>
                <w:color w:val="000000"/>
                <w:spacing w:val="0"/>
                <w:w w:val="100"/>
                <w:position w:val="0"/>
                <w:sz w:val="20"/>
                <w:szCs w:val="20"/>
              </w:rPr>
              <w:t>租赁其位于宿迁市幸 福路宿迁苏宁广场</w:t>
            </w:r>
            <w:r>
              <w:rPr>
                <w:rFonts w:ascii="Times New Roman" w:eastAsia="Times New Roman" w:hAnsi="Times New Roman" w:cs="Times New Roman"/>
                <w:color w:val="000000"/>
                <w:spacing w:val="0"/>
                <w:w w:val="100"/>
                <w:position w:val="0"/>
                <w:sz w:val="20"/>
                <w:szCs w:val="20"/>
              </w:rPr>
              <w:t xml:space="preserve">1- </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层用于店面经营， 租赁面积</w:t>
            </w:r>
            <w:r>
              <w:rPr>
                <w:rFonts w:ascii="Times New Roman" w:eastAsia="Times New Roman" w:hAnsi="Times New Roman" w:cs="Times New Roman"/>
                <w:color w:val="000000"/>
                <w:spacing w:val="0"/>
                <w:w w:val="100"/>
                <w:position w:val="0"/>
                <w:sz w:val="20"/>
                <w:szCs w:val="20"/>
              </w:rPr>
              <w:t>10,020</w:t>
            </w:r>
            <w:r>
              <w:rPr>
                <w:color w:val="000000"/>
                <w:spacing w:val="0"/>
                <w:w w:val="100"/>
                <w:position w:val="0"/>
                <w:sz w:val="20"/>
                <w:szCs w:val="20"/>
              </w:rPr>
              <w:t xml:space="preserve">平方 米，租赁期限 </w:t>
            </w:r>
            <w:r>
              <w:rPr>
                <w:rFonts w:ascii="Times New Roman" w:eastAsia="Times New Roman" w:hAnsi="Times New Roman" w:cs="Times New Roman"/>
                <w:color w:val="000000"/>
                <w:spacing w:val="0"/>
                <w:w w:val="100"/>
                <w:position w:val="0"/>
                <w:sz w:val="20"/>
                <w:szCs w:val="20"/>
              </w:rPr>
              <w:t>2013/12/28-</w:t>
            </w:r>
          </w:p>
          <w:p>
            <w:pPr>
              <w:pStyle w:val="Style28"/>
              <w:keepNext w:val="0"/>
              <w:keepLines w:val="0"/>
              <w:widowControl w:val="0"/>
              <w:shd w:val="clear" w:color="auto" w:fill="auto"/>
              <w:bidi w:val="0"/>
              <w:spacing w:before="0" w:after="0" w:line="276"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2028/12/27„</w:t>
            </w:r>
          </w:p>
          <w:p>
            <w:pPr>
              <w:pStyle w:val="Style28"/>
              <w:keepNext w:val="0"/>
              <w:keepLines w:val="0"/>
              <w:widowControl w:val="0"/>
              <w:shd w:val="clear" w:color="auto" w:fill="auto"/>
              <w:bidi w:val="0"/>
              <w:spacing w:before="0" w:after="0" w:line="288" w:lineRule="exact"/>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月，公司与 宿迁苏宁置业签订</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市场价 格</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首个租赁 年度起前 两年每平 米租金单 价为</w:t>
            </w:r>
            <w:r>
              <w:rPr>
                <w:rFonts w:ascii="Times New Roman" w:eastAsia="Times New Roman" w:hAnsi="Times New Roman" w:cs="Times New Roman"/>
                <w:color w:val="000000"/>
                <w:spacing w:val="0"/>
                <w:w w:val="100"/>
                <w:position w:val="0"/>
                <w:sz w:val="20"/>
                <w:szCs w:val="20"/>
              </w:rPr>
              <w:t xml:space="preserve">1.80 </w:t>
            </w:r>
            <w:r>
              <w:rPr>
                <w:color w:val="000000"/>
                <w:spacing w:val="0"/>
                <w:w w:val="100"/>
                <w:position w:val="0"/>
                <w:sz w:val="20"/>
                <w:szCs w:val="20"/>
              </w:rPr>
              <w:t>元/天，以 后每两年 递增</w:t>
            </w:r>
            <w:r>
              <w:rPr>
                <w:rFonts w:ascii="Times New Roman" w:eastAsia="Times New Roman" w:hAnsi="Times New Roman" w:cs="Times New Roman"/>
                <w:color w:val="000000"/>
                <w:spacing w:val="0"/>
                <w:w w:val="100"/>
                <w:position w:val="0"/>
                <w:sz w:val="20"/>
                <w:szCs w:val="20"/>
              </w:rPr>
              <w:t>3%</w:t>
            </w:r>
          </w:p>
        </w:tc>
      </w:tr>
    </w:tbl>
    <w:p>
      <w:pPr>
        <w:sectPr>
          <w:headerReference w:type="default" r:id="rId59"/>
          <w:footerReference w:type="default" r:id="rId60"/>
          <w:headerReference w:type="even" r:id="rId61"/>
          <w:footerReference w:type="even" r:id="rId62"/>
          <w:footnotePr>
            <w:pos w:val="pageBottom"/>
            <w:numFmt w:val="decimal"/>
            <w:numRestart w:val="continuous"/>
          </w:footnotePr>
          <w:pgSz w:w="8400" w:h="11900"/>
          <w:pgMar w:top="1126" w:right="116" w:bottom="1022" w:left="1522" w:header="698" w:footer="594" w:gutter="0"/>
          <w:pgNumType w:start="87"/>
          <w:cols w:space="720"/>
          <w:noEndnote/>
          <w:rtlGutter w:val="0"/>
          <w:docGrid w:linePitch="360"/>
        </w:sectPr>
      </w:pPr>
    </w:p>
    <w:tbl>
      <w:tblPr>
        <w:tblOverlap w:val="never"/>
        <w:jc w:val="center"/>
        <w:tblLayout w:type="fixed"/>
      </w:tblPr>
      <w:tblGrid>
        <w:gridCol w:w="926"/>
        <w:gridCol w:w="850"/>
        <w:gridCol w:w="1310"/>
        <w:gridCol w:w="581"/>
        <w:gridCol w:w="1099"/>
        <w:gridCol w:w="787"/>
        <w:gridCol w:w="763"/>
        <w:gridCol w:w="946"/>
      </w:tblGrid>
      <w:tr>
        <w:trPr>
          <w:trHeight w:val="1114" w:hRule="exact"/>
        </w:trPr>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59" w:lineRule="exact"/>
              <w:ind w:left="0" w:right="0" w:firstLine="0"/>
              <w:jc w:val="right"/>
              <w:rPr>
                <w:sz w:val="20"/>
                <w:szCs w:val="20"/>
              </w:rPr>
            </w:pPr>
            <w:r>
              <w:rPr>
                <w:color w:val="000000"/>
                <w:spacing w:val="0"/>
                <w:w w:val="100"/>
                <w:position w:val="0"/>
                <w:sz w:val="20"/>
                <w:szCs w:val="20"/>
              </w:rPr>
              <w:t>关联交易 支付金额</w:t>
            </w:r>
          </w:p>
        </w:tc>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72" w:lineRule="exact"/>
              <w:ind w:left="0" w:right="0" w:firstLine="0"/>
              <w:jc w:val="center"/>
              <w:rPr>
                <w:sz w:val="20"/>
                <w:szCs w:val="20"/>
              </w:rPr>
            </w:pPr>
            <w:r>
              <w:rPr>
                <w:color w:val="000000"/>
                <w:spacing w:val="0"/>
                <w:w w:val="100"/>
                <w:position w:val="0"/>
                <w:sz w:val="20"/>
                <w:szCs w:val="20"/>
              </w:rPr>
              <w:t>占同类 交易金 额的比 例</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获批的交易 额度</w:t>
            </w:r>
          </w:p>
        </w:tc>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是否 超过 获批 额度</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关联交易 结算方式</w:t>
            </w:r>
          </w:p>
        </w:tc>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72" w:lineRule="exact"/>
              <w:ind w:left="0" w:right="0" w:firstLine="0"/>
              <w:jc w:val="center"/>
              <w:rPr>
                <w:sz w:val="20"/>
                <w:szCs w:val="20"/>
              </w:rPr>
            </w:pPr>
            <w:r>
              <w:rPr>
                <w:color w:val="000000"/>
                <w:spacing w:val="0"/>
                <w:w w:val="100"/>
                <w:position w:val="0"/>
                <w:sz w:val="20"/>
                <w:szCs w:val="20"/>
              </w:rPr>
              <w:t>可获得 的同类 交易市 价</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64" w:lineRule="exact"/>
              <w:ind w:left="0" w:right="0" w:firstLine="0"/>
              <w:jc w:val="center"/>
              <w:rPr>
                <w:sz w:val="20"/>
                <w:szCs w:val="20"/>
              </w:rPr>
            </w:pPr>
            <w:r>
              <w:rPr>
                <w:color w:val="000000"/>
                <w:spacing w:val="0"/>
                <w:w w:val="100"/>
                <w:position w:val="0"/>
                <w:sz w:val="20"/>
                <w:szCs w:val="20"/>
              </w:rPr>
              <w:t>披露日 期</w:t>
            </w:r>
          </w:p>
        </w:tc>
        <w:tc>
          <w:tcPr>
            <w:tcBorders>
              <w:top w:val="single" w:sz="4"/>
              <w:left w:val="single" w:sz="4"/>
              <w:righ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披露索引</w:t>
            </w:r>
          </w:p>
        </w:tc>
      </w:tr>
      <w:tr>
        <w:trPr>
          <w:trHeight w:val="600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p>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25</w:t>
            </w:r>
            <w:r>
              <w:rPr>
                <w:color w:val="000000"/>
                <w:spacing w:val="0"/>
                <w:w w:val="100"/>
                <w:position w:val="0"/>
                <w:sz w:val="20"/>
                <w:szCs w:val="20"/>
              </w:rPr>
              <w:t>日</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75" w:lineRule="exact"/>
              <w:ind w:left="0" w:right="0" w:firstLine="0"/>
              <w:jc w:val="left"/>
              <w:rPr>
                <w:sz w:val="20"/>
                <w:szCs w:val="20"/>
              </w:rPr>
            </w:pPr>
            <w:r>
              <w:rPr>
                <w:color w:val="000000"/>
                <w:spacing w:val="0"/>
                <w:w w:val="100"/>
                <w:position w:val="0"/>
                <w:sz w:val="20"/>
                <w:szCs w:val="20"/>
              </w:rPr>
              <w:t xml:space="preserve">网 </w:t>
            </w:r>
            <w:r>
              <w:rPr>
                <w:rFonts w:ascii="Times New Roman" w:eastAsia="Times New Roman" w:hAnsi="Times New Roman" w:cs="Times New Roman"/>
                <w:color w:val="000000"/>
                <w:spacing w:val="0"/>
                <w:w w:val="100"/>
                <w:position w:val="0"/>
                <w:sz w:val="20"/>
                <w:szCs w:val="20"/>
              </w:rPr>
              <w:t xml:space="preserve">2013- </w:t>
            </w:r>
            <w:r>
              <w:rPr>
                <w:rFonts w:ascii="Times New Roman" w:eastAsia="Times New Roman" w:hAnsi="Times New Roman" w:cs="Times New Roman"/>
                <w:color w:val="000000"/>
                <w:spacing w:val="0"/>
                <w:w w:val="100"/>
                <w:position w:val="0"/>
                <w:sz w:val="20"/>
                <w:szCs w:val="20"/>
              </w:rPr>
              <w:t>063</w:t>
            </w:r>
            <w:r>
              <w:rPr>
                <w:color w:val="000000"/>
                <w:spacing w:val="0"/>
                <w:w w:val="100"/>
                <w:position w:val="0"/>
                <w:sz w:val="20"/>
                <w:szCs w:val="20"/>
              </w:rPr>
              <w:t>《关 于向关联 方租赁物 业的关联 交易公 告》</w:t>
            </w:r>
          </w:p>
        </w:tc>
      </w:tr>
      <w:tr>
        <w:trPr>
          <w:trHeight w:val="2434"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549.46</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3.18%</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10,733.68</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按季度支</w:t>
            </w:r>
          </w:p>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付</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2014 </w:t>
            </w:r>
            <w:r>
              <w:rPr>
                <w:color w:val="000000"/>
                <w:spacing w:val="0"/>
                <w:w w:val="100"/>
                <w:position w:val="0"/>
                <w:sz w:val="20"/>
                <w:szCs w:val="20"/>
              </w:rPr>
              <w:t>年</w:t>
            </w:r>
          </w:p>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25</w:t>
            </w:r>
          </w:p>
          <w:p>
            <w:pPr>
              <w:pStyle w:val="Style28"/>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color w:val="000000"/>
                <w:spacing w:val="0"/>
                <w:w w:val="100"/>
                <w:position w:val="0"/>
                <w:sz w:val="24"/>
                <w:szCs w:val="24"/>
              </w:rPr>
              <w:t>0</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巨潮资讯</w:t>
            </w:r>
          </w:p>
          <w:p>
            <w:pPr>
              <w:pStyle w:val="Style28"/>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 xml:space="preserve">网 </w:t>
            </w:r>
            <w:r>
              <w:rPr>
                <w:rFonts w:ascii="Times New Roman" w:eastAsia="Times New Roman" w:hAnsi="Times New Roman" w:cs="Times New Roman"/>
                <w:color w:val="000000"/>
                <w:spacing w:val="0"/>
                <w:w w:val="100"/>
                <w:position w:val="0"/>
                <w:sz w:val="20"/>
                <w:szCs w:val="20"/>
              </w:rPr>
              <w:t xml:space="preserve">2014- </w:t>
            </w:r>
            <w:r>
              <w:rPr>
                <w:rFonts w:ascii="Times New Roman" w:eastAsia="Times New Roman" w:hAnsi="Times New Roman" w:cs="Times New Roman"/>
                <w:color w:val="000000"/>
                <w:spacing w:val="0"/>
                <w:w w:val="100"/>
                <w:position w:val="0"/>
                <w:sz w:val="20"/>
                <w:szCs w:val="20"/>
              </w:rPr>
              <w:t>007</w:t>
            </w:r>
            <w:r>
              <w:rPr>
                <w:color w:val="000000"/>
                <w:spacing w:val="0"/>
                <w:w w:val="100"/>
                <w:position w:val="0"/>
                <w:sz w:val="20"/>
                <w:szCs w:val="20"/>
              </w:rPr>
              <w:t>《关</w:t>
            </w:r>
          </w:p>
          <w:p>
            <w:pPr>
              <w:pStyle w:val="Style28"/>
              <w:keepNext w:val="0"/>
              <w:keepLines w:val="0"/>
              <w:widowControl w:val="0"/>
              <w:shd w:val="clear" w:color="auto" w:fill="auto"/>
              <w:bidi w:val="0"/>
              <w:spacing w:before="0" w:after="0" w:line="272" w:lineRule="exact"/>
              <w:ind w:left="0" w:right="0" w:firstLine="0"/>
              <w:jc w:val="left"/>
              <w:rPr>
                <w:sz w:val="20"/>
                <w:szCs w:val="20"/>
              </w:rPr>
            </w:pPr>
            <w:r>
              <w:rPr>
                <w:color w:val="000000"/>
                <w:spacing w:val="0"/>
                <w:w w:val="100"/>
                <w:position w:val="0"/>
                <w:sz w:val="20"/>
                <w:szCs w:val="20"/>
              </w:rPr>
              <w:t>于向关联 方租赁物 业的关联 交易公 告》</w:t>
            </w:r>
          </w:p>
        </w:tc>
      </w:tr>
    </w:tbl>
    <w:p>
      <w:pPr>
        <w:sectPr>
          <w:headerReference w:type="default" r:id="rId63"/>
          <w:footerReference w:type="default" r:id="rId64"/>
          <w:headerReference w:type="even" r:id="rId65"/>
          <w:footerReference w:type="even" r:id="rId66"/>
          <w:footnotePr>
            <w:pos w:val="pageBottom"/>
            <w:numFmt w:val="decimal"/>
            <w:numRestart w:val="continuous"/>
          </w:footnotePr>
          <w:pgSz w:w="8400" w:h="11900"/>
          <w:pgMar w:top="1126" w:right="1138" w:bottom="1169" w:left="0" w:header="0" w:footer="3" w:gutter="0"/>
          <w:pgNumType w:start="84"/>
          <w:cols w:space="720"/>
          <w:noEndnote/>
          <w:rtlGutter w:val="0"/>
          <w:docGrid w:linePitch="360"/>
        </w:sectPr>
      </w:pPr>
    </w:p>
    <w:tbl>
      <w:tblPr>
        <w:tblOverlap w:val="never"/>
        <w:jc w:val="center"/>
        <w:tblLayout w:type="fixed"/>
      </w:tblPr>
      <w:tblGrid>
        <w:gridCol w:w="946"/>
        <w:gridCol w:w="941"/>
        <w:gridCol w:w="941"/>
        <w:gridCol w:w="2026"/>
        <w:gridCol w:w="854"/>
        <w:gridCol w:w="1056"/>
        <w:gridCol w:w="926"/>
        <w:gridCol w:w="850"/>
        <w:gridCol w:w="1310"/>
        <w:gridCol w:w="581"/>
        <w:gridCol w:w="1099"/>
        <w:gridCol w:w="787"/>
        <w:gridCol w:w="763"/>
        <w:gridCol w:w="946"/>
      </w:tblGrid>
      <w:tr>
        <w:trPr>
          <w:trHeight w:val="1114" w:hRule="exact"/>
        </w:trPr>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关联交易 方</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关联关系</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88" w:lineRule="exact"/>
              <w:ind w:left="0" w:right="0" w:firstLine="0"/>
              <w:jc w:val="center"/>
              <w:rPr>
                <w:sz w:val="20"/>
                <w:szCs w:val="20"/>
              </w:rPr>
            </w:pPr>
            <w:r>
              <w:rPr>
                <w:color w:val="000000"/>
                <w:spacing w:val="0"/>
                <w:w w:val="100"/>
                <w:position w:val="0"/>
                <w:sz w:val="20"/>
                <w:szCs w:val="20"/>
              </w:rPr>
              <w:t>关联交易 类型</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关联交易内容</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76" w:lineRule="exact"/>
              <w:ind w:left="0" w:right="0" w:firstLine="0"/>
              <w:jc w:val="center"/>
              <w:rPr>
                <w:sz w:val="20"/>
                <w:szCs w:val="20"/>
              </w:rPr>
            </w:pPr>
            <w:r>
              <w:rPr>
                <w:color w:val="000000"/>
                <w:spacing w:val="0"/>
                <w:w w:val="100"/>
                <w:position w:val="0"/>
                <w:sz w:val="20"/>
                <w:szCs w:val="20"/>
              </w:rPr>
              <w:t>关联交 易定价 原则</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关联交易 价格</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关联交易 支付金额</w:t>
            </w:r>
          </w:p>
        </w:tc>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72" w:lineRule="exact"/>
              <w:ind w:left="0" w:right="0" w:firstLine="0"/>
              <w:jc w:val="center"/>
              <w:rPr>
                <w:sz w:val="20"/>
                <w:szCs w:val="20"/>
              </w:rPr>
            </w:pPr>
            <w:r>
              <w:rPr>
                <w:color w:val="000000"/>
                <w:spacing w:val="0"/>
                <w:w w:val="100"/>
                <w:position w:val="0"/>
                <w:sz w:val="20"/>
                <w:szCs w:val="20"/>
              </w:rPr>
              <w:t>占同类 交易金 额的比 例</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54" w:lineRule="exact"/>
              <w:ind w:left="0" w:right="0" w:firstLine="0"/>
              <w:jc w:val="center"/>
              <w:rPr>
                <w:sz w:val="20"/>
                <w:szCs w:val="20"/>
              </w:rPr>
            </w:pPr>
            <w:r>
              <w:rPr>
                <w:color w:val="000000"/>
                <w:spacing w:val="0"/>
                <w:w w:val="100"/>
                <w:position w:val="0"/>
                <w:sz w:val="20"/>
                <w:szCs w:val="20"/>
              </w:rPr>
              <w:t>获批的交易 额度</w:t>
            </w:r>
          </w:p>
        </w:tc>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66" w:lineRule="exact"/>
              <w:ind w:left="0" w:right="0" w:firstLine="0"/>
              <w:jc w:val="left"/>
              <w:rPr>
                <w:sz w:val="20"/>
                <w:szCs w:val="20"/>
              </w:rPr>
            </w:pPr>
            <w:r>
              <w:rPr>
                <w:color w:val="000000"/>
                <w:spacing w:val="0"/>
                <w:w w:val="100"/>
                <w:position w:val="0"/>
                <w:sz w:val="20"/>
                <w:szCs w:val="20"/>
              </w:rPr>
              <w:t>是否 超过 获批 额度</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88" w:lineRule="exact"/>
              <w:ind w:left="0" w:right="0" w:firstLine="0"/>
              <w:jc w:val="left"/>
              <w:rPr>
                <w:sz w:val="20"/>
                <w:szCs w:val="20"/>
              </w:rPr>
            </w:pPr>
            <w:r>
              <w:rPr>
                <w:color w:val="000000"/>
                <w:spacing w:val="0"/>
                <w:w w:val="100"/>
                <w:position w:val="0"/>
                <w:sz w:val="20"/>
                <w:szCs w:val="20"/>
              </w:rPr>
              <w:t>关联交易 结算方式</w:t>
            </w:r>
          </w:p>
        </w:tc>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72" w:lineRule="exact"/>
              <w:ind w:left="0" w:right="0" w:firstLine="0"/>
              <w:jc w:val="center"/>
              <w:rPr>
                <w:sz w:val="20"/>
                <w:szCs w:val="20"/>
              </w:rPr>
            </w:pPr>
            <w:r>
              <w:rPr>
                <w:color w:val="000000"/>
                <w:spacing w:val="0"/>
                <w:w w:val="100"/>
                <w:position w:val="0"/>
                <w:sz w:val="20"/>
                <w:szCs w:val="20"/>
              </w:rPr>
              <w:t>可获得 的同类 交易市 价</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披露日 期</w:t>
            </w:r>
          </w:p>
        </w:tc>
        <w:tc>
          <w:tcPr>
            <w:tcBorders>
              <w:top w:val="single" w:sz="4"/>
              <w:left w:val="single" w:sz="4"/>
              <w:righ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披露索引</w:t>
            </w:r>
          </w:p>
        </w:tc>
      </w:tr>
      <w:tr>
        <w:trPr>
          <w:trHeight w:val="243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66" w:lineRule="exact"/>
              <w:ind w:left="0" w:right="0" w:firstLine="0"/>
              <w:jc w:val="left"/>
              <w:rPr>
                <w:sz w:val="20"/>
                <w:szCs w:val="20"/>
              </w:rPr>
            </w:pPr>
            <w:r>
              <w:rPr>
                <w:color w:val="000000"/>
                <w:spacing w:val="0"/>
                <w:w w:val="100"/>
                <w:position w:val="0"/>
                <w:sz w:val="20"/>
                <w:szCs w:val="20"/>
              </w:rPr>
              <w:t>《补充协议》，因经 营需要公司调整门店 部分租赁面积，调整 后租赁面积为</w:t>
            </w:r>
            <w:r>
              <w:rPr>
                <w:rFonts w:ascii="Times New Roman" w:eastAsia="Times New Roman" w:hAnsi="Times New Roman" w:cs="Times New Roman"/>
                <w:color w:val="000000"/>
                <w:spacing w:val="0"/>
                <w:w w:val="100"/>
                <w:position w:val="0"/>
                <w:sz w:val="20"/>
                <w:szCs w:val="20"/>
              </w:rPr>
              <w:t xml:space="preserve">9297 </w:t>
            </w:r>
            <w:r>
              <w:rPr>
                <w:color w:val="000000"/>
                <w:spacing w:val="0"/>
                <w:w w:val="100"/>
                <w:position w:val="0"/>
                <w:sz w:val="20"/>
                <w:szCs w:val="20"/>
              </w:rPr>
              <w:t xml:space="preserve">平方米，计租日期 </w:t>
            </w:r>
            <w:r>
              <w:rPr>
                <w:rFonts w:ascii="Times New Roman" w:eastAsia="Times New Roman" w:hAnsi="Times New Roman" w:cs="Times New Roman"/>
                <w:color w:val="000000"/>
                <w:spacing w:val="0"/>
                <w:w w:val="100"/>
                <w:position w:val="0"/>
                <w:sz w:val="20"/>
                <w:szCs w:val="20"/>
              </w:rPr>
              <w:t xml:space="preserve">2015/6/28- </w:t>
            </w:r>
            <w:r>
              <w:rPr>
                <w:rFonts w:ascii="Times New Roman" w:eastAsia="Times New Roman" w:hAnsi="Times New Roman" w:cs="Times New Roman"/>
                <w:color w:val="000000"/>
                <w:spacing w:val="0"/>
                <w:w w:val="100"/>
                <w:position w:val="0"/>
                <w:sz w:val="20"/>
                <w:szCs w:val="20"/>
              </w:rPr>
              <w:t>2028/12/27</w:t>
            </w:r>
            <w:r>
              <w:rPr>
                <w:color w:val="000000"/>
                <w:spacing w:val="0"/>
                <w:w w:val="100"/>
                <w:position w:val="0"/>
                <w:sz w:val="20"/>
                <w:szCs w:val="20"/>
              </w:rPr>
              <w:t xml:space="preserve">，调整后 的租金总额为 </w:t>
            </w:r>
            <w:r>
              <w:rPr>
                <w:rFonts w:ascii="Times New Roman" w:eastAsia="Times New Roman" w:hAnsi="Times New Roman" w:cs="Times New Roman"/>
                <w:color w:val="000000"/>
                <w:spacing w:val="0"/>
                <w:w w:val="100"/>
                <w:position w:val="0"/>
                <w:sz w:val="20"/>
                <w:szCs w:val="20"/>
              </w:rPr>
              <w:t xml:space="preserve">7893.209 </w:t>
            </w:r>
            <w:r>
              <w:rPr>
                <w:color w:val="000000"/>
                <w:spacing w:val="0"/>
                <w:w w:val="100"/>
                <w:position w:val="0"/>
                <w:sz w:val="20"/>
                <w:szCs w:val="20"/>
              </w:rPr>
              <w:t>万元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89"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石家庄苏 宁房地产 开发有限 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81" w:lineRule="exact"/>
              <w:ind w:left="0" w:right="0" w:firstLine="0"/>
              <w:jc w:val="both"/>
              <w:rPr>
                <w:sz w:val="20"/>
                <w:szCs w:val="20"/>
              </w:rPr>
            </w:pPr>
            <w:r>
              <w:rPr>
                <w:color w:val="000000"/>
                <w:spacing w:val="0"/>
                <w:w w:val="100"/>
                <w:position w:val="0"/>
                <w:sz w:val="20"/>
                <w:szCs w:val="20"/>
              </w:rPr>
              <w:t>苏宁置业 集团子公 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物业租赁</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68" w:lineRule="exact"/>
              <w:ind w:left="0" w:right="0" w:firstLine="0"/>
              <w:jc w:val="left"/>
              <w:rPr>
                <w:sz w:val="20"/>
                <w:szCs w:val="20"/>
              </w:rPr>
            </w:pPr>
            <w:r>
              <w:rPr>
                <w:color w:val="000000"/>
                <w:spacing w:val="0"/>
                <w:w w:val="100"/>
                <w:position w:val="0"/>
                <w:sz w:val="20"/>
                <w:szCs w:val="20"/>
              </w:rPr>
              <w:t>租赁其位于石家庄市 中山西路</w:t>
            </w:r>
            <w:r>
              <w:rPr>
                <w:rFonts w:ascii="Times New Roman" w:eastAsia="Times New Roman" w:hAnsi="Times New Roman" w:cs="Times New Roman"/>
                <w:color w:val="000000"/>
                <w:spacing w:val="0"/>
                <w:w w:val="100"/>
                <w:position w:val="0"/>
                <w:sz w:val="20"/>
                <w:szCs w:val="20"/>
              </w:rPr>
              <w:t>77</w:t>
            </w:r>
            <w:r>
              <w:rPr>
                <w:color w:val="000000"/>
                <w:spacing w:val="0"/>
                <w:w w:val="100"/>
                <w:position w:val="0"/>
                <w:sz w:val="20"/>
                <w:szCs w:val="20"/>
              </w:rPr>
              <w:t>号苏宁 广场</w:t>
            </w:r>
            <w:r>
              <w:rPr>
                <w:rFonts w:ascii="Times New Roman" w:eastAsia="Times New Roman" w:hAnsi="Times New Roman" w:cs="Times New Roman"/>
                <w:color w:val="000000"/>
                <w:spacing w:val="0"/>
                <w:w w:val="100"/>
                <w:position w:val="0"/>
                <w:sz w:val="20"/>
                <w:szCs w:val="20"/>
              </w:rPr>
              <w:t>1-5</w:t>
            </w:r>
            <w:r>
              <w:rPr>
                <w:color w:val="000000"/>
                <w:spacing w:val="0"/>
                <w:w w:val="100"/>
                <w:position w:val="0"/>
                <w:sz w:val="20"/>
                <w:szCs w:val="20"/>
              </w:rPr>
              <w:t xml:space="preserve">层用于店面 经营，租赁面积 </w:t>
            </w:r>
            <w:r>
              <w:rPr>
                <w:rFonts w:ascii="Times New Roman" w:eastAsia="Times New Roman" w:hAnsi="Times New Roman" w:cs="Times New Roman"/>
                <w:color w:val="000000"/>
                <w:spacing w:val="0"/>
                <w:w w:val="100"/>
                <w:position w:val="0"/>
                <w:sz w:val="20"/>
                <w:szCs w:val="20"/>
              </w:rPr>
              <w:t>13197.2</w:t>
            </w:r>
            <w:r>
              <w:rPr>
                <w:color w:val="000000"/>
                <w:spacing w:val="0"/>
                <w:w w:val="100"/>
                <w:position w:val="0"/>
                <w:sz w:val="20"/>
                <w:szCs w:val="20"/>
              </w:rPr>
              <w:t xml:space="preserve">平方米，租 赁期限 </w:t>
            </w:r>
            <w:r>
              <w:rPr>
                <w:rFonts w:ascii="Times New Roman" w:eastAsia="Times New Roman" w:hAnsi="Times New Roman" w:cs="Times New Roman"/>
                <w:color w:val="000000"/>
                <w:spacing w:val="0"/>
                <w:w w:val="100"/>
                <w:position w:val="0"/>
                <w:sz w:val="20"/>
                <w:szCs w:val="20"/>
              </w:rPr>
              <w:t>2014/3/15</w:t>
              <w:softHyphen/>
              <w:t>2024/3/14</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40" w:line="240" w:lineRule="auto"/>
              <w:ind w:left="0" w:right="0" w:firstLine="0"/>
              <w:jc w:val="both"/>
              <w:rPr>
                <w:sz w:val="20"/>
                <w:szCs w:val="20"/>
              </w:rPr>
            </w:pPr>
            <w:r>
              <w:rPr>
                <w:color w:val="000000"/>
                <w:spacing w:val="0"/>
                <w:w w:val="100"/>
                <w:position w:val="0"/>
                <w:sz w:val="20"/>
                <w:szCs w:val="20"/>
              </w:rPr>
              <w:t>市场价</w:t>
            </w:r>
          </w:p>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格</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66" w:lineRule="exact"/>
              <w:ind w:left="0" w:right="0" w:firstLine="0"/>
              <w:jc w:val="left"/>
              <w:rPr>
                <w:sz w:val="20"/>
                <w:szCs w:val="20"/>
              </w:rPr>
            </w:pPr>
            <w:r>
              <w:rPr>
                <w:color w:val="000000"/>
                <w:spacing w:val="0"/>
                <w:w w:val="100"/>
                <w:position w:val="0"/>
                <w:sz w:val="20"/>
                <w:szCs w:val="20"/>
              </w:rPr>
              <w:t>租赁年度 起每平米 租金单价 为</w:t>
            </w:r>
            <w:r>
              <w:rPr>
                <w:rFonts w:ascii="Times New Roman" w:eastAsia="Times New Roman" w:hAnsi="Times New Roman" w:cs="Times New Roman"/>
                <w:color w:val="000000"/>
                <w:spacing w:val="0"/>
                <w:w w:val="100"/>
                <w:position w:val="0"/>
                <w:sz w:val="20"/>
                <w:szCs w:val="20"/>
              </w:rPr>
              <w:t>2.5</w:t>
            </w:r>
            <w:r>
              <w:rPr>
                <w:color w:val="000000"/>
                <w:spacing w:val="0"/>
                <w:w w:val="100"/>
                <w:position w:val="0"/>
                <w:sz w:val="20"/>
                <w:szCs w:val="20"/>
              </w:rPr>
              <w:t>元</w:t>
            </w:r>
            <w:r>
              <w:rPr>
                <w:rFonts w:ascii="Times New Roman" w:eastAsia="Times New Roman" w:hAnsi="Times New Roman" w:cs="Times New Roman"/>
                <w:color w:val="000000"/>
                <w:spacing w:val="0"/>
                <w:w w:val="100"/>
                <w:position w:val="0"/>
                <w:sz w:val="20"/>
                <w:szCs w:val="20"/>
              </w:rPr>
              <w:t xml:space="preserve">/ </w:t>
            </w:r>
            <w:r>
              <w:rPr>
                <w:color w:val="000000"/>
                <w:spacing w:val="0"/>
                <w:w w:val="100"/>
                <w:position w:val="0"/>
                <w:sz w:val="20"/>
                <w:szCs w:val="20"/>
              </w:rPr>
              <w:t xml:space="preserve">天，以后 每年递增 </w:t>
            </w:r>
            <w:r>
              <w:rPr>
                <w:rFonts w:ascii="Times New Roman" w:eastAsia="Times New Roman" w:hAnsi="Times New Roman" w:cs="Times New Roman"/>
                <w:color w:val="000000"/>
                <w:spacing w:val="0"/>
                <w:w w:val="100"/>
                <w:position w:val="0"/>
                <w:sz w:val="20"/>
                <w:szCs w:val="20"/>
              </w:rPr>
              <w:t>3%</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1,035.09</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5.99%</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16,528.55</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34"/>
                <w:szCs w:val="34"/>
              </w:rPr>
            </w:pPr>
            <w:r>
              <w:rPr>
                <w:color w:val="000000"/>
                <w:spacing w:val="0"/>
                <w:w w:val="100"/>
                <w:position w:val="0"/>
                <w:sz w:val="34"/>
                <w:szCs w:val="34"/>
                <w:vertAlign w:val="subscript"/>
              </w:rPr>
              <w:t>否</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按季度支</w:t>
            </w:r>
          </w:p>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2014 </w:t>
            </w:r>
            <w:r>
              <w:rPr>
                <w:color w:val="000000"/>
                <w:spacing w:val="0"/>
                <w:w w:val="100"/>
                <w:position w:val="0"/>
                <w:sz w:val="20"/>
                <w:szCs w:val="20"/>
              </w:rPr>
              <w:t>年</w:t>
            </w:r>
          </w:p>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15</w:t>
            </w:r>
          </w:p>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日</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70" w:lineRule="exact"/>
              <w:ind w:left="0" w:right="0" w:firstLine="0"/>
              <w:jc w:val="left"/>
              <w:rPr>
                <w:sz w:val="20"/>
                <w:szCs w:val="20"/>
              </w:rPr>
            </w:pPr>
            <w:r>
              <w:rPr>
                <w:color w:val="000000"/>
                <w:spacing w:val="0"/>
                <w:w w:val="100"/>
                <w:position w:val="0"/>
                <w:sz w:val="20"/>
                <w:szCs w:val="20"/>
              </w:rPr>
              <w:t xml:space="preserve">巨潮资讯 网 </w:t>
            </w:r>
            <w:r>
              <w:rPr>
                <w:rFonts w:ascii="Times New Roman" w:eastAsia="Times New Roman" w:hAnsi="Times New Roman" w:cs="Times New Roman"/>
                <w:color w:val="000000"/>
                <w:spacing w:val="0"/>
                <w:w w:val="100"/>
                <w:position w:val="0"/>
                <w:sz w:val="20"/>
                <w:szCs w:val="20"/>
              </w:rPr>
              <w:t>2014- 028</w:t>
            </w:r>
            <w:r>
              <w:rPr>
                <w:color w:val="000000"/>
                <w:spacing w:val="0"/>
                <w:w w:val="100"/>
                <w:position w:val="0"/>
                <w:sz w:val="20"/>
                <w:szCs w:val="20"/>
              </w:rPr>
              <w:t>《关 于向关联 方租赁物 业的关联 交易公 告》</w:t>
            </w:r>
          </w:p>
        </w:tc>
      </w:tr>
      <w:tr>
        <w:trPr>
          <w:trHeight w:val="2429"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1" w:lineRule="exact"/>
              <w:ind w:left="0" w:right="0" w:firstLine="0"/>
              <w:jc w:val="both"/>
              <w:rPr>
                <w:sz w:val="20"/>
                <w:szCs w:val="20"/>
              </w:rPr>
            </w:pPr>
            <w:r>
              <w:rPr>
                <w:color w:val="000000"/>
                <w:spacing w:val="0"/>
                <w:w w:val="100"/>
                <w:position w:val="0"/>
                <w:sz w:val="20"/>
                <w:szCs w:val="20"/>
              </w:rPr>
              <w:t>淮安苏宁 置业有限 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81" w:lineRule="exact"/>
              <w:ind w:left="0" w:right="0" w:firstLine="0"/>
              <w:jc w:val="both"/>
              <w:rPr>
                <w:sz w:val="20"/>
                <w:szCs w:val="20"/>
              </w:rPr>
            </w:pPr>
            <w:r>
              <w:rPr>
                <w:color w:val="000000"/>
                <w:spacing w:val="0"/>
                <w:w w:val="100"/>
                <w:position w:val="0"/>
                <w:sz w:val="20"/>
                <w:szCs w:val="20"/>
              </w:rPr>
              <w:t>苏宁置业 集团子公 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物业租赁</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0" w:lineRule="exact"/>
              <w:ind w:left="0" w:right="0" w:firstLine="0"/>
              <w:jc w:val="left"/>
              <w:rPr>
                <w:sz w:val="20"/>
                <w:szCs w:val="20"/>
              </w:rPr>
            </w:pPr>
            <w:r>
              <w:rPr>
                <w:color w:val="000000"/>
                <w:spacing w:val="0"/>
                <w:w w:val="100"/>
                <w:position w:val="0"/>
                <w:sz w:val="20"/>
                <w:szCs w:val="20"/>
              </w:rPr>
              <w:t>租赁其位于淮安市淮 海东路</w:t>
            </w:r>
            <w:r>
              <w:rPr>
                <w:rFonts w:ascii="Times New Roman" w:eastAsia="Times New Roman" w:hAnsi="Times New Roman" w:cs="Times New Roman"/>
                <w:color w:val="000000"/>
                <w:spacing w:val="0"/>
                <w:w w:val="100"/>
                <w:position w:val="0"/>
                <w:sz w:val="20"/>
                <w:szCs w:val="20"/>
              </w:rPr>
              <w:t>158</w:t>
            </w:r>
            <w:r>
              <w:rPr>
                <w:color w:val="000000"/>
                <w:spacing w:val="0"/>
                <w:w w:val="100"/>
                <w:position w:val="0"/>
                <w:sz w:val="20"/>
                <w:szCs w:val="20"/>
              </w:rPr>
              <w:t>号苏宁生 活广场</w:t>
            </w:r>
            <w:r>
              <w:rPr>
                <w:rFonts w:ascii="Times New Roman" w:eastAsia="Times New Roman" w:hAnsi="Times New Roman" w:cs="Times New Roman"/>
                <w:color w:val="000000"/>
                <w:spacing w:val="0"/>
                <w:w w:val="100"/>
                <w:position w:val="0"/>
                <w:sz w:val="20"/>
                <w:szCs w:val="20"/>
              </w:rPr>
              <w:t>1-5</w:t>
            </w:r>
            <w:r>
              <w:rPr>
                <w:color w:val="000000"/>
                <w:spacing w:val="0"/>
                <w:w w:val="100"/>
                <w:position w:val="0"/>
                <w:sz w:val="20"/>
                <w:szCs w:val="20"/>
              </w:rPr>
              <w:t xml:space="preserve">层用于店 面经营，租赁面积 </w:t>
            </w:r>
            <w:r>
              <w:rPr>
                <w:rFonts w:ascii="Times New Roman" w:eastAsia="Times New Roman" w:hAnsi="Times New Roman" w:cs="Times New Roman"/>
                <w:color w:val="000000"/>
                <w:spacing w:val="0"/>
                <w:w w:val="100"/>
                <w:position w:val="0"/>
                <w:sz w:val="20"/>
                <w:szCs w:val="20"/>
              </w:rPr>
              <w:t>12391.9</w:t>
            </w:r>
            <w:r>
              <w:rPr>
                <w:color w:val="000000"/>
                <w:spacing w:val="0"/>
                <w:w w:val="100"/>
                <w:position w:val="0"/>
                <w:sz w:val="20"/>
                <w:szCs w:val="20"/>
              </w:rPr>
              <w:t xml:space="preserve">平方米，租 赁期限 </w:t>
            </w:r>
            <w:r>
              <w:rPr>
                <w:rFonts w:ascii="Times New Roman" w:eastAsia="Times New Roman" w:hAnsi="Times New Roman" w:cs="Times New Roman"/>
                <w:color w:val="000000"/>
                <w:spacing w:val="0"/>
                <w:w w:val="100"/>
                <w:position w:val="0"/>
                <w:sz w:val="20"/>
                <w:szCs w:val="20"/>
              </w:rPr>
              <w:t>2014/4/26- 2024/4/25</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40" w:line="240" w:lineRule="auto"/>
              <w:ind w:left="0" w:right="0" w:firstLine="0"/>
              <w:jc w:val="both"/>
              <w:rPr>
                <w:sz w:val="20"/>
                <w:szCs w:val="20"/>
              </w:rPr>
            </w:pPr>
            <w:r>
              <w:rPr>
                <w:color w:val="000000"/>
                <w:spacing w:val="0"/>
                <w:w w:val="100"/>
                <w:position w:val="0"/>
                <w:sz w:val="20"/>
                <w:szCs w:val="20"/>
              </w:rPr>
              <w:t>市场价</w:t>
            </w:r>
          </w:p>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格</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68" w:lineRule="exact"/>
              <w:ind w:left="0" w:right="0" w:firstLine="0"/>
              <w:jc w:val="left"/>
              <w:rPr>
                <w:sz w:val="20"/>
                <w:szCs w:val="20"/>
              </w:rPr>
            </w:pPr>
            <w:r>
              <w:rPr>
                <w:color w:val="000000"/>
                <w:spacing w:val="0"/>
                <w:w w:val="100"/>
                <w:position w:val="0"/>
                <w:sz w:val="20"/>
                <w:szCs w:val="20"/>
              </w:rPr>
              <w:t>自首个租 赁年度起 前两年每 平米租金 单价为</w:t>
            </w:r>
            <w:r>
              <w:rPr>
                <w:rFonts w:ascii="Times New Roman" w:eastAsia="Times New Roman" w:hAnsi="Times New Roman" w:cs="Times New Roman"/>
                <w:color w:val="000000"/>
                <w:spacing w:val="0"/>
                <w:w w:val="100"/>
                <w:position w:val="0"/>
                <w:sz w:val="20"/>
                <w:szCs w:val="20"/>
              </w:rPr>
              <w:t xml:space="preserve">1.6 </w:t>
            </w:r>
            <w:r>
              <w:rPr>
                <w:color w:val="000000"/>
                <w:spacing w:val="0"/>
                <w:w w:val="100"/>
                <w:position w:val="0"/>
                <w:sz w:val="20"/>
                <w:szCs w:val="20"/>
              </w:rPr>
              <w:t>元</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 xml:space="preserve">天，从 第三年起 每年递增 </w:t>
            </w:r>
            <w:r>
              <w:rPr>
                <w:rFonts w:ascii="Times New Roman" w:eastAsia="Times New Roman" w:hAnsi="Times New Roman" w:cs="Times New Roman"/>
                <w:color w:val="000000"/>
                <w:spacing w:val="0"/>
                <w:w w:val="100"/>
                <w:position w:val="0"/>
                <w:sz w:val="20"/>
                <w:szCs w:val="20"/>
              </w:rPr>
              <w:t>3%</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421.52</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2.44%</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9,944.40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34"/>
                <w:szCs w:val="34"/>
              </w:rPr>
            </w:pPr>
            <w:r>
              <w:rPr>
                <w:color w:val="000000"/>
                <w:spacing w:val="0"/>
                <w:w w:val="100"/>
                <w:position w:val="0"/>
                <w:sz w:val="34"/>
                <w:szCs w:val="34"/>
                <w:vertAlign w:val="subscript"/>
              </w:rPr>
              <w:t>否</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按季度支</w:t>
            </w:r>
          </w:p>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2014 </w:t>
            </w:r>
            <w:r>
              <w:rPr>
                <w:color w:val="000000"/>
                <w:spacing w:val="0"/>
                <w:w w:val="100"/>
                <w:position w:val="0"/>
                <w:sz w:val="20"/>
                <w:szCs w:val="20"/>
              </w:rPr>
              <w:t>年</w:t>
            </w:r>
          </w:p>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15</w:t>
            </w:r>
          </w:p>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日</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72" w:lineRule="exact"/>
              <w:ind w:left="0" w:right="0" w:firstLine="0"/>
              <w:jc w:val="left"/>
              <w:rPr>
                <w:sz w:val="20"/>
                <w:szCs w:val="20"/>
              </w:rPr>
            </w:pPr>
            <w:r>
              <w:rPr>
                <w:color w:val="000000"/>
                <w:spacing w:val="0"/>
                <w:w w:val="100"/>
                <w:position w:val="0"/>
                <w:sz w:val="20"/>
                <w:szCs w:val="20"/>
              </w:rPr>
              <w:t xml:space="preserve">巨潮资讯 网 </w:t>
            </w:r>
            <w:r>
              <w:rPr>
                <w:rFonts w:ascii="Times New Roman" w:eastAsia="Times New Roman" w:hAnsi="Times New Roman" w:cs="Times New Roman"/>
                <w:color w:val="000000"/>
                <w:spacing w:val="0"/>
                <w:w w:val="100"/>
                <w:position w:val="0"/>
                <w:sz w:val="20"/>
                <w:szCs w:val="20"/>
              </w:rPr>
              <w:t>2014- 028</w:t>
            </w:r>
            <w:r>
              <w:rPr>
                <w:color w:val="000000"/>
                <w:spacing w:val="0"/>
                <w:w w:val="100"/>
                <w:position w:val="0"/>
                <w:sz w:val="20"/>
                <w:szCs w:val="20"/>
              </w:rPr>
              <w:t>《关 于向关联 方租赁物 业的关联 交易公 告》</w:t>
            </w:r>
          </w:p>
        </w:tc>
      </w:tr>
      <w:tr>
        <w:trPr>
          <w:trHeight w:val="283" w:hRule="exact"/>
        </w:trPr>
        <w:tc>
          <w:tcPr>
            <w:gridSpan w:val="4"/>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17,266.62</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r>
      <w:tr>
        <w:trPr>
          <w:trHeight w:val="283" w:hRule="exact"/>
        </w:trPr>
        <w:tc>
          <w:tcPr>
            <w:gridSpan w:val="4"/>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大额销货退回的详细情况</w:t>
            </w:r>
          </w:p>
        </w:tc>
        <w:tc>
          <w:tcPr>
            <w:gridSpan w:val="10"/>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不适用</w:t>
            </w:r>
          </w:p>
        </w:tc>
      </w:tr>
      <w:tr>
        <w:trPr>
          <w:trHeight w:val="557" w:hRule="exact"/>
        </w:trPr>
        <w:tc>
          <w:tcPr>
            <w:gridSpan w:val="4"/>
            <w:tcBorders>
              <w:top w:val="single" w:sz="4"/>
              <w:left w:val="single" w:sz="4"/>
              <w:bottom w:val="single" w:sz="4"/>
            </w:tcBorders>
            <w:shd w:val="clear" w:color="auto" w:fill="D3D3D3"/>
            <w:vAlign w:val="top"/>
          </w:tcPr>
          <w:p>
            <w:pPr>
              <w:pStyle w:val="Style28"/>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按类别对本期将发生的日常关联交易进行总金额预 计的，在报告期内的实际履行情况（如有）</w:t>
            </w:r>
          </w:p>
        </w:tc>
        <w:tc>
          <w:tcPr>
            <w:gridSpan w:val="10"/>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报告期内，公司与关联方物业租赁事项均按照合同履约。</w:t>
            </w:r>
          </w:p>
        </w:tc>
      </w:tr>
    </w:tbl>
    <w:p>
      <w:pPr>
        <w:spacing w:lineRule="exact" w:line="1"/>
        <w:rPr>
          <w:sz w:val="2"/>
          <w:szCs w:val="2"/>
        </w:rPr>
      </w:pPr>
      <w:r>
        <w:br w:type="page"/>
      </w:r>
    </w:p>
    <w:tbl>
      <w:tblPr>
        <w:tblOverlap w:val="never"/>
        <w:jc w:val="center"/>
        <w:tblLayout w:type="fixed"/>
      </w:tblPr>
      <w:tblGrid>
        <w:gridCol w:w="946"/>
        <w:gridCol w:w="941"/>
        <w:gridCol w:w="941"/>
        <w:gridCol w:w="2026"/>
        <w:gridCol w:w="854"/>
        <w:gridCol w:w="1056"/>
        <w:gridCol w:w="926"/>
        <w:gridCol w:w="850"/>
        <w:gridCol w:w="1310"/>
        <w:gridCol w:w="581"/>
        <w:gridCol w:w="1099"/>
        <w:gridCol w:w="787"/>
        <w:gridCol w:w="763"/>
        <w:gridCol w:w="946"/>
      </w:tblGrid>
      <w:tr>
        <w:trPr>
          <w:trHeight w:val="1114" w:hRule="exact"/>
        </w:trPr>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关联交易 方</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关联关系</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关联交易 类型</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关联交易内容</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76" w:lineRule="exact"/>
              <w:ind w:left="0" w:right="0" w:firstLine="0"/>
              <w:jc w:val="center"/>
              <w:rPr>
                <w:sz w:val="20"/>
                <w:szCs w:val="20"/>
              </w:rPr>
            </w:pPr>
            <w:r>
              <w:rPr>
                <w:color w:val="000000"/>
                <w:spacing w:val="0"/>
                <w:w w:val="100"/>
                <w:position w:val="0"/>
                <w:sz w:val="20"/>
                <w:szCs w:val="20"/>
              </w:rPr>
              <w:t>关联交 易定价 原则</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关联交易 价格</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关联交易 支付金额</w:t>
            </w:r>
          </w:p>
        </w:tc>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72" w:lineRule="exact"/>
              <w:ind w:left="0" w:right="0" w:firstLine="0"/>
              <w:jc w:val="center"/>
              <w:rPr>
                <w:sz w:val="20"/>
                <w:szCs w:val="20"/>
              </w:rPr>
            </w:pPr>
            <w:r>
              <w:rPr>
                <w:color w:val="000000"/>
                <w:spacing w:val="0"/>
                <w:w w:val="100"/>
                <w:position w:val="0"/>
                <w:sz w:val="20"/>
                <w:szCs w:val="20"/>
              </w:rPr>
              <w:t>占同类 交易金 额的比 例</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获批的交易 额度</w:t>
            </w:r>
          </w:p>
        </w:tc>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66" w:lineRule="exact"/>
              <w:ind w:left="0" w:right="0" w:firstLine="0"/>
              <w:jc w:val="left"/>
              <w:rPr>
                <w:sz w:val="20"/>
                <w:szCs w:val="20"/>
              </w:rPr>
            </w:pPr>
            <w:r>
              <w:rPr>
                <w:color w:val="000000"/>
                <w:spacing w:val="0"/>
                <w:w w:val="100"/>
                <w:position w:val="0"/>
                <w:sz w:val="20"/>
                <w:szCs w:val="20"/>
              </w:rPr>
              <w:t>是否 超过 获批 额度</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88" w:lineRule="exact"/>
              <w:ind w:left="0" w:right="0" w:firstLine="0"/>
              <w:jc w:val="left"/>
              <w:rPr>
                <w:sz w:val="20"/>
                <w:szCs w:val="20"/>
              </w:rPr>
            </w:pPr>
            <w:r>
              <w:rPr>
                <w:color w:val="000000"/>
                <w:spacing w:val="0"/>
                <w:w w:val="100"/>
                <w:position w:val="0"/>
                <w:sz w:val="20"/>
                <w:szCs w:val="20"/>
              </w:rPr>
              <w:t>关联交易 结算方式</w:t>
            </w:r>
          </w:p>
        </w:tc>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72" w:lineRule="exact"/>
              <w:ind w:left="0" w:right="0" w:firstLine="0"/>
              <w:jc w:val="center"/>
              <w:rPr>
                <w:sz w:val="20"/>
                <w:szCs w:val="20"/>
              </w:rPr>
            </w:pPr>
            <w:r>
              <w:rPr>
                <w:color w:val="000000"/>
                <w:spacing w:val="0"/>
                <w:w w:val="100"/>
                <w:position w:val="0"/>
                <w:sz w:val="20"/>
                <w:szCs w:val="20"/>
              </w:rPr>
              <w:t>可获得 的同类 交易市 价</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64" w:lineRule="exact"/>
              <w:ind w:left="0" w:right="0" w:firstLine="0"/>
              <w:jc w:val="center"/>
              <w:rPr>
                <w:sz w:val="20"/>
                <w:szCs w:val="20"/>
              </w:rPr>
            </w:pPr>
            <w:r>
              <w:rPr>
                <w:color w:val="000000"/>
                <w:spacing w:val="0"/>
                <w:w w:val="100"/>
                <w:position w:val="0"/>
                <w:sz w:val="20"/>
                <w:szCs w:val="20"/>
              </w:rPr>
              <w:t>披露日 期</w:t>
            </w:r>
          </w:p>
        </w:tc>
        <w:tc>
          <w:tcPr>
            <w:tcBorders>
              <w:top w:val="single" w:sz="4"/>
              <w:left w:val="single" w:sz="4"/>
              <w:righ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披露索引</w:t>
            </w:r>
          </w:p>
        </w:tc>
      </w:tr>
      <w:tr>
        <w:trPr>
          <w:trHeight w:val="562" w:hRule="exact"/>
        </w:trPr>
        <w:tc>
          <w:tcPr>
            <w:gridSpan w:val="4"/>
            <w:tcBorders>
              <w:top w:val="single" w:sz="4"/>
              <w:left w:val="single" w:sz="4"/>
              <w:bottom w:val="single" w:sz="4"/>
            </w:tcBorders>
            <w:shd w:val="clear" w:color="auto" w:fill="D3D3D3"/>
            <w:vAlign w:val="top"/>
          </w:tcPr>
          <w:p>
            <w:pPr>
              <w:pStyle w:val="Style28"/>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交易价格与市场参考价格差异较大的原因（如适 用）</w:t>
            </w:r>
          </w:p>
        </w:tc>
        <w:tc>
          <w:tcPr>
            <w:gridSpan w:val="10"/>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不适用</w:t>
            </w:r>
          </w:p>
        </w:tc>
      </w:tr>
    </w:tbl>
    <w:p>
      <w:pPr>
        <w:pStyle w:val="Style25"/>
        <w:keepNext w:val="0"/>
        <w:keepLines w:val="0"/>
        <w:widowControl w:val="0"/>
        <w:shd w:val="clear" w:color="auto" w:fill="auto"/>
        <w:bidi w:val="0"/>
        <w:spacing w:before="0" w:after="0" w:line="240" w:lineRule="auto"/>
        <w:ind w:left="10" w:right="0" w:firstLine="0"/>
        <w:jc w:val="left"/>
      </w:pPr>
      <w:r>
        <w:rPr>
          <w:rFonts w:ascii="Times New Roman" w:eastAsia="Times New Roman" w:hAnsi="Times New Roman" w:cs="Times New Roman"/>
          <w:b/>
          <w:bCs/>
          <w:color w:val="000000"/>
          <w:spacing w:val="0"/>
          <w:w w:val="100"/>
          <w:position w:val="0"/>
        </w:rPr>
        <w:t>2</w:t>
      </w:r>
      <w:r>
        <w:rPr>
          <w:b/>
          <w:bCs/>
          <w:color w:val="000000"/>
          <w:spacing w:val="0"/>
          <w:w w:val="100"/>
          <w:position w:val="0"/>
        </w:rPr>
        <w:t>、资产或股权收购、出售发生的关联交易</w:t>
      </w:r>
    </w:p>
    <w:p>
      <w:pPr>
        <w:widowControl w:val="0"/>
        <w:spacing w:after="299" w:line="1" w:lineRule="exact"/>
      </w:pPr>
    </w:p>
    <w:p>
      <w:pPr>
        <w:pStyle w:val="Style25"/>
        <w:keepNext w:val="0"/>
        <w:keepLines w:val="0"/>
        <w:widowControl w:val="0"/>
        <w:shd w:val="clear" w:color="auto" w:fill="auto"/>
        <w:bidi w:val="0"/>
        <w:spacing w:before="0" w:after="0" w:line="240" w:lineRule="auto"/>
        <w:ind w:left="12926" w:right="0" w:firstLine="0"/>
        <w:jc w:val="left"/>
        <w:rPr>
          <w:sz w:val="20"/>
          <w:szCs w:val="20"/>
        </w:rPr>
      </w:pPr>
      <w:r>
        <w:rPr>
          <w:color w:val="000000"/>
          <w:spacing w:val="0"/>
          <w:w w:val="100"/>
          <w:position w:val="0"/>
          <w:sz w:val="20"/>
          <w:szCs w:val="20"/>
        </w:rPr>
        <w:t>单位：万元</w:t>
      </w:r>
    </w:p>
    <w:tbl>
      <w:tblPr>
        <w:tblOverlap w:val="never"/>
        <w:jc w:val="center"/>
        <w:tblLayout w:type="fixed"/>
      </w:tblPr>
      <w:tblGrid>
        <w:gridCol w:w="1248"/>
        <w:gridCol w:w="1085"/>
        <w:gridCol w:w="1051"/>
        <w:gridCol w:w="1051"/>
        <w:gridCol w:w="1056"/>
        <w:gridCol w:w="1157"/>
        <w:gridCol w:w="1142"/>
        <w:gridCol w:w="998"/>
        <w:gridCol w:w="1632"/>
        <w:gridCol w:w="1118"/>
        <w:gridCol w:w="1162"/>
        <w:gridCol w:w="1325"/>
      </w:tblGrid>
      <w:tr>
        <w:trPr>
          <w:trHeight w:val="562" w:hRule="exact"/>
        </w:trPr>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关联方</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关联关系</w:t>
            </w:r>
          </w:p>
        </w:tc>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关联交易 类型</w:t>
            </w:r>
          </w:p>
        </w:tc>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关联交易 内容</w:t>
            </w:r>
          </w:p>
        </w:tc>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关联交易 定价原则</w:t>
            </w:r>
          </w:p>
        </w:tc>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83" w:lineRule="exact"/>
              <w:ind w:left="0" w:right="0" w:firstLine="0"/>
              <w:jc w:val="center"/>
              <w:rPr>
                <w:sz w:val="20"/>
                <w:szCs w:val="20"/>
              </w:rPr>
            </w:pPr>
            <w:r>
              <w:rPr>
                <w:color w:val="000000"/>
                <w:spacing w:val="0"/>
                <w:w w:val="100"/>
                <w:position w:val="0"/>
                <w:sz w:val="20"/>
                <w:szCs w:val="20"/>
              </w:rPr>
              <w:t>转让资产的 账面价值</w:t>
            </w:r>
          </w:p>
        </w:tc>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83" w:lineRule="exact"/>
              <w:ind w:left="0" w:right="0" w:firstLine="0"/>
              <w:jc w:val="center"/>
              <w:rPr>
                <w:sz w:val="20"/>
                <w:szCs w:val="20"/>
              </w:rPr>
            </w:pPr>
            <w:r>
              <w:rPr>
                <w:color w:val="000000"/>
                <w:spacing w:val="0"/>
                <w:w w:val="100"/>
                <w:position w:val="0"/>
                <w:sz w:val="20"/>
                <w:szCs w:val="20"/>
              </w:rPr>
              <w:t>转让资产的 评估价值</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转让价格</w:t>
            </w:r>
          </w:p>
        </w:tc>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关联交易结算方 式</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交易损益</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披露日期</w:t>
            </w:r>
          </w:p>
        </w:tc>
        <w:tc>
          <w:tcPr>
            <w:tcBorders>
              <w:top w:val="single" w:sz="4"/>
              <w:left w:val="single" w:sz="4"/>
              <w:righ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披露索引</w:t>
            </w:r>
          </w:p>
        </w:tc>
      </w:tr>
      <w:tr>
        <w:trPr>
          <w:trHeight w:val="382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1" w:lineRule="exact"/>
              <w:ind w:left="0" w:right="0" w:firstLine="0"/>
              <w:jc w:val="left"/>
              <w:rPr>
                <w:sz w:val="20"/>
                <w:szCs w:val="20"/>
              </w:rPr>
            </w:pPr>
            <w:r>
              <w:rPr>
                <w:color w:val="000000"/>
                <w:spacing w:val="0"/>
                <w:w w:val="100"/>
                <w:position w:val="0"/>
                <w:sz w:val="20"/>
                <w:szCs w:val="20"/>
              </w:rPr>
              <w:t>苏宁置业集 团有限公司</w:t>
            </w:r>
          </w:p>
          <w:p>
            <w:pPr>
              <w:pStyle w:val="Style28"/>
              <w:keepNext w:val="0"/>
              <w:keepLines w:val="0"/>
              <w:widowControl w:val="0"/>
              <w:shd w:val="clear" w:color="auto" w:fill="auto"/>
              <w:bidi w:val="0"/>
              <w:spacing w:before="0" w:after="0" w:line="271" w:lineRule="exact"/>
              <w:ind w:left="0" w:right="0" w:firstLine="0"/>
              <w:jc w:val="left"/>
              <w:rPr>
                <w:sz w:val="20"/>
                <w:szCs w:val="20"/>
              </w:rPr>
            </w:pPr>
            <w:r>
              <w:rPr>
                <w:color w:val="000000"/>
                <w:spacing w:val="0"/>
                <w:w w:val="100"/>
                <w:position w:val="0"/>
                <w:sz w:val="20"/>
                <w:szCs w:val="20"/>
              </w:rPr>
              <w:t>（简称</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苏宁 置业集团</w:t>
            </w:r>
            <w:r>
              <w:rPr>
                <w:color w:val="000000"/>
                <w:spacing w:val="0"/>
                <w:w w:val="100"/>
                <w:position w:val="0"/>
                <w:sz w:val="20"/>
                <w:szCs w:val="2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1" w:lineRule="exact"/>
              <w:ind w:left="0" w:right="0" w:firstLine="0"/>
              <w:jc w:val="left"/>
              <w:rPr>
                <w:sz w:val="20"/>
                <w:szCs w:val="20"/>
              </w:rPr>
            </w:pPr>
            <w:r>
              <w:rPr>
                <w:color w:val="000000"/>
                <w:spacing w:val="0"/>
                <w:w w:val="100"/>
                <w:position w:val="0"/>
                <w:sz w:val="20"/>
                <w:szCs w:val="20"/>
              </w:rPr>
              <w:t>公司实际 控制人控 股子公司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商标转让</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0" w:lineRule="exact"/>
              <w:ind w:left="0" w:right="0" w:firstLine="0"/>
              <w:jc w:val="both"/>
              <w:rPr>
                <w:sz w:val="20"/>
                <w:szCs w:val="20"/>
              </w:rPr>
            </w:pPr>
            <w:r>
              <w:rPr>
                <w:color w:val="000000"/>
                <w:spacing w:val="0"/>
                <w:w w:val="100"/>
                <w:position w:val="0"/>
                <w:sz w:val="20"/>
                <w:szCs w:val="20"/>
              </w:rPr>
              <w:t>苏宁云商 非主营业 务范围内 的部分注 册商标专 用权转让 给苏宁置 业集团</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按照评估 值确定</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3,601.92</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3,601.92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1" w:lineRule="exact"/>
              <w:ind w:left="0" w:right="0" w:firstLine="0"/>
              <w:jc w:val="both"/>
              <w:rPr>
                <w:sz w:val="20"/>
                <w:szCs w:val="20"/>
              </w:rPr>
            </w:pPr>
            <w:r>
              <w:rPr>
                <w:color w:val="000000"/>
                <w:spacing w:val="0"/>
                <w:w w:val="100"/>
                <w:position w:val="0"/>
                <w:sz w:val="20"/>
                <w:szCs w:val="20"/>
              </w:rPr>
              <w:t>协议签订后的十 五个工作日内， 苏宁云商从苏宁 置业集团处收取 人民币</w:t>
            </w:r>
            <w:r>
              <w:rPr>
                <w:rFonts w:ascii="Times New Roman" w:eastAsia="Times New Roman" w:hAnsi="Times New Roman" w:cs="Times New Roman"/>
                <w:color w:val="000000"/>
                <w:spacing w:val="0"/>
                <w:w w:val="100"/>
                <w:position w:val="0"/>
                <w:sz w:val="20"/>
                <w:szCs w:val="20"/>
              </w:rPr>
              <w:t>1,000</w:t>
            </w:r>
            <w:r>
              <w:rPr>
                <w:color w:val="000000"/>
                <w:spacing w:val="0"/>
                <w:w w:val="100"/>
                <w:position w:val="0"/>
                <w:sz w:val="20"/>
                <w:szCs w:val="20"/>
              </w:rPr>
              <w:t xml:space="preserve">万 元；在双方均收 到商标局发出的 全部的商标转让 核准通知书后的 十五个工作日 内，苏宁云商从 苏宁置业集团处 收取余款人民币 </w:t>
            </w:r>
            <w:r>
              <w:rPr>
                <w:rFonts w:ascii="Times New Roman" w:eastAsia="Times New Roman" w:hAnsi="Times New Roman" w:cs="Times New Roman"/>
                <w:color w:val="000000"/>
                <w:spacing w:val="0"/>
                <w:w w:val="100"/>
                <w:position w:val="0"/>
                <w:sz w:val="20"/>
                <w:szCs w:val="20"/>
              </w:rPr>
              <w:t xml:space="preserve">2,601.92 </w:t>
            </w:r>
            <w:r>
              <w:rPr>
                <w:color w:val="000000"/>
                <w:spacing w:val="0"/>
                <w:w w:val="100"/>
                <w:position w:val="0"/>
                <w:sz w:val="20"/>
                <w:szCs w:val="20"/>
              </w:rPr>
              <w:t>万元</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943.40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69" w:lineRule="exact"/>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2016 </w:t>
            </w:r>
            <w:r>
              <w:rPr>
                <w:color w:val="000000"/>
                <w:spacing w:val="0"/>
                <w:w w:val="100"/>
                <w:position w:val="0"/>
                <w:sz w:val="20"/>
                <w:szCs w:val="20"/>
              </w:rPr>
              <w:t xml:space="preserve">年 </w:t>
            </w:r>
            <w:r>
              <w:rPr>
                <w:rFonts w:ascii="Times New Roman" w:eastAsia="Times New Roman" w:hAnsi="Times New Roman" w:cs="Times New Roman"/>
                <w:color w:val="000000"/>
                <w:spacing w:val="0"/>
                <w:w w:val="100"/>
                <w:position w:val="0"/>
                <w:sz w:val="20"/>
                <w:szCs w:val="20"/>
              </w:rPr>
              <w:t xml:space="preserve">03 </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巨潮资讯网</w:t>
            </w:r>
          </w:p>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2016-023 </w:t>
            </w:r>
            <w:r>
              <w:rPr>
                <w:color w:val="000000"/>
                <w:spacing w:val="0"/>
                <w:w w:val="100"/>
                <w:position w:val="0"/>
                <w:sz w:val="20"/>
                <w:szCs w:val="20"/>
              </w:rPr>
              <w:t>号</w:t>
            </w:r>
          </w:p>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公告</w:t>
            </w:r>
          </w:p>
        </w:tc>
      </w:tr>
      <w:tr>
        <w:trPr>
          <w:trHeight w:val="2194"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64" w:lineRule="exact"/>
              <w:ind w:left="0" w:right="0" w:firstLine="0"/>
              <w:jc w:val="left"/>
              <w:rPr>
                <w:sz w:val="20"/>
                <w:szCs w:val="20"/>
              </w:rPr>
            </w:pPr>
            <w:r>
              <w:rPr>
                <w:color w:val="000000"/>
                <w:spacing w:val="0"/>
                <w:w w:val="100"/>
                <w:position w:val="0"/>
                <w:sz w:val="20"/>
                <w:szCs w:val="20"/>
              </w:rPr>
              <w:t>苏宁润东股 权投资管理 有限公司</w:t>
            </w:r>
          </w:p>
          <w:p>
            <w:pPr>
              <w:pStyle w:val="Style28"/>
              <w:keepNext w:val="0"/>
              <w:keepLines w:val="0"/>
              <w:widowControl w:val="0"/>
              <w:shd w:val="clear" w:color="auto" w:fill="auto"/>
              <w:bidi w:val="0"/>
              <w:spacing w:before="0" w:after="0" w:line="264" w:lineRule="exact"/>
              <w:ind w:left="0" w:right="0" w:firstLine="0"/>
              <w:jc w:val="left"/>
              <w:rPr>
                <w:sz w:val="20"/>
                <w:szCs w:val="20"/>
              </w:rPr>
            </w:pPr>
            <w:r>
              <w:rPr>
                <w:color w:val="000000"/>
                <w:spacing w:val="0"/>
                <w:w w:val="100"/>
                <w:position w:val="0"/>
                <w:sz w:val="20"/>
                <w:szCs w:val="20"/>
              </w:rPr>
              <w:t>（简称</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苏宁 润东</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71" w:lineRule="exact"/>
              <w:ind w:left="0" w:right="0" w:firstLine="0"/>
              <w:jc w:val="left"/>
              <w:rPr>
                <w:sz w:val="20"/>
                <w:szCs w:val="20"/>
              </w:rPr>
            </w:pPr>
            <w:r>
              <w:rPr>
                <w:color w:val="000000"/>
                <w:spacing w:val="0"/>
                <w:w w:val="100"/>
                <w:position w:val="0"/>
                <w:sz w:val="20"/>
                <w:szCs w:val="20"/>
              </w:rPr>
              <w:t>苏宁控股 集团控股 子公司</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受让股权</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73" w:lineRule="exact"/>
              <w:ind w:left="0" w:right="0" w:firstLine="0"/>
              <w:jc w:val="both"/>
              <w:rPr>
                <w:sz w:val="20"/>
                <w:szCs w:val="20"/>
              </w:rPr>
            </w:pPr>
            <w:r>
              <w:rPr>
                <w:color w:val="000000"/>
                <w:spacing w:val="0"/>
                <w:w w:val="100"/>
                <w:position w:val="0"/>
                <w:sz w:val="20"/>
                <w:szCs w:val="20"/>
              </w:rPr>
              <w:t xml:space="preserve">公司受让 苏宁润东 所持有的 努比亚技 术有限公 司（简称 </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努比亚公 司</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75" w:lineRule="exact"/>
              <w:ind w:left="0" w:right="0" w:firstLine="0"/>
              <w:jc w:val="both"/>
              <w:rPr>
                <w:sz w:val="20"/>
                <w:szCs w:val="20"/>
              </w:rPr>
            </w:pPr>
            <w:r>
              <w:rPr>
                <w:color w:val="000000"/>
                <w:spacing w:val="0"/>
                <w:w w:val="100"/>
                <w:position w:val="0"/>
                <w:sz w:val="20"/>
                <w:szCs w:val="20"/>
              </w:rPr>
              <w:t xml:space="preserve">苏宁润东 将其持有 努比亚公 司 </w:t>
            </w:r>
            <w:r>
              <w:rPr>
                <w:rFonts w:ascii="Times New Roman" w:eastAsia="Times New Roman" w:hAnsi="Times New Roman" w:cs="Times New Roman"/>
                <w:color w:val="000000"/>
                <w:spacing w:val="0"/>
                <w:w w:val="100"/>
                <w:position w:val="0"/>
                <w:sz w:val="20"/>
                <w:szCs w:val="20"/>
              </w:rPr>
              <w:t xml:space="preserve">4.90% </w:t>
            </w:r>
            <w:r>
              <w:rPr>
                <w:color w:val="000000"/>
                <w:spacing w:val="0"/>
                <w:w w:val="100"/>
                <w:position w:val="0"/>
                <w:sz w:val="20"/>
                <w:szCs w:val="20"/>
              </w:rPr>
              <w:t>股权按照 苏宁润东 投资的成 本价格向</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28,371</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71" w:lineRule="exact"/>
              <w:ind w:left="0" w:right="0" w:firstLine="0"/>
              <w:jc w:val="both"/>
              <w:rPr>
                <w:sz w:val="20"/>
                <w:szCs w:val="20"/>
              </w:rPr>
            </w:pPr>
            <w:r>
              <w:rPr>
                <w:color w:val="000000"/>
                <w:spacing w:val="0"/>
                <w:w w:val="100"/>
                <w:position w:val="0"/>
                <w:sz w:val="20"/>
                <w:szCs w:val="20"/>
              </w:rPr>
              <w:t>股权转让协议签 署后的六个工作 日内支付</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不适用</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2016 </w:t>
            </w:r>
            <w:r>
              <w:rPr>
                <w:color w:val="000000"/>
                <w:spacing w:val="0"/>
                <w:w w:val="100"/>
                <w:position w:val="0"/>
                <w:sz w:val="20"/>
                <w:szCs w:val="20"/>
              </w:rPr>
              <w:t xml:space="preserve">年 </w:t>
            </w:r>
            <w:r>
              <w:rPr>
                <w:rFonts w:ascii="Times New Roman" w:eastAsia="Times New Roman" w:hAnsi="Times New Roman" w:cs="Times New Roman"/>
                <w:color w:val="000000"/>
                <w:spacing w:val="0"/>
                <w:w w:val="100"/>
                <w:position w:val="0"/>
                <w:sz w:val="20"/>
                <w:szCs w:val="20"/>
              </w:rPr>
              <w:t>04</w:t>
            </w:r>
          </w:p>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30</w:t>
            </w:r>
            <w:r>
              <w:rPr>
                <w:color w:val="000000"/>
                <w:spacing w:val="0"/>
                <w:w w:val="100"/>
                <w:position w:val="0"/>
                <w:sz w:val="20"/>
                <w:szCs w:val="20"/>
              </w:rPr>
              <w:t>日</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巨潮资讯网</w:t>
            </w:r>
          </w:p>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2016-044 </w:t>
            </w:r>
            <w:r>
              <w:rPr>
                <w:color w:val="000000"/>
                <w:spacing w:val="0"/>
                <w:w w:val="100"/>
                <w:position w:val="0"/>
                <w:sz w:val="20"/>
                <w:szCs w:val="20"/>
              </w:rPr>
              <w:t>号</w:t>
            </w:r>
          </w:p>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公告</w:t>
            </w:r>
          </w:p>
        </w:tc>
      </w:tr>
    </w:tbl>
    <w:p>
      <w:pPr>
        <w:sectPr>
          <w:headerReference w:type="default" r:id="rId67"/>
          <w:footerReference w:type="default" r:id="rId68"/>
          <w:headerReference w:type="even" r:id="rId69"/>
          <w:footerReference w:type="even" r:id="rId70"/>
          <w:footnotePr>
            <w:pos w:val="pageBottom"/>
            <w:numFmt w:val="decimal"/>
            <w:numRestart w:val="continuous"/>
          </w:footnotePr>
          <w:pgSz w:w="16840" w:h="11900" w:orient="landscape"/>
          <w:pgMar w:top="1145" w:right="1407" w:bottom="1279" w:left="1407" w:header="0" w:footer="3" w:gutter="0"/>
          <w:cols w:space="720"/>
          <w:noEndnote/>
          <w:rtlGutter w:val="0"/>
          <w:docGrid w:linePitch="360"/>
        </w:sectPr>
      </w:pPr>
    </w:p>
    <w:tbl>
      <w:tblPr>
        <w:tblOverlap w:val="never"/>
        <w:jc w:val="center"/>
        <w:tblLayout w:type="fixed"/>
      </w:tblPr>
      <w:tblGrid>
        <w:gridCol w:w="1248"/>
        <w:gridCol w:w="1085"/>
        <w:gridCol w:w="1051"/>
        <w:gridCol w:w="1051"/>
        <w:gridCol w:w="1056"/>
        <w:gridCol w:w="1157"/>
      </w:tblGrid>
      <w:tr>
        <w:trPr>
          <w:trHeight w:val="571" w:hRule="exact"/>
        </w:trPr>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关联方</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关联关系</w:t>
            </w:r>
          </w:p>
        </w:tc>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关联交易 类型</w:t>
            </w:r>
          </w:p>
        </w:tc>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关联交易 内容</w:t>
            </w:r>
          </w:p>
        </w:tc>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关联交易 定价原则</w:t>
            </w:r>
          </w:p>
        </w:tc>
        <w:tc>
          <w:tcPr>
            <w:tcBorders>
              <w:top w:val="single" w:sz="4"/>
              <w:left w:val="single" w:sz="4"/>
              <w:right w:val="single" w:sz="4"/>
            </w:tcBorders>
            <w:shd w:val="clear" w:color="auto" w:fill="D3D3D3"/>
            <w:vAlign w:val="bottom"/>
          </w:tcPr>
          <w:p>
            <w:pPr>
              <w:pStyle w:val="Style28"/>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转让资产的 账面价值</w:t>
            </w:r>
          </w:p>
        </w:tc>
      </w:tr>
      <w:tr>
        <w:trPr>
          <w:trHeight w:val="27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4.90%</w:t>
            </w:r>
            <w:r>
              <w:rPr>
                <w:color w:val="000000"/>
                <w:spacing w:val="0"/>
                <w:w w:val="100"/>
                <w:position w:val="0"/>
                <w:sz w:val="20"/>
                <w:szCs w:val="20"/>
              </w:rPr>
              <w:t>的股</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苏宁云商</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权</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进行转让</w:t>
            </w: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苏宁金控投</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苏宁金控</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股权转让</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公司子公</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考虑苏宁</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110,527</w:t>
            </w:r>
          </w:p>
        </w:tc>
      </w:tr>
      <w:tr>
        <w:trPr>
          <w:trHeight w:val="269" w:hRule="exact"/>
        </w:trPr>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资有限公司</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为苏宁控</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司苏宁金</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金服的未</w:t>
            </w: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（简称“苏宁</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股集团控</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服引入战</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来发展前</w:t>
            </w: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金控</w:t>
            </w:r>
            <w:r>
              <w:rPr>
                <w:color w:val="000000"/>
                <w:spacing w:val="0"/>
                <w:w w:val="100"/>
                <w:position w:val="0"/>
                <w:sz w:val="20"/>
                <w:szCs w:val="20"/>
              </w:rPr>
              <w:t>''）</w:t>
            </w:r>
            <w:r>
              <w:rPr>
                <w:color w:val="000000"/>
                <w:spacing w:val="0"/>
                <w:w w:val="100"/>
                <w:position w:val="0"/>
                <w:sz w:val="20"/>
                <w:szCs w:val="20"/>
              </w:rPr>
              <w:t>;员</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股子公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略投资者</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景、市场</w:t>
            </w:r>
          </w:p>
        </w:tc>
        <w:tc>
          <w:tcPr>
            <w:tcBorders>
              <w:left w:val="single" w:sz="4"/>
              <w:right w:val="single" w:sz="4"/>
            </w:tcBorders>
            <w:shd w:val="clear" w:color="auto" w:fill="FFFFFF"/>
            <w:vAlign w:val="top"/>
          </w:tcPr>
          <w:p>
            <w:pPr>
              <w:widowControl w:val="0"/>
              <w:rPr>
                <w:sz w:val="10"/>
                <w:szCs w:val="10"/>
              </w:rPr>
            </w:pPr>
          </w:p>
        </w:tc>
      </w:tr>
      <w:tr>
        <w:trPr>
          <w:trHeight w:val="269" w:hRule="exact"/>
        </w:trPr>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工持股合伙</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司；员工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苏宁金</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影响力以</w:t>
            </w: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企业</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持股合伙</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控，员工</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及资源稀</w:t>
            </w: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企业为苏</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持股合伙</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缺性，本</w:t>
            </w: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宁金融服</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企业也同</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次投前估</w:t>
            </w:r>
          </w:p>
        </w:tc>
        <w:tc>
          <w:tcPr>
            <w:tcBorders>
              <w:left w:val="single" w:sz="4"/>
              <w:right w:val="single" w:sz="4"/>
            </w:tcBorders>
            <w:shd w:val="clear" w:color="auto" w:fill="FFFFFF"/>
            <w:vAlign w:val="top"/>
          </w:tcPr>
          <w:p>
            <w:pPr>
              <w:widowControl w:val="0"/>
              <w:rPr>
                <w:sz w:val="10"/>
                <w:szCs w:val="10"/>
              </w:rPr>
            </w:pPr>
          </w:p>
        </w:tc>
      </w:tr>
      <w:tr>
        <w:trPr>
          <w:trHeight w:val="26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务（上</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时参与增</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值在苏宁</w:t>
            </w: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海）有限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资，其中</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金服评估</w:t>
            </w: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公司（简</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苏宁金控</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值基础上</w:t>
            </w: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称“苏宁金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出资人民</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给予适当</w:t>
            </w: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服</w:t>
            </w:r>
            <w:r>
              <w:rPr>
                <w:color w:val="000000"/>
                <w:spacing w:val="0"/>
                <w:w w:val="100"/>
                <w:position w:val="0"/>
                <w:sz w:val="20"/>
                <w:szCs w:val="20"/>
              </w:rPr>
              <w:t>''）</w:t>
            </w:r>
            <w:r>
              <w:rPr>
                <w:color w:val="000000"/>
                <w:spacing w:val="0"/>
                <w:w w:val="100"/>
                <w:position w:val="0"/>
                <w:sz w:val="20"/>
                <w:szCs w:val="20"/>
              </w:rPr>
              <w:t>及其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币</w:t>
            </w:r>
            <w:r>
              <w:rPr>
                <w:rFonts w:ascii="Times New Roman" w:eastAsia="Times New Roman" w:hAnsi="Times New Roman" w:cs="Times New Roman"/>
                <w:color w:val="000000"/>
                <w:spacing w:val="0"/>
                <w:w w:val="100"/>
                <w:position w:val="0"/>
                <w:sz w:val="20"/>
                <w:szCs w:val="20"/>
              </w:rPr>
              <w:t>58.33</w:t>
            </w:r>
            <w:r>
              <w:rPr>
                <w:color w:val="000000"/>
                <w:spacing w:val="0"/>
                <w:w w:val="100"/>
                <w:position w:val="0"/>
                <w:sz w:val="20"/>
                <w:szCs w:val="20"/>
              </w:rPr>
              <w:t>亿</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溢价</w:t>
            </w:r>
          </w:p>
        </w:tc>
        <w:tc>
          <w:tcPr>
            <w:tcBorders>
              <w:left w:val="single" w:sz="4"/>
              <w:right w:val="single" w:sz="4"/>
            </w:tcBorders>
            <w:shd w:val="clear" w:color="auto" w:fill="FFFFFF"/>
            <w:vAlign w:val="top"/>
          </w:tcPr>
          <w:p>
            <w:pPr>
              <w:widowControl w:val="0"/>
              <w:rPr>
                <w:sz w:val="10"/>
                <w:szCs w:val="10"/>
              </w:rPr>
            </w:pPr>
          </w:p>
        </w:tc>
      </w:tr>
      <w:tr>
        <w:trPr>
          <w:trHeight w:val="26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股东企业</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元，取得</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苏宁云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增资扩股</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商、苏宁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后苏宁金</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金控的核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服</w:t>
            </w:r>
            <w:r>
              <w:rPr>
                <w:rFonts w:ascii="Times New Roman" w:eastAsia="Times New Roman" w:hAnsi="Times New Roman" w:cs="Times New Roman"/>
                <w:color w:val="000000"/>
                <w:spacing w:val="0"/>
                <w:w w:val="100"/>
                <w:position w:val="0"/>
                <w:sz w:val="20"/>
                <w:szCs w:val="20"/>
              </w:rPr>
              <w:t>35%</w:t>
            </w:r>
            <w:r>
              <w:rPr>
                <w:color w:val="000000"/>
                <w:spacing w:val="0"/>
                <w:w w:val="100"/>
                <w:position w:val="0"/>
                <w:sz w:val="20"/>
                <w:szCs w:val="20"/>
              </w:rPr>
              <w:t>股</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6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心员工，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权；核心</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以及对苏</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员工设立</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宁金服业</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的员工持</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6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务发展有</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股合伙企</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贡献的关</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业出资人</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6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联企业核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民币</w:t>
            </w:r>
            <w:r>
              <w:rPr>
                <w:rFonts w:ascii="Times New Roman" w:eastAsia="Times New Roman" w:hAnsi="Times New Roman" w:cs="Times New Roman"/>
                <w:color w:val="000000"/>
                <w:spacing w:val="0"/>
                <w:w w:val="100"/>
                <w:position w:val="0"/>
                <w:sz w:val="20"/>
                <w:szCs w:val="20"/>
              </w:rPr>
              <w:t>8.33</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6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心员工，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亿元，取</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其中包括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得增资扩</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苏宁云商</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股后苏宁</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金服</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股</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5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事、</w:t>
            </w:r>
            <w:r>
              <w:rPr>
                <w:i/>
                <w:iCs/>
                <w:color w:val="000000"/>
                <w:spacing w:val="0"/>
                <w:w w:val="100"/>
                <w:position w:val="0"/>
                <w:sz w:val="20"/>
                <w:szCs w:val="20"/>
              </w:rPr>
              <w:t>高级</w:t>
            </w:r>
            <w:r>
              <w:rPr>
                <w:rFonts w:ascii="Times New Roman" w:eastAsia="Times New Roman" w:hAnsi="Times New Roman" w:cs="Times New Roman"/>
                <w:i/>
                <w:iCs/>
                <w:color w:val="000000"/>
                <w:spacing w:val="0"/>
                <w:w w:val="100"/>
                <w:position w:val="0"/>
                <w:sz w:val="20"/>
                <w:szCs w:val="20"/>
              </w:rPr>
              <w:t xml:space="preserve"> </w:t>
            </w:r>
            <w:r>
              <w:rPr>
                <w:color w:val="000000"/>
                <w:spacing w:val="0"/>
                <w:w w:val="100"/>
                <w:position w:val="0"/>
                <w:sz w:val="20"/>
                <w:szCs w:val="20"/>
              </w:rPr>
              <w:t>管理人员</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权</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苏宁消费金</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公司董事</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增资</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公司出资</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苏宁消费</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0</w:t>
            </w:r>
          </w:p>
        </w:tc>
      </w:tr>
    </w:tbl>
    <w:p>
      <w:pPr>
        <w:sectPr>
          <w:headerReference w:type="default" r:id="rId71"/>
          <w:footerReference w:type="default" r:id="rId72"/>
          <w:headerReference w:type="even" r:id="rId73"/>
          <w:footerReference w:type="even" r:id="rId74"/>
          <w:footnotePr>
            <w:pos w:val="pageBottom"/>
            <w:numFmt w:val="decimal"/>
            <w:numRestart w:val="continuous"/>
          </w:footnotePr>
          <w:pgSz w:w="8400" w:h="11900"/>
          <w:pgMar w:top="1126" w:right="173" w:bottom="1126" w:left="1579" w:header="698" w:footer="698" w:gutter="0"/>
          <w:pgNumType w:start="91"/>
          <w:cols w:space="720"/>
          <w:noEndnote/>
          <w:rtlGutter w:val="0"/>
          <w:docGrid w:linePitch="360"/>
        </w:sectPr>
      </w:pPr>
    </w:p>
    <w:tbl>
      <w:tblPr>
        <w:tblOverlap w:val="never"/>
        <w:jc w:val="left"/>
        <w:tblLayout w:type="fixed"/>
      </w:tblPr>
      <w:tblGrid>
        <w:gridCol w:w="1142"/>
        <w:gridCol w:w="998"/>
        <w:gridCol w:w="1637"/>
      </w:tblGrid>
      <w:tr>
        <w:trPr>
          <w:trHeight w:val="571" w:hRule="exact"/>
        </w:trPr>
        <w:tc>
          <w:tcPr>
            <w:tcBorders>
              <w:top w:val="single" w:sz="4"/>
              <w:left w:val="single" w:sz="4"/>
            </w:tcBorders>
            <w:shd w:val="clear" w:color="auto" w:fill="D3D3D3"/>
            <w:vAlign w:val="bottom"/>
          </w:tcPr>
          <w:p>
            <w:pPr>
              <w:pStyle w:val="Style28"/>
              <w:keepNext w:val="0"/>
              <w:keepLines w:val="0"/>
              <w:framePr w:w="3778" w:h="9322" w:wrap="none" w:hAnchor="page" w:y="-41"/>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转让资产的 评估价值</w:t>
            </w:r>
          </w:p>
        </w:tc>
        <w:tc>
          <w:tcPr>
            <w:tcBorders>
              <w:top w:val="single" w:sz="4"/>
              <w:left w:val="single" w:sz="4"/>
            </w:tcBorders>
            <w:shd w:val="clear" w:color="auto" w:fill="D3D3D3"/>
            <w:vAlign w:val="top"/>
          </w:tcPr>
          <w:p>
            <w:pPr>
              <w:pStyle w:val="Style28"/>
              <w:keepNext w:val="0"/>
              <w:keepLines w:val="0"/>
              <w:framePr w:w="3778" w:h="9322" w:wrap="none" w:hAnchor="page" w:y="-4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转让价格</w:t>
            </w:r>
          </w:p>
        </w:tc>
        <w:tc>
          <w:tcPr>
            <w:tcBorders>
              <w:top w:val="single" w:sz="4"/>
              <w:left w:val="single" w:sz="4"/>
              <w:right w:val="single" w:sz="4"/>
            </w:tcBorders>
            <w:shd w:val="clear" w:color="auto" w:fill="D3D3D3"/>
            <w:vAlign w:val="bottom"/>
          </w:tcPr>
          <w:p>
            <w:pPr>
              <w:pStyle w:val="Style28"/>
              <w:keepNext w:val="0"/>
              <w:keepLines w:val="0"/>
              <w:framePr w:w="3778" w:h="9322" w:wrap="none" w:hAnchor="page" w:y="-41"/>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关联交易结算方 式</w:t>
            </w:r>
          </w:p>
        </w:tc>
      </w:tr>
      <w:tr>
        <w:trPr>
          <w:trHeight w:val="557" w:hRule="exact"/>
        </w:trPr>
        <w:tc>
          <w:tcPr>
            <w:tcBorders>
              <w:top w:val="single" w:sz="4"/>
              <w:left w:val="single" w:sz="4"/>
            </w:tcBorders>
            <w:shd w:val="clear" w:color="auto" w:fill="FFFFFF"/>
            <w:vAlign w:val="top"/>
          </w:tcPr>
          <w:p>
            <w:pPr>
              <w:framePr w:w="3778" w:h="9322" w:wrap="none" w:hAnchor="page" w:y="-41"/>
              <w:widowControl w:val="0"/>
              <w:rPr>
                <w:sz w:val="10"/>
                <w:szCs w:val="10"/>
              </w:rPr>
            </w:pPr>
          </w:p>
        </w:tc>
        <w:tc>
          <w:tcPr>
            <w:tcBorders>
              <w:top w:val="single" w:sz="4"/>
              <w:left w:val="single" w:sz="4"/>
            </w:tcBorders>
            <w:shd w:val="clear" w:color="auto" w:fill="FFFFFF"/>
            <w:vAlign w:val="top"/>
          </w:tcPr>
          <w:p>
            <w:pPr>
              <w:framePr w:w="3778" w:h="9322" w:wrap="none" w:hAnchor="page" w:y="-41"/>
              <w:widowControl w:val="0"/>
              <w:rPr>
                <w:sz w:val="10"/>
                <w:szCs w:val="10"/>
              </w:rPr>
            </w:pPr>
          </w:p>
        </w:tc>
        <w:tc>
          <w:tcPr>
            <w:tcBorders>
              <w:top w:val="single" w:sz="4"/>
              <w:left w:val="single" w:sz="4"/>
              <w:right w:val="single" w:sz="4"/>
            </w:tcBorders>
            <w:shd w:val="clear" w:color="auto" w:fill="FFFFFF"/>
            <w:vAlign w:val="top"/>
          </w:tcPr>
          <w:p>
            <w:pPr>
              <w:framePr w:w="3778" w:h="9322" w:wrap="none" w:hAnchor="page" w:y="-41"/>
              <w:widowControl w:val="0"/>
              <w:rPr>
                <w:sz w:val="10"/>
                <w:szCs w:val="10"/>
              </w:rPr>
            </w:pPr>
          </w:p>
        </w:tc>
      </w:tr>
      <w:tr>
        <w:trPr>
          <w:trHeight w:val="7906" w:hRule="exact"/>
        </w:trPr>
        <w:tc>
          <w:tcPr>
            <w:tcBorders>
              <w:top w:val="single" w:sz="4"/>
              <w:left w:val="single" w:sz="4"/>
            </w:tcBorders>
            <w:shd w:val="clear" w:color="auto" w:fill="FFFFFF"/>
            <w:vAlign w:val="top"/>
          </w:tcPr>
          <w:p>
            <w:pPr>
              <w:pStyle w:val="Style28"/>
              <w:keepNext w:val="0"/>
              <w:keepLines w:val="0"/>
              <w:framePr w:w="3778" w:h="9322" w:wrap="none" w:hAnchor="page" w:y="-41"/>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900,200</w:t>
            </w:r>
          </w:p>
        </w:tc>
        <w:tc>
          <w:tcPr>
            <w:tcBorders>
              <w:top w:val="single" w:sz="4"/>
              <w:left w:val="single" w:sz="4"/>
            </w:tcBorders>
            <w:shd w:val="clear" w:color="auto" w:fill="FFFFFF"/>
            <w:vAlign w:val="top"/>
          </w:tcPr>
          <w:p>
            <w:pPr>
              <w:pStyle w:val="Style28"/>
              <w:keepNext w:val="0"/>
              <w:keepLines w:val="0"/>
              <w:framePr w:w="3778" w:h="9322" w:wrap="none" w:hAnchor="page" w:y="-41"/>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666,700</w:t>
            </w:r>
          </w:p>
        </w:tc>
        <w:tc>
          <w:tcPr>
            <w:tcBorders>
              <w:top w:val="single" w:sz="4"/>
              <w:left w:val="single" w:sz="4"/>
              <w:right w:val="single" w:sz="4"/>
            </w:tcBorders>
            <w:shd w:val="clear" w:color="auto" w:fill="FFFFFF"/>
            <w:vAlign w:val="top"/>
          </w:tcPr>
          <w:p>
            <w:pPr>
              <w:pStyle w:val="Style28"/>
              <w:keepNext w:val="0"/>
              <w:keepLines w:val="0"/>
              <w:framePr w:w="3778" w:h="9322" w:wrap="none" w:hAnchor="page" w:y="-41"/>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增资方应于增资 协议相关条款约 定的条件满足后 尽快向苏宁金服 指定的账户支付 本次增资的认购 价款。针对员工 持股合伙企业， 于员工持股合伙 企业依法成立并 依据增资协议签 署《参与增资 函》后按照前款 约定缴付本次增 资的认购价款</w:t>
            </w:r>
          </w:p>
        </w:tc>
      </w:tr>
      <w:tr>
        <w:trPr>
          <w:trHeight w:val="288" w:hRule="exact"/>
        </w:trPr>
        <w:tc>
          <w:tcPr>
            <w:tcBorders>
              <w:top w:val="single" w:sz="4"/>
              <w:left w:val="single" w:sz="4"/>
              <w:bottom w:val="single" w:sz="4"/>
            </w:tcBorders>
            <w:shd w:val="clear" w:color="auto" w:fill="FFFFFF"/>
            <w:vAlign w:val="top"/>
          </w:tcPr>
          <w:p>
            <w:pPr>
              <w:pStyle w:val="Style28"/>
              <w:keepNext w:val="0"/>
              <w:keepLines w:val="0"/>
              <w:framePr w:w="3778" w:h="9322" w:wrap="none" w:hAnchor="page" w:y="-41"/>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bottom w:val="single" w:sz="4"/>
            </w:tcBorders>
            <w:shd w:val="clear" w:color="auto" w:fill="FFFFFF"/>
            <w:vAlign w:val="top"/>
          </w:tcPr>
          <w:p>
            <w:pPr>
              <w:pStyle w:val="Style28"/>
              <w:keepNext w:val="0"/>
              <w:keepLines w:val="0"/>
              <w:framePr w:w="3778" w:h="9322" w:wrap="none" w:hAnchor="page" w:y="-41"/>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14,700</w:t>
            </w:r>
          </w:p>
        </w:tc>
        <w:tc>
          <w:tcPr>
            <w:tcBorders>
              <w:top w:val="single" w:sz="4"/>
              <w:left w:val="single" w:sz="4"/>
              <w:bottom w:val="single" w:sz="4"/>
              <w:right w:val="single" w:sz="4"/>
            </w:tcBorders>
            <w:shd w:val="clear" w:color="auto" w:fill="FFFFFF"/>
            <w:vAlign w:val="top"/>
          </w:tcPr>
          <w:p>
            <w:pPr>
              <w:pStyle w:val="Style28"/>
              <w:keepNext w:val="0"/>
              <w:keepLines w:val="0"/>
              <w:framePr w:w="3778" w:h="9322" w:wrap="none" w:hAnchor="page" w:y="-4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货币出资</w:t>
            </w:r>
          </w:p>
        </w:tc>
      </w:tr>
    </w:tbl>
    <w:p>
      <w:pPr>
        <w:framePr w:w="3778" w:h="9322" w:wrap="none" w:hAnchor="page" w:y="-41"/>
        <w:widowControl w:val="0"/>
        <w:spacing w:line="1" w:lineRule="exact"/>
      </w:pPr>
    </w:p>
    <w:tbl>
      <w:tblPr>
        <w:tblOverlap w:val="never"/>
        <w:jc w:val="left"/>
        <w:tblLayout w:type="fixed"/>
      </w:tblPr>
      <w:tblGrid>
        <w:gridCol w:w="1123"/>
        <w:gridCol w:w="1162"/>
        <w:gridCol w:w="1330"/>
      </w:tblGrid>
      <w:tr>
        <w:trPr>
          <w:trHeight w:val="571" w:hRule="exact"/>
        </w:trPr>
        <w:tc>
          <w:tcPr>
            <w:tcBorders>
              <w:top w:val="single" w:sz="4"/>
              <w:left w:val="single" w:sz="4"/>
            </w:tcBorders>
            <w:shd w:val="clear" w:color="auto" w:fill="D3D3D3"/>
            <w:vAlign w:val="top"/>
          </w:tcPr>
          <w:p>
            <w:pPr>
              <w:pStyle w:val="Style28"/>
              <w:keepNext w:val="0"/>
              <w:keepLines w:val="0"/>
              <w:framePr w:w="3614" w:h="9322" w:wrap="none" w:hAnchor="page" w:x="3764" w:y="-41"/>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交易损益</w:t>
            </w:r>
          </w:p>
        </w:tc>
        <w:tc>
          <w:tcPr>
            <w:tcBorders>
              <w:top w:val="single" w:sz="4"/>
              <w:left w:val="single" w:sz="4"/>
            </w:tcBorders>
            <w:shd w:val="clear" w:color="auto" w:fill="D3D3D3"/>
            <w:vAlign w:val="top"/>
          </w:tcPr>
          <w:p>
            <w:pPr>
              <w:pStyle w:val="Style28"/>
              <w:keepNext w:val="0"/>
              <w:keepLines w:val="0"/>
              <w:framePr w:w="3614" w:h="9322" w:wrap="none" w:hAnchor="page" w:x="3764" w:y="-41"/>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披露日期</w:t>
            </w:r>
          </w:p>
        </w:tc>
        <w:tc>
          <w:tcPr>
            <w:tcBorders>
              <w:top w:val="single" w:sz="4"/>
              <w:left w:val="single" w:sz="4"/>
              <w:right w:val="single" w:sz="4"/>
            </w:tcBorders>
            <w:shd w:val="clear" w:color="auto" w:fill="D3D3D3"/>
            <w:vAlign w:val="top"/>
          </w:tcPr>
          <w:p>
            <w:pPr>
              <w:pStyle w:val="Style28"/>
              <w:keepNext w:val="0"/>
              <w:keepLines w:val="0"/>
              <w:framePr w:w="3614" w:h="9322" w:wrap="none" w:hAnchor="page" w:x="3764" w:y="-41"/>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披露索引</w:t>
            </w:r>
          </w:p>
        </w:tc>
      </w:tr>
      <w:tr>
        <w:trPr>
          <w:trHeight w:val="557" w:hRule="exact"/>
        </w:trPr>
        <w:tc>
          <w:tcPr>
            <w:tcBorders>
              <w:top w:val="single" w:sz="4"/>
              <w:left w:val="single" w:sz="4"/>
            </w:tcBorders>
            <w:shd w:val="clear" w:color="auto" w:fill="FFFFFF"/>
            <w:vAlign w:val="top"/>
          </w:tcPr>
          <w:p>
            <w:pPr>
              <w:framePr w:w="3614" w:h="9322" w:wrap="none" w:hAnchor="page" w:x="3764" w:y="-41"/>
              <w:widowControl w:val="0"/>
              <w:rPr>
                <w:sz w:val="10"/>
                <w:szCs w:val="10"/>
              </w:rPr>
            </w:pPr>
          </w:p>
        </w:tc>
        <w:tc>
          <w:tcPr>
            <w:tcBorders>
              <w:top w:val="single" w:sz="4"/>
              <w:left w:val="single" w:sz="4"/>
            </w:tcBorders>
            <w:shd w:val="clear" w:color="auto" w:fill="FFFFFF"/>
            <w:vAlign w:val="top"/>
          </w:tcPr>
          <w:p>
            <w:pPr>
              <w:framePr w:w="3614" w:h="9322" w:wrap="none" w:hAnchor="page" w:x="3764" w:y="-41"/>
              <w:widowControl w:val="0"/>
              <w:rPr>
                <w:sz w:val="10"/>
                <w:szCs w:val="10"/>
              </w:rPr>
            </w:pPr>
          </w:p>
        </w:tc>
        <w:tc>
          <w:tcPr>
            <w:tcBorders>
              <w:top w:val="single" w:sz="4"/>
              <w:left w:val="single" w:sz="4"/>
              <w:right w:val="single" w:sz="4"/>
            </w:tcBorders>
            <w:shd w:val="clear" w:color="auto" w:fill="FFFFFF"/>
            <w:vAlign w:val="top"/>
          </w:tcPr>
          <w:p>
            <w:pPr>
              <w:framePr w:w="3614" w:h="9322" w:wrap="none" w:hAnchor="page" w:x="3764" w:y="-41"/>
              <w:widowControl w:val="0"/>
              <w:rPr>
                <w:sz w:val="10"/>
                <w:szCs w:val="10"/>
              </w:rPr>
            </w:pPr>
          </w:p>
        </w:tc>
      </w:tr>
      <w:tr>
        <w:trPr>
          <w:trHeight w:val="7906" w:hRule="exact"/>
        </w:trPr>
        <w:tc>
          <w:tcPr>
            <w:tcBorders>
              <w:top w:val="single" w:sz="4"/>
              <w:left w:val="single" w:sz="4"/>
            </w:tcBorders>
            <w:shd w:val="clear" w:color="auto" w:fill="FFFFFF"/>
            <w:vAlign w:val="top"/>
          </w:tcPr>
          <w:p>
            <w:pPr>
              <w:pStyle w:val="Style28"/>
              <w:keepNext w:val="0"/>
              <w:keepLines w:val="0"/>
              <w:framePr w:w="3614" w:h="9322" w:wrap="none" w:hAnchor="page" w:x="3764" w:y="-4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不适用</w:t>
            </w:r>
          </w:p>
        </w:tc>
        <w:tc>
          <w:tcPr>
            <w:tcBorders>
              <w:top w:val="single" w:sz="4"/>
              <w:left w:val="single" w:sz="4"/>
            </w:tcBorders>
            <w:shd w:val="clear" w:color="auto" w:fill="FFFFFF"/>
            <w:vAlign w:val="top"/>
          </w:tcPr>
          <w:p>
            <w:pPr>
              <w:pStyle w:val="Style28"/>
              <w:keepNext w:val="0"/>
              <w:keepLines w:val="0"/>
              <w:framePr w:w="3614" w:h="9322" w:wrap="none" w:hAnchor="page" w:x="3764" w:y="-41"/>
              <w:widowControl w:val="0"/>
              <w:shd w:val="clear" w:color="auto" w:fill="auto"/>
              <w:bidi w:val="0"/>
              <w:spacing w:before="0" w:after="0" w:line="269" w:lineRule="exact"/>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2016 </w:t>
            </w:r>
            <w:r>
              <w:rPr>
                <w:color w:val="000000"/>
                <w:spacing w:val="0"/>
                <w:w w:val="100"/>
                <w:position w:val="0"/>
                <w:sz w:val="20"/>
                <w:szCs w:val="20"/>
              </w:rPr>
              <w:t xml:space="preserve">年 </w:t>
            </w:r>
            <w:r>
              <w:rPr>
                <w:rFonts w:ascii="Times New Roman" w:eastAsia="Times New Roman" w:hAnsi="Times New Roman" w:cs="Times New Roman"/>
                <w:color w:val="000000"/>
                <w:spacing w:val="0"/>
                <w:w w:val="100"/>
                <w:position w:val="0"/>
                <w:sz w:val="20"/>
                <w:szCs w:val="20"/>
              </w:rPr>
              <w:t xml:space="preserve">04 </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25</w:t>
            </w:r>
            <w:r>
              <w:rPr>
                <w:color w:val="000000"/>
                <w:spacing w:val="0"/>
                <w:w w:val="100"/>
                <w:position w:val="0"/>
                <w:sz w:val="20"/>
                <w:szCs w:val="20"/>
              </w:rPr>
              <w:t>日</w:t>
            </w:r>
          </w:p>
        </w:tc>
        <w:tc>
          <w:tcPr>
            <w:tcBorders>
              <w:top w:val="single" w:sz="4"/>
              <w:left w:val="single" w:sz="4"/>
              <w:right w:val="single" w:sz="4"/>
            </w:tcBorders>
            <w:shd w:val="clear" w:color="auto" w:fill="FFFFFF"/>
            <w:vAlign w:val="top"/>
          </w:tcPr>
          <w:p>
            <w:pPr>
              <w:pStyle w:val="Style28"/>
              <w:keepNext w:val="0"/>
              <w:keepLines w:val="0"/>
              <w:framePr w:w="3614" w:h="9322" w:wrap="none" w:hAnchor="page" w:x="3764" w:y="-4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巨潮资讯网</w:t>
            </w:r>
          </w:p>
          <w:p>
            <w:pPr>
              <w:pStyle w:val="Style28"/>
              <w:keepNext w:val="0"/>
              <w:keepLines w:val="0"/>
              <w:framePr w:w="3614" w:h="9322" w:wrap="none" w:hAnchor="page" w:x="3764" w:y="-41"/>
              <w:widowControl w:val="0"/>
              <w:shd w:val="clear" w:color="auto" w:fill="auto"/>
              <w:bidi w:val="0"/>
              <w:spacing w:before="0" w:after="0" w:line="293" w:lineRule="exact"/>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2016-036</w:t>
            </w:r>
            <w:r>
              <w:rPr>
                <w:color w:val="000000"/>
                <w:spacing w:val="0"/>
                <w:w w:val="100"/>
                <w:position w:val="0"/>
                <w:sz w:val="20"/>
                <w:szCs w:val="20"/>
              </w:rPr>
              <w:t>号 公告</w:t>
            </w:r>
          </w:p>
        </w:tc>
      </w:tr>
      <w:tr>
        <w:trPr>
          <w:trHeight w:val="288" w:hRule="exact"/>
        </w:trPr>
        <w:tc>
          <w:tcPr>
            <w:tcBorders>
              <w:top w:val="single" w:sz="4"/>
              <w:left w:val="single" w:sz="4"/>
              <w:bottom w:val="single" w:sz="4"/>
            </w:tcBorders>
            <w:shd w:val="clear" w:color="auto" w:fill="FFFFFF"/>
            <w:vAlign w:val="top"/>
          </w:tcPr>
          <w:p>
            <w:pPr>
              <w:pStyle w:val="Style28"/>
              <w:keepNext w:val="0"/>
              <w:keepLines w:val="0"/>
              <w:framePr w:w="3614" w:h="9322" w:wrap="none" w:hAnchor="page" w:x="3764" w:y="-4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不适用</w:t>
            </w:r>
          </w:p>
        </w:tc>
        <w:tc>
          <w:tcPr>
            <w:tcBorders>
              <w:top w:val="single" w:sz="4"/>
              <w:left w:val="single" w:sz="4"/>
              <w:bottom w:val="single" w:sz="4"/>
            </w:tcBorders>
            <w:shd w:val="clear" w:color="auto" w:fill="FFFFFF"/>
            <w:vAlign w:val="top"/>
          </w:tcPr>
          <w:p>
            <w:pPr>
              <w:pStyle w:val="Style28"/>
              <w:keepNext w:val="0"/>
              <w:keepLines w:val="0"/>
              <w:framePr w:w="3614" w:h="9322" w:wrap="none" w:hAnchor="page" w:x="3764" w:y="-41"/>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2016 </w:t>
            </w:r>
            <w:r>
              <w:rPr>
                <w:color w:val="000000"/>
                <w:spacing w:val="0"/>
                <w:w w:val="100"/>
                <w:position w:val="0"/>
                <w:sz w:val="20"/>
                <w:szCs w:val="20"/>
              </w:rPr>
              <w:t xml:space="preserve">年 </w:t>
            </w:r>
            <w:r>
              <w:rPr>
                <w:rFonts w:ascii="Times New Roman" w:eastAsia="Times New Roman" w:hAnsi="Times New Roman" w:cs="Times New Roman"/>
                <w:color w:val="000000"/>
                <w:spacing w:val="0"/>
                <w:w w:val="100"/>
                <w:position w:val="0"/>
                <w:sz w:val="20"/>
                <w:szCs w:val="20"/>
              </w:rPr>
              <w:t>10</w:t>
            </w:r>
          </w:p>
        </w:tc>
        <w:tc>
          <w:tcPr>
            <w:tcBorders>
              <w:top w:val="single" w:sz="4"/>
              <w:left w:val="single" w:sz="4"/>
              <w:bottom w:val="single" w:sz="4"/>
              <w:right w:val="single" w:sz="4"/>
            </w:tcBorders>
            <w:shd w:val="clear" w:color="auto" w:fill="FFFFFF"/>
            <w:vAlign w:val="top"/>
          </w:tcPr>
          <w:p>
            <w:pPr>
              <w:pStyle w:val="Style28"/>
              <w:keepNext w:val="0"/>
              <w:keepLines w:val="0"/>
              <w:framePr w:w="3614" w:h="9322" w:wrap="none" w:hAnchor="page" w:x="3764" w:y="-4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巨潮资讯网</w:t>
            </w:r>
          </w:p>
        </w:tc>
      </w:tr>
    </w:tbl>
    <w:p>
      <w:pPr>
        <w:framePr w:w="3614" w:h="9322" w:wrap="none" w:hAnchor="page" w:x="3764" w:y="-41"/>
        <w:widowControl w:val="0"/>
        <w:spacing w:line="1"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38" w:line="1" w:lineRule="exact"/>
      </w:pPr>
    </w:p>
    <w:p>
      <w:pPr>
        <w:widowControl w:val="0"/>
        <w:spacing w:line="1" w:lineRule="exact"/>
        <w:sectPr>
          <w:headerReference w:type="default" r:id="rId75"/>
          <w:footerReference w:type="default" r:id="rId76"/>
          <w:headerReference w:type="even" r:id="rId77"/>
          <w:footerReference w:type="even" r:id="rId78"/>
          <w:footnotePr>
            <w:pos w:val="pageBottom"/>
            <w:numFmt w:val="decimal"/>
            <w:numRestart w:val="continuous"/>
          </w:footnotePr>
          <w:pgSz w:w="8400" w:h="11900"/>
          <w:pgMar w:top="1169" w:right="1022" w:bottom="1169" w:left="0" w:header="0" w:footer="3" w:gutter="0"/>
          <w:pgNumType w:start="87"/>
          <w:cols w:space="720"/>
          <w:noEndnote/>
          <w:rtlGutter w:val="0"/>
          <w:docGrid w:linePitch="360"/>
        </w:sectPr>
      </w:pPr>
    </w:p>
    <w:tbl>
      <w:tblPr>
        <w:tblOverlap w:val="never"/>
        <w:jc w:val="center"/>
        <w:tblLayout w:type="fixed"/>
      </w:tblPr>
      <w:tblGrid>
        <w:gridCol w:w="1248"/>
        <w:gridCol w:w="1085"/>
        <w:gridCol w:w="1051"/>
        <w:gridCol w:w="1051"/>
        <w:gridCol w:w="1056"/>
        <w:gridCol w:w="1157"/>
        <w:gridCol w:w="1138"/>
        <w:gridCol w:w="1003"/>
        <w:gridCol w:w="1632"/>
        <w:gridCol w:w="1114"/>
        <w:gridCol w:w="1162"/>
        <w:gridCol w:w="1330"/>
      </w:tblGrid>
      <w:tr>
        <w:trPr>
          <w:trHeight w:val="571" w:hRule="exact"/>
        </w:trPr>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关联方</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关联关系</w:t>
            </w:r>
          </w:p>
        </w:tc>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关联交易 类型</w:t>
            </w:r>
          </w:p>
        </w:tc>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关联交易 内容</w:t>
            </w:r>
          </w:p>
        </w:tc>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关联交易 定价原则</w:t>
            </w:r>
          </w:p>
        </w:tc>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转让资产的 账面价值</w:t>
            </w:r>
          </w:p>
        </w:tc>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转让资产的 评估价值</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转让价格</w:t>
            </w:r>
          </w:p>
        </w:tc>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关联交易结算方 式</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交易损益</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披露日期</w:t>
            </w:r>
          </w:p>
        </w:tc>
        <w:tc>
          <w:tcPr>
            <w:tcBorders>
              <w:top w:val="single" w:sz="4"/>
              <w:left w:val="single" w:sz="4"/>
              <w:righ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披露索引</w:t>
            </w:r>
          </w:p>
        </w:tc>
      </w:tr>
      <w:tr>
        <w:trPr>
          <w:trHeight w:val="327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融有限公司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任峻先生 担任苏宁 消费金融 公司董事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2"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1.47 </w:t>
            </w:r>
            <w:r>
              <w:rPr>
                <w:color w:val="000000"/>
                <w:spacing w:val="0"/>
                <w:w w:val="100"/>
                <w:position w:val="0"/>
                <w:sz w:val="20"/>
                <w:szCs w:val="20"/>
              </w:rPr>
              <w:t>亿 元，增资 苏宁消费 金融有限 公司，增 资完成 后，公司 持有苏宁 消费金融 公司</w:t>
            </w:r>
            <w:r>
              <w:rPr>
                <w:rFonts w:ascii="Times New Roman" w:eastAsia="Times New Roman" w:hAnsi="Times New Roman" w:cs="Times New Roman"/>
                <w:color w:val="000000"/>
                <w:spacing w:val="0"/>
                <w:w w:val="100"/>
                <w:position w:val="0"/>
                <w:sz w:val="20"/>
                <w:szCs w:val="20"/>
              </w:rPr>
              <w:t xml:space="preserve">49% </w:t>
            </w:r>
            <w:r>
              <w:rPr>
                <w:color w:val="000000"/>
                <w:spacing w:val="0"/>
                <w:w w:val="100"/>
                <w:position w:val="0"/>
                <w:sz w:val="20"/>
                <w:szCs w:val="20"/>
              </w:rPr>
              <w:t>股权</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金融公司 基于业务 发展规划 需求，对 资本金提 出了合理 要求，经 公司与苏 宁消费金 融公司各 位股东协 商确认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日</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4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2016-077</w:t>
            </w:r>
            <w:r>
              <w:rPr>
                <w:color w:val="000000"/>
                <w:spacing w:val="0"/>
                <w:w w:val="100"/>
                <w:position w:val="0"/>
                <w:sz w:val="20"/>
                <w:szCs w:val="20"/>
              </w:rPr>
              <w:t>号</w:t>
            </w:r>
          </w:p>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公告</w:t>
            </w:r>
          </w:p>
        </w:tc>
      </w:tr>
      <w:tr>
        <w:trPr>
          <w:trHeight w:val="4334"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苏宁电器集 团有限公司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持有公司</w:t>
            </w:r>
          </w:p>
          <w:p>
            <w:pPr>
              <w:pStyle w:val="Style28"/>
              <w:keepNext w:val="0"/>
              <w:keepLines w:val="0"/>
              <w:widowControl w:val="0"/>
              <w:shd w:val="clear" w:color="auto" w:fill="auto"/>
              <w:bidi w:val="0"/>
              <w:spacing w:before="0" w:after="0" w:line="288"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以上股 份的股东</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股权转让</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0" w:lineRule="exact"/>
              <w:ind w:left="0" w:right="0" w:firstLine="0"/>
              <w:jc w:val="both"/>
              <w:rPr>
                <w:sz w:val="20"/>
                <w:szCs w:val="20"/>
              </w:rPr>
            </w:pPr>
            <w:r>
              <w:rPr>
                <w:color w:val="000000"/>
                <w:spacing w:val="0"/>
                <w:w w:val="100"/>
                <w:position w:val="0"/>
                <w:sz w:val="20"/>
                <w:szCs w:val="20"/>
              </w:rPr>
              <w:t xml:space="preserve">公司全资 子公司北 京苏宁云 商销售有 限公司将 其子公司 北京京朝 苏宁电器 有限公司 </w:t>
            </w:r>
            <w:r>
              <w:rPr>
                <w:rFonts w:ascii="Times New Roman" w:eastAsia="Times New Roman" w:hAnsi="Times New Roman" w:cs="Times New Roman"/>
                <w:color w:val="000000"/>
                <w:spacing w:val="0"/>
                <w:w w:val="100"/>
                <w:position w:val="0"/>
                <w:sz w:val="20"/>
                <w:szCs w:val="20"/>
              </w:rPr>
              <w:t>100%</w:t>
            </w:r>
            <w:r>
              <w:rPr>
                <w:color w:val="000000"/>
                <w:spacing w:val="0"/>
                <w:w w:val="100"/>
                <w:position w:val="0"/>
                <w:sz w:val="20"/>
                <w:szCs w:val="20"/>
              </w:rPr>
              <w:t xml:space="preserve">股权 转让于苏 宁电器集 团，转让 价格 </w:t>
            </w:r>
            <w:r>
              <w:rPr>
                <w:rFonts w:ascii="Times New Roman" w:eastAsia="Times New Roman" w:hAnsi="Times New Roman" w:cs="Times New Roman"/>
                <w:color w:val="000000"/>
                <w:spacing w:val="0"/>
                <w:w w:val="100"/>
                <w:position w:val="0"/>
                <w:sz w:val="20"/>
                <w:szCs w:val="20"/>
              </w:rPr>
              <w:t xml:space="preserve">130,483.67 </w:t>
            </w:r>
            <w:r>
              <w:rPr>
                <w:color w:val="000000"/>
                <w:spacing w:val="0"/>
                <w:w w:val="100"/>
                <w:position w:val="0"/>
                <w:sz w:val="20"/>
                <w:szCs w:val="20"/>
              </w:rPr>
              <w:t>万元。</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40" w:line="240" w:lineRule="auto"/>
              <w:ind w:left="0" w:right="0" w:firstLine="0"/>
              <w:jc w:val="both"/>
              <w:rPr>
                <w:sz w:val="20"/>
                <w:szCs w:val="20"/>
              </w:rPr>
            </w:pPr>
            <w:r>
              <w:rPr>
                <w:color w:val="000000"/>
                <w:spacing w:val="0"/>
                <w:w w:val="100"/>
                <w:position w:val="0"/>
                <w:sz w:val="20"/>
                <w:szCs w:val="20"/>
              </w:rPr>
              <w:t>按照评估</w:t>
            </w:r>
          </w:p>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值确定</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-980.67</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130,483.67</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130,483.67</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5" w:lineRule="exact"/>
              <w:ind w:left="0" w:right="0" w:firstLine="0"/>
              <w:jc w:val="left"/>
              <w:rPr>
                <w:sz w:val="20"/>
                <w:szCs w:val="20"/>
              </w:rPr>
            </w:pPr>
            <w:r>
              <w:rPr>
                <w:color w:val="000000"/>
                <w:spacing w:val="0"/>
                <w:w w:val="100"/>
                <w:position w:val="0"/>
                <w:sz w:val="20"/>
                <w:szCs w:val="20"/>
              </w:rPr>
              <w:t>苏宁电器集团于 协议签署并生效 后根据股权转让 进度分次向北京 苏宁云商支付转 让价款</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98,800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2016 </w:t>
            </w:r>
            <w:r>
              <w:rPr>
                <w:color w:val="000000"/>
                <w:spacing w:val="0"/>
                <w:w w:val="100"/>
                <w:position w:val="0"/>
                <w:sz w:val="20"/>
                <w:szCs w:val="20"/>
              </w:rPr>
              <w:t xml:space="preserve">年 </w:t>
            </w:r>
            <w:r>
              <w:rPr>
                <w:rFonts w:ascii="Times New Roman" w:eastAsia="Times New Roman" w:hAnsi="Times New Roman" w:cs="Times New Roman"/>
                <w:color w:val="000000"/>
                <w:spacing w:val="0"/>
                <w:w w:val="100"/>
                <w:position w:val="0"/>
                <w:sz w:val="20"/>
                <w:szCs w:val="20"/>
              </w:rPr>
              <w:t>11</w:t>
            </w:r>
          </w:p>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20"/>
                <w:szCs w:val="20"/>
              </w:rPr>
              <w:t>日</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巨潮资讯网</w:t>
            </w:r>
          </w:p>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2016-083 </w:t>
            </w:r>
            <w:r>
              <w:rPr>
                <w:color w:val="000000"/>
                <w:spacing w:val="0"/>
                <w:w w:val="100"/>
                <w:position w:val="0"/>
                <w:sz w:val="20"/>
                <w:szCs w:val="20"/>
              </w:rPr>
              <w:t>号</w:t>
            </w:r>
          </w:p>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公告</w:t>
            </w:r>
          </w:p>
        </w:tc>
      </w:tr>
      <w:tr>
        <w:trPr>
          <w:trHeight w:val="1267" w:hRule="exact"/>
        </w:trPr>
        <w:tc>
          <w:tcPr>
            <w:gridSpan w:val="4"/>
            <w:tcBorders>
              <w:top w:val="single" w:sz="4"/>
              <w:left w:val="single" w:sz="4"/>
              <w:bottom w:val="single" w:sz="4"/>
            </w:tcBorders>
            <w:shd w:val="clear" w:color="auto" w:fill="D3D3D3"/>
            <w:vAlign w:val="top"/>
          </w:tcPr>
          <w:p>
            <w:pPr>
              <w:pStyle w:val="Style28"/>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转让价格与账面价值或评估价值差异较大的原 因</w:t>
            </w:r>
          </w:p>
        </w:tc>
        <w:tc>
          <w:tcPr>
            <w:gridSpan w:val="3"/>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314" w:lineRule="exact"/>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、公司子公司引入战略投资者和 本次关联交易中，公司委托具有 所（特殊普通合伙）对上海长宁</w:t>
            </w:r>
            <w:r>
              <w:rPr>
                <w:rFonts w:ascii="Times New Roman" w:eastAsia="Times New Roman" w:hAnsi="Times New Roman" w:cs="Times New Roman"/>
                <w:color w:val="000000"/>
                <w:spacing w:val="0"/>
                <w:w w:val="100"/>
                <w:position w:val="0"/>
                <w:sz w:val="20"/>
                <w:szCs w:val="20"/>
              </w:rPr>
              <w:t xml:space="preserve">201 </w:t>
            </w:r>
            <w:r>
              <w:rPr>
                <w:color w:val="000000"/>
                <w:spacing w:val="0"/>
                <w:w w:val="100"/>
                <w:position w:val="0"/>
                <w:sz w:val="20"/>
                <w:szCs w:val="20"/>
              </w:rPr>
              <w:t>相关业务资格的资产评估机构北京天</w:t>
            </w:r>
          </w:p>
        </w:tc>
        <w:tc>
          <w:tcPr>
            <w:gridSpan w:val="5"/>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和员工持股合伙企业关联交易交易价格的说明</w:t>
            </w:r>
          </w:p>
          <w:p>
            <w:pPr>
              <w:pStyle w:val="Style28"/>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 xml:space="preserve">执行证券、期货相关业务资格的审计机构普华永道中天会计师事务 </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日备考财务报表进行审计，并委托具有执行证券、期货 .健兴业资产评估有限公司对上海长宁备考财务报表核算的股东全部</w:t>
            </w:r>
          </w:p>
        </w:tc>
      </w:tr>
    </w:tbl>
    <w:p>
      <w:pPr>
        <w:spacing w:lineRule="exact" w:line="1"/>
        <w:rPr>
          <w:sz w:val="2"/>
          <w:szCs w:val="2"/>
        </w:rPr>
      </w:pPr>
      <w:r>
        <w:br w:type="page"/>
      </w:r>
    </w:p>
    <w:p>
      <w:pPr>
        <w:widowControl w:val="0"/>
        <w:spacing w:line="1" w:lineRule="exact"/>
      </w:pPr>
      <w:r>
        <mc:AlternateContent>
          <mc:Choice Requires="wps">
            <w:drawing>
              <wp:anchor distT="6350" distB="374650" distL="0" distR="0" simplePos="0" relativeHeight="125829378" behindDoc="0" locked="0" layoutInCell="1" allowOverlap="1">
                <wp:simplePos x="0" y="0"/>
                <wp:positionH relativeFrom="page">
                  <wp:posOffset>1079500</wp:posOffset>
                </wp:positionH>
                <wp:positionV relativeFrom="paragraph">
                  <wp:posOffset>6350</wp:posOffset>
                </wp:positionV>
                <wp:extent cx="423545" cy="170815"/>
                <wp:wrapTopAndBottom/>
                <wp:docPr id="137" name="Shape 137"/>
                <a:graphic xmlns:a="http://schemas.openxmlformats.org/drawingml/2006/main">
                  <a:graphicData uri="http://schemas.microsoft.com/office/word/2010/wordprocessingShape">
                    <wps:wsp>
                      <wps:cNvSpPr txBox="1"/>
                      <wps:spPr>
                        <a:xfrm>
                          <a:ext cx="423545" cy="170815"/>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关联方</w:t>
                            </w:r>
                          </w:p>
                        </w:txbxContent>
                      </wps:txbx>
                      <wps:bodyPr wrap="none" lIns="0" tIns="0" rIns="0" bIns="0">
                        <a:noAutoFit/>
                      </wps:bodyPr>
                    </wps:wsp>
                  </a:graphicData>
                </a:graphic>
              </wp:anchor>
            </w:drawing>
          </mc:Choice>
          <mc:Fallback>
            <w:pict>
              <v:shape id="_x0000_s1163" type="#_x0000_t202" style="position:absolute;margin-left:85.pt;margin-top:0.5pt;width:33.350000000000001pt;height:13.450000000000001pt;z-index:-125829375;mso-wrap-distance-left:0;mso-wrap-distance-top:0.5pt;mso-wrap-distance-right:0;mso-wrap-distance-bottom:29.5pt;mso-position-horizontal-relative:page" filled="f" stroked="f">
                <v:textbox inset="0,0,0,0">
                  <w:txbxContent>
                    <w:p>
                      <w:pPr>
                        <w:pStyle w:val="Style3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关联方</w:t>
                      </w:r>
                    </w:p>
                  </w:txbxContent>
                </v:textbox>
                <w10:wrap type="topAndBottom" anchorx="page"/>
              </v:shape>
            </w:pict>
          </mc:Fallback>
        </mc:AlternateContent>
      </w:r>
      <w:r>
        <mc:AlternateContent>
          <mc:Choice Requires="wps">
            <w:drawing>
              <wp:anchor distT="0" distB="0" distL="673735" distR="0" simplePos="0" relativeHeight="125829380" behindDoc="0" locked="0" layoutInCell="1" allowOverlap="1">
                <wp:simplePos x="0" y="0"/>
                <wp:positionH relativeFrom="page">
                  <wp:posOffset>2426970</wp:posOffset>
                </wp:positionH>
                <wp:positionV relativeFrom="paragraph">
                  <wp:posOffset>0</wp:posOffset>
                </wp:positionV>
                <wp:extent cx="7367270" cy="551815"/>
                <wp:wrapTopAndBottom/>
                <wp:docPr id="139" name="Shape 139"/>
                <a:graphic xmlns:a="http://schemas.openxmlformats.org/drawingml/2006/main">
                  <a:graphicData uri="http://schemas.microsoft.com/office/word/2010/wordprocessingShape">
                    <wps:wsp>
                      <wps:cNvSpPr txBox="1"/>
                      <wps:spPr>
                        <a:xfrm>
                          <a:ext cx="7367270" cy="551815"/>
                        </a:xfrm>
                        <a:prstGeom prst="rect"/>
                        <a:noFill/>
                      </wps:spPr>
                      <wps:txbx>
                        <w:txbxContent>
                          <w:tbl>
                            <w:tblPr>
                              <w:tblOverlap w:val="never"/>
                              <w:jc w:val="left"/>
                              <w:tblLayout w:type="fixed"/>
                            </w:tblPr>
                            <w:tblGrid>
                              <w:gridCol w:w="970"/>
                              <w:gridCol w:w="1051"/>
                              <w:gridCol w:w="1056"/>
                              <w:gridCol w:w="1157"/>
                              <w:gridCol w:w="1157"/>
                              <w:gridCol w:w="984"/>
                              <w:gridCol w:w="1632"/>
                              <w:gridCol w:w="1114"/>
                              <w:gridCol w:w="1162"/>
                              <w:gridCol w:w="1320"/>
                            </w:tblGrid>
                            <w:tr>
                              <w:trPr>
                                <w:tblHeader/>
                                <w:trHeight w:val="547" w:hRule="exact"/>
                              </w:trPr>
                              <w:tc>
                                <w:tcPr>
                                  <w:tcBorders>
                                    <w:top w:val="single" w:sz="4"/>
                                  </w:tcBorders>
                                  <w:shd w:val="clear" w:color="auto" w:fill="D3D3D3"/>
                                  <w:vAlign w:val="top"/>
                                </w:tcPr>
                                <w:p>
                                  <w:pPr>
                                    <w:pStyle w:val="Style28"/>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关联交易 类型</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关联交易 内容</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关联交易 定价原则</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转让资产的 账面价值</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转让资产的 评估价值</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转让价格</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关联交易结算方 式</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交易损益</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披露日期</w:t>
                                  </w:r>
                                </w:p>
                              </w:tc>
                              <w:tc>
                                <w:tcPr>
                                  <w:tcBorders>
                                    <w:top w:val="single" w:sz="4"/>
                                    <w:left w:val="single" w:sz="4"/>
                                    <w:righ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披露索引</w:t>
                                  </w:r>
                                </w:p>
                              </w:tc>
                            </w:tr>
                            <w:tr>
                              <w:trPr>
                                <w:trHeight w:val="322" w:hRule="exact"/>
                              </w:trPr>
                              <w:tc>
                                <w:tcPr>
                                  <w:gridSpan w:val="2"/>
                                  <w:tcBorders>
                                    <w:top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权益价值，</w:t>
                                  </w:r>
                                </w:p>
                              </w:tc>
                              <w:tc>
                                <w:tcPr>
                                  <w:gridSpan w:val="2"/>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以</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日为评</w:t>
                                  </w:r>
                                </w:p>
                              </w:tc>
                              <w:tc>
                                <w:tcPr>
                                  <w:gridSpan w:val="3"/>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估基准日的市场价值进行了评估，并出具</w:t>
                                  </w:r>
                                </w:p>
                              </w:tc>
                              <w:tc>
                                <w:tcPr>
                                  <w:gridSpan w:val="2"/>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是了天兴评报字（</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）第</w:t>
                                  </w:r>
                                </w:p>
                              </w:tc>
                            </w:tr>
                          </w:tbl>
                          <w:p>
                            <w:pPr>
                              <w:widowControl w:val="0"/>
                              <w:spacing w:line="1" w:lineRule="exact"/>
                            </w:pPr>
                          </w:p>
                        </w:txbxContent>
                      </wps:txbx>
                      <wps:bodyPr lIns="0" tIns="0" rIns="0" bIns="0">
                        <a:noAutoFit/>
                      </wps:bodyPr>
                    </wps:wsp>
                  </a:graphicData>
                </a:graphic>
              </wp:anchor>
            </w:drawing>
          </mc:Choice>
          <mc:Fallback>
            <w:pict>
              <v:shape id="_x0000_s1165" type="#_x0000_t202" style="position:absolute;margin-left:191.09999999999999pt;margin-top:0;width:580.10000000000002pt;height:43.450000000000003pt;z-index:-125829373;mso-wrap-distance-left:53.050000000000004pt;mso-wrap-distance-right:0;mso-position-horizontal-relative:page" filled="f" stroked="f">
                <v:textbox inset="0,0,0,0">
                  <w:txbxContent>
                    <w:tbl>
                      <w:tblPr>
                        <w:tblOverlap w:val="never"/>
                        <w:jc w:val="left"/>
                        <w:tblLayout w:type="fixed"/>
                      </w:tblPr>
                      <w:tblGrid>
                        <w:gridCol w:w="970"/>
                        <w:gridCol w:w="1051"/>
                        <w:gridCol w:w="1056"/>
                        <w:gridCol w:w="1157"/>
                        <w:gridCol w:w="1157"/>
                        <w:gridCol w:w="984"/>
                        <w:gridCol w:w="1632"/>
                        <w:gridCol w:w="1114"/>
                        <w:gridCol w:w="1162"/>
                        <w:gridCol w:w="1320"/>
                      </w:tblGrid>
                      <w:tr>
                        <w:trPr>
                          <w:tblHeader/>
                          <w:trHeight w:val="547" w:hRule="exact"/>
                        </w:trPr>
                        <w:tc>
                          <w:tcPr>
                            <w:tcBorders>
                              <w:top w:val="single" w:sz="4"/>
                            </w:tcBorders>
                            <w:shd w:val="clear" w:color="auto" w:fill="D3D3D3"/>
                            <w:vAlign w:val="top"/>
                          </w:tcPr>
                          <w:p>
                            <w:pPr>
                              <w:pStyle w:val="Style28"/>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关联交易 类型</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关联交易 内容</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关联交易 定价原则</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转让资产的 账面价值</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转让资产的 评估价值</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转让价格</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关联交易结算方 式</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交易损益</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披露日期</w:t>
                            </w:r>
                          </w:p>
                        </w:tc>
                        <w:tc>
                          <w:tcPr>
                            <w:tcBorders>
                              <w:top w:val="single" w:sz="4"/>
                              <w:left w:val="single" w:sz="4"/>
                              <w:righ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披露索引</w:t>
                            </w:r>
                          </w:p>
                        </w:tc>
                      </w:tr>
                      <w:tr>
                        <w:trPr>
                          <w:trHeight w:val="322" w:hRule="exact"/>
                        </w:trPr>
                        <w:tc>
                          <w:tcPr>
                            <w:gridSpan w:val="2"/>
                            <w:tcBorders>
                              <w:top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权益价值，</w:t>
                            </w:r>
                          </w:p>
                        </w:tc>
                        <w:tc>
                          <w:tcPr>
                            <w:gridSpan w:val="2"/>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以</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日为评</w:t>
                            </w:r>
                          </w:p>
                        </w:tc>
                        <w:tc>
                          <w:tcPr>
                            <w:gridSpan w:val="3"/>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估基准日的市场价值进行了评估，并出具</w:t>
                            </w:r>
                          </w:p>
                        </w:tc>
                        <w:tc>
                          <w:tcPr>
                            <w:gridSpan w:val="2"/>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是了天兴评报字（</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）第</w:t>
                            </w:r>
                          </w:p>
                        </w:tc>
                      </w:tr>
                    </w:tbl>
                    <w:p>
                      <w:pPr>
                        <w:widowControl w:val="0"/>
                        <w:spacing w:line="1" w:lineRule="exact"/>
                      </w:pPr>
                    </w:p>
                  </w:txbxContent>
                </v:textbox>
                <w10:wrap type="topAndBottom" anchorx="page"/>
              </v:shape>
            </w:pict>
          </mc:Fallback>
        </mc:AlternateContent>
      </w:r>
      <w:r>
        <mc:AlternateContent>
          <mc:Choice Requires="wps">
            <w:drawing>
              <wp:anchor distT="0" distB="0" distL="0" distR="0" simplePos="0" relativeHeight="503316482" behindDoc="0" locked="0" layoutInCell="1" allowOverlap="1">
                <wp:simplePos x="0" y="0"/>
                <wp:positionH relativeFrom="page">
                  <wp:posOffset>1753235</wp:posOffset>
                </wp:positionH>
                <wp:positionV relativeFrom="paragraph">
                  <wp:posOffset>6350</wp:posOffset>
                </wp:positionV>
                <wp:extent cx="554990" cy="170815"/>
                <wp:wrapNone/>
                <wp:docPr id="141" name="Shape 141"/>
                <a:graphic xmlns:a="http://schemas.openxmlformats.org/drawingml/2006/main">
                  <a:graphicData uri="http://schemas.microsoft.com/office/word/2010/wordprocessingShape">
                    <wps:wsp>
                      <wps:cNvSpPr txBox="1"/>
                      <wps:spPr>
                        <a:xfrm>
                          <a:ext cx="554990" cy="170815"/>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关联关系</w:t>
                            </w:r>
                          </w:p>
                        </w:txbxContent>
                      </wps:txbx>
                      <wps:bodyPr lIns="0" tIns="0" rIns="0" bIns="0">
                        <a:noAutoFit/>
                      </wps:bodyPr>
                    </wps:wsp>
                  </a:graphicData>
                </a:graphic>
              </wp:anchor>
            </w:drawing>
          </mc:Choice>
          <mc:Fallback>
            <w:pict>
              <v:shape id="_x0000_s1167" type="#_x0000_t202" style="position:absolute;margin-left:138.05000000000001pt;margin-top:0.5pt;width:43.700000000000003pt;height:13.450000000000001pt;z-index:251657729;mso-wrap-distance-left:0;mso-wrap-distance-right:0;mso-position-horizontal-relative:page" filled="f" stroked="f">
                <v:textbox inset="0,0,0,0">
                  <w:txbxContent>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关联关系</w:t>
                      </w:r>
                    </w:p>
                  </w:txbxContent>
                </v:textbox>
                <w10:wrap anchorx="page"/>
              </v:shape>
            </w:pict>
          </mc:Fallback>
        </mc:AlternateContent>
      </w:r>
    </w:p>
    <w:p>
      <w:pPr>
        <w:pStyle w:val="Style32"/>
        <w:keepNext w:val="0"/>
        <w:keepLines w:val="0"/>
        <w:widowControl w:val="0"/>
        <w:shd w:val="clear" w:color="auto" w:fill="auto"/>
        <w:bidi w:val="0"/>
        <w:spacing w:before="0" w:after="0" w:line="313" w:lineRule="exact"/>
        <w:ind w:left="4460" w:right="0" w:firstLine="0"/>
        <w:jc w:val="left"/>
        <w:rPr>
          <w:sz w:val="20"/>
          <w:szCs w:val="20"/>
        </w:rPr>
      </w:pPr>
      <w:r>
        <w:rPr>
          <w:rFonts w:ascii="Times New Roman" w:eastAsia="Times New Roman" w:hAnsi="Times New Roman" w:cs="Times New Roman"/>
          <w:color w:val="000000"/>
          <w:spacing w:val="0"/>
          <w:w w:val="100"/>
          <w:position w:val="0"/>
          <w:sz w:val="20"/>
          <w:szCs w:val="20"/>
        </w:rPr>
        <w:t>0404</w:t>
      </w:r>
      <w:r>
        <w:rPr>
          <w:color w:val="000000"/>
          <w:spacing w:val="0"/>
          <w:w w:val="100"/>
          <w:position w:val="0"/>
          <w:sz w:val="20"/>
          <w:szCs w:val="20"/>
        </w:rPr>
        <w:t>号评估报告。</w:t>
      </w:r>
    </w:p>
    <w:p>
      <w:pPr>
        <w:pStyle w:val="Style32"/>
        <w:keepNext w:val="0"/>
        <w:keepLines w:val="0"/>
        <w:widowControl w:val="0"/>
        <w:shd w:val="clear" w:color="auto" w:fill="auto"/>
        <w:bidi w:val="0"/>
        <w:spacing w:before="0" w:after="0" w:line="313" w:lineRule="exact"/>
        <w:ind w:left="4460" w:right="0" w:firstLine="420"/>
        <w:jc w:val="left"/>
        <w:rPr>
          <w:sz w:val="20"/>
          <w:szCs w:val="20"/>
        </w:rPr>
      </w:pPr>
      <w:r>
        <w:rPr>
          <w:color w:val="000000"/>
          <w:spacing w:val="0"/>
          <w:w w:val="100"/>
          <w:position w:val="0"/>
          <w:sz w:val="20"/>
          <w:szCs w:val="20"/>
        </w:rPr>
        <w:t>截至评估基准日</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日，经资产基础法评估，上海长宁模拟口径下的股东全部权益价 值，在持续经营条件下的评估值为人民币</w:t>
      </w:r>
      <w:r>
        <w:rPr>
          <w:rFonts w:ascii="Times New Roman" w:eastAsia="Times New Roman" w:hAnsi="Times New Roman" w:cs="Times New Roman"/>
          <w:color w:val="000000"/>
          <w:spacing w:val="0"/>
          <w:w w:val="100"/>
          <w:position w:val="0"/>
          <w:sz w:val="20"/>
          <w:szCs w:val="20"/>
        </w:rPr>
        <w:t>90.02</w:t>
      </w:r>
      <w:r>
        <w:rPr>
          <w:color w:val="000000"/>
          <w:spacing w:val="0"/>
          <w:w w:val="100"/>
          <w:position w:val="0"/>
          <w:sz w:val="20"/>
          <w:szCs w:val="20"/>
        </w:rPr>
        <w:t>亿元，评估增值</w:t>
      </w:r>
      <w:r>
        <w:rPr>
          <w:rFonts w:ascii="Times New Roman" w:eastAsia="Times New Roman" w:hAnsi="Times New Roman" w:cs="Times New Roman"/>
          <w:color w:val="000000"/>
          <w:spacing w:val="0"/>
          <w:w w:val="100"/>
          <w:position w:val="0"/>
          <w:sz w:val="20"/>
          <w:szCs w:val="20"/>
        </w:rPr>
        <w:t>79.49</w:t>
      </w:r>
      <w:r>
        <w:rPr>
          <w:color w:val="000000"/>
          <w:spacing w:val="0"/>
          <w:w w:val="100"/>
          <w:position w:val="0"/>
          <w:sz w:val="20"/>
          <w:szCs w:val="20"/>
        </w:rPr>
        <w:t>亿元，增值率</w:t>
      </w:r>
      <w:r>
        <w:rPr>
          <w:rFonts w:ascii="Times New Roman" w:eastAsia="Times New Roman" w:hAnsi="Times New Roman" w:cs="Times New Roman"/>
          <w:color w:val="000000"/>
          <w:spacing w:val="0"/>
          <w:w w:val="100"/>
          <w:position w:val="0"/>
          <w:sz w:val="20"/>
          <w:szCs w:val="20"/>
        </w:rPr>
        <w:t>754.97%</w:t>
      </w:r>
      <w:r>
        <w:rPr>
          <w:color w:val="000000"/>
          <w:spacing w:val="0"/>
          <w:w w:val="100"/>
          <w:position w:val="0"/>
          <w:sz w:val="20"/>
          <w:szCs w:val="20"/>
        </w:rPr>
        <w:t>，其中对拟 整合进入上海长宁的互联网金融板块业务价值，采用市场法评估，评估值为</w:t>
      </w:r>
      <w:r>
        <w:rPr>
          <w:rFonts w:ascii="Times New Roman" w:eastAsia="Times New Roman" w:hAnsi="Times New Roman" w:cs="Times New Roman"/>
          <w:color w:val="000000"/>
          <w:spacing w:val="0"/>
          <w:w w:val="100"/>
          <w:position w:val="0"/>
          <w:sz w:val="20"/>
          <w:szCs w:val="20"/>
        </w:rPr>
        <w:t>88</w:t>
      </w:r>
      <w:r>
        <w:rPr>
          <w:color w:val="000000"/>
          <w:spacing w:val="0"/>
          <w:w w:val="100"/>
          <w:position w:val="0"/>
          <w:sz w:val="20"/>
          <w:szCs w:val="20"/>
        </w:rPr>
        <w:t>亿元。依据本次评估目 的，采用资产基础法进行了评估，其中对整合进入上海长宁的互联网金融板块业务价值，采用市场法中 的市销率评估，即选取可比上市公司的平均市销率约</w:t>
      </w:r>
      <w:r>
        <w:rPr>
          <w:rFonts w:ascii="Times New Roman" w:eastAsia="Times New Roman" w:hAnsi="Times New Roman" w:cs="Times New Roman"/>
          <w:color w:val="000000"/>
          <w:spacing w:val="0"/>
          <w:w w:val="100"/>
          <w:position w:val="0"/>
          <w:sz w:val="20"/>
          <w:szCs w:val="20"/>
        </w:rPr>
        <w:t>29</w:t>
      </w:r>
      <w:r>
        <w:rPr>
          <w:color w:val="000000"/>
          <w:spacing w:val="0"/>
          <w:w w:val="100"/>
          <w:position w:val="0"/>
          <w:sz w:val="20"/>
          <w:szCs w:val="20"/>
        </w:rPr>
        <w:t>倍，考虑到该部分互联网金融板块业务并非上 市公司，需要给予流动性折扣，综合考虑后确定本次评估所选取的市销率约</w:t>
      </w:r>
      <w:r>
        <w:rPr>
          <w:rFonts w:ascii="Times New Roman" w:eastAsia="Times New Roman" w:hAnsi="Times New Roman" w:cs="Times New Roman"/>
          <w:color w:val="000000"/>
          <w:spacing w:val="0"/>
          <w:w w:val="100"/>
          <w:position w:val="0"/>
          <w:sz w:val="20"/>
          <w:szCs w:val="20"/>
        </w:rPr>
        <w:t>21</w:t>
      </w:r>
      <w:r>
        <w:rPr>
          <w:color w:val="000000"/>
          <w:spacing w:val="0"/>
          <w:w w:val="100"/>
          <w:position w:val="0"/>
          <w:sz w:val="20"/>
          <w:szCs w:val="20"/>
        </w:rPr>
        <w:t>倍。</w:t>
      </w:r>
    </w:p>
    <w:p>
      <w:pPr>
        <w:pStyle w:val="Style32"/>
        <w:keepNext w:val="0"/>
        <w:keepLines w:val="0"/>
        <w:widowControl w:val="0"/>
        <w:shd w:val="clear" w:color="auto" w:fill="auto"/>
        <w:bidi w:val="0"/>
        <w:spacing w:before="0" w:after="0" w:line="313" w:lineRule="exact"/>
        <w:ind w:left="4460" w:right="0" w:firstLine="420"/>
        <w:jc w:val="left"/>
        <w:rPr>
          <w:sz w:val="20"/>
          <w:szCs w:val="20"/>
        </w:rPr>
      </w:pPr>
      <w:r>
        <w:rPr>
          <w:color w:val="000000"/>
          <w:spacing w:val="0"/>
          <w:w w:val="100"/>
          <w:position w:val="0"/>
          <w:sz w:val="20"/>
          <w:szCs w:val="20"/>
        </w:rPr>
        <w:t>考虑苏宁金服的未来发展前景、市场影响力以及资源稀缺性，公司认为投前估值在前述评估值基础 上给予适当溢价。</w:t>
      </w:r>
    </w:p>
    <w:p>
      <w:pPr>
        <w:pStyle w:val="Style32"/>
        <w:keepNext w:val="0"/>
        <w:keepLines w:val="0"/>
        <w:widowControl w:val="0"/>
        <w:shd w:val="clear" w:color="auto" w:fill="auto"/>
        <w:bidi w:val="0"/>
        <w:spacing w:before="0" w:after="0" w:line="313" w:lineRule="exact"/>
        <w:ind w:left="4460" w:right="0" w:firstLine="420"/>
        <w:jc w:val="both"/>
        <w:rPr>
          <w:sz w:val="20"/>
          <w:szCs w:val="20"/>
        </w:rPr>
      </w:pPr>
      <w:bookmarkStart w:id="307" w:name="bookmark307"/>
      <w:r>
        <w:rPr>
          <w:rFonts w:ascii="Times New Roman" w:eastAsia="Times New Roman" w:hAnsi="Times New Roman" w:cs="Times New Roman"/>
          <w:color w:val="000000"/>
          <w:spacing w:val="0"/>
          <w:w w:val="100"/>
          <w:position w:val="0"/>
          <w:sz w:val="20"/>
          <w:szCs w:val="20"/>
        </w:rPr>
        <w:t>2</w:t>
      </w:r>
      <w:bookmarkEnd w:id="307"/>
      <w:r>
        <w:rPr>
          <w:color w:val="000000"/>
          <w:spacing w:val="0"/>
          <w:w w:val="100"/>
          <w:position w:val="0"/>
          <w:sz w:val="20"/>
          <w:szCs w:val="20"/>
        </w:rPr>
        <w:t>、公司子公司出售子公司股权关联交易交易价格的说明</w:t>
      </w:r>
    </w:p>
    <w:p>
      <w:pPr>
        <w:pStyle w:val="Style32"/>
        <w:keepNext w:val="0"/>
        <w:keepLines w:val="0"/>
        <w:widowControl w:val="0"/>
        <w:shd w:val="clear" w:color="auto" w:fill="auto"/>
        <w:bidi w:val="0"/>
        <w:spacing w:before="0" w:after="0" w:line="313" w:lineRule="exact"/>
        <w:ind w:left="4460" w:right="0" w:firstLine="420"/>
        <w:jc w:val="both"/>
        <w:rPr>
          <w:sz w:val="20"/>
          <w:szCs w:val="20"/>
        </w:rPr>
      </w:pPr>
      <w:r>
        <w:rPr>
          <w:color w:val="000000"/>
          <w:spacing w:val="0"/>
          <w:w w:val="100"/>
          <w:position w:val="0"/>
          <w:sz w:val="20"/>
          <w:szCs w:val="20"/>
        </w:rPr>
        <w:t>本次关联交易中，公司委托具有执行证券、期货相关业务资格的审计机构天衡会计师事务所（特殊 普通合伙）对标的公司的财务报表进行审计，并委托具有执行证券、期货相关业务资格的资产评估机构 北京天健兴业资产评估有限公司对北京京朝苏宁电器有限公司股东全部权益价值以</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9</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30</w:t>
      </w:r>
      <w:r>
        <w:rPr>
          <w:color w:val="000000"/>
          <w:spacing w:val="0"/>
          <w:w w:val="100"/>
          <w:position w:val="0"/>
          <w:sz w:val="20"/>
          <w:szCs w:val="20"/>
        </w:rPr>
        <w:t>日为 评估基准日的市场价值进行了评估，并出具了天兴评报字（</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）第</w:t>
      </w:r>
      <w:r>
        <w:rPr>
          <w:rFonts w:ascii="Times New Roman" w:eastAsia="Times New Roman" w:hAnsi="Times New Roman" w:cs="Times New Roman"/>
          <w:color w:val="000000"/>
          <w:spacing w:val="0"/>
          <w:w w:val="100"/>
          <w:position w:val="0"/>
          <w:sz w:val="20"/>
          <w:szCs w:val="20"/>
        </w:rPr>
        <w:t>1212</w:t>
      </w:r>
      <w:r>
        <w:rPr>
          <w:color w:val="000000"/>
          <w:spacing w:val="0"/>
          <w:w w:val="100"/>
          <w:position w:val="0"/>
          <w:sz w:val="20"/>
          <w:szCs w:val="20"/>
        </w:rPr>
        <w:t>号《评估报告》。</w:t>
      </w:r>
    </w:p>
    <w:p>
      <w:pPr>
        <w:pStyle w:val="Style32"/>
        <w:keepNext w:val="0"/>
        <w:keepLines w:val="0"/>
        <w:widowControl w:val="0"/>
        <w:shd w:val="clear" w:color="auto" w:fill="auto"/>
        <w:bidi w:val="0"/>
        <w:spacing w:before="0" w:after="0" w:line="313" w:lineRule="exact"/>
        <w:ind w:left="4460" w:right="0" w:firstLine="420"/>
        <w:jc w:val="both"/>
        <w:rPr>
          <w:sz w:val="20"/>
          <w:szCs w:val="20"/>
        </w:rPr>
      </w:pPr>
      <w:r>
        <w:rPr>
          <w:color w:val="000000"/>
          <w:spacing w:val="0"/>
          <w:w w:val="100"/>
          <w:position w:val="0"/>
          <w:sz w:val="20"/>
          <w:szCs w:val="20"/>
        </w:rPr>
        <w:t>本次评估采用资产基础法，截至评估基准日</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9</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30</w:t>
      </w:r>
      <w:r>
        <w:rPr>
          <w:color w:val="000000"/>
          <w:spacing w:val="0"/>
          <w:w w:val="100"/>
          <w:position w:val="0"/>
          <w:sz w:val="20"/>
          <w:szCs w:val="20"/>
        </w:rPr>
        <w:t>日，北京京朝苏宁电器有限公司股东全 部权益价值在持续经营条件下的市场价值为</w:t>
      </w:r>
      <w:r>
        <w:rPr>
          <w:rFonts w:ascii="Times New Roman" w:eastAsia="Times New Roman" w:hAnsi="Times New Roman" w:cs="Times New Roman"/>
          <w:color w:val="000000"/>
          <w:spacing w:val="0"/>
          <w:w w:val="100"/>
          <w:position w:val="0"/>
          <w:sz w:val="20"/>
          <w:szCs w:val="20"/>
        </w:rPr>
        <w:t>130,483.67</w:t>
      </w:r>
      <w:r>
        <w:rPr>
          <w:color w:val="000000"/>
          <w:spacing w:val="0"/>
          <w:w w:val="100"/>
          <w:position w:val="0"/>
          <w:sz w:val="20"/>
          <w:szCs w:val="20"/>
        </w:rPr>
        <w:t>万元。</w:t>
      </w:r>
    </w:p>
    <w:p>
      <w:pPr>
        <w:pStyle w:val="Style32"/>
        <w:keepNext w:val="0"/>
        <w:keepLines w:val="0"/>
        <w:widowControl w:val="0"/>
        <w:shd w:val="clear" w:color="auto" w:fill="auto"/>
        <w:bidi w:val="0"/>
        <w:spacing w:before="0" w:after="0" w:line="313" w:lineRule="exact"/>
        <w:ind w:left="4880" w:right="0" w:firstLine="0"/>
        <w:jc w:val="both"/>
        <w:rPr>
          <w:sz w:val="20"/>
          <w:szCs w:val="20"/>
        </w:rPr>
      </w:pPr>
      <w:r>
        <w:rPr>
          <w:color w:val="000000"/>
          <w:spacing w:val="0"/>
          <w:w w:val="100"/>
          <w:position w:val="0"/>
          <w:sz w:val="20"/>
          <w:szCs w:val="20"/>
        </w:rPr>
        <w:t>北京京朝苏宁主要从事自持物业的招商和运营业务，自持的北京八里庄苏宁生活广场物业在资产基</w:t>
      </w:r>
    </w:p>
    <w:p>
      <w:pPr>
        <w:pStyle w:val="Style32"/>
        <w:keepNext w:val="0"/>
        <w:keepLines w:val="0"/>
        <w:widowControl w:val="0"/>
        <w:shd w:val="clear" w:color="auto" w:fill="auto"/>
        <w:bidi w:val="0"/>
        <w:spacing w:before="0" w:after="0" w:line="312" w:lineRule="exact"/>
        <w:ind w:left="4460" w:right="0" w:firstLine="0"/>
        <w:jc w:val="both"/>
        <w:rPr>
          <w:sz w:val="20"/>
          <w:szCs w:val="20"/>
        </w:rPr>
      </w:pPr>
      <w:r>
        <w:rPr>
          <w:color w:val="000000"/>
          <w:spacing w:val="0"/>
          <w:w w:val="100"/>
          <w:position w:val="0"/>
          <w:sz w:val="20"/>
          <w:szCs w:val="20"/>
        </w:rPr>
        <w:t>础法评估过程中采用收益法进行评估。</w:t>
      </w:r>
    </w:p>
    <w:p>
      <w:pPr>
        <w:pStyle w:val="Style32"/>
        <w:keepNext w:val="0"/>
        <w:keepLines w:val="0"/>
        <w:widowControl w:val="0"/>
        <w:shd w:val="clear" w:color="auto" w:fill="auto"/>
        <w:bidi w:val="0"/>
        <w:spacing w:before="0" w:after="0" w:line="312" w:lineRule="exact"/>
        <w:ind w:left="4460" w:right="0" w:firstLine="420"/>
        <w:jc w:val="both"/>
        <w:rPr>
          <w:sz w:val="20"/>
          <w:szCs w:val="20"/>
        </w:rPr>
      </w:pPr>
      <w:r>
        <w:rPr>
          <w:color w:val="000000"/>
          <w:spacing w:val="0"/>
          <w:w w:val="100"/>
          <w:position w:val="0"/>
          <w:sz w:val="20"/>
          <w:szCs w:val="20"/>
        </w:rPr>
        <w:t>北京京朝苏宁资产账面价值为</w:t>
      </w:r>
      <w:r>
        <w:rPr>
          <w:rFonts w:ascii="Times New Roman" w:eastAsia="Times New Roman" w:hAnsi="Times New Roman" w:cs="Times New Roman"/>
          <w:color w:val="000000"/>
          <w:spacing w:val="0"/>
          <w:w w:val="100"/>
          <w:position w:val="0"/>
          <w:sz w:val="20"/>
          <w:szCs w:val="20"/>
        </w:rPr>
        <w:t>143,259.23</w:t>
      </w:r>
      <w:r>
        <w:rPr>
          <w:color w:val="000000"/>
          <w:spacing w:val="0"/>
          <w:w w:val="100"/>
          <w:position w:val="0"/>
          <w:sz w:val="20"/>
          <w:szCs w:val="20"/>
        </w:rPr>
        <w:t>万元，评估价值</w:t>
      </w:r>
      <w:r>
        <w:rPr>
          <w:rFonts w:ascii="Times New Roman" w:eastAsia="Times New Roman" w:hAnsi="Times New Roman" w:cs="Times New Roman"/>
          <w:color w:val="000000"/>
          <w:spacing w:val="0"/>
          <w:w w:val="100"/>
          <w:position w:val="0"/>
          <w:sz w:val="20"/>
          <w:szCs w:val="20"/>
        </w:rPr>
        <w:t>274,723.57</w:t>
      </w:r>
      <w:r>
        <w:rPr>
          <w:color w:val="000000"/>
          <w:spacing w:val="0"/>
          <w:w w:val="100"/>
          <w:position w:val="0"/>
          <w:sz w:val="20"/>
          <w:szCs w:val="20"/>
        </w:rPr>
        <w:t>万元，评估增值</w:t>
      </w:r>
      <w:r>
        <w:rPr>
          <w:rFonts w:ascii="Times New Roman" w:eastAsia="Times New Roman" w:hAnsi="Times New Roman" w:cs="Times New Roman"/>
          <w:color w:val="000000"/>
          <w:spacing w:val="0"/>
          <w:w w:val="100"/>
          <w:position w:val="0"/>
          <w:sz w:val="20"/>
          <w:szCs w:val="20"/>
        </w:rPr>
        <w:t>131,464.33</w:t>
      </w:r>
      <w:r>
        <w:rPr>
          <w:color w:val="000000"/>
          <w:spacing w:val="0"/>
          <w:w w:val="100"/>
          <w:position w:val="0"/>
          <w:sz w:val="20"/>
          <w:szCs w:val="20"/>
        </w:rPr>
        <w:t>万 元，主要为八里庄苏宁生活广场按照收益法评估有所增值；负债账面价值</w:t>
      </w:r>
      <w:r>
        <w:rPr>
          <w:rFonts w:ascii="Times New Roman" w:eastAsia="Times New Roman" w:hAnsi="Times New Roman" w:cs="Times New Roman"/>
          <w:color w:val="000000"/>
          <w:spacing w:val="0"/>
          <w:w w:val="100"/>
          <w:position w:val="0"/>
          <w:sz w:val="20"/>
          <w:szCs w:val="20"/>
        </w:rPr>
        <w:t>144,239.90</w:t>
      </w:r>
      <w:r>
        <w:rPr>
          <w:color w:val="000000"/>
          <w:spacing w:val="0"/>
          <w:w w:val="100"/>
          <w:position w:val="0"/>
          <w:sz w:val="20"/>
          <w:szCs w:val="20"/>
        </w:rPr>
        <w:t xml:space="preserve">万元，评估价值 </w:t>
      </w:r>
      <w:r>
        <w:rPr>
          <w:rFonts w:ascii="Times New Roman" w:eastAsia="Times New Roman" w:hAnsi="Times New Roman" w:cs="Times New Roman"/>
          <w:color w:val="000000"/>
          <w:spacing w:val="0"/>
          <w:w w:val="100"/>
          <w:position w:val="0"/>
          <w:sz w:val="20"/>
          <w:szCs w:val="20"/>
        </w:rPr>
        <w:t>144,239.90</w:t>
      </w:r>
      <w:r>
        <w:rPr>
          <w:color w:val="000000"/>
          <w:spacing w:val="0"/>
          <w:w w:val="100"/>
          <w:position w:val="0"/>
          <w:sz w:val="20"/>
          <w:szCs w:val="20"/>
        </w:rPr>
        <w:t>万元，评估无增减值；净资产账面价值</w:t>
      </w:r>
      <w:r>
        <w:rPr>
          <w:rFonts w:ascii="Times New Roman" w:eastAsia="Times New Roman" w:hAnsi="Times New Roman" w:cs="Times New Roman"/>
          <w:color w:val="000000"/>
          <w:spacing w:val="0"/>
          <w:w w:val="100"/>
          <w:position w:val="0"/>
          <w:sz w:val="20"/>
          <w:szCs w:val="20"/>
        </w:rPr>
        <w:t>-980.67</w:t>
      </w:r>
      <w:r>
        <w:rPr>
          <w:color w:val="000000"/>
          <w:spacing w:val="0"/>
          <w:w w:val="100"/>
          <w:position w:val="0"/>
          <w:sz w:val="20"/>
          <w:szCs w:val="20"/>
        </w:rPr>
        <w:t>万元，评估价值</w:t>
      </w:r>
      <w:r>
        <w:rPr>
          <w:rFonts w:ascii="Times New Roman" w:eastAsia="Times New Roman" w:hAnsi="Times New Roman" w:cs="Times New Roman"/>
          <w:color w:val="000000"/>
          <w:spacing w:val="0"/>
          <w:w w:val="100"/>
          <w:position w:val="0"/>
          <w:sz w:val="20"/>
          <w:szCs w:val="20"/>
        </w:rPr>
        <w:t>130,483.67</w:t>
      </w:r>
      <w:r>
        <w:rPr>
          <w:color w:val="000000"/>
          <w:spacing w:val="0"/>
          <w:w w:val="100"/>
          <w:position w:val="0"/>
          <w:sz w:val="20"/>
          <w:szCs w:val="20"/>
        </w:rPr>
        <w:t xml:space="preserve">万元，评估增值 </w:t>
      </w:r>
      <w:r>
        <w:rPr>
          <w:rFonts w:ascii="Times New Roman" w:eastAsia="Times New Roman" w:hAnsi="Times New Roman" w:cs="Times New Roman"/>
          <w:color w:val="000000"/>
          <w:spacing w:val="0"/>
          <w:w w:val="100"/>
          <w:position w:val="0"/>
          <w:sz w:val="20"/>
          <w:szCs w:val="20"/>
        </w:rPr>
        <w:t xml:space="preserve">131,464.33 </w:t>
      </w:r>
      <w:r>
        <w:rPr>
          <w:color w:val="000000"/>
          <w:spacing w:val="0"/>
          <w:w w:val="100"/>
          <w:position w:val="0"/>
          <w:sz w:val="20"/>
          <w:szCs w:val="20"/>
        </w:rPr>
        <w:t xml:space="preserve">万元，增值率 </w:t>
      </w:r>
      <w:r>
        <w:rPr>
          <w:rFonts w:ascii="Times New Roman" w:eastAsia="Times New Roman" w:hAnsi="Times New Roman" w:cs="Times New Roman"/>
          <w:color w:val="000000"/>
          <w:spacing w:val="0"/>
          <w:w w:val="100"/>
          <w:position w:val="0"/>
          <w:sz w:val="20"/>
          <w:szCs w:val="20"/>
        </w:rPr>
        <w:t>13,405.60%</w:t>
      </w:r>
      <w:r>
        <w:rPr>
          <w:color w:val="000000"/>
          <w:spacing w:val="0"/>
          <w:w w:val="100"/>
          <w:position w:val="0"/>
          <w:sz w:val="20"/>
          <w:szCs w:val="20"/>
        </w:rPr>
        <w:t>。</w:t>
      </w:r>
    </w:p>
    <w:p>
      <w:pPr>
        <w:pStyle w:val="Style32"/>
        <w:keepNext w:val="0"/>
        <w:keepLines w:val="0"/>
        <w:widowControl w:val="0"/>
        <w:shd w:val="clear" w:color="auto" w:fill="auto"/>
        <w:tabs>
          <w:tab w:pos="1420" w:val="left"/>
        </w:tabs>
        <w:bidi w:val="0"/>
        <w:spacing w:before="0" w:after="0" w:line="312" w:lineRule="exact"/>
        <w:ind w:left="1080" w:right="0" w:firstLine="0"/>
        <w:jc w:val="both"/>
        <w:rPr>
          <w:sz w:val="20"/>
          <w:szCs w:val="20"/>
        </w:rPr>
      </w:pPr>
      <w:r>
        <mc:AlternateContent>
          <mc:Choice Requires="wps">
            <w:drawing>
              <wp:anchor distT="0" distB="0" distL="114300" distR="114300" simplePos="0" relativeHeight="125829382" behindDoc="0" locked="0" layoutInCell="1" allowOverlap="1">
                <wp:simplePos x="0" y="0"/>
                <wp:positionH relativeFrom="page">
                  <wp:posOffset>902970</wp:posOffset>
                </wp:positionH>
                <wp:positionV relativeFrom="paragraph">
                  <wp:posOffset>38100</wp:posOffset>
                </wp:positionV>
                <wp:extent cx="2292350" cy="167640"/>
                <wp:wrapSquare wrapText="right"/>
                <wp:docPr id="143" name="Shape 143"/>
                <a:graphic xmlns:a="http://schemas.openxmlformats.org/drawingml/2006/main">
                  <a:graphicData uri="http://schemas.microsoft.com/office/word/2010/wordprocessingShape">
                    <wps:wsp>
                      <wps:cNvSpPr txBox="1"/>
                      <wps:spPr>
                        <a:xfrm>
                          <a:ext cx="2292350" cy="167640"/>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对公司经营成果与财务状况的影响情况</w:t>
                            </w:r>
                          </w:p>
                        </w:txbxContent>
                      </wps:txbx>
                      <wps:bodyPr wrap="none" lIns="0" tIns="0" rIns="0" bIns="0">
                        <a:noAutoFit/>
                      </wps:bodyPr>
                    </wps:wsp>
                  </a:graphicData>
                </a:graphic>
              </wp:anchor>
            </w:drawing>
          </mc:Choice>
          <mc:Fallback>
            <w:pict>
              <v:shape id="_x0000_s1169" type="#_x0000_t202" style="position:absolute;margin-left:71.100000000000009pt;margin-top:3.pt;width:180.5pt;height:13.200000000000001pt;z-index:-125829371;mso-wrap-distance-left:9.pt;mso-wrap-distance-right:9.pt;mso-position-horizontal-relative:page" filled="f" stroked="f">
                <v:textbox inset="0,0,0,0">
                  <w:txbxContent>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对公司经营成果与财务状况的影响情况</w:t>
                      </w:r>
                    </w:p>
                  </w:txbxContent>
                </v:textbox>
                <w10:wrap type="square" side="right" anchorx="page"/>
              </v:shape>
            </w:pict>
          </mc:Fallback>
        </mc:AlternateContent>
      </w:r>
      <w:bookmarkStart w:id="308" w:name="bookmark308"/>
      <w:r>
        <w:rPr>
          <w:rFonts w:ascii="Times New Roman" w:eastAsia="Times New Roman" w:hAnsi="Times New Roman" w:cs="Times New Roman"/>
          <w:color w:val="000000"/>
          <w:spacing w:val="0"/>
          <w:w w:val="100"/>
          <w:position w:val="0"/>
          <w:sz w:val="20"/>
          <w:szCs w:val="20"/>
        </w:rPr>
        <w:t>1</w:t>
      </w:r>
      <w:bookmarkEnd w:id="308"/>
      <w:r>
        <w:rPr>
          <w:color w:val="000000"/>
          <w:spacing w:val="0"/>
          <w:w w:val="100"/>
          <w:position w:val="0"/>
          <w:sz w:val="20"/>
          <w:szCs w:val="20"/>
        </w:rPr>
        <w:t>、</w:t>
        <w:tab/>
        <w:t>商标转让</w:t>
      </w:r>
    </w:p>
    <w:p>
      <w:pPr>
        <w:pStyle w:val="Style32"/>
        <w:keepNext w:val="0"/>
        <w:keepLines w:val="0"/>
        <w:widowControl w:val="0"/>
        <w:shd w:val="clear" w:color="auto" w:fill="auto"/>
        <w:bidi w:val="0"/>
        <w:spacing w:before="0" w:after="0" w:line="312" w:lineRule="exact"/>
        <w:ind w:left="4460" w:right="0" w:firstLine="420"/>
        <w:jc w:val="both"/>
        <w:rPr>
          <w:sz w:val="20"/>
          <w:szCs w:val="20"/>
        </w:rPr>
      </w:pPr>
      <w:r>
        <w:rPr>
          <w:color w:val="000000"/>
          <w:spacing w:val="0"/>
          <w:w w:val="100"/>
          <w:position w:val="0"/>
          <w:sz w:val="20"/>
          <w:szCs w:val="20"/>
        </w:rPr>
        <w:t>本次公司向苏宁置业集团转让商标，涉及商标种类较多，且需国家商标主管部门审批，报告期内公 司与苏宁置业集团推进商标转让程序的办理。于签订协议后，公司收到转让商标首期款人民币</w:t>
      </w:r>
      <w:r>
        <w:rPr>
          <w:rFonts w:ascii="Times New Roman" w:eastAsia="Times New Roman" w:hAnsi="Times New Roman" w:cs="Times New Roman"/>
          <w:color w:val="000000"/>
          <w:spacing w:val="0"/>
          <w:w w:val="100"/>
          <w:position w:val="0"/>
          <w:sz w:val="20"/>
          <w:szCs w:val="20"/>
        </w:rPr>
        <w:t>1,000</w:t>
      </w:r>
      <w:r>
        <w:rPr>
          <w:color w:val="000000"/>
          <w:spacing w:val="0"/>
          <w:w w:val="100"/>
          <w:position w:val="0"/>
          <w:sz w:val="20"/>
          <w:szCs w:val="20"/>
        </w:rPr>
        <w:t>万 元，报告期内确认收入</w:t>
      </w:r>
      <w:r>
        <w:rPr>
          <w:rFonts w:ascii="Times New Roman" w:eastAsia="Times New Roman" w:hAnsi="Times New Roman" w:cs="Times New Roman"/>
          <w:color w:val="000000"/>
          <w:spacing w:val="0"/>
          <w:w w:val="100"/>
          <w:position w:val="0"/>
          <w:sz w:val="20"/>
          <w:szCs w:val="20"/>
        </w:rPr>
        <w:t>943.40</w:t>
      </w:r>
      <w:r>
        <w:rPr>
          <w:color w:val="000000"/>
          <w:spacing w:val="0"/>
          <w:w w:val="100"/>
          <w:position w:val="0"/>
          <w:sz w:val="20"/>
          <w:szCs w:val="20"/>
        </w:rPr>
        <w:t>万元。</w:t>
      </w:r>
    </w:p>
    <w:p>
      <w:pPr>
        <w:pStyle w:val="Style32"/>
        <w:keepNext w:val="0"/>
        <w:keepLines w:val="0"/>
        <w:widowControl w:val="0"/>
        <w:shd w:val="clear" w:color="auto" w:fill="auto"/>
        <w:tabs>
          <w:tab w:pos="5244" w:val="left"/>
        </w:tabs>
        <w:bidi w:val="0"/>
        <w:spacing w:before="0" w:after="0" w:line="312" w:lineRule="exact"/>
        <w:ind w:left="4460" w:right="0" w:firstLine="420"/>
        <w:jc w:val="both"/>
        <w:rPr>
          <w:sz w:val="20"/>
          <w:szCs w:val="20"/>
        </w:rPr>
      </w:pPr>
      <w:bookmarkStart w:id="309" w:name="bookmark309"/>
      <w:r>
        <w:rPr>
          <w:rFonts w:ascii="Times New Roman" w:eastAsia="Times New Roman" w:hAnsi="Times New Roman" w:cs="Times New Roman"/>
          <w:color w:val="000000"/>
          <w:spacing w:val="0"/>
          <w:w w:val="100"/>
          <w:position w:val="0"/>
          <w:sz w:val="20"/>
          <w:szCs w:val="20"/>
        </w:rPr>
        <w:t>2</w:t>
      </w:r>
      <w:bookmarkEnd w:id="309"/>
      <w:r>
        <w:rPr>
          <w:color w:val="000000"/>
          <w:spacing w:val="0"/>
          <w:w w:val="100"/>
          <w:position w:val="0"/>
          <w:sz w:val="20"/>
          <w:szCs w:val="20"/>
        </w:rPr>
        <w:t>、</w:t>
        <w:tab/>
        <w:t>公司子公司出售子公司股权</w:t>
      </w:r>
      <w:r>
        <w:br w:type="page"/>
      </w:r>
    </w:p>
    <w:tbl>
      <w:tblPr>
        <w:tblOverlap w:val="never"/>
        <w:jc w:val="center"/>
        <w:tblLayout w:type="fixed"/>
      </w:tblPr>
      <w:tblGrid>
        <w:gridCol w:w="4435"/>
        <w:gridCol w:w="9590"/>
      </w:tblGrid>
      <w:tr>
        <w:trPr>
          <w:trHeight w:val="571" w:hRule="exact"/>
        </w:trPr>
        <w:tc>
          <w:tcPr>
            <w:tcBorders>
              <w:top w:val="single" w:sz="4"/>
              <w:left w:val="single" w:sz="4"/>
            </w:tcBorders>
            <w:shd w:val="clear" w:color="auto" w:fill="D3D3D3"/>
            <w:vAlign w:val="bottom"/>
          </w:tcPr>
          <w:p>
            <w:pPr>
              <w:pStyle w:val="Style28"/>
              <w:keepNext w:val="0"/>
              <w:keepLines w:val="0"/>
              <w:widowControl w:val="0"/>
              <w:shd w:val="clear" w:color="auto" w:fill="auto"/>
              <w:tabs>
                <w:tab w:pos="1337" w:val="left"/>
                <w:tab w:pos="2374" w:val="left"/>
                <w:tab w:pos="3454" w:val="left"/>
              </w:tabs>
              <w:bidi w:val="0"/>
              <w:spacing w:before="0" w:after="40" w:line="240" w:lineRule="auto"/>
              <w:ind w:left="0" w:right="0" w:firstLine="300"/>
              <w:jc w:val="left"/>
              <w:rPr>
                <w:sz w:val="20"/>
                <w:szCs w:val="20"/>
              </w:rPr>
            </w:pPr>
            <w:r>
              <w:rPr>
                <w:color w:val="000000"/>
                <w:spacing w:val="0"/>
                <w:w w:val="100"/>
                <w:position w:val="0"/>
                <w:sz w:val="20"/>
                <w:szCs w:val="20"/>
              </w:rPr>
              <w:t>关联方</w:t>
              <w:tab/>
              <w:t>关联关系</w:t>
              <w:tab/>
              <w:t>关联交易</w:t>
              <w:tab/>
              <w:t>关联交易</w:t>
            </w:r>
          </w:p>
          <w:p>
            <w:pPr>
              <w:pStyle w:val="Style28"/>
              <w:keepNext w:val="0"/>
              <w:keepLines w:val="0"/>
              <w:widowControl w:val="0"/>
              <w:shd w:val="clear" w:color="auto" w:fill="auto"/>
              <w:tabs>
                <w:tab w:pos="3706" w:val="left"/>
              </w:tabs>
              <w:bidi w:val="0"/>
              <w:spacing w:before="0" w:after="0" w:line="240" w:lineRule="auto"/>
              <w:ind w:left="2640" w:right="0" w:firstLine="0"/>
              <w:jc w:val="left"/>
              <w:rPr>
                <w:sz w:val="20"/>
                <w:szCs w:val="20"/>
              </w:rPr>
            </w:pPr>
            <w:r>
              <w:rPr>
                <w:color w:val="000000"/>
                <w:spacing w:val="0"/>
                <w:w w:val="100"/>
                <w:position w:val="0"/>
                <w:sz w:val="20"/>
                <w:szCs w:val="20"/>
              </w:rPr>
              <w:t>类型</w:t>
              <w:tab/>
              <w:t>内容</w:t>
            </w:r>
          </w:p>
        </w:tc>
        <w:tc>
          <w:tcPr>
            <w:tcBorders>
              <w:top w:val="single" w:sz="4"/>
              <w:left w:val="single" w:sz="4"/>
              <w:right w:val="single" w:sz="4"/>
            </w:tcBorders>
            <w:shd w:val="clear" w:color="auto" w:fill="D3D3D3"/>
            <w:vAlign w:val="bottom"/>
          </w:tcPr>
          <w:p>
            <w:pPr>
              <w:pStyle w:val="Style28"/>
              <w:keepNext w:val="0"/>
              <w:keepLines w:val="0"/>
              <w:widowControl w:val="0"/>
              <w:shd w:val="clear" w:color="auto" w:fill="auto"/>
              <w:tabs>
                <w:tab w:pos="7128" w:val="left"/>
                <w:tab w:pos="8338" w:val="left"/>
              </w:tabs>
              <w:bidi w:val="0"/>
              <w:spacing w:before="0" w:after="0" w:line="240" w:lineRule="auto"/>
              <w:ind w:left="0" w:right="0" w:firstLine="0"/>
              <w:jc w:val="left"/>
              <w:rPr>
                <w:sz w:val="20"/>
                <w:szCs w:val="20"/>
              </w:rPr>
            </w:pPr>
            <w:r>
              <w:rPr>
                <w:color w:val="000000"/>
                <w:spacing w:val="0"/>
                <w:w w:val="100"/>
                <w:position w:val="0"/>
                <w:sz w:val="20"/>
                <w:szCs w:val="20"/>
              </w:rPr>
              <w:t>关联交易 转让资产的转让资产的转让价格 关联交易结算方 交易损益</w:t>
              <w:tab/>
              <w:t>披露日期</w:t>
              <w:tab/>
              <w:t>披露索引</w:t>
            </w:r>
          </w:p>
          <w:p>
            <w:pPr>
              <w:pStyle w:val="Style28"/>
              <w:keepNext w:val="0"/>
              <w:keepLines w:val="0"/>
              <w:widowControl w:val="0"/>
              <w:shd w:val="clear" w:color="auto" w:fill="auto"/>
              <w:tabs>
                <w:tab w:pos="4925" w:val="left"/>
              </w:tabs>
              <w:bidi w:val="0"/>
              <w:spacing w:before="0" w:after="0" w:line="240" w:lineRule="auto"/>
              <w:ind w:left="0" w:right="0" w:firstLine="0"/>
              <w:jc w:val="left"/>
              <w:rPr>
                <w:sz w:val="20"/>
                <w:szCs w:val="20"/>
              </w:rPr>
            </w:pPr>
            <w:r>
              <w:rPr>
                <w:color w:val="000000"/>
                <w:spacing w:val="0"/>
                <w:w w:val="100"/>
                <w:position w:val="0"/>
                <w:sz w:val="20"/>
                <w:szCs w:val="20"/>
              </w:rPr>
              <w:t>定价原则账面价值评估价值</w:t>
              <w:tab/>
              <w:t>式</w:t>
            </w:r>
          </w:p>
        </w:tc>
      </w:tr>
      <w:tr>
        <w:trPr>
          <w:trHeight w:val="282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315" w:lineRule="exact"/>
              <w:ind w:left="0" w:right="0" w:firstLine="440"/>
              <w:jc w:val="left"/>
              <w:rPr>
                <w:sz w:val="20"/>
                <w:szCs w:val="20"/>
              </w:rPr>
            </w:pPr>
            <w:r>
              <w:rPr>
                <w:color w:val="000000"/>
                <w:spacing w:val="0"/>
                <w:w w:val="100"/>
                <w:position w:val="0"/>
                <w:sz w:val="20"/>
                <w:szCs w:val="20"/>
              </w:rPr>
              <w:t>截至</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日，公司子公司北京苏宁云商持有的北京京朝苏宁</w:t>
            </w:r>
            <w:r>
              <w:rPr>
                <w:rFonts w:ascii="Times New Roman" w:eastAsia="Times New Roman" w:hAnsi="Times New Roman" w:cs="Times New Roman"/>
                <w:color w:val="000000"/>
                <w:spacing w:val="0"/>
                <w:w w:val="100"/>
                <w:position w:val="0"/>
                <w:sz w:val="20"/>
                <w:szCs w:val="20"/>
              </w:rPr>
              <w:t>90%</w:t>
            </w:r>
            <w:r>
              <w:rPr>
                <w:color w:val="000000"/>
                <w:spacing w:val="0"/>
                <w:w w:val="100"/>
                <w:position w:val="0"/>
                <w:sz w:val="20"/>
                <w:szCs w:val="20"/>
              </w:rPr>
              <w:t>股权已转让给苏宁电 器集团，剩余</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转让手续正在办理中，苏宁电器集团已支付</w:t>
            </w:r>
            <w:r>
              <w:rPr>
                <w:rFonts w:ascii="Times New Roman" w:eastAsia="Times New Roman" w:hAnsi="Times New Roman" w:cs="Times New Roman"/>
                <w:color w:val="000000"/>
                <w:spacing w:val="0"/>
                <w:w w:val="100"/>
                <w:position w:val="0"/>
                <w:sz w:val="20"/>
                <w:szCs w:val="20"/>
              </w:rPr>
              <w:t>8.02</w:t>
            </w:r>
            <w:r>
              <w:rPr>
                <w:color w:val="000000"/>
                <w:spacing w:val="0"/>
                <w:w w:val="100"/>
                <w:position w:val="0"/>
                <w:sz w:val="20"/>
                <w:szCs w:val="20"/>
              </w:rPr>
              <w:t>亿元的股权对价款，其余款项将在完 成剩余股权转让工商登记手续之后予以支付，并已在</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日前偿还完毕北京京朝苏宁所欠苏 宁云商及子公司的款项。</w:t>
            </w:r>
          </w:p>
          <w:p>
            <w:pPr>
              <w:pStyle w:val="Style28"/>
              <w:keepNext w:val="0"/>
              <w:keepLines w:val="0"/>
              <w:widowControl w:val="0"/>
              <w:shd w:val="clear" w:color="auto" w:fill="auto"/>
              <w:bidi w:val="0"/>
              <w:spacing w:before="0" w:after="0" w:line="315" w:lineRule="exact"/>
              <w:ind w:left="0" w:right="0" w:firstLine="440"/>
              <w:jc w:val="left"/>
              <w:rPr>
                <w:sz w:val="20"/>
                <w:szCs w:val="20"/>
              </w:rPr>
            </w:pPr>
            <w:r>
              <w:rPr>
                <w:color w:val="000000"/>
                <w:spacing w:val="0"/>
                <w:w w:val="100"/>
                <w:position w:val="0"/>
                <w:sz w:val="20"/>
                <w:szCs w:val="20"/>
              </w:rPr>
              <w:t>按照上述交易安排，截至</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日北京京朝苏宁不再纳入公司合并报表范围。根据企业会 计准则规定，若涉及处置子公司的，应当将该子公司期初至处置日的收入、费用、利润纳入合并利润 表，归属于母公司所有者享有的部分计入</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归属于母公司所有者的净利润</w:t>
            </w:r>
            <w:r>
              <w:rPr>
                <w:color w:val="000000"/>
                <w:spacing w:val="0"/>
                <w:w w:val="100"/>
                <w:position w:val="0"/>
                <w:sz w:val="20"/>
                <w:szCs w:val="20"/>
              </w:rPr>
              <w:t>''；</w:t>
            </w:r>
            <w:r>
              <w:rPr>
                <w:color w:val="000000"/>
                <w:spacing w:val="0"/>
                <w:w w:val="100"/>
                <w:position w:val="0"/>
                <w:sz w:val="20"/>
                <w:szCs w:val="20"/>
              </w:rPr>
              <w:t>出售子公司股权收到的价款 与处置投资对应的享有该子公司净资产份额的差额，在合并财务报表中确认为当期投资收益。本次交易 增加公司净利润</w:t>
            </w:r>
            <w:r>
              <w:rPr>
                <w:rFonts w:ascii="Times New Roman" w:eastAsia="Times New Roman" w:hAnsi="Times New Roman" w:cs="Times New Roman"/>
                <w:color w:val="000000"/>
                <w:spacing w:val="0"/>
                <w:w w:val="100"/>
                <w:position w:val="0"/>
                <w:sz w:val="20"/>
                <w:szCs w:val="20"/>
              </w:rPr>
              <w:t>9.88</w:t>
            </w:r>
            <w:r>
              <w:rPr>
                <w:color w:val="000000"/>
                <w:spacing w:val="0"/>
                <w:w w:val="100"/>
                <w:position w:val="0"/>
                <w:sz w:val="20"/>
                <w:szCs w:val="20"/>
              </w:rPr>
              <w:t>亿元。</w:t>
            </w:r>
          </w:p>
        </w:tc>
      </w:tr>
      <w:tr>
        <w:trPr>
          <w:trHeight w:val="562" w:hRule="exact"/>
        </w:trPr>
        <w:tc>
          <w:tcPr>
            <w:tcBorders>
              <w:top w:val="single" w:sz="4"/>
              <w:left w:val="single" w:sz="4"/>
              <w:bottom w:val="single" w:sz="4"/>
            </w:tcBorders>
            <w:shd w:val="clear" w:color="auto" w:fill="D3D3D3"/>
            <w:vAlign w:val="top"/>
          </w:tcPr>
          <w:p>
            <w:pPr>
              <w:pStyle w:val="Style28"/>
              <w:keepNext w:val="0"/>
              <w:keepLines w:val="0"/>
              <w:widowControl w:val="0"/>
              <w:shd w:val="clear" w:color="auto" w:fill="auto"/>
              <w:bidi w:val="0"/>
              <w:spacing w:before="0" w:after="0" w:line="283" w:lineRule="exact"/>
              <w:ind w:left="0" w:right="0" w:firstLine="0"/>
              <w:jc w:val="left"/>
              <w:rPr>
                <w:sz w:val="20"/>
                <w:szCs w:val="20"/>
              </w:rPr>
            </w:pPr>
            <w:r>
              <w:rPr>
                <w:color w:val="000000"/>
                <w:spacing w:val="0"/>
                <w:w w:val="100"/>
                <w:position w:val="0"/>
                <w:sz w:val="20"/>
                <w:szCs w:val="20"/>
              </w:rPr>
              <w:t>如相关交易涉及业绩约定的，报告期内的业绩 实现情况</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不适用</w:t>
            </w:r>
          </w:p>
        </w:tc>
      </w:tr>
    </w:tbl>
    <w:p>
      <w:pPr>
        <w:widowControl w:val="0"/>
        <w:spacing w:after="599" w:line="1" w:lineRule="exact"/>
      </w:pPr>
    </w:p>
    <w:p>
      <w:pPr>
        <w:pStyle w:val="Style38"/>
        <w:keepNext/>
        <w:keepLines/>
        <w:widowControl w:val="0"/>
        <w:shd w:val="clear" w:color="auto" w:fill="auto"/>
        <w:bidi w:val="0"/>
        <w:spacing w:before="0" w:after="340" w:line="240" w:lineRule="auto"/>
        <w:ind w:left="0" w:right="0" w:firstLine="0"/>
        <w:jc w:val="left"/>
      </w:pPr>
      <w:bookmarkStart w:id="310" w:name="bookmark310"/>
      <w:bookmarkStart w:id="311" w:name="bookmark311"/>
      <w:bookmarkStart w:id="312" w:name="bookmark312"/>
      <w:bookmarkStart w:id="313" w:name="bookmark313"/>
      <w:r>
        <w:rPr>
          <w:rFonts w:ascii="Times New Roman" w:eastAsia="Times New Roman" w:hAnsi="Times New Roman" w:cs="Times New Roman"/>
          <w:color w:val="000000"/>
          <w:spacing w:val="0"/>
          <w:w w:val="100"/>
          <w:position w:val="0"/>
        </w:rPr>
        <w:t>3</w:t>
      </w:r>
      <w:bookmarkEnd w:id="312"/>
      <w:r>
        <w:rPr>
          <w:color w:val="000000"/>
          <w:spacing w:val="0"/>
          <w:w w:val="100"/>
          <w:position w:val="0"/>
        </w:rPr>
        <w:t>、共同对外投资的关联交易</w:t>
      </w:r>
      <w:bookmarkEnd w:id="310"/>
      <w:bookmarkEnd w:id="311"/>
      <w:bookmarkEnd w:id="313"/>
    </w:p>
    <w:p>
      <w:pPr>
        <w:pStyle w:val="Style25"/>
        <w:keepNext w:val="0"/>
        <w:keepLines w:val="0"/>
        <w:widowControl w:val="0"/>
        <w:shd w:val="clear" w:color="auto" w:fill="auto"/>
        <w:bidi w:val="0"/>
        <w:spacing w:before="0" w:after="0" w:line="240" w:lineRule="auto"/>
        <w:ind w:left="12926" w:right="0" w:firstLine="0"/>
        <w:jc w:val="left"/>
        <w:rPr>
          <w:sz w:val="20"/>
          <w:szCs w:val="20"/>
        </w:rPr>
      </w:pPr>
      <w:r>
        <w:rPr>
          <w:color w:val="000000"/>
          <w:spacing w:val="0"/>
          <w:w w:val="100"/>
          <w:position w:val="0"/>
          <w:sz w:val="20"/>
          <w:szCs w:val="20"/>
        </w:rPr>
        <w:t>单位：万元</w:t>
      </w:r>
    </w:p>
    <w:tbl>
      <w:tblPr>
        <w:tblOverlap w:val="never"/>
        <w:jc w:val="center"/>
        <w:tblLayout w:type="fixed"/>
      </w:tblPr>
      <w:tblGrid>
        <w:gridCol w:w="1579"/>
        <w:gridCol w:w="2424"/>
        <w:gridCol w:w="1699"/>
        <w:gridCol w:w="2410"/>
        <w:gridCol w:w="2414"/>
        <w:gridCol w:w="1133"/>
        <w:gridCol w:w="1138"/>
        <w:gridCol w:w="1229"/>
      </w:tblGrid>
      <w:tr>
        <w:trPr>
          <w:trHeight w:val="562" w:hRule="exact"/>
        </w:trPr>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共同投资方</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关联关系</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被投资企业的名 称</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被投资企业的主营业务</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被投资企业的注册资本</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被投资企业 的总资产</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被投资企业 的净资产</w:t>
            </w:r>
          </w:p>
        </w:tc>
        <w:tc>
          <w:tcPr>
            <w:tcBorders>
              <w:top w:val="single" w:sz="4"/>
              <w:left w:val="single" w:sz="4"/>
              <w:right w:val="single" w:sz="4"/>
            </w:tcBorders>
            <w:shd w:val="clear" w:color="auto" w:fill="D3D3D3"/>
            <w:vAlign w:val="top"/>
          </w:tcPr>
          <w:p>
            <w:pPr>
              <w:pStyle w:val="Style28"/>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被投资企业 的净利润</w:t>
            </w:r>
          </w:p>
        </w:tc>
      </w:tr>
      <w:tr>
        <w:trPr>
          <w:trHeight w:val="3005"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0" w:lineRule="exact"/>
              <w:ind w:left="0" w:right="0" w:firstLine="0"/>
              <w:jc w:val="left"/>
              <w:rPr>
                <w:sz w:val="20"/>
                <w:szCs w:val="20"/>
              </w:rPr>
            </w:pPr>
            <w:r>
              <w:rPr>
                <w:color w:val="000000"/>
                <w:spacing w:val="0"/>
                <w:w w:val="100"/>
                <w:position w:val="0"/>
                <w:sz w:val="20"/>
                <w:szCs w:val="20"/>
              </w:rPr>
              <w:t>苏宁鼎元（上 海）股权投资管 理中心（有限合 伙）； 苏宁电器集团有 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1" w:lineRule="exact"/>
              <w:ind w:left="0" w:right="0" w:firstLine="0"/>
              <w:jc w:val="left"/>
              <w:rPr>
                <w:sz w:val="20"/>
                <w:szCs w:val="20"/>
              </w:rPr>
            </w:pPr>
            <w:r>
              <w:rPr>
                <w:color w:val="000000"/>
                <w:spacing w:val="0"/>
                <w:w w:val="100"/>
                <w:position w:val="0"/>
                <w:sz w:val="20"/>
                <w:szCs w:val="20"/>
              </w:rPr>
              <w:t>鼎元投资普通合伙人为苏 宁润东，有限合伙人为苏 宁控股集团和自然人陈 艳，苏宁润东为苏宁控股 集团控股子公司，苏宁控 股集团为公司实际控制 人、控股股东张近东先生 全资子公司，公司与鼎元 投资构成关联关系；苏宁 电器集团为公司持股</w:t>
            </w:r>
            <w:r>
              <w:rPr>
                <w:rFonts w:ascii="Times New Roman" w:eastAsia="Times New Roman" w:hAnsi="Times New Roman" w:cs="Times New Roman"/>
                <w:color w:val="000000"/>
                <w:spacing w:val="0"/>
                <w:w w:val="100"/>
                <w:position w:val="0"/>
                <w:sz w:val="20"/>
                <w:szCs w:val="20"/>
              </w:rPr>
              <w:t xml:space="preserve">5% </w:t>
            </w:r>
            <w:r>
              <w:rPr>
                <w:color w:val="000000"/>
                <w:spacing w:val="0"/>
                <w:w w:val="100"/>
                <w:position w:val="0"/>
                <w:sz w:val="20"/>
                <w:szCs w:val="20"/>
              </w:rPr>
              <w:t>以上的股东</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5" w:lineRule="exact"/>
              <w:ind w:left="0" w:right="0" w:firstLine="0"/>
              <w:jc w:val="left"/>
              <w:rPr>
                <w:sz w:val="20"/>
                <w:szCs w:val="20"/>
              </w:rPr>
            </w:pPr>
            <w:r>
              <w:rPr>
                <w:color w:val="000000"/>
                <w:spacing w:val="0"/>
                <w:w w:val="100"/>
                <w:position w:val="0"/>
                <w:sz w:val="20"/>
                <w:szCs w:val="20"/>
              </w:rPr>
              <w:t>苏宁鼎元（上 海）股权基金合 伙企业（有限合 伙）</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3" w:lineRule="exact"/>
              <w:ind w:left="0" w:right="0" w:firstLine="0"/>
              <w:jc w:val="both"/>
              <w:rPr>
                <w:sz w:val="20"/>
                <w:szCs w:val="20"/>
              </w:rPr>
            </w:pPr>
            <w:r>
              <w:rPr>
                <w:color w:val="000000"/>
                <w:spacing w:val="0"/>
                <w:w w:val="100"/>
                <w:position w:val="0"/>
                <w:sz w:val="20"/>
                <w:szCs w:val="20"/>
              </w:rPr>
              <w:t>该基金主要直接或间接投 资符合国家产业政策、契 合经济增长方式、具有良 好成长性的项目，主要聚 焦消费零售、</w:t>
            </w:r>
            <w:r>
              <w:rPr>
                <w:rFonts w:ascii="Times New Roman" w:eastAsia="Times New Roman" w:hAnsi="Times New Roman" w:cs="Times New Roman"/>
                <w:color w:val="000000"/>
                <w:spacing w:val="0"/>
                <w:w w:val="100"/>
                <w:position w:val="0"/>
                <w:sz w:val="20"/>
                <w:szCs w:val="20"/>
              </w:rPr>
              <w:t>TMT</w:t>
            </w:r>
            <w:r>
              <w:rPr>
                <w:color w:val="000000"/>
                <w:spacing w:val="0"/>
                <w:w w:val="100"/>
                <w:position w:val="0"/>
                <w:sz w:val="20"/>
                <w:szCs w:val="20"/>
              </w:rPr>
              <w:t>、</w:t>
            </w:r>
            <w:r>
              <w:rPr>
                <w:color w:val="000000"/>
                <w:spacing w:val="0"/>
                <w:w w:val="100"/>
                <w:position w:val="0"/>
                <w:sz w:val="20"/>
                <w:szCs w:val="20"/>
              </w:rPr>
              <w:t>文化 娱乐、金融服务、健康服 务等领域，与公司互联网 零售发展战略契合度较高</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2" w:lineRule="exact"/>
              <w:ind w:left="0" w:right="0" w:firstLine="0"/>
              <w:jc w:val="left"/>
              <w:rPr>
                <w:sz w:val="20"/>
                <w:szCs w:val="20"/>
              </w:rPr>
            </w:pPr>
            <w:r>
              <w:rPr>
                <w:color w:val="000000"/>
                <w:spacing w:val="0"/>
                <w:w w:val="100"/>
                <w:position w:val="0"/>
                <w:sz w:val="20"/>
                <w:szCs w:val="20"/>
              </w:rPr>
              <w:t>基金首期募集金额为</w:t>
            </w:r>
            <w:r>
              <w:rPr>
                <w:rFonts w:ascii="Times New Roman" w:eastAsia="Times New Roman" w:hAnsi="Times New Roman" w:cs="Times New Roman"/>
                <w:color w:val="000000"/>
                <w:spacing w:val="0"/>
                <w:w w:val="100"/>
                <w:position w:val="0"/>
                <w:sz w:val="20"/>
                <w:szCs w:val="20"/>
              </w:rPr>
              <w:t xml:space="preserve">20 </w:t>
            </w:r>
            <w:r>
              <w:rPr>
                <w:color w:val="000000"/>
                <w:spacing w:val="0"/>
                <w:w w:val="100"/>
                <w:position w:val="0"/>
                <w:sz w:val="20"/>
                <w:szCs w:val="20"/>
              </w:rPr>
              <w:t>亿元，其中普通合伙人苏 宁鼎元（上海）股权投资 管理中心（有限合伙）认 缴出资</w:t>
            </w:r>
            <w:r>
              <w:rPr>
                <w:rFonts w:ascii="Times New Roman" w:eastAsia="Times New Roman" w:hAnsi="Times New Roman" w:cs="Times New Roman"/>
                <w:color w:val="000000"/>
                <w:spacing w:val="0"/>
                <w:w w:val="100"/>
                <w:position w:val="0"/>
                <w:sz w:val="20"/>
                <w:szCs w:val="20"/>
              </w:rPr>
              <w:t>2,000</w:t>
            </w:r>
            <w:r>
              <w:rPr>
                <w:color w:val="000000"/>
                <w:spacing w:val="0"/>
                <w:w w:val="100"/>
                <w:position w:val="0"/>
                <w:sz w:val="20"/>
                <w:szCs w:val="20"/>
              </w:rPr>
              <w:t>万元，有限 合伙人苏宁电器集团有限 公司认缴出资</w:t>
            </w:r>
            <w:r>
              <w:rPr>
                <w:rFonts w:ascii="Times New Roman" w:eastAsia="Times New Roman" w:hAnsi="Times New Roman" w:cs="Times New Roman"/>
                <w:color w:val="000000"/>
                <w:spacing w:val="0"/>
                <w:w w:val="100"/>
                <w:position w:val="0"/>
                <w:sz w:val="20"/>
                <w:szCs w:val="20"/>
              </w:rPr>
              <w:t>14.80</w:t>
            </w:r>
            <w:r>
              <w:rPr>
                <w:color w:val="000000"/>
                <w:spacing w:val="0"/>
                <w:w w:val="100"/>
                <w:position w:val="0"/>
                <w:sz w:val="20"/>
                <w:szCs w:val="20"/>
              </w:rPr>
              <w:t>亿 元，有限合伙人苏宁云商 认缴出资</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亿元</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0</w:t>
            </w:r>
          </w:p>
        </w:tc>
      </w:tr>
      <w:tr>
        <w:trPr>
          <w:trHeight w:val="283" w:hRule="exact"/>
        </w:trPr>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阿里巴巴（中</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淘宝（中国）软件有限公</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重庆猫宁电子商</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以公司化模式管理、运营</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100,000</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100,089.84</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100,067.38</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33.62</w:t>
            </w:r>
          </w:p>
        </w:tc>
      </w:tr>
    </w:tbl>
    <w:p>
      <w:pPr>
        <w:widowControl w:val="0"/>
        <w:spacing w:line="1" w:lineRule="exact"/>
      </w:pPr>
      <w:r>
        <w:br w:type="page"/>
      </w:r>
    </w:p>
    <w:tbl>
      <w:tblPr>
        <w:tblOverlap w:val="never"/>
        <w:jc w:val="center"/>
        <w:tblLayout w:type="fixed"/>
      </w:tblPr>
      <w:tblGrid>
        <w:gridCol w:w="1579"/>
        <w:gridCol w:w="2424"/>
        <w:gridCol w:w="1699"/>
        <w:gridCol w:w="2410"/>
        <w:gridCol w:w="2414"/>
        <w:gridCol w:w="1133"/>
        <w:gridCol w:w="1138"/>
        <w:gridCol w:w="1229"/>
      </w:tblGrid>
      <w:tr>
        <w:trPr>
          <w:trHeight w:val="571" w:hRule="exact"/>
        </w:trPr>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共同投资方</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关联关系</w:t>
            </w:r>
          </w:p>
        </w:tc>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被投资企业的名 称</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被投资企业的主营业务</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被投资企业的注册资本</w:t>
            </w:r>
          </w:p>
        </w:tc>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被投资企业 的总资产</w:t>
            </w:r>
          </w:p>
        </w:tc>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被投资企业 的净资产</w:t>
            </w:r>
          </w:p>
        </w:tc>
        <w:tc>
          <w:tcPr>
            <w:tcBorders>
              <w:top w:val="single" w:sz="4"/>
              <w:left w:val="single" w:sz="4"/>
              <w:right w:val="single" w:sz="4"/>
            </w:tcBorders>
            <w:shd w:val="clear" w:color="auto" w:fill="D3D3D3"/>
            <w:vAlign w:val="bottom"/>
          </w:tcPr>
          <w:p>
            <w:pPr>
              <w:pStyle w:val="Style28"/>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被投资企业 的净利润</w:t>
            </w:r>
          </w:p>
        </w:tc>
      </w:tr>
      <w:tr>
        <w:trPr>
          <w:trHeight w:val="1915"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国）网络技术有 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司为公司持股</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以上股 东，为公司关联法人。阿 里巴巴中国与淘宝中国均 受同一控制人</w:t>
            </w:r>
            <w:r>
              <w:rPr>
                <w:rFonts w:ascii="Times New Roman" w:eastAsia="Times New Roman" w:hAnsi="Times New Roman" w:cs="Times New Roman"/>
                <w:color w:val="000000"/>
                <w:spacing w:val="0"/>
                <w:w w:val="100"/>
                <w:position w:val="0"/>
                <w:sz w:val="20"/>
                <w:szCs w:val="20"/>
              </w:rPr>
              <w:t>Alibaba</w:t>
            </w:r>
          </w:p>
          <w:p>
            <w:pPr>
              <w:pStyle w:val="Style28"/>
              <w:keepNext w:val="0"/>
              <w:keepLines w:val="0"/>
              <w:widowControl w:val="0"/>
              <w:shd w:val="clear" w:color="auto" w:fill="auto"/>
              <w:bidi w:val="0"/>
              <w:spacing w:before="0" w:after="0" w:line="274" w:lineRule="exact"/>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Group Holding Limited </w:t>
            </w:r>
            <w:r>
              <w:rPr>
                <w:color w:val="000000"/>
                <w:spacing w:val="0"/>
                <w:w w:val="100"/>
                <w:position w:val="0"/>
                <w:sz w:val="20"/>
                <w:szCs w:val="20"/>
              </w:rPr>
              <w:t>控 制，且双方董事、监事和 总经理一致</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务有限公司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1" w:lineRule="exact"/>
              <w:ind w:left="0" w:right="0" w:firstLine="0"/>
              <w:jc w:val="left"/>
              <w:rPr>
                <w:sz w:val="20"/>
                <w:szCs w:val="20"/>
              </w:rPr>
            </w:pPr>
            <w:r>
              <w:rPr>
                <w:color w:val="000000"/>
                <w:spacing w:val="0"/>
                <w:w w:val="100"/>
                <w:position w:val="0"/>
                <w:sz w:val="20"/>
                <w:szCs w:val="20"/>
              </w:rPr>
              <w:t xml:space="preserve">苏宁云商集团各业务版块 </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包括但不限于苏宁易 购、红孩子和日本</w:t>
            </w:r>
            <w:r>
              <w:rPr>
                <w:rFonts w:ascii="Times New Roman" w:eastAsia="Times New Roman" w:hAnsi="Times New Roman" w:cs="Times New Roman"/>
                <w:color w:val="000000"/>
                <w:spacing w:val="0"/>
                <w:w w:val="100"/>
                <w:position w:val="0"/>
                <w:sz w:val="20"/>
                <w:szCs w:val="20"/>
              </w:rPr>
              <w:t xml:space="preserve">laox） </w:t>
            </w:r>
            <w:r>
              <w:rPr>
                <w:color w:val="000000"/>
                <w:spacing w:val="0"/>
                <w:w w:val="100"/>
                <w:position w:val="0"/>
                <w:sz w:val="20"/>
                <w:szCs w:val="20"/>
              </w:rPr>
              <w:t>在阿里巴巴集团平台上开 设的相关店铺和频道</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026" w:hRule="exact"/>
        </w:trPr>
        <w:tc>
          <w:tcPr>
            <w:tcBorders>
              <w:top w:val="single" w:sz="4"/>
              <w:left w:val="single" w:sz="4"/>
              <w:bottom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被投资企业的重</w:t>
            </w:r>
          </w:p>
        </w:tc>
        <w:tc>
          <w:tcPr>
            <w:tcBorders>
              <w:top w:val="single" w:sz="4"/>
              <w:left w:val="single" w:sz="4"/>
              <w:bottom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邕大在建项目的进展情况</w:t>
            </w:r>
          </w:p>
        </w:tc>
        <w:tc>
          <w:tcPr>
            <w:gridSpan w:val="6"/>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tabs>
                <w:tab w:pos="742" w:val="left"/>
              </w:tabs>
              <w:bidi w:val="0"/>
              <w:spacing w:before="0" w:after="0" w:line="313" w:lineRule="exact"/>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tab/>
              <w:t>苏宁鼎元（上海）股权基金合伙企业（有限合伙）</w:t>
            </w:r>
          </w:p>
          <w:p>
            <w:pPr>
              <w:pStyle w:val="Style28"/>
              <w:keepNext w:val="0"/>
              <w:keepLines w:val="0"/>
              <w:widowControl w:val="0"/>
              <w:shd w:val="clear" w:color="auto" w:fill="auto"/>
              <w:bidi w:val="0"/>
              <w:spacing w:before="0" w:after="0" w:line="313" w:lineRule="exact"/>
              <w:ind w:left="0" w:right="0" w:firstLine="440"/>
              <w:jc w:val="left"/>
              <w:rPr>
                <w:sz w:val="20"/>
                <w:szCs w:val="20"/>
              </w:rPr>
            </w:pPr>
            <w:r>
              <w:rPr>
                <w:color w:val="000000"/>
                <w:spacing w:val="0"/>
                <w:w w:val="100"/>
                <w:position w:val="0"/>
                <w:sz w:val="20"/>
                <w:szCs w:val="20"/>
              </w:rPr>
              <w:t>助力公司互联网零售战略转型深化，进一步丰富苏宁生态圈，提升竞争力，在实现产业协同效应的同时 也能获得财务回报效应，公司与苏宁润东股权投资管理有限公司拟利用双方各自的产业、资金、专业的优势 共同打造并购产业基金。</w:t>
            </w:r>
          </w:p>
          <w:p>
            <w:pPr>
              <w:pStyle w:val="Style28"/>
              <w:keepNext w:val="0"/>
              <w:keepLines w:val="0"/>
              <w:widowControl w:val="0"/>
              <w:shd w:val="clear" w:color="auto" w:fill="auto"/>
              <w:bidi w:val="0"/>
              <w:spacing w:before="0" w:after="0" w:line="313" w:lineRule="exact"/>
              <w:ind w:left="0" w:right="0" w:firstLine="440"/>
              <w:jc w:val="left"/>
              <w:rPr>
                <w:sz w:val="20"/>
                <w:szCs w:val="20"/>
              </w:rPr>
            </w:pPr>
            <w:r>
              <w:rPr>
                <w:color w:val="000000"/>
                <w:spacing w:val="0"/>
                <w:w w:val="100"/>
                <w:position w:val="0"/>
                <w:sz w:val="20"/>
                <w:szCs w:val="20"/>
              </w:rPr>
              <w:t xml:space="preserve">该并购产业基金拟以合伙企业形式组建，名称苏宁鼎元（上海）股权基金合伙企业（有限合伙）（简称 </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基金</w:t>
            </w:r>
            <w:r>
              <w:rPr>
                <w:color w:val="000000"/>
                <w:spacing w:val="0"/>
                <w:w w:val="100"/>
                <w:position w:val="0"/>
                <w:sz w:val="20"/>
                <w:szCs w:val="20"/>
              </w:rPr>
              <w:t>''）</w:t>
            </w:r>
            <w:r>
              <w:rPr>
                <w:color w:val="000000"/>
                <w:spacing w:val="0"/>
                <w:w w:val="100"/>
                <w:position w:val="0"/>
                <w:sz w:val="20"/>
                <w:szCs w:val="20"/>
              </w:rPr>
              <w:t>，基金首期募集金额为</w:t>
            </w:r>
            <w:r>
              <w:rPr>
                <w:rFonts w:ascii="Times New Roman" w:eastAsia="Times New Roman" w:hAnsi="Times New Roman" w:cs="Times New Roman"/>
                <w:color w:val="000000"/>
                <w:spacing w:val="0"/>
                <w:w w:val="100"/>
                <w:position w:val="0"/>
                <w:sz w:val="20"/>
                <w:szCs w:val="20"/>
              </w:rPr>
              <w:t>20</w:t>
            </w:r>
            <w:r>
              <w:rPr>
                <w:color w:val="000000"/>
                <w:spacing w:val="0"/>
                <w:w w:val="100"/>
                <w:position w:val="0"/>
                <w:sz w:val="20"/>
                <w:szCs w:val="20"/>
              </w:rPr>
              <w:t>亿元，其中普通合伙人苏宁鼎元（上海）股权投资管理中心（有限合伙） 认缴出资</w:t>
            </w:r>
            <w:r>
              <w:rPr>
                <w:rFonts w:ascii="Times New Roman" w:eastAsia="Times New Roman" w:hAnsi="Times New Roman" w:cs="Times New Roman"/>
                <w:color w:val="000000"/>
                <w:spacing w:val="0"/>
                <w:w w:val="100"/>
                <w:position w:val="0"/>
                <w:sz w:val="20"/>
                <w:szCs w:val="20"/>
              </w:rPr>
              <w:t>2,000</w:t>
            </w:r>
            <w:r>
              <w:rPr>
                <w:color w:val="000000"/>
                <w:spacing w:val="0"/>
                <w:w w:val="100"/>
                <w:position w:val="0"/>
                <w:sz w:val="20"/>
                <w:szCs w:val="20"/>
              </w:rPr>
              <w:t>万元，有限合伙人苏宁电器集团有限公司认缴出资</w:t>
            </w:r>
            <w:r>
              <w:rPr>
                <w:rFonts w:ascii="Times New Roman" w:eastAsia="Times New Roman" w:hAnsi="Times New Roman" w:cs="Times New Roman"/>
                <w:color w:val="000000"/>
                <w:spacing w:val="0"/>
                <w:w w:val="100"/>
                <w:position w:val="0"/>
                <w:sz w:val="20"/>
                <w:szCs w:val="20"/>
              </w:rPr>
              <w:t>14.80</w:t>
            </w:r>
            <w:r>
              <w:rPr>
                <w:color w:val="000000"/>
                <w:spacing w:val="0"/>
                <w:w w:val="100"/>
                <w:position w:val="0"/>
                <w:sz w:val="20"/>
                <w:szCs w:val="20"/>
              </w:rPr>
              <w:t xml:space="preserve">亿元，有限合伙人苏宁云商认缴出资 </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亿元。</w:t>
            </w:r>
          </w:p>
          <w:p>
            <w:pPr>
              <w:pStyle w:val="Style28"/>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截至</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月，该基金已经完成工商设立，基金普通合伙人、有限合伙人未出资。</w:t>
            </w:r>
          </w:p>
          <w:p>
            <w:pPr>
              <w:pStyle w:val="Style28"/>
              <w:keepNext w:val="0"/>
              <w:keepLines w:val="0"/>
              <w:widowControl w:val="0"/>
              <w:shd w:val="clear" w:color="auto" w:fill="auto"/>
              <w:tabs>
                <w:tab w:pos="762" w:val="left"/>
              </w:tabs>
              <w:bidi w:val="0"/>
              <w:spacing w:before="0" w:after="0" w:line="313" w:lineRule="exact"/>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tab/>
              <w:t>重庆猫宁电子商务有限公司</w:t>
            </w:r>
          </w:p>
          <w:p>
            <w:pPr>
              <w:pStyle w:val="Style28"/>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公司第五届董事会第四十一次会议审议通过《关于与关联方共同投资设立子公司的议案》，公司全资子 公司苏宁云商集团南京苏宁易购投资有限公司（简称</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南京苏宁易购</w:t>
            </w:r>
            <w:r>
              <w:rPr>
                <w:color w:val="000000"/>
                <w:spacing w:val="0"/>
                <w:w w:val="100"/>
                <w:position w:val="0"/>
                <w:sz w:val="20"/>
                <w:szCs w:val="20"/>
              </w:rPr>
              <w:t>''）</w:t>
            </w:r>
            <w:r>
              <w:rPr>
                <w:color w:val="000000"/>
                <w:spacing w:val="0"/>
                <w:w w:val="100"/>
                <w:position w:val="0"/>
                <w:sz w:val="20"/>
                <w:szCs w:val="20"/>
              </w:rPr>
              <w:t>与关联方阿里巴巴（中国）网络技术 有限公司（简称</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阿里巴巴中国</w:t>
            </w:r>
            <w:r>
              <w:rPr>
                <w:color w:val="000000"/>
                <w:spacing w:val="0"/>
                <w:w w:val="100"/>
                <w:position w:val="0"/>
                <w:sz w:val="20"/>
                <w:szCs w:val="20"/>
              </w:rPr>
              <w:t>''）</w:t>
            </w:r>
            <w:r>
              <w:rPr>
                <w:color w:val="000000"/>
                <w:spacing w:val="0"/>
                <w:w w:val="100"/>
                <w:position w:val="0"/>
                <w:sz w:val="20"/>
                <w:szCs w:val="20"/>
              </w:rPr>
              <w:t>共同出资人民币</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亿元设立重庆猫宁电子商务有限公司（简称</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猫宁电 商</w:t>
            </w:r>
            <w:r>
              <w:rPr>
                <w:color w:val="000000"/>
                <w:spacing w:val="0"/>
                <w:w w:val="100"/>
                <w:position w:val="0"/>
                <w:sz w:val="20"/>
                <w:szCs w:val="20"/>
              </w:rPr>
              <w:t>''）</w:t>
            </w:r>
            <w:r>
              <w:rPr>
                <w:color w:val="000000"/>
                <w:spacing w:val="0"/>
                <w:w w:val="100"/>
                <w:position w:val="0"/>
                <w:sz w:val="20"/>
                <w:szCs w:val="20"/>
              </w:rPr>
              <w:t>，其中南京苏宁易购出资人民币</w:t>
            </w:r>
            <w:r>
              <w:rPr>
                <w:rFonts w:ascii="Times New Roman" w:eastAsia="Times New Roman" w:hAnsi="Times New Roman" w:cs="Times New Roman"/>
                <w:color w:val="000000"/>
                <w:spacing w:val="0"/>
                <w:w w:val="100"/>
                <w:position w:val="0"/>
                <w:sz w:val="20"/>
                <w:szCs w:val="20"/>
              </w:rPr>
              <w:t>5.1</w:t>
            </w:r>
            <w:r>
              <w:rPr>
                <w:color w:val="000000"/>
                <w:spacing w:val="0"/>
                <w:w w:val="100"/>
                <w:position w:val="0"/>
                <w:sz w:val="20"/>
                <w:szCs w:val="20"/>
              </w:rPr>
              <w:t>亿元，持有猫宁电商</w:t>
            </w:r>
            <w:r>
              <w:rPr>
                <w:rFonts w:ascii="Times New Roman" w:eastAsia="Times New Roman" w:hAnsi="Times New Roman" w:cs="Times New Roman"/>
                <w:color w:val="000000"/>
                <w:spacing w:val="0"/>
                <w:w w:val="100"/>
                <w:position w:val="0"/>
                <w:sz w:val="20"/>
                <w:szCs w:val="20"/>
              </w:rPr>
              <w:t>51%</w:t>
            </w:r>
            <w:r>
              <w:rPr>
                <w:color w:val="000000"/>
                <w:spacing w:val="0"/>
                <w:w w:val="100"/>
                <w:position w:val="0"/>
                <w:sz w:val="20"/>
                <w:szCs w:val="20"/>
              </w:rPr>
              <w:t>的股权，阿里巴巴中国出资人民币</w:t>
            </w:r>
            <w:r>
              <w:rPr>
                <w:rFonts w:ascii="Times New Roman" w:eastAsia="Times New Roman" w:hAnsi="Times New Roman" w:cs="Times New Roman"/>
                <w:color w:val="000000"/>
                <w:spacing w:val="0"/>
                <w:w w:val="100"/>
                <w:position w:val="0"/>
                <w:sz w:val="20"/>
                <w:szCs w:val="20"/>
              </w:rPr>
              <w:t>4.9</w:t>
            </w:r>
            <w:r>
              <w:rPr>
                <w:color w:val="000000"/>
                <w:spacing w:val="0"/>
                <w:w w:val="100"/>
                <w:position w:val="0"/>
                <w:sz w:val="20"/>
                <w:szCs w:val="20"/>
              </w:rPr>
              <w:t>亿 元，持有猫宁电商</w:t>
            </w:r>
            <w:r>
              <w:rPr>
                <w:rFonts w:ascii="Times New Roman" w:eastAsia="Times New Roman" w:hAnsi="Times New Roman" w:cs="Times New Roman"/>
                <w:color w:val="000000"/>
                <w:spacing w:val="0"/>
                <w:w w:val="100"/>
                <w:position w:val="0"/>
                <w:sz w:val="20"/>
                <w:szCs w:val="20"/>
              </w:rPr>
              <w:t>49%</w:t>
            </w:r>
            <w:r>
              <w:rPr>
                <w:color w:val="000000"/>
                <w:spacing w:val="0"/>
                <w:w w:val="100"/>
                <w:position w:val="0"/>
                <w:sz w:val="20"/>
                <w:szCs w:val="20"/>
              </w:rPr>
              <w:t>的股权。</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月，南京苏宁易购和阿里巴巴中国分别完成</w:t>
            </w:r>
            <w:r>
              <w:rPr>
                <w:rFonts w:ascii="Times New Roman" w:eastAsia="Times New Roman" w:hAnsi="Times New Roman" w:cs="Times New Roman"/>
                <w:color w:val="000000"/>
                <w:spacing w:val="0"/>
                <w:w w:val="100"/>
                <w:position w:val="0"/>
                <w:sz w:val="20"/>
                <w:szCs w:val="20"/>
              </w:rPr>
              <w:t>5.1</w:t>
            </w:r>
            <w:r>
              <w:rPr>
                <w:color w:val="000000"/>
                <w:spacing w:val="0"/>
                <w:w w:val="100"/>
                <w:position w:val="0"/>
                <w:sz w:val="20"/>
                <w:szCs w:val="20"/>
              </w:rPr>
              <w:t>亿元、</w:t>
            </w:r>
            <w:r>
              <w:rPr>
                <w:rFonts w:ascii="Times New Roman" w:eastAsia="Times New Roman" w:hAnsi="Times New Roman" w:cs="Times New Roman"/>
                <w:color w:val="000000"/>
                <w:spacing w:val="0"/>
                <w:w w:val="100"/>
                <w:position w:val="0"/>
                <w:sz w:val="20"/>
                <w:szCs w:val="20"/>
              </w:rPr>
              <w:t>4.9</w:t>
            </w:r>
            <w:r>
              <w:rPr>
                <w:color w:val="000000"/>
                <w:spacing w:val="0"/>
                <w:w w:val="100"/>
                <w:position w:val="0"/>
                <w:sz w:val="20"/>
                <w:szCs w:val="20"/>
              </w:rPr>
              <w:t>亿元出 资。</w:t>
            </w:r>
          </w:p>
        </w:tc>
      </w:tr>
    </w:tbl>
    <w:p>
      <w:pPr>
        <w:sectPr>
          <w:headerReference w:type="default" r:id="rId79"/>
          <w:footerReference w:type="default" r:id="rId80"/>
          <w:headerReference w:type="even" r:id="rId81"/>
          <w:footerReference w:type="even" r:id="rId82"/>
          <w:footnotePr>
            <w:pos w:val="pageBottom"/>
            <w:numFmt w:val="decimal"/>
            <w:numRestart w:val="continuous"/>
          </w:footnotePr>
          <w:pgSz w:w="16840" w:h="11900" w:orient="landscape"/>
          <w:pgMar w:top="1158" w:right="1407" w:bottom="1291" w:left="1407" w:header="0" w:footer="3" w:gutter="0"/>
          <w:cols w:space="720"/>
          <w:noEndnote/>
          <w:rtlGutter w:val="0"/>
          <w:docGrid w:linePitch="360"/>
        </w:sectPr>
      </w:pPr>
    </w:p>
    <w:p>
      <w:pPr>
        <w:pStyle w:val="Style38"/>
        <w:keepNext/>
        <w:keepLines/>
        <w:widowControl w:val="0"/>
        <w:shd w:val="clear" w:color="auto" w:fill="auto"/>
        <w:tabs>
          <w:tab w:pos="386" w:val="left"/>
        </w:tabs>
        <w:bidi w:val="0"/>
        <w:spacing w:before="220" w:after="200" w:line="470" w:lineRule="exact"/>
        <w:ind w:left="0" w:right="0" w:firstLine="0"/>
        <w:jc w:val="left"/>
      </w:pPr>
      <w:bookmarkStart w:id="314" w:name="bookmark314"/>
      <w:bookmarkStart w:id="315" w:name="bookmark315"/>
      <w:bookmarkStart w:id="316" w:name="bookmark316"/>
      <w:bookmarkStart w:id="317" w:name="bookmark317"/>
      <w:r>
        <w:rPr>
          <w:rFonts w:ascii="Times New Roman" w:eastAsia="Times New Roman" w:hAnsi="Times New Roman" w:cs="Times New Roman"/>
          <w:color w:val="000000"/>
          <w:spacing w:val="0"/>
          <w:w w:val="100"/>
          <w:position w:val="0"/>
        </w:rPr>
        <w:t>4</w:t>
      </w:r>
      <w:bookmarkEnd w:id="316"/>
      <w:r>
        <w:rPr>
          <w:color w:val="000000"/>
          <w:spacing w:val="0"/>
          <w:w w:val="100"/>
          <w:position w:val="0"/>
        </w:rPr>
        <w:t>、</w:t>
        <w:tab/>
        <w:t>关联债权债务往来</w:t>
      </w:r>
      <w:bookmarkEnd w:id="314"/>
      <w:bookmarkEnd w:id="315"/>
      <w:bookmarkEnd w:id="317"/>
    </w:p>
    <w:p>
      <w:pPr>
        <w:pStyle w:val="Style32"/>
        <w:keepNext w:val="0"/>
        <w:keepLines w:val="0"/>
        <w:widowControl w:val="0"/>
        <w:shd w:val="clear" w:color="auto" w:fill="auto"/>
        <w:bidi w:val="0"/>
        <w:spacing w:before="0" w:after="0" w:line="470" w:lineRule="exact"/>
        <w:ind w:left="0" w:right="0" w:firstLine="460"/>
        <w:jc w:val="both"/>
      </w:pPr>
      <w:r>
        <w:rPr>
          <w:color w:val="000000"/>
          <w:spacing w:val="0"/>
          <w:w w:val="100"/>
          <w:position w:val="0"/>
        </w:rPr>
        <w:t>是否存在非经营性关联债权债务往来</w:t>
      </w:r>
    </w:p>
    <w:p>
      <w:pPr>
        <w:pStyle w:val="Style32"/>
        <w:keepNext w:val="0"/>
        <w:keepLines w:val="0"/>
        <w:widowControl w:val="0"/>
        <w:shd w:val="clear" w:color="auto" w:fill="auto"/>
        <w:bidi w:val="0"/>
        <w:spacing w:before="0" w:after="0" w:line="470" w:lineRule="exact"/>
        <w:ind w:left="0" w:right="0" w:firstLine="460"/>
        <w:jc w:val="both"/>
      </w:pPr>
      <w:r>
        <w:rPr>
          <w:rFonts w:ascii="Times New Roman" w:eastAsia="Times New Roman" w:hAnsi="Times New Roman" w:cs="Times New Roman"/>
          <w:color w:val="000000"/>
          <w:spacing w:val="0"/>
          <w:w w:val="100"/>
          <w:position w:val="0"/>
        </w:rPr>
        <w:t>□</w:t>
      </w:r>
      <w:r>
        <w:rPr>
          <w:color w:val="000000"/>
          <w:spacing w:val="0"/>
          <w:w w:val="100"/>
          <w:position w:val="0"/>
        </w:rPr>
        <w:t>是</w:t>
      </w:r>
      <w:r>
        <w:rPr>
          <w:i/>
          <w:iCs/>
          <w:color w:val="000000"/>
          <w:spacing w:val="0"/>
          <w:w w:val="100"/>
          <w:position w:val="0"/>
        </w:rPr>
        <w:t>寸</w:t>
      </w:r>
      <w:r>
        <w:rPr>
          <w:color w:val="000000"/>
          <w:spacing w:val="0"/>
          <w:w w:val="100"/>
          <w:position w:val="0"/>
        </w:rPr>
        <w:t>否</w:t>
      </w:r>
    </w:p>
    <w:p>
      <w:pPr>
        <w:pStyle w:val="Style32"/>
        <w:keepNext w:val="0"/>
        <w:keepLines w:val="0"/>
        <w:widowControl w:val="0"/>
        <w:shd w:val="clear" w:color="auto" w:fill="auto"/>
        <w:bidi w:val="0"/>
        <w:spacing w:before="0" w:after="200" w:line="470" w:lineRule="exact"/>
        <w:ind w:left="0" w:right="0" w:firstLine="460"/>
        <w:jc w:val="both"/>
      </w:pPr>
      <w:r>
        <w:rPr>
          <w:color w:val="000000"/>
          <w:spacing w:val="0"/>
          <w:w w:val="100"/>
          <w:position w:val="0"/>
        </w:rPr>
        <w:t>公司报告期不存在非经营性关联债权债务往来。</w:t>
      </w:r>
    </w:p>
    <w:p>
      <w:pPr>
        <w:pStyle w:val="Style38"/>
        <w:keepNext/>
        <w:keepLines/>
        <w:widowControl w:val="0"/>
        <w:shd w:val="clear" w:color="auto" w:fill="auto"/>
        <w:tabs>
          <w:tab w:pos="386" w:val="left"/>
        </w:tabs>
        <w:bidi w:val="0"/>
        <w:spacing w:before="0" w:after="200" w:line="470" w:lineRule="exact"/>
        <w:ind w:left="0" w:right="0" w:firstLine="0"/>
        <w:jc w:val="left"/>
      </w:pPr>
      <w:bookmarkStart w:id="318" w:name="bookmark318"/>
      <w:bookmarkStart w:id="319" w:name="bookmark319"/>
      <w:bookmarkStart w:id="320" w:name="bookmark320"/>
      <w:bookmarkStart w:id="321" w:name="bookmark321"/>
      <w:r>
        <w:rPr>
          <w:rFonts w:ascii="Times New Roman" w:eastAsia="Times New Roman" w:hAnsi="Times New Roman" w:cs="Times New Roman"/>
          <w:color w:val="000000"/>
          <w:spacing w:val="0"/>
          <w:w w:val="100"/>
          <w:position w:val="0"/>
        </w:rPr>
        <w:t>5</w:t>
      </w:r>
      <w:bookmarkEnd w:id="320"/>
      <w:r>
        <w:rPr>
          <w:color w:val="000000"/>
          <w:spacing w:val="0"/>
          <w:w w:val="100"/>
          <w:position w:val="0"/>
        </w:rPr>
        <w:t>、</w:t>
        <w:tab/>
        <w:t>其他重大关联交易</w:t>
      </w:r>
      <w:bookmarkEnd w:id="318"/>
      <w:bookmarkEnd w:id="319"/>
      <w:bookmarkEnd w:id="321"/>
    </w:p>
    <w:p>
      <w:pPr>
        <w:pStyle w:val="Style32"/>
        <w:keepNext w:val="0"/>
        <w:keepLines w:val="0"/>
        <w:widowControl w:val="0"/>
        <w:shd w:val="clear" w:color="auto" w:fill="auto"/>
        <w:bidi w:val="0"/>
        <w:spacing w:before="0" w:after="0" w:line="470" w:lineRule="exact"/>
        <w:ind w:left="0" w:right="0" w:firstLine="460"/>
        <w:jc w:val="both"/>
      </w:pPr>
      <w:r>
        <w:rPr>
          <w:color w:val="000000"/>
          <w:spacing w:val="0"/>
          <w:w w:val="100"/>
          <w:position w:val="0"/>
        </w:rPr>
        <w:t>商标使用许可协议</w:t>
      </w:r>
    </w:p>
    <w:p>
      <w:pPr>
        <w:pStyle w:val="Style32"/>
        <w:keepNext w:val="0"/>
        <w:keepLines w:val="0"/>
        <w:widowControl w:val="0"/>
        <w:shd w:val="clear" w:color="auto" w:fill="auto"/>
        <w:bidi w:val="0"/>
        <w:spacing w:before="0" w:after="0" w:line="470" w:lineRule="exact"/>
        <w:ind w:left="0" w:right="0" w:firstLine="460"/>
        <w:jc w:val="both"/>
      </w:pP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日，公司</w:t>
      </w:r>
      <w:r>
        <w:rPr>
          <w:rFonts w:ascii="Times New Roman" w:eastAsia="Times New Roman" w:hAnsi="Times New Roman" w:cs="Times New Roman"/>
          <w:color w:val="000000"/>
          <w:spacing w:val="0"/>
          <w:w w:val="100"/>
          <w:position w:val="0"/>
        </w:rPr>
        <w:t>2007</w:t>
      </w:r>
      <w:r>
        <w:rPr>
          <w:color w:val="000000"/>
          <w:spacing w:val="0"/>
          <w:w w:val="100"/>
          <w:position w:val="0"/>
        </w:rPr>
        <w:t>年年度股东大会审议通过了《关于商标使用许可的议案》，同意 许可公司第二大发起人股东苏宁电器集团有限公司及其全资、控股子公司和具有实际控制权的公司 使用公司已注册的部分</w:t>
      </w:r>
      <w:r>
        <w:rPr>
          <w:rFonts w:ascii="Times New Roman" w:eastAsia="Times New Roman" w:hAnsi="Times New Roman" w:cs="Times New Roman"/>
          <w:color w:val="000000"/>
          <w:spacing w:val="0"/>
          <w:w w:val="100"/>
          <w:position w:val="0"/>
        </w:rPr>
        <w:t>“</w:t>
      </w:r>
      <w:r>
        <w:rPr>
          <w:color w:val="000000"/>
          <w:spacing w:val="0"/>
          <w:w w:val="100"/>
          <w:position w:val="0"/>
        </w:rPr>
        <w:t>蕨覃'系列注册商标以及部分</w:t>
      </w:r>
      <w:r>
        <w:rPr>
          <w:rFonts w:ascii="Times New Roman" w:eastAsia="Times New Roman" w:hAnsi="Times New Roman" w:cs="Times New Roman"/>
          <w:color w:val="000000"/>
          <w:spacing w:val="0"/>
          <w:w w:val="100"/>
          <w:position w:val="0"/>
        </w:rPr>
        <w:t>“</w:t>
      </w:r>
      <w:r>
        <w:rPr>
          <w:color w:val="000000"/>
          <w:spacing w:val="0"/>
          <w:w w:val="100"/>
          <w:position w:val="0"/>
        </w:rPr>
        <w:t>苏宁</w:t>
      </w:r>
      <w:r>
        <w:rPr>
          <w:rFonts w:ascii="Times New Roman" w:eastAsia="Times New Roman" w:hAnsi="Times New Roman" w:cs="Times New Roman"/>
          <w:color w:val="000000"/>
          <w:spacing w:val="0"/>
          <w:w w:val="100"/>
          <w:position w:val="0"/>
        </w:rPr>
        <w:t>”</w:t>
      </w:r>
      <w:r>
        <w:rPr>
          <w:color w:val="000000"/>
          <w:spacing w:val="0"/>
          <w:w w:val="100"/>
          <w:position w:val="0"/>
        </w:rPr>
        <w:t>及</w:t>
      </w:r>
      <w:r>
        <w:rPr>
          <w:rFonts w:ascii="Times New Roman" w:eastAsia="Times New Roman" w:hAnsi="Times New Roman" w:cs="Times New Roman"/>
          <w:color w:val="000000"/>
          <w:spacing w:val="0"/>
          <w:w w:val="100"/>
          <w:position w:val="0"/>
        </w:rPr>
        <w:t>“NS”</w:t>
      </w:r>
      <w:r>
        <w:rPr>
          <w:color w:val="000000"/>
          <w:spacing w:val="0"/>
          <w:w w:val="100"/>
          <w:position w:val="0"/>
        </w:rPr>
        <w:t>组合的系列注册商标。若在后期 的经营活动中，苏宁电器集团有限公司及其全资、控股子公司和具有实际控制权的公司需要使用许 可使用商标的延申商标，公司可代为申请注册，并许可其使用。</w:t>
      </w:r>
    </w:p>
    <w:p>
      <w:pPr>
        <w:pStyle w:val="Style32"/>
        <w:keepNext w:val="0"/>
        <w:keepLines w:val="0"/>
        <w:widowControl w:val="0"/>
        <w:shd w:val="clear" w:color="auto" w:fill="auto"/>
        <w:bidi w:val="0"/>
        <w:spacing w:before="0" w:after="0" w:line="470" w:lineRule="exact"/>
        <w:ind w:left="0" w:right="0" w:firstLine="460"/>
        <w:jc w:val="both"/>
      </w:pP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w:t>
      </w:r>
      <w:r>
        <w:rPr>
          <w:rFonts w:ascii="Times New Roman" w:eastAsia="Times New Roman" w:hAnsi="Times New Roman" w:cs="Times New Roman"/>
          <w:color w:val="000000"/>
          <w:spacing w:val="0"/>
          <w:w w:val="100"/>
          <w:position w:val="0"/>
        </w:rPr>
        <w:t>2008</w:t>
      </w:r>
      <w:r>
        <w:rPr>
          <w:color w:val="000000"/>
          <w:spacing w:val="0"/>
          <w:w w:val="100"/>
          <w:position w:val="0"/>
        </w:rPr>
        <w:t>年年度股东大会审议通过了《关于商标使用许可的议案》，许可 苏宁电器集团有限公司及其直接或间接持有</w:t>
      </w:r>
      <w:r>
        <w:rPr>
          <w:rFonts w:ascii="Times New Roman" w:eastAsia="Times New Roman" w:hAnsi="Times New Roman" w:cs="Times New Roman"/>
          <w:color w:val="000000"/>
          <w:spacing w:val="0"/>
          <w:w w:val="100"/>
          <w:position w:val="0"/>
        </w:rPr>
        <w:t>20%</w:t>
      </w:r>
      <w:r>
        <w:rPr>
          <w:color w:val="000000"/>
          <w:spacing w:val="0"/>
          <w:w w:val="100"/>
          <w:position w:val="0"/>
        </w:rPr>
        <w:t>以上（含</w:t>
      </w:r>
      <w:r>
        <w:rPr>
          <w:rFonts w:ascii="Times New Roman" w:eastAsia="Times New Roman" w:hAnsi="Times New Roman" w:cs="Times New Roman"/>
          <w:color w:val="000000"/>
          <w:spacing w:val="0"/>
          <w:w w:val="100"/>
          <w:position w:val="0"/>
        </w:rPr>
        <w:t>20%</w:t>
      </w:r>
      <w:r>
        <w:rPr>
          <w:color w:val="000000"/>
          <w:spacing w:val="0"/>
          <w:w w:val="100"/>
          <w:position w:val="0"/>
        </w:rPr>
        <w:t>）股份的公司（以下简称</w:t>
      </w:r>
      <w:r>
        <w:rPr>
          <w:rFonts w:ascii="Times New Roman" w:eastAsia="Times New Roman" w:hAnsi="Times New Roman" w:cs="Times New Roman"/>
          <w:color w:val="000000"/>
          <w:spacing w:val="0"/>
          <w:w w:val="100"/>
          <w:position w:val="0"/>
        </w:rPr>
        <w:t>“</w:t>
      </w:r>
      <w:r>
        <w:rPr>
          <w:color w:val="000000"/>
          <w:spacing w:val="0"/>
          <w:w w:val="100"/>
          <w:position w:val="0"/>
        </w:rPr>
        <w:t>子公司</w:t>
      </w:r>
      <w:r>
        <w:rPr>
          <w:rFonts w:ascii="Times New Roman" w:eastAsia="Times New Roman" w:hAnsi="Times New Roman" w:cs="Times New Roman"/>
          <w:color w:val="000000"/>
          <w:spacing w:val="0"/>
          <w:w w:val="100"/>
          <w:position w:val="0"/>
        </w:rPr>
        <w:t>”</w:t>
      </w:r>
      <w:r>
        <w:rPr>
          <w:color w:val="000000"/>
          <w:spacing w:val="0"/>
          <w:w w:val="100"/>
          <w:position w:val="0"/>
        </w:rPr>
        <w:t>） 使用公司已注册的部分</w:t>
      </w:r>
      <w:r>
        <w:rPr>
          <w:rFonts w:ascii="Times New Roman" w:eastAsia="Times New Roman" w:hAnsi="Times New Roman" w:cs="Times New Roman"/>
          <w:color w:val="000000"/>
          <w:spacing w:val="0"/>
          <w:w w:val="100"/>
          <w:position w:val="0"/>
        </w:rPr>
        <w:t>“</w:t>
      </w:r>
      <w:r>
        <w:rPr>
          <w:color w:val="000000"/>
          <w:spacing w:val="0"/>
          <w:w w:val="100"/>
          <w:position w:val="0"/>
        </w:rPr>
        <w:t>苏宁</w:t>
      </w:r>
      <w:r>
        <w:rPr>
          <w:rFonts w:ascii="Times New Roman" w:eastAsia="Times New Roman" w:hAnsi="Times New Roman" w:cs="Times New Roman"/>
          <w:color w:val="000000"/>
          <w:spacing w:val="0"/>
          <w:w w:val="100"/>
          <w:position w:val="0"/>
        </w:rPr>
        <w:t>”</w:t>
      </w:r>
      <w:r>
        <w:rPr>
          <w:color w:val="000000"/>
          <w:spacing w:val="0"/>
          <w:w w:val="100"/>
          <w:position w:val="0"/>
        </w:rPr>
        <w:t>以及</w:t>
      </w:r>
      <w:r>
        <w:rPr>
          <w:rFonts w:ascii="Times New Roman" w:eastAsia="Times New Roman" w:hAnsi="Times New Roman" w:cs="Times New Roman"/>
          <w:color w:val="000000"/>
          <w:spacing w:val="0"/>
          <w:w w:val="100"/>
          <w:position w:val="0"/>
        </w:rPr>
        <w:t>“</w:t>
      </w:r>
      <w:r>
        <w:rPr>
          <w:color w:val="000000"/>
          <w:spacing w:val="0"/>
          <w:w w:val="100"/>
          <w:position w:val="0"/>
        </w:rPr>
        <w:t>苏宁</w:t>
      </w:r>
      <w:r>
        <w:rPr>
          <w:rFonts w:ascii="Times New Roman" w:eastAsia="Times New Roman" w:hAnsi="Times New Roman" w:cs="Times New Roman"/>
          <w:color w:val="000000"/>
          <w:spacing w:val="0"/>
          <w:w w:val="100"/>
          <w:position w:val="0"/>
        </w:rPr>
        <w:t>”</w:t>
      </w:r>
      <w:r>
        <w:rPr>
          <w:color w:val="000000"/>
          <w:spacing w:val="0"/>
          <w:w w:val="100"/>
          <w:position w:val="0"/>
        </w:rPr>
        <w:t>的汉语拼音</w:t>
      </w:r>
      <w:r>
        <w:rPr>
          <w:rFonts w:ascii="Times New Roman" w:eastAsia="Times New Roman" w:hAnsi="Times New Roman" w:cs="Times New Roman"/>
          <w:color w:val="000000"/>
          <w:spacing w:val="0"/>
          <w:w w:val="100"/>
          <w:position w:val="0"/>
        </w:rPr>
        <w:t>“SUNING'</w:t>
      </w:r>
      <w:r>
        <w:rPr>
          <w:color w:val="000000"/>
          <w:spacing w:val="0"/>
          <w:w w:val="100"/>
          <w:position w:val="0"/>
        </w:rPr>
        <w:t>系列商标。若在后期的经营活动中， 苏宁电器集团有限公司及其子公司需要使用许可使用商标的延申商标，公司可代为申请注册，并许 可其使用。</w:t>
      </w:r>
    </w:p>
    <w:p>
      <w:pPr>
        <w:pStyle w:val="Style32"/>
        <w:keepNext w:val="0"/>
        <w:keepLines w:val="0"/>
        <w:widowControl w:val="0"/>
        <w:shd w:val="clear" w:color="auto" w:fill="auto"/>
        <w:bidi w:val="0"/>
        <w:spacing w:before="0" w:after="0" w:line="470" w:lineRule="exact"/>
        <w:ind w:left="0" w:right="0" w:firstLine="460"/>
        <w:jc w:val="both"/>
      </w:pPr>
      <w:r>
        <w:rPr>
          <w:color w:val="000000"/>
          <w:spacing w:val="0"/>
          <w:w w:val="100"/>
          <w:position w:val="0"/>
        </w:rPr>
        <w:t>报告期内，苏宁电器集团有限公司已支付</w:t>
      </w:r>
      <w:r>
        <w:rPr>
          <w:rFonts w:ascii="Times New Roman" w:eastAsia="Times New Roman" w:hAnsi="Times New Roman" w:cs="Times New Roman"/>
          <w:color w:val="000000"/>
          <w:spacing w:val="0"/>
          <w:w w:val="100"/>
          <w:position w:val="0"/>
        </w:rPr>
        <w:t>2016</w:t>
      </w:r>
      <w:r>
        <w:rPr>
          <w:color w:val="000000"/>
          <w:spacing w:val="0"/>
          <w:w w:val="100"/>
          <w:position w:val="0"/>
        </w:rPr>
        <w:t>年度商标使用许可费</w:t>
      </w:r>
      <w:r>
        <w:rPr>
          <w:rFonts w:ascii="Times New Roman" w:eastAsia="Times New Roman" w:hAnsi="Times New Roman" w:cs="Times New Roman"/>
          <w:color w:val="000000"/>
          <w:spacing w:val="0"/>
          <w:w w:val="100"/>
          <w:position w:val="0"/>
        </w:rPr>
        <w:t>200</w:t>
      </w:r>
      <w:r>
        <w:rPr>
          <w:color w:val="000000"/>
          <w:spacing w:val="0"/>
          <w:w w:val="100"/>
          <w:position w:val="0"/>
        </w:rPr>
        <w:t>万元。</w:t>
      </w:r>
    </w:p>
    <w:p>
      <w:pPr>
        <w:pStyle w:val="Style32"/>
        <w:keepNext w:val="0"/>
        <w:keepLines w:val="0"/>
        <w:widowControl w:val="0"/>
        <w:shd w:val="clear" w:color="auto" w:fill="auto"/>
        <w:bidi w:val="0"/>
        <w:spacing w:before="0" w:after="0" w:line="470" w:lineRule="exact"/>
        <w:ind w:left="0" w:right="0" w:firstLine="46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日，公司</w:t>
      </w:r>
      <w:r>
        <w:rPr>
          <w:rFonts w:ascii="Times New Roman" w:eastAsia="Times New Roman" w:hAnsi="Times New Roman" w:cs="Times New Roman"/>
          <w:color w:val="000000"/>
          <w:spacing w:val="0"/>
          <w:w w:val="100"/>
          <w:position w:val="0"/>
        </w:rPr>
        <w:t>2015</w:t>
      </w:r>
      <w:r>
        <w:rPr>
          <w:color w:val="000000"/>
          <w:spacing w:val="0"/>
          <w:w w:val="100"/>
          <w:position w:val="0"/>
        </w:rPr>
        <w:t>年年度股东大会审议通过了《关于部分商标转让及使用许可的关 联交易的议案》，在全球范围内，公司同意苏宁控股集团及其子公司在公司非主营业务范围内使用</w:t>
      </w:r>
    </w:p>
    <w:p>
      <w:pPr>
        <w:pStyle w:val="Style32"/>
        <w:keepNext w:val="0"/>
        <w:keepLines w:val="0"/>
        <w:widowControl w:val="0"/>
        <w:shd w:val="clear" w:color="auto" w:fill="auto"/>
        <w:bidi w:val="0"/>
        <w:spacing w:before="0" w:after="0" w:line="470" w:lineRule="exact"/>
        <w:ind w:left="0" w:right="0" w:firstLine="0"/>
        <w:jc w:val="left"/>
      </w:pPr>
      <w:r>
        <w:rPr>
          <w:color w:val="000000"/>
          <w:spacing w:val="0"/>
          <w:w w:val="100"/>
          <w:position w:val="0"/>
        </w:rPr>
        <w:t>（包括许可使用和再许可）带有</w:t>
      </w:r>
      <w:r>
        <w:rPr>
          <w:rFonts w:ascii="Times New Roman" w:eastAsia="Times New Roman" w:hAnsi="Times New Roman" w:cs="Times New Roman"/>
          <w:color w:val="000000"/>
          <w:spacing w:val="0"/>
          <w:w w:val="100"/>
          <w:position w:val="0"/>
        </w:rPr>
        <w:t>“</w:t>
      </w:r>
      <w:r>
        <w:rPr>
          <w:color w:val="000000"/>
          <w:spacing w:val="0"/>
          <w:w w:val="100"/>
          <w:position w:val="0"/>
        </w:rPr>
        <w:t>苏宁</w:t>
      </w:r>
      <w:r>
        <w:rPr>
          <w:rFonts w:ascii="Times New Roman" w:eastAsia="Times New Roman" w:hAnsi="Times New Roman" w:cs="Times New Roman"/>
          <w:color w:val="000000"/>
          <w:spacing w:val="0"/>
          <w:w w:val="100"/>
          <w:position w:val="0"/>
        </w:rPr>
        <w:t>”</w:t>
      </w:r>
      <w:r>
        <w:rPr>
          <w:color w:val="000000"/>
          <w:spacing w:val="0"/>
          <w:w w:val="100"/>
          <w:position w:val="0"/>
        </w:rPr>
        <w:t>字样的商标，即带</w:t>
      </w:r>
      <w:r>
        <w:rPr>
          <w:rFonts w:ascii="Times New Roman" w:eastAsia="Times New Roman" w:hAnsi="Times New Roman" w:cs="Times New Roman"/>
          <w:color w:val="000000"/>
          <w:spacing w:val="0"/>
          <w:w w:val="100"/>
          <w:position w:val="0"/>
        </w:rPr>
        <w:t>“</w:t>
      </w:r>
      <w:r>
        <w:rPr>
          <w:color w:val="000000"/>
          <w:spacing w:val="0"/>
          <w:w w:val="100"/>
          <w:position w:val="0"/>
        </w:rPr>
        <w:t>苏宁</w:t>
      </w:r>
      <w:r>
        <w:rPr>
          <w:rFonts w:ascii="Times New Roman" w:eastAsia="Times New Roman" w:hAnsi="Times New Roman" w:cs="Times New Roman"/>
          <w:color w:val="000000"/>
          <w:spacing w:val="0"/>
          <w:w w:val="100"/>
          <w:position w:val="0"/>
        </w:rPr>
        <w:t>”</w:t>
      </w:r>
      <w:r>
        <w:rPr>
          <w:color w:val="000000"/>
          <w:spacing w:val="0"/>
          <w:w w:val="100"/>
          <w:position w:val="0"/>
        </w:rPr>
        <w:t>字样（简体、繁体、拼音和英文字母 形式）的非主营业务范围的商标，包括但不限于下述商标单独、组合或者设计形式：苏宁、</w:t>
      </w:r>
      <w:r>
        <w:rPr>
          <w:rFonts w:ascii="Times New Roman" w:eastAsia="Times New Roman" w:hAnsi="Times New Roman" w:cs="Times New Roman"/>
          <w:color w:val="000000"/>
          <w:spacing w:val="0"/>
          <w:w w:val="100"/>
          <w:position w:val="0"/>
        </w:rPr>
        <w:t>s</w:t>
      </w:r>
      <w:r>
        <w:rPr>
          <w:color w:val="000000"/>
          <w:spacing w:val="0"/>
          <w:w w:val="100"/>
          <w:position w:val="0"/>
        </w:rPr>
        <w:t xml:space="preserve">苏宁、 </w:t>
      </w:r>
      <w:r>
        <w:rPr>
          <w:rFonts w:ascii="Times New Roman" w:eastAsia="Times New Roman" w:hAnsi="Times New Roman" w:cs="Times New Roman"/>
          <w:color w:val="000000"/>
          <w:spacing w:val="0"/>
          <w:w w:val="100"/>
          <w:position w:val="0"/>
        </w:rPr>
        <w:t>S+</w:t>
      </w:r>
      <w:r>
        <w:rPr>
          <w:color w:val="000000"/>
          <w:spacing w:val="0"/>
          <w:w w:val="100"/>
          <w:position w:val="0"/>
        </w:rPr>
        <w:t>苏宁、</w:t>
      </w:r>
      <w:r>
        <w:rPr>
          <w:rFonts w:ascii="Times New Roman" w:eastAsia="Times New Roman" w:hAnsi="Times New Roman" w:cs="Times New Roman"/>
          <w:color w:val="000000"/>
          <w:spacing w:val="0"/>
          <w:w w:val="100"/>
          <w:position w:val="0"/>
        </w:rPr>
        <w:t>S+Suning</w:t>
      </w:r>
      <w:r>
        <w:rPr>
          <w:color w:val="000000"/>
          <w:spacing w:val="0"/>
          <w:w w:val="100"/>
          <w:position w:val="0"/>
        </w:rPr>
        <w:t>、</w:t>
      </w:r>
      <w:r>
        <w:rPr>
          <w:rFonts w:ascii="Times New Roman" w:eastAsia="Times New Roman" w:hAnsi="Times New Roman" w:cs="Times New Roman"/>
          <w:color w:val="000000"/>
          <w:spacing w:val="0"/>
          <w:w w:val="100"/>
          <w:position w:val="0"/>
        </w:rPr>
        <w:t>S+</w:t>
      </w:r>
      <w:r>
        <w:rPr>
          <w:color w:val="000000"/>
          <w:spacing w:val="0"/>
          <w:w w:val="100"/>
          <w:position w:val="0"/>
        </w:rPr>
        <w:t>苏宁</w:t>
      </w:r>
      <w:r>
        <w:rPr>
          <w:rFonts w:ascii="Times New Roman" w:eastAsia="Times New Roman" w:hAnsi="Times New Roman" w:cs="Times New Roman"/>
          <w:color w:val="000000"/>
          <w:spacing w:val="0"/>
          <w:w w:val="100"/>
          <w:position w:val="0"/>
        </w:rPr>
        <w:t>+Suning</w:t>
      </w:r>
      <w:r>
        <w:rPr>
          <w:color w:val="000000"/>
          <w:spacing w:val="0"/>
          <w:w w:val="100"/>
          <w:position w:val="0"/>
        </w:rPr>
        <w:t>、</w:t>
      </w:r>
      <w:r>
        <w:rPr>
          <w:color w:val="000000"/>
          <w:spacing w:val="0"/>
          <w:w w:val="100"/>
          <w:position w:val="0"/>
        </w:rPr>
        <w:t>苏宁</w:t>
      </w:r>
      <w:r>
        <w:rPr>
          <w:rFonts w:ascii="Times New Roman" w:eastAsia="Times New Roman" w:hAnsi="Times New Roman" w:cs="Times New Roman"/>
          <w:color w:val="000000"/>
          <w:spacing w:val="0"/>
          <w:w w:val="100"/>
          <w:position w:val="0"/>
        </w:rPr>
        <w:t>+S+SUNING</w:t>
      </w:r>
      <w:r>
        <w:rPr>
          <w:color w:val="000000"/>
          <w:spacing w:val="0"/>
          <w:w w:val="100"/>
          <w:position w:val="0"/>
        </w:rPr>
        <w:t>、</w:t>
      </w:r>
      <w:r>
        <w:rPr>
          <w:rFonts w:ascii="Times New Roman" w:eastAsia="Times New Roman" w:hAnsi="Times New Roman" w:cs="Times New Roman"/>
          <w:color w:val="000000"/>
          <w:spacing w:val="0"/>
          <w:w w:val="100"/>
          <w:position w:val="0"/>
        </w:rPr>
        <w:t>SUNING</w:t>
      </w:r>
      <w:r>
        <w:rPr>
          <w:color w:val="000000"/>
          <w:spacing w:val="0"/>
          <w:w w:val="100"/>
          <w:position w:val="0"/>
        </w:rPr>
        <w:t>苏宁、苏宁（繁体）等，并且个 别商标的注册和</w:t>
      </w:r>
      <w:r>
        <w:rPr>
          <w:rFonts w:ascii="Times New Roman" w:eastAsia="Times New Roman" w:hAnsi="Times New Roman" w:cs="Times New Roman"/>
          <w:color w:val="000000"/>
          <w:spacing w:val="0"/>
          <w:w w:val="100"/>
          <w:position w:val="0"/>
        </w:rPr>
        <w:t>/</w:t>
      </w:r>
      <w:r>
        <w:rPr>
          <w:color w:val="000000"/>
          <w:spacing w:val="0"/>
          <w:w w:val="100"/>
          <w:position w:val="0"/>
        </w:rPr>
        <w:t>或使用国家除了中国还包括美国、香港、澳门、日本、朝鲜、文莱、澳大利亚、欧 盟等国家与地区。苏宁控股集团及下属公司在经营活动中需使用的商标如</w:t>
      </w:r>
      <w:r>
        <w:rPr>
          <w:rFonts w:ascii="Times New Roman" w:eastAsia="Times New Roman" w:hAnsi="Times New Roman" w:cs="Times New Roman"/>
          <w:color w:val="000000"/>
          <w:spacing w:val="0"/>
          <w:w w:val="100"/>
          <w:position w:val="0"/>
        </w:rPr>
        <w:t>“</w:t>
      </w:r>
      <w:r>
        <w:rPr>
          <w:color w:val="000000"/>
          <w:spacing w:val="0"/>
          <w:w w:val="100"/>
          <w:position w:val="0"/>
        </w:rPr>
        <w:t>苏宁控股</w:t>
      </w:r>
      <w:r>
        <w:rPr>
          <w:rFonts w:ascii="Times New Roman" w:eastAsia="Times New Roman" w:hAnsi="Times New Roman" w:cs="Times New Roman"/>
          <w:color w:val="000000"/>
          <w:spacing w:val="0"/>
          <w:w w:val="100"/>
          <w:position w:val="0"/>
        </w:rPr>
        <w:t>“</w:t>
      </w:r>
      <w:r>
        <w:rPr>
          <w:color w:val="000000"/>
          <w:spacing w:val="0"/>
          <w:w w:val="100"/>
          <w:position w:val="0"/>
        </w:rPr>
        <w:t>苏宁影业</w:t>
      </w:r>
      <w:r>
        <w:rPr>
          <w:rFonts w:ascii="Times New Roman" w:eastAsia="Times New Roman" w:hAnsi="Times New Roman" w:cs="Times New Roman"/>
          <w:color w:val="000000"/>
          <w:spacing w:val="0"/>
          <w:w w:val="100"/>
          <w:position w:val="0"/>
        </w:rPr>
        <w:t>”</w:t>
      </w:r>
      <w:r>
        <w:rPr>
          <w:color w:val="000000"/>
          <w:spacing w:val="0"/>
          <w:w w:val="100"/>
          <w:position w:val="0"/>
        </w:rPr>
        <w:t xml:space="preserve">、 </w:t>
      </w:r>
      <w:r>
        <w:rPr>
          <w:rFonts w:ascii="Times New Roman" w:eastAsia="Times New Roman" w:hAnsi="Times New Roman" w:cs="Times New Roman"/>
          <w:color w:val="000000"/>
          <w:spacing w:val="0"/>
          <w:w w:val="100"/>
          <w:position w:val="0"/>
        </w:rPr>
        <w:t>“</w:t>
      </w:r>
      <w:r>
        <w:rPr>
          <w:color w:val="000000"/>
          <w:spacing w:val="0"/>
          <w:w w:val="100"/>
          <w:position w:val="0"/>
        </w:rPr>
        <w:t>苏宁投资</w:t>
      </w:r>
      <w:r>
        <w:rPr>
          <w:rFonts w:ascii="Times New Roman" w:eastAsia="Times New Roman" w:hAnsi="Times New Roman" w:cs="Times New Roman"/>
          <w:color w:val="000000"/>
          <w:spacing w:val="0"/>
          <w:w w:val="100"/>
          <w:position w:val="0"/>
        </w:rPr>
        <w:t>”</w:t>
      </w:r>
      <w:r>
        <w:rPr>
          <w:color w:val="000000"/>
          <w:spacing w:val="0"/>
          <w:w w:val="100"/>
          <w:position w:val="0"/>
        </w:rPr>
        <w:t>等公司尚未进行注册申请，由于该类商标的使用领域均不属于公司主营业务范围，公司 同意由苏宁控股集团进行注册并使用。</w:t>
      </w:r>
    </w:p>
    <w:p>
      <w:pPr>
        <w:pStyle w:val="Style32"/>
        <w:keepNext w:val="0"/>
        <w:keepLines w:val="0"/>
        <w:widowControl w:val="0"/>
        <w:shd w:val="clear" w:color="auto" w:fill="auto"/>
        <w:bidi w:val="0"/>
        <w:spacing w:before="0" w:after="0" w:line="470" w:lineRule="exact"/>
        <w:ind w:left="0" w:right="0" w:firstLine="460"/>
        <w:jc w:val="both"/>
      </w:pPr>
      <w:r>
        <w:rPr>
          <w:color w:val="000000"/>
          <w:spacing w:val="0"/>
          <w:w w:val="100"/>
          <w:position w:val="0"/>
        </w:rPr>
        <w:t>报告期内，苏宁控股集团有限公司已支付</w:t>
      </w:r>
      <w:r>
        <w:rPr>
          <w:rFonts w:ascii="Times New Roman" w:eastAsia="Times New Roman" w:hAnsi="Times New Roman" w:cs="Times New Roman"/>
          <w:color w:val="000000"/>
          <w:spacing w:val="0"/>
          <w:w w:val="100"/>
          <w:position w:val="0"/>
        </w:rPr>
        <w:t>2016</w:t>
      </w:r>
      <w:r>
        <w:rPr>
          <w:color w:val="000000"/>
          <w:spacing w:val="0"/>
          <w:w w:val="100"/>
          <w:position w:val="0"/>
        </w:rPr>
        <w:t>年度商标使用许可费</w:t>
      </w:r>
      <w:r>
        <w:rPr>
          <w:rFonts w:ascii="Times New Roman" w:eastAsia="Times New Roman" w:hAnsi="Times New Roman" w:cs="Times New Roman"/>
          <w:color w:val="000000"/>
          <w:spacing w:val="0"/>
          <w:w w:val="100"/>
          <w:position w:val="0"/>
        </w:rPr>
        <w:t>200</w:t>
      </w:r>
      <w:r>
        <w:rPr>
          <w:color w:val="000000"/>
          <w:spacing w:val="0"/>
          <w:w w:val="100"/>
          <w:position w:val="0"/>
        </w:rPr>
        <w:t>万元。</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其他重大关联交易临时报告披露网站相关查询</w:t>
      </w:r>
    </w:p>
    <w:tbl>
      <w:tblPr>
        <w:tblOverlap w:val="never"/>
        <w:jc w:val="center"/>
        <w:tblLayout w:type="fixed"/>
      </w:tblPr>
      <w:tblGrid>
        <w:gridCol w:w="4541"/>
        <w:gridCol w:w="2410"/>
        <w:gridCol w:w="2630"/>
      </w:tblGrid>
      <w:tr>
        <w:trPr>
          <w:trHeight w:val="298"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临时公告名称</w:t>
            </w:r>
          </w:p>
        </w:tc>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临时公告披露日期</w:t>
            </w:r>
          </w:p>
        </w:tc>
        <w:tc>
          <w:tcPr>
            <w:tcBorders>
              <w:top w:val="single" w:sz="4"/>
              <w:left w:val="single" w:sz="4"/>
              <w:righ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临时公告披露网站名称</w:t>
            </w:r>
          </w:p>
        </w:tc>
      </w:tr>
      <w:tr>
        <w:trPr>
          <w:trHeight w:val="29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关于商标使用许可的关联交易公告</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2008</w:t>
            </w:r>
            <w:r>
              <w:rPr>
                <w:color w:val="000000"/>
                <w:spacing w:val="0"/>
                <w:w w:val="100"/>
                <w:position w:val="0"/>
              </w:rPr>
              <w:t>年</w:t>
            </w:r>
            <w:r>
              <w:rPr>
                <w:i/>
                <w:iCs/>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巨潮资讯网</w:t>
            </w:r>
          </w:p>
        </w:tc>
      </w:tr>
      <w:tr>
        <w:trPr>
          <w:trHeight w:val="29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2007</w:t>
            </w:r>
            <w:r>
              <w:rPr>
                <w:color w:val="000000"/>
                <w:spacing w:val="0"/>
                <w:w w:val="100"/>
                <w:position w:val="0"/>
              </w:rPr>
              <w:t>年年度股东大会决议公告</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巨潮资讯网</w:t>
            </w:r>
          </w:p>
        </w:tc>
      </w:tr>
      <w:tr>
        <w:trPr>
          <w:trHeight w:val="29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关于商标使用许可的关联交易公告</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巨潮资讯网</w:t>
            </w:r>
          </w:p>
        </w:tc>
      </w:tr>
      <w:tr>
        <w:trPr>
          <w:trHeight w:val="29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2008</w:t>
            </w:r>
            <w:r>
              <w:rPr>
                <w:color w:val="000000"/>
                <w:spacing w:val="0"/>
                <w:w w:val="100"/>
                <w:position w:val="0"/>
              </w:rPr>
              <w:t>年年度股东大会决议公告</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巨潮资讯网</w:t>
            </w:r>
          </w:p>
        </w:tc>
      </w:tr>
      <w:tr>
        <w:trPr>
          <w:trHeight w:val="29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关于部分商标转让及使用许可的关联交易公告</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巨潮资讯网</w:t>
            </w:r>
          </w:p>
        </w:tc>
      </w:tr>
      <w:tr>
        <w:trPr>
          <w:trHeight w:val="298"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年年度股东大会决议公告</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巨潮资讯网</w:t>
            </w:r>
          </w:p>
        </w:tc>
      </w:tr>
    </w:tbl>
    <w:p>
      <w:pPr>
        <w:widowControl w:val="0"/>
        <w:spacing w:after="319" w:line="1" w:lineRule="exact"/>
      </w:pPr>
    </w:p>
    <w:p>
      <w:pPr>
        <w:pStyle w:val="Style32"/>
        <w:keepNext w:val="0"/>
        <w:keepLines w:val="0"/>
        <w:widowControl w:val="0"/>
        <w:shd w:val="clear" w:color="auto" w:fill="auto"/>
        <w:bidi w:val="0"/>
        <w:spacing w:before="0" w:after="320" w:line="240" w:lineRule="auto"/>
        <w:ind w:left="0" w:right="0" w:firstLine="0"/>
        <w:jc w:val="left"/>
        <w:rPr>
          <w:sz w:val="24"/>
          <w:szCs w:val="24"/>
        </w:rPr>
      </w:pPr>
      <w:r>
        <w:rPr>
          <w:b/>
          <w:bCs/>
          <w:color w:val="000000"/>
          <w:spacing w:val="0"/>
          <w:w w:val="100"/>
          <w:position w:val="0"/>
          <w:sz w:val="24"/>
          <w:szCs w:val="24"/>
        </w:rPr>
        <w:t>十七、重大合同及其履行情况</w:t>
      </w:r>
    </w:p>
    <w:p>
      <w:pPr>
        <w:pStyle w:val="Style38"/>
        <w:keepNext/>
        <w:keepLines/>
        <w:widowControl w:val="0"/>
        <w:shd w:val="clear" w:color="auto" w:fill="auto"/>
        <w:bidi w:val="0"/>
        <w:spacing w:before="0" w:after="140" w:line="240" w:lineRule="auto"/>
        <w:ind w:left="0" w:right="0" w:firstLine="0"/>
        <w:jc w:val="left"/>
      </w:pPr>
      <w:bookmarkStart w:id="322" w:name="bookmark322"/>
      <w:bookmarkStart w:id="323" w:name="bookmark323"/>
      <w:bookmarkStart w:id="324" w:name="bookmark324"/>
      <w:bookmarkStart w:id="325" w:name="bookmark325"/>
      <w:r>
        <w:rPr>
          <w:rFonts w:ascii="Times New Roman" w:eastAsia="Times New Roman" w:hAnsi="Times New Roman" w:cs="Times New Roman"/>
          <w:color w:val="000000"/>
          <w:spacing w:val="0"/>
          <w:w w:val="100"/>
          <w:position w:val="0"/>
        </w:rPr>
        <w:t>1</w:t>
      </w:r>
      <w:bookmarkEnd w:id="324"/>
      <w:r>
        <w:rPr>
          <w:color w:val="000000"/>
          <w:spacing w:val="0"/>
          <w:w w:val="100"/>
          <w:position w:val="0"/>
        </w:rPr>
        <w:t>、托管、承包、租赁事项情况</w:t>
      </w:r>
      <w:bookmarkEnd w:id="322"/>
      <w:bookmarkEnd w:id="323"/>
      <w:bookmarkEnd w:id="325"/>
    </w:p>
    <w:p>
      <w:pPr>
        <w:pStyle w:val="Style38"/>
        <w:keepNext/>
        <w:keepLines/>
        <w:widowControl w:val="0"/>
        <w:shd w:val="clear" w:color="auto" w:fill="auto"/>
        <w:tabs>
          <w:tab w:pos="502" w:val="left"/>
        </w:tabs>
        <w:bidi w:val="0"/>
        <w:spacing w:before="0" w:after="200" w:line="475" w:lineRule="exact"/>
        <w:ind w:left="0" w:right="0" w:firstLine="0"/>
        <w:jc w:val="left"/>
      </w:pPr>
      <w:bookmarkStart w:id="322" w:name="bookmark322"/>
      <w:bookmarkStart w:id="323" w:name="bookmark323"/>
      <w:bookmarkStart w:id="326" w:name="bookmark326"/>
      <w:bookmarkStart w:id="327" w:name="bookmark327"/>
      <w:r>
        <w:rPr>
          <w:color w:val="000000"/>
          <w:spacing w:val="0"/>
          <w:w w:val="100"/>
          <w:position w:val="0"/>
        </w:rPr>
        <w:t>（</w:t>
      </w:r>
      <w:bookmarkEnd w:id="326"/>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322"/>
      <w:bookmarkEnd w:id="323"/>
      <w:bookmarkEnd w:id="327"/>
    </w:p>
    <w:p>
      <w:pPr>
        <w:pStyle w:val="Style32"/>
        <w:keepNext w:val="0"/>
        <w:keepLines w:val="0"/>
        <w:widowControl w:val="0"/>
        <w:shd w:val="clear" w:color="auto" w:fill="auto"/>
        <w:bidi w:val="0"/>
        <w:spacing w:before="0" w:after="0" w:line="475" w:lineRule="exact"/>
        <w:ind w:left="0" w:right="0" w:firstLine="44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2"/>
        <w:keepNext w:val="0"/>
        <w:keepLines w:val="0"/>
        <w:widowControl w:val="0"/>
        <w:shd w:val="clear" w:color="auto" w:fill="auto"/>
        <w:bidi w:val="0"/>
        <w:spacing w:before="0" w:after="200" w:line="475" w:lineRule="exact"/>
        <w:ind w:left="0" w:right="0" w:firstLine="440"/>
        <w:jc w:val="left"/>
      </w:pPr>
      <w:r>
        <w:rPr>
          <w:color w:val="000000"/>
          <w:spacing w:val="0"/>
          <w:w w:val="100"/>
          <w:position w:val="0"/>
        </w:rPr>
        <w:t>公司报告期不存在托管情况。</w:t>
      </w:r>
    </w:p>
    <w:p>
      <w:pPr>
        <w:pStyle w:val="Style38"/>
        <w:keepNext/>
        <w:keepLines/>
        <w:widowControl w:val="0"/>
        <w:shd w:val="clear" w:color="auto" w:fill="auto"/>
        <w:tabs>
          <w:tab w:pos="502" w:val="left"/>
        </w:tabs>
        <w:bidi w:val="0"/>
        <w:spacing w:before="0" w:after="200" w:line="475" w:lineRule="exact"/>
        <w:ind w:left="0" w:right="0" w:firstLine="0"/>
        <w:jc w:val="left"/>
      </w:pPr>
      <w:bookmarkStart w:id="328" w:name="bookmark328"/>
      <w:bookmarkStart w:id="329" w:name="bookmark329"/>
      <w:bookmarkStart w:id="330" w:name="bookmark330"/>
      <w:bookmarkStart w:id="331" w:name="bookmark331"/>
      <w:r>
        <w:rPr>
          <w:color w:val="000000"/>
          <w:spacing w:val="0"/>
          <w:w w:val="100"/>
          <w:position w:val="0"/>
        </w:rPr>
        <w:t>（</w:t>
      </w:r>
      <w:bookmarkEnd w:id="330"/>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328"/>
      <w:bookmarkEnd w:id="329"/>
      <w:bookmarkEnd w:id="331"/>
    </w:p>
    <w:p>
      <w:pPr>
        <w:pStyle w:val="Style32"/>
        <w:keepNext w:val="0"/>
        <w:keepLines w:val="0"/>
        <w:widowControl w:val="0"/>
        <w:shd w:val="clear" w:color="auto" w:fill="auto"/>
        <w:bidi w:val="0"/>
        <w:spacing w:before="0" w:after="0" w:line="475" w:lineRule="exact"/>
        <w:ind w:left="0" w:right="0" w:firstLine="44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2"/>
        <w:keepNext w:val="0"/>
        <w:keepLines w:val="0"/>
        <w:widowControl w:val="0"/>
        <w:shd w:val="clear" w:color="auto" w:fill="auto"/>
        <w:bidi w:val="0"/>
        <w:spacing w:before="0" w:after="200" w:line="475" w:lineRule="exact"/>
        <w:ind w:left="0" w:right="0" w:firstLine="440"/>
        <w:jc w:val="left"/>
      </w:pPr>
      <w:r>
        <w:rPr>
          <w:color w:val="000000"/>
          <w:spacing w:val="0"/>
          <w:w w:val="100"/>
          <w:position w:val="0"/>
        </w:rPr>
        <w:t>公司报告期不存在承包情况。</w:t>
      </w:r>
    </w:p>
    <w:p>
      <w:pPr>
        <w:pStyle w:val="Style38"/>
        <w:keepNext/>
        <w:keepLines/>
        <w:widowControl w:val="0"/>
        <w:shd w:val="clear" w:color="auto" w:fill="auto"/>
        <w:tabs>
          <w:tab w:pos="502" w:val="left"/>
        </w:tabs>
        <w:bidi w:val="0"/>
        <w:spacing w:before="0" w:after="200" w:line="475" w:lineRule="exact"/>
        <w:ind w:left="0" w:right="0" w:firstLine="0"/>
        <w:jc w:val="left"/>
      </w:pPr>
      <w:bookmarkStart w:id="332" w:name="bookmark332"/>
      <w:bookmarkStart w:id="333" w:name="bookmark333"/>
      <w:bookmarkStart w:id="334" w:name="bookmark334"/>
      <w:bookmarkStart w:id="335" w:name="bookmark335"/>
      <w:r>
        <w:rPr>
          <w:color w:val="000000"/>
          <w:spacing w:val="0"/>
          <w:w w:val="100"/>
          <w:position w:val="0"/>
        </w:rPr>
        <w:t>（</w:t>
      </w:r>
      <w:bookmarkEnd w:id="334"/>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332"/>
      <w:bookmarkEnd w:id="333"/>
      <w:bookmarkEnd w:id="335"/>
    </w:p>
    <w:p>
      <w:pPr>
        <w:pStyle w:val="Style32"/>
        <w:keepNext w:val="0"/>
        <w:keepLines w:val="0"/>
        <w:widowControl w:val="0"/>
        <w:shd w:val="clear" w:color="auto" w:fill="auto"/>
        <w:bidi w:val="0"/>
        <w:spacing w:before="0" w:after="0" w:line="475" w:lineRule="exact"/>
        <w:ind w:left="0" w:right="0" w:firstLine="440"/>
        <w:jc w:val="both"/>
      </w:pPr>
      <w:r>
        <w:rPr>
          <w:color w:val="000000"/>
          <w:spacing w:val="0"/>
          <w:w w:val="100"/>
          <w:position w:val="0"/>
        </w:rPr>
        <w:t>租赁情况说明</w:t>
      </w:r>
    </w:p>
    <w:p>
      <w:pPr>
        <w:pStyle w:val="Style32"/>
        <w:keepNext w:val="0"/>
        <w:keepLines w:val="0"/>
        <w:widowControl w:val="0"/>
        <w:shd w:val="clear" w:color="auto" w:fill="auto"/>
        <w:bidi w:val="0"/>
        <w:spacing w:before="0" w:after="440" w:line="475" w:lineRule="exact"/>
        <w:ind w:left="0" w:right="0" w:firstLine="440"/>
        <w:jc w:val="left"/>
      </w:pPr>
      <w:r>
        <w:rPr>
          <w:color w:val="000000"/>
          <w:spacing w:val="0"/>
          <w:w w:val="100"/>
          <w:position w:val="0"/>
        </w:rPr>
        <w:t>报告期内，公司除正常租赁房屋进行开设店面，以及提供物业用于对外经营外，未发生也未有 以前期间发生但延续到报告期内的重大资产租赁事项。</w:t>
      </w:r>
    </w:p>
    <w:p>
      <w:pPr>
        <w:pStyle w:val="Style32"/>
        <w:keepNext w:val="0"/>
        <w:keepLines w:val="0"/>
        <w:widowControl w:val="0"/>
        <w:shd w:val="clear" w:color="auto" w:fill="auto"/>
        <w:bidi w:val="0"/>
        <w:spacing w:before="0" w:after="0" w:line="475" w:lineRule="exact"/>
        <w:ind w:left="0" w:right="0" w:firstLine="440"/>
        <w:jc w:val="left"/>
      </w:pPr>
      <w:r>
        <w:rPr>
          <w:color w:val="000000"/>
          <w:spacing w:val="0"/>
          <w:w w:val="100"/>
          <w:position w:val="0"/>
        </w:rPr>
        <w:t>为公司带来的损益达到公司报告期利润总额</w:t>
      </w:r>
      <w:r>
        <w:rPr>
          <w:rFonts w:ascii="Times New Roman" w:eastAsia="Times New Roman" w:hAnsi="Times New Roman" w:cs="Times New Roman"/>
          <w:color w:val="000000"/>
          <w:spacing w:val="0"/>
          <w:w w:val="100"/>
          <w:position w:val="0"/>
        </w:rPr>
        <w:t>10%</w:t>
      </w:r>
      <w:r>
        <w:rPr>
          <w:color w:val="000000"/>
          <w:spacing w:val="0"/>
          <w:w w:val="100"/>
          <w:position w:val="0"/>
        </w:rPr>
        <w:t>以上的项目</w:t>
      </w:r>
    </w:p>
    <w:p>
      <w:pPr>
        <w:pStyle w:val="Style32"/>
        <w:keepNext w:val="0"/>
        <w:keepLines w:val="0"/>
        <w:widowControl w:val="0"/>
        <w:shd w:val="clear" w:color="auto" w:fill="auto"/>
        <w:bidi w:val="0"/>
        <w:spacing w:before="0" w:after="0" w:line="475" w:lineRule="exact"/>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2"/>
        <w:keepNext w:val="0"/>
        <w:keepLines w:val="0"/>
        <w:widowControl w:val="0"/>
        <w:shd w:val="clear" w:color="auto" w:fill="auto"/>
        <w:bidi w:val="0"/>
        <w:spacing w:before="0" w:after="200" w:line="475" w:lineRule="exact"/>
        <w:ind w:left="0" w:right="0" w:firstLine="440"/>
        <w:jc w:val="left"/>
      </w:pPr>
      <w:r>
        <w:rPr>
          <w:color w:val="000000"/>
          <w:spacing w:val="0"/>
          <w:w w:val="100"/>
          <w:position w:val="0"/>
        </w:rPr>
        <w:t>公司报告期不存在为公司带来的损益达到公司报告期利润总额</w:t>
      </w:r>
      <w:r>
        <w:rPr>
          <w:rFonts w:ascii="Times New Roman" w:eastAsia="Times New Roman" w:hAnsi="Times New Roman" w:cs="Times New Roman"/>
          <w:color w:val="000000"/>
          <w:spacing w:val="0"/>
          <w:w w:val="100"/>
          <w:position w:val="0"/>
        </w:rPr>
        <w:t>10%</w:t>
      </w:r>
      <w:r>
        <w:rPr>
          <w:color w:val="000000"/>
          <w:spacing w:val="0"/>
          <w:w w:val="100"/>
          <w:position w:val="0"/>
        </w:rPr>
        <w:t>以上的租赁项目。</w:t>
      </w:r>
      <w:r>
        <w:br w:type="page"/>
      </w:r>
    </w:p>
    <w:p>
      <w:pPr>
        <w:pStyle w:val="Style38"/>
        <w:keepNext/>
        <w:keepLines/>
        <w:widowControl w:val="0"/>
        <w:shd w:val="clear" w:color="auto" w:fill="auto"/>
        <w:bidi w:val="0"/>
        <w:spacing w:before="0" w:after="320" w:line="240" w:lineRule="auto"/>
        <w:ind w:left="0" w:right="0" w:firstLine="0"/>
        <w:jc w:val="left"/>
      </w:pPr>
      <w:bookmarkStart w:id="336" w:name="bookmark336"/>
      <w:bookmarkStart w:id="337" w:name="bookmark337"/>
      <w:bookmarkStart w:id="338" w:name="bookmark338"/>
      <w:bookmarkStart w:id="339" w:name="bookmark339"/>
      <w:r>
        <w:rPr>
          <w:rFonts w:ascii="Times New Roman" w:eastAsia="Times New Roman" w:hAnsi="Times New Roman" w:cs="Times New Roman"/>
          <w:color w:val="000000"/>
          <w:spacing w:val="0"/>
          <w:w w:val="100"/>
          <w:position w:val="0"/>
        </w:rPr>
        <w:t>2</w:t>
      </w:r>
      <w:bookmarkEnd w:id="338"/>
      <w:r>
        <w:rPr>
          <w:color w:val="000000"/>
          <w:spacing w:val="0"/>
          <w:w w:val="100"/>
          <w:position w:val="0"/>
        </w:rPr>
        <w:t>、重大担保</w:t>
      </w:r>
      <w:bookmarkEnd w:id="336"/>
      <w:bookmarkEnd w:id="337"/>
      <w:bookmarkEnd w:id="339"/>
    </w:p>
    <w:p>
      <w:pPr>
        <w:pStyle w:val="Style38"/>
        <w:keepNext/>
        <w:keepLines/>
        <w:widowControl w:val="0"/>
        <w:shd w:val="clear" w:color="auto" w:fill="auto"/>
        <w:bidi w:val="0"/>
        <w:spacing w:before="0" w:after="320" w:line="240" w:lineRule="auto"/>
        <w:ind w:left="0" w:right="0" w:firstLine="0"/>
        <w:jc w:val="left"/>
      </w:pPr>
      <w:bookmarkStart w:id="336" w:name="bookmark336"/>
      <w:bookmarkStart w:id="337" w:name="bookmark337"/>
      <w:bookmarkStart w:id="340" w:name="bookmark340"/>
      <w:bookmarkStart w:id="341" w:name="bookmark341"/>
      <w:r>
        <w:rPr>
          <w:color w:val="000000"/>
          <w:spacing w:val="0"/>
          <w:w w:val="100"/>
          <w:position w:val="0"/>
        </w:rPr>
        <w:t>（</w:t>
      </w:r>
      <w:bookmarkEnd w:id="340"/>
      <w:r>
        <w:rPr>
          <w:rFonts w:ascii="Times New Roman" w:eastAsia="Times New Roman" w:hAnsi="Times New Roman" w:cs="Times New Roman"/>
          <w:color w:val="000000"/>
          <w:spacing w:val="0"/>
          <w:w w:val="100"/>
          <w:position w:val="0"/>
        </w:rPr>
        <w:t>1</w:t>
      </w:r>
      <w:r>
        <w:rPr>
          <w:color w:val="000000"/>
          <w:spacing w:val="0"/>
          <w:w w:val="100"/>
          <w:position w:val="0"/>
        </w:rPr>
        <w:t>）担保情况</w:t>
      </w:r>
      <w:bookmarkEnd w:id="336"/>
      <w:bookmarkEnd w:id="337"/>
      <w:bookmarkEnd w:id="341"/>
    </w:p>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单位：万元</w:t>
      </w:r>
    </w:p>
    <w:tbl>
      <w:tblPr>
        <w:tblOverlap w:val="never"/>
        <w:jc w:val="center"/>
        <w:tblLayout w:type="fixed"/>
      </w:tblPr>
      <w:tblGrid>
        <w:gridCol w:w="1565"/>
        <w:gridCol w:w="149"/>
        <w:gridCol w:w="926"/>
        <w:gridCol w:w="926"/>
        <w:gridCol w:w="1296"/>
        <w:gridCol w:w="1061"/>
        <w:gridCol w:w="1037"/>
        <w:gridCol w:w="1046"/>
        <w:gridCol w:w="792"/>
        <w:gridCol w:w="850"/>
      </w:tblGrid>
      <w:tr>
        <w:trPr>
          <w:trHeight w:val="274" w:hRule="exact"/>
        </w:trPr>
        <w:tc>
          <w:tcPr>
            <w:gridSpan w:val="10"/>
            <w:tcBorders>
              <w:top w:val="single" w:sz="4"/>
              <w:left w:val="single" w:sz="4"/>
              <w:righ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公司及其子公司对外担保情况（不包括对子公司的担保）</w:t>
            </w:r>
          </w:p>
        </w:tc>
      </w:tr>
      <w:tr>
        <w:trPr>
          <w:trHeight w:val="792" w:hRule="exact"/>
        </w:trPr>
        <w:tc>
          <w:tcPr>
            <w:gridSpan w:val="2"/>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担保对象名称</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59" w:lineRule="exact"/>
              <w:ind w:left="0" w:right="0" w:firstLine="0"/>
              <w:jc w:val="center"/>
              <w:rPr>
                <w:sz w:val="20"/>
                <w:szCs w:val="20"/>
              </w:rPr>
            </w:pPr>
            <w:r>
              <w:rPr>
                <w:color w:val="000000"/>
                <w:spacing w:val="0"/>
                <w:w w:val="100"/>
                <w:position w:val="0"/>
                <w:sz w:val="20"/>
                <w:szCs w:val="20"/>
              </w:rPr>
              <w:t>担保额度 相关公告 披露日期</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担保额度</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52" w:lineRule="exact"/>
              <w:ind w:left="0" w:right="0" w:firstLine="0"/>
              <w:jc w:val="center"/>
              <w:rPr>
                <w:sz w:val="20"/>
                <w:szCs w:val="20"/>
              </w:rPr>
            </w:pPr>
            <w:r>
              <w:rPr>
                <w:color w:val="000000"/>
                <w:spacing w:val="0"/>
                <w:w w:val="100"/>
                <w:position w:val="0"/>
                <w:sz w:val="20"/>
                <w:szCs w:val="20"/>
              </w:rPr>
              <w:t>实际发生日期 （协议签署 日）</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64" w:lineRule="exact"/>
              <w:ind w:left="0" w:right="0" w:firstLine="0"/>
              <w:jc w:val="center"/>
              <w:rPr>
                <w:sz w:val="20"/>
                <w:szCs w:val="20"/>
              </w:rPr>
            </w:pPr>
            <w:r>
              <w:rPr>
                <w:color w:val="000000"/>
                <w:spacing w:val="0"/>
                <w:w w:val="100"/>
                <w:position w:val="0"/>
                <w:sz w:val="20"/>
                <w:szCs w:val="20"/>
              </w:rPr>
              <w:t>实际担保金 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担保类型</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担保期</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64" w:lineRule="exact"/>
              <w:ind w:left="0" w:right="0" w:firstLine="0"/>
              <w:jc w:val="left"/>
              <w:rPr>
                <w:sz w:val="20"/>
                <w:szCs w:val="20"/>
              </w:rPr>
            </w:pPr>
            <w:r>
              <w:rPr>
                <w:color w:val="000000"/>
                <w:spacing w:val="0"/>
                <w:w w:val="100"/>
                <w:position w:val="0"/>
                <w:sz w:val="20"/>
                <w:szCs w:val="20"/>
              </w:rPr>
              <w:t>是否履 行完毕</w:t>
            </w:r>
          </w:p>
        </w:tc>
        <w:tc>
          <w:tcPr>
            <w:tcBorders>
              <w:top w:val="single" w:sz="4"/>
              <w:left w:val="single" w:sz="4"/>
              <w:right w:val="single" w:sz="4"/>
            </w:tcBorders>
            <w:shd w:val="clear" w:color="auto" w:fill="D3D3D3"/>
            <w:vAlign w:val="top"/>
          </w:tcPr>
          <w:p>
            <w:pPr>
              <w:pStyle w:val="Style28"/>
              <w:keepNext w:val="0"/>
              <w:keepLines w:val="0"/>
              <w:widowControl w:val="0"/>
              <w:shd w:val="clear" w:color="auto" w:fill="auto"/>
              <w:bidi w:val="0"/>
              <w:spacing w:before="0" w:after="0" w:line="250" w:lineRule="exact"/>
              <w:ind w:left="0" w:right="0" w:firstLine="0"/>
              <w:jc w:val="center"/>
              <w:rPr>
                <w:sz w:val="20"/>
                <w:szCs w:val="20"/>
              </w:rPr>
            </w:pPr>
            <w:r>
              <w:rPr>
                <w:color w:val="000000"/>
                <w:spacing w:val="0"/>
                <w:w w:val="100"/>
                <w:position w:val="0"/>
                <w:sz w:val="20"/>
                <w:szCs w:val="20"/>
              </w:rPr>
              <w:t>是否为 关联方 担保</w:t>
            </w:r>
          </w:p>
        </w:tc>
      </w:tr>
      <w:tr>
        <w:trPr>
          <w:trHeight w:val="250" w:hRule="exact"/>
        </w:trPr>
        <w:tc>
          <w:tcPr>
            <w:gridSpan w:val="2"/>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62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2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6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0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r>
      <w:tr>
        <w:trPr>
          <w:trHeight w:val="528" w:hRule="exact"/>
        </w:trPr>
        <w:tc>
          <w:tcPr>
            <w:gridSpan w:val="3"/>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5" w:lineRule="exact"/>
              <w:ind w:left="0" w:right="0" w:firstLine="0"/>
              <w:jc w:val="left"/>
              <w:rPr>
                <w:sz w:val="20"/>
                <w:szCs w:val="20"/>
              </w:rPr>
            </w:pPr>
            <w:r>
              <w:rPr>
                <w:color w:val="000000"/>
                <w:spacing w:val="0"/>
                <w:w w:val="100"/>
                <w:position w:val="0"/>
                <w:sz w:val="20"/>
                <w:szCs w:val="20"/>
              </w:rPr>
              <w:t>报告期内审批的对外担保额 度合计</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A1</w:t>
            </w:r>
            <w:r>
              <w:rPr>
                <w:color w:val="000000"/>
                <w:spacing w:val="0"/>
                <w:w w:val="100"/>
                <w:position w:val="0"/>
                <w:sz w:val="20"/>
                <w:szCs w:val="20"/>
              </w:rPr>
              <w:t>）</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gridSpan w:val="2"/>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5" w:lineRule="exact"/>
              <w:ind w:left="0" w:right="0" w:firstLine="0"/>
              <w:jc w:val="left"/>
              <w:rPr>
                <w:sz w:val="20"/>
                <w:szCs w:val="20"/>
              </w:rPr>
            </w:pPr>
            <w:r>
              <w:rPr>
                <w:color w:val="000000"/>
                <w:spacing w:val="0"/>
                <w:w w:val="100"/>
                <w:position w:val="0"/>
                <w:sz w:val="20"/>
                <w:szCs w:val="20"/>
              </w:rPr>
              <w:t>报告期内对外担保实际 发生额合计</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A2</w:t>
            </w:r>
            <w:r>
              <w:rPr>
                <w:color w:val="000000"/>
                <w:spacing w:val="0"/>
                <w:w w:val="100"/>
                <w:position w:val="0"/>
                <w:sz w:val="20"/>
                <w:szCs w:val="20"/>
              </w:rPr>
              <w:t>）</w:t>
            </w:r>
          </w:p>
        </w:tc>
        <w:tc>
          <w:tcPr>
            <w:gridSpan w:val="3"/>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r>
      <w:tr>
        <w:trPr>
          <w:trHeight w:val="528" w:hRule="exact"/>
        </w:trPr>
        <w:tc>
          <w:tcPr>
            <w:gridSpan w:val="3"/>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54" w:lineRule="exact"/>
              <w:ind w:left="0" w:right="0" w:firstLine="0"/>
              <w:jc w:val="left"/>
              <w:rPr>
                <w:sz w:val="20"/>
                <w:szCs w:val="20"/>
              </w:rPr>
            </w:pPr>
            <w:r>
              <w:rPr>
                <w:color w:val="000000"/>
                <w:spacing w:val="0"/>
                <w:w w:val="100"/>
                <w:position w:val="0"/>
                <w:sz w:val="20"/>
                <w:szCs w:val="20"/>
              </w:rPr>
              <w:t>报告期末已审批的对外担保 额度合计</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A3</w:t>
            </w:r>
            <w:r>
              <w:rPr>
                <w:color w:val="000000"/>
                <w:spacing w:val="0"/>
                <w:w w:val="100"/>
                <w:position w:val="0"/>
                <w:sz w:val="20"/>
                <w:szCs w:val="20"/>
              </w:rPr>
              <w:t>）</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gridSpan w:val="2"/>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5" w:lineRule="exact"/>
              <w:ind w:left="0" w:right="0" w:firstLine="0"/>
              <w:jc w:val="left"/>
              <w:rPr>
                <w:sz w:val="20"/>
                <w:szCs w:val="20"/>
              </w:rPr>
            </w:pPr>
            <w:r>
              <w:rPr>
                <w:color w:val="000000"/>
                <w:spacing w:val="0"/>
                <w:w w:val="100"/>
                <w:position w:val="0"/>
                <w:sz w:val="20"/>
                <w:szCs w:val="20"/>
              </w:rPr>
              <w:t>报告期末实际对外担保 余额合计</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A4</w:t>
            </w:r>
            <w:r>
              <w:rPr>
                <w:color w:val="000000"/>
                <w:spacing w:val="0"/>
                <w:w w:val="100"/>
                <w:position w:val="0"/>
                <w:sz w:val="20"/>
                <w:szCs w:val="20"/>
              </w:rPr>
              <w:t>）</w:t>
            </w:r>
          </w:p>
        </w:tc>
        <w:tc>
          <w:tcPr>
            <w:gridSpan w:val="3"/>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r>
      <w:tr>
        <w:trPr>
          <w:trHeight w:val="269" w:hRule="exact"/>
        </w:trPr>
        <w:tc>
          <w:tcPr>
            <w:gridSpan w:val="10"/>
            <w:tcBorders>
              <w:top w:val="single" w:sz="4"/>
              <w:left w:val="single" w:sz="4"/>
              <w:righ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公司与子公司之间担保情况</w:t>
            </w:r>
          </w:p>
        </w:tc>
      </w:tr>
      <w:tr>
        <w:trPr>
          <w:trHeight w:val="787"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担保对象名称</w:t>
            </w:r>
          </w:p>
        </w:tc>
        <w:tc>
          <w:tcPr>
            <w:gridSpan w:val="2"/>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59" w:lineRule="exact"/>
              <w:ind w:left="0" w:right="0" w:firstLine="0"/>
              <w:jc w:val="both"/>
              <w:rPr>
                <w:sz w:val="20"/>
                <w:szCs w:val="20"/>
              </w:rPr>
            </w:pPr>
            <w:r>
              <w:rPr>
                <w:color w:val="000000"/>
                <w:spacing w:val="0"/>
                <w:w w:val="100"/>
                <w:position w:val="0"/>
                <w:sz w:val="20"/>
                <w:szCs w:val="20"/>
              </w:rPr>
              <w:t>担保额度相 关公告披露 日期</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担保额度</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59" w:lineRule="exact"/>
              <w:ind w:left="0" w:right="0" w:firstLine="0"/>
              <w:jc w:val="center"/>
              <w:rPr>
                <w:sz w:val="20"/>
                <w:szCs w:val="20"/>
              </w:rPr>
            </w:pPr>
            <w:r>
              <w:rPr>
                <w:color w:val="000000"/>
                <w:spacing w:val="0"/>
                <w:w w:val="100"/>
                <w:position w:val="0"/>
                <w:sz w:val="20"/>
                <w:szCs w:val="20"/>
              </w:rPr>
              <w:t>实际发生日期 （协议签署 日）</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64" w:lineRule="exact"/>
              <w:ind w:left="0" w:right="0" w:firstLine="0"/>
              <w:jc w:val="center"/>
              <w:rPr>
                <w:sz w:val="20"/>
                <w:szCs w:val="20"/>
              </w:rPr>
            </w:pPr>
            <w:r>
              <w:rPr>
                <w:color w:val="000000"/>
                <w:spacing w:val="0"/>
                <w:w w:val="100"/>
                <w:position w:val="0"/>
                <w:sz w:val="20"/>
                <w:szCs w:val="20"/>
              </w:rPr>
              <w:t>实际担保金 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担保类型</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担保期</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64" w:lineRule="exact"/>
              <w:ind w:left="0" w:right="0" w:firstLine="0"/>
              <w:jc w:val="left"/>
              <w:rPr>
                <w:sz w:val="20"/>
                <w:szCs w:val="20"/>
              </w:rPr>
            </w:pPr>
            <w:r>
              <w:rPr>
                <w:color w:val="000000"/>
                <w:spacing w:val="0"/>
                <w:w w:val="100"/>
                <w:position w:val="0"/>
                <w:sz w:val="20"/>
                <w:szCs w:val="20"/>
              </w:rPr>
              <w:t>是否履 行完毕</w:t>
            </w:r>
          </w:p>
        </w:tc>
        <w:tc>
          <w:tcPr>
            <w:tcBorders>
              <w:top w:val="single" w:sz="4"/>
              <w:left w:val="single" w:sz="4"/>
              <w:right w:val="single" w:sz="4"/>
            </w:tcBorders>
            <w:shd w:val="clear" w:color="auto" w:fill="D3D3D3"/>
            <w:vAlign w:val="top"/>
          </w:tcPr>
          <w:p>
            <w:pPr>
              <w:pStyle w:val="Style28"/>
              <w:keepNext w:val="0"/>
              <w:keepLines w:val="0"/>
              <w:widowControl w:val="0"/>
              <w:shd w:val="clear" w:color="auto" w:fill="auto"/>
              <w:bidi w:val="0"/>
              <w:spacing w:before="0" w:after="0" w:line="259" w:lineRule="exact"/>
              <w:ind w:left="0" w:right="0" w:firstLine="0"/>
              <w:jc w:val="center"/>
              <w:rPr>
                <w:sz w:val="20"/>
                <w:szCs w:val="20"/>
              </w:rPr>
            </w:pPr>
            <w:r>
              <w:rPr>
                <w:color w:val="000000"/>
                <w:spacing w:val="0"/>
                <w:w w:val="100"/>
                <w:position w:val="0"/>
                <w:sz w:val="20"/>
                <w:szCs w:val="20"/>
              </w:rPr>
              <w:t>是否为 关联方 担保</w:t>
            </w:r>
          </w:p>
        </w:tc>
      </w:tr>
      <w:tr>
        <w:trPr>
          <w:trHeight w:val="49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Great Universe</w:t>
            </w:r>
          </w:p>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Limited</w:t>
            </w:r>
          </w:p>
        </w:tc>
        <w:tc>
          <w:tcPr>
            <w:gridSpan w:val="2"/>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2013/12/25</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67,277.10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2013/12/27</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67,277.10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抵押</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2013/12/27</w:t>
              <w:softHyphen/>
            </w:r>
          </w:p>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2016/8/5</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0"/>
                <w:szCs w:val="10"/>
              </w:rPr>
            </w:pPr>
            <w:r>
              <w:rPr>
                <w:color w:val="000000"/>
                <w:spacing w:val="0"/>
                <w:w w:val="100"/>
                <w:position w:val="0"/>
                <w:sz w:val="10"/>
                <w:szCs w:val="10"/>
                <w:vertAlign w:val="subscript"/>
              </w:rPr>
              <w:t>否</w:t>
            </w:r>
          </w:p>
        </w:tc>
      </w:tr>
      <w:tr>
        <w:trPr>
          <w:trHeight w:val="206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54" w:lineRule="exact"/>
              <w:ind w:left="0" w:right="0" w:firstLine="0"/>
              <w:jc w:val="left"/>
              <w:rPr>
                <w:sz w:val="20"/>
                <w:szCs w:val="20"/>
              </w:rPr>
            </w:pPr>
            <w:r>
              <w:rPr>
                <w:color w:val="000000"/>
                <w:spacing w:val="0"/>
                <w:w w:val="100"/>
                <w:position w:val="0"/>
                <w:sz w:val="20"/>
                <w:szCs w:val="20"/>
              </w:rPr>
              <w:t>苏宁商业保理有 限公司</w:t>
            </w:r>
          </w:p>
        </w:tc>
        <w:tc>
          <w:tcPr>
            <w:gridSpan w:val="2"/>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2014/4/15</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57" w:lineRule="exact"/>
              <w:ind w:left="0" w:right="0" w:firstLine="0"/>
              <w:jc w:val="left"/>
              <w:rPr>
                <w:sz w:val="20"/>
                <w:szCs w:val="20"/>
              </w:rPr>
            </w:pPr>
            <w:r>
              <w:rPr>
                <w:color w:val="000000"/>
                <w:spacing w:val="0"/>
                <w:w w:val="100"/>
                <w:position w:val="0"/>
                <w:sz w:val="20"/>
                <w:szCs w:val="20"/>
              </w:rPr>
              <w:t xml:space="preserve">其中 </w:t>
            </w:r>
            <w:r>
              <w:rPr>
                <w:rFonts w:ascii="Times New Roman" w:eastAsia="Times New Roman" w:hAnsi="Times New Roman" w:cs="Times New Roman"/>
                <w:color w:val="000000"/>
                <w:spacing w:val="0"/>
                <w:w w:val="100"/>
                <w:position w:val="0"/>
                <w:sz w:val="20"/>
                <w:szCs w:val="20"/>
              </w:rPr>
              <w:t xml:space="preserve">10700 </w:t>
            </w:r>
            <w:r>
              <w:rPr>
                <w:color w:val="000000"/>
                <w:spacing w:val="0"/>
                <w:w w:val="100"/>
                <w:position w:val="0"/>
                <w:sz w:val="20"/>
                <w:szCs w:val="20"/>
              </w:rPr>
              <w:t xml:space="preserve">万元截 至 </w:t>
            </w:r>
            <w:r>
              <w:rPr>
                <w:rFonts w:ascii="Times New Roman" w:eastAsia="Times New Roman" w:hAnsi="Times New Roman" w:cs="Times New Roman"/>
                <w:color w:val="000000"/>
                <w:spacing w:val="0"/>
                <w:w w:val="100"/>
                <w:position w:val="0"/>
                <w:sz w:val="20"/>
                <w:szCs w:val="20"/>
              </w:rPr>
              <w:t xml:space="preserve">2014 </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7</w:t>
            </w:r>
            <w:r>
              <w:rPr>
                <w:color w:val="000000"/>
                <w:spacing w:val="0"/>
                <w:w w:val="100"/>
                <w:position w:val="0"/>
                <w:sz w:val="20"/>
                <w:szCs w:val="20"/>
              </w:rPr>
              <w:t xml:space="preserve">月 </w:t>
            </w:r>
            <w:r>
              <w:rPr>
                <w:rFonts w:ascii="Times New Roman" w:eastAsia="Times New Roman" w:hAnsi="Times New Roman" w:cs="Times New Roman"/>
                <w:color w:val="000000"/>
                <w:spacing w:val="0"/>
                <w:w w:val="100"/>
                <w:position w:val="0"/>
                <w:sz w:val="20"/>
                <w:szCs w:val="20"/>
              </w:rPr>
              <w:t>18</w:t>
            </w:r>
            <w:r>
              <w:rPr>
                <w:color w:val="000000"/>
                <w:spacing w:val="0"/>
                <w:w w:val="100"/>
                <w:position w:val="0"/>
                <w:sz w:val="20"/>
                <w:szCs w:val="20"/>
              </w:rPr>
              <w:t>日已 履行完 毕</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0"/>
                <w:szCs w:val="10"/>
              </w:rPr>
            </w:pPr>
            <w:r>
              <w:rPr>
                <w:color w:val="000000"/>
                <w:spacing w:val="0"/>
                <w:w w:val="100"/>
                <w:position w:val="0"/>
                <w:sz w:val="10"/>
                <w:szCs w:val="10"/>
                <w:vertAlign w:val="subscript"/>
              </w:rPr>
              <w:t>否</w:t>
            </w:r>
          </w:p>
        </w:tc>
      </w:tr>
      <w:tr>
        <w:trPr>
          <w:trHeight w:val="49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Great Universe</w:t>
            </w:r>
          </w:p>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Limited</w:t>
            </w:r>
          </w:p>
        </w:tc>
        <w:tc>
          <w:tcPr>
            <w:gridSpan w:val="2"/>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2014/12/11</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36,000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2014/12/10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36,000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抵押</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2014/12/3</w:t>
              <w:softHyphen/>
            </w:r>
          </w:p>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2016/5/27</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0"/>
                <w:szCs w:val="10"/>
              </w:rPr>
            </w:pPr>
            <w:r>
              <w:rPr>
                <w:color w:val="000000"/>
                <w:spacing w:val="0"/>
                <w:w w:val="100"/>
                <w:position w:val="0"/>
                <w:sz w:val="10"/>
                <w:szCs w:val="10"/>
                <w:vertAlign w:val="subscript"/>
              </w:rPr>
              <w:t>否</w:t>
            </w:r>
          </w:p>
        </w:tc>
      </w:tr>
      <w:tr>
        <w:trPr>
          <w:trHeight w:val="73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Suning Commerce</w:t>
            </w:r>
          </w:p>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R&amp;D Center USA</w:t>
            </w:r>
          </w:p>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Inc</w:t>
            </w:r>
          </w:p>
        </w:tc>
        <w:tc>
          <w:tcPr>
            <w:gridSpan w:val="2"/>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2015/1/31</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5,523.30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2015/5/11</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2,567.71</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59" w:lineRule="exact"/>
              <w:ind w:left="0" w:right="0" w:firstLine="0"/>
              <w:jc w:val="left"/>
              <w:rPr>
                <w:sz w:val="20"/>
                <w:szCs w:val="20"/>
              </w:rPr>
            </w:pPr>
            <w:r>
              <w:rPr>
                <w:color w:val="000000"/>
                <w:spacing w:val="0"/>
                <w:w w:val="100"/>
                <w:position w:val="0"/>
                <w:sz w:val="20"/>
                <w:szCs w:val="20"/>
              </w:rPr>
              <w:t>连带责任 保证</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2015/5/11</w:t>
              <w:softHyphen/>
            </w:r>
          </w:p>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2017/5/10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vertAlign w:val="subscript"/>
              </w:rPr>
              <w:t>否</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0"/>
                <w:szCs w:val="10"/>
              </w:rPr>
            </w:pPr>
            <w:r>
              <w:rPr>
                <w:color w:val="000000"/>
                <w:spacing w:val="0"/>
                <w:w w:val="100"/>
                <w:position w:val="0"/>
                <w:sz w:val="10"/>
                <w:szCs w:val="10"/>
                <w:vertAlign w:val="subscript"/>
              </w:rPr>
              <w:t>否</w:t>
            </w:r>
          </w:p>
        </w:tc>
      </w:tr>
      <w:tr>
        <w:trPr>
          <w:trHeight w:val="24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Suning.com</w:t>
            </w:r>
          </w:p>
        </w:tc>
        <w:tc>
          <w:tcPr>
            <w:gridSpan w:val="2"/>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2015/1/31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1,841.10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0"/>
                <w:szCs w:val="10"/>
              </w:rPr>
            </w:pPr>
            <w:r>
              <w:rPr>
                <w:color w:val="000000"/>
                <w:spacing w:val="0"/>
                <w:w w:val="100"/>
                <w:position w:val="0"/>
                <w:sz w:val="10"/>
                <w:szCs w:val="10"/>
              </w:rPr>
              <w:t>-</w:t>
            </w:r>
          </w:p>
        </w:tc>
      </w:tr>
      <w:tr>
        <w:trPr>
          <w:trHeight w:val="53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59" w:lineRule="exact"/>
              <w:ind w:left="0" w:right="0" w:firstLine="0"/>
              <w:jc w:val="left"/>
              <w:rPr>
                <w:sz w:val="20"/>
                <w:szCs w:val="20"/>
              </w:rPr>
            </w:pPr>
            <w:r>
              <w:rPr>
                <w:color w:val="000000"/>
                <w:spacing w:val="0"/>
                <w:w w:val="100"/>
                <w:position w:val="0"/>
                <w:sz w:val="20"/>
                <w:szCs w:val="20"/>
              </w:rPr>
              <w:t>香港苏宁电器有 限公司</w:t>
            </w:r>
          </w:p>
        </w:tc>
        <w:tc>
          <w:tcPr>
            <w:gridSpan w:val="2"/>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2015/7/2</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30,000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2015/7/6</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30,000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59" w:lineRule="exact"/>
              <w:ind w:left="0" w:right="0" w:firstLine="0"/>
              <w:jc w:val="left"/>
              <w:rPr>
                <w:sz w:val="20"/>
                <w:szCs w:val="20"/>
              </w:rPr>
            </w:pPr>
            <w:r>
              <w:rPr>
                <w:color w:val="000000"/>
                <w:spacing w:val="0"/>
                <w:w w:val="100"/>
                <w:position w:val="0"/>
                <w:sz w:val="20"/>
                <w:szCs w:val="20"/>
              </w:rPr>
              <w:t>连带责任 保证</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2015/7/6</w:t>
              <w:softHyphen/>
            </w:r>
          </w:p>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2016/7/14</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0"/>
                <w:szCs w:val="10"/>
              </w:rPr>
            </w:pPr>
            <w:r>
              <w:rPr>
                <w:color w:val="000000"/>
                <w:spacing w:val="0"/>
                <w:w w:val="100"/>
                <w:position w:val="0"/>
                <w:sz w:val="10"/>
                <w:szCs w:val="10"/>
                <w:vertAlign w:val="subscript"/>
              </w:rPr>
              <w:t>否</w:t>
            </w:r>
          </w:p>
        </w:tc>
      </w:tr>
      <w:tr>
        <w:trPr>
          <w:trHeight w:val="52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59" w:lineRule="exact"/>
              <w:ind w:left="0" w:right="0" w:firstLine="0"/>
              <w:jc w:val="left"/>
              <w:rPr>
                <w:sz w:val="20"/>
                <w:szCs w:val="20"/>
              </w:rPr>
            </w:pPr>
            <w:r>
              <w:rPr>
                <w:color w:val="000000"/>
                <w:spacing w:val="0"/>
                <w:w w:val="100"/>
                <w:position w:val="0"/>
                <w:sz w:val="20"/>
                <w:szCs w:val="20"/>
              </w:rPr>
              <w:t>香港苏宁电器有 限公司</w:t>
            </w:r>
          </w:p>
        </w:tc>
        <w:tc>
          <w:tcPr>
            <w:gridSpan w:val="2"/>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2015/7/2</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2015/7/9</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59" w:lineRule="exact"/>
              <w:ind w:left="0" w:right="0" w:firstLine="0"/>
              <w:jc w:val="left"/>
              <w:rPr>
                <w:sz w:val="20"/>
                <w:szCs w:val="20"/>
              </w:rPr>
            </w:pPr>
            <w:r>
              <w:rPr>
                <w:color w:val="000000"/>
                <w:spacing w:val="0"/>
                <w:w w:val="100"/>
                <w:position w:val="0"/>
                <w:sz w:val="20"/>
                <w:szCs w:val="20"/>
              </w:rPr>
              <w:t>连带责任 保证</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2015/7/21</w:t>
              <w:softHyphen/>
            </w:r>
          </w:p>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2016/9/7</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0"/>
                <w:szCs w:val="10"/>
              </w:rPr>
            </w:pPr>
            <w:r>
              <w:rPr>
                <w:color w:val="000000"/>
                <w:spacing w:val="0"/>
                <w:w w:val="100"/>
                <w:position w:val="0"/>
                <w:sz w:val="10"/>
                <w:szCs w:val="10"/>
                <w:vertAlign w:val="subscript"/>
              </w:rPr>
              <w:t>否</w:t>
            </w:r>
          </w:p>
        </w:tc>
      </w:tr>
      <w:tr>
        <w:trPr>
          <w:trHeight w:val="53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59" w:lineRule="exact"/>
              <w:ind w:left="0" w:right="0" w:firstLine="0"/>
              <w:jc w:val="left"/>
              <w:rPr>
                <w:sz w:val="20"/>
                <w:szCs w:val="20"/>
              </w:rPr>
            </w:pPr>
            <w:r>
              <w:rPr>
                <w:color w:val="000000"/>
                <w:spacing w:val="0"/>
                <w:w w:val="100"/>
                <w:position w:val="0"/>
                <w:sz w:val="20"/>
                <w:szCs w:val="20"/>
              </w:rPr>
              <w:t>香港苏宁电器有 限公司</w:t>
            </w:r>
          </w:p>
        </w:tc>
        <w:tc>
          <w:tcPr>
            <w:gridSpan w:val="2"/>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2015/7/2</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2015/7/7</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59" w:lineRule="exact"/>
              <w:ind w:left="0" w:right="0" w:firstLine="0"/>
              <w:jc w:val="left"/>
              <w:rPr>
                <w:sz w:val="20"/>
                <w:szCs w:val="20"/>
              </w:rPr>
            </w:pPr>
            <w:r>
              <w:rPr>
                <w:color w:val="000000"/>
                <w:spacing w:val="0"/>
                <w:w w:val="100"/>
                <w:position w:val="0"/>
                <w:sz w:val="20"/>
                <w:szCs w:val="20"/>
              </w:rPr>
              <w:t>连带责任 保证</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2015/11/4</w:t>
              <w:softHyphen/>
            </w:r>
          </w:p>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2016/12/31</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0"/>
                <w:szCs w:val="10"/>
              </w:rPr>
            </w:pPr>
            <w:r>
              <w:rPr>
                <w:color w:val="000000"/>
                <w:spacing w:val="0"/>
                <w:w w:val="100"/>
                <w:position w:val="0"/>
                <w:sz w:val="10"/>
                <w:szCs w:val="10"/>
                <w:vertAlign w:val="subscript"/>
              </w:rPr>
              <w:t>否</w:t>
            </w:r>
          </w:p>
        </w:tc>
      </w:tr>
      <w:tr>
        <w:trPr>
          <w:trHeight w:val="52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59" w:lineRule="exact"/>
              <w:ind w:left="0" w:right="0" w:firstLine="0"/>
              <w:jc w:val="left"/>
              <w:rPr>
                <w:sz w:val="20"/>
                <w:szCs w:val="20"/>
              </w:rPr>
            </w:pPr>
            <w:r>
              <w:rPr>
                <w:color w:val="000000"/>
                <w:spacing w:val="0"/>
                <w:w w:val="100"/>
                <w:position w:val="0"/>
                <w:sz w:val="20"/>
                <w:szCs w:val="20"/>
              </w:rPr>
              <w:t>香港苏宁电器有 限公司</w:t>
            </w:r>
          </w:p>
        </w:tc>
        <w:tc>
          <w:tcPr>
            <w:gridSpan w:val="2"/>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2015/7/2</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2015/8/19</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59" w:lineRule="exact"/>
              <w:ind w:left="0" w:right="0" w:firstLine="0"/>
              <w:jc w:val="left"/>
              <w:rPr>
                <w:sz w:val="20"/>
                <w:szCs w:val="20"/>
              </w:rPr>
            </w:pPr>
            <w:r>
              <w:rPr>
                <w:color w:val="000000"/>
                <w:spacing w:val="0"/>
                <w:w w:val="100"/>
                <w:position w:val="0"/>
                <w:sz w:val="20"/>
                <w:szCs w:val="20"/>
              </w:rPr>
              <w:t>连带责任 保证</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2015/8/20</w:t>
              <w:softHyphen/>
            </w:r>
          </w:p>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2016/8/20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0"/>
                <w:szCs w:val="10"/>
              </w:rPr>
            </w:pPr>
            <w:r>
              <w:rPr>
                <w:color w:val="000000"/>
                <w:spacing w:val="0"/>
                <w:w w:val="100"/>
                <w:position w:val="0"/>
                <w:sz w:val="10"/>
                <w:szCs w:val="10"/>
                <w:vertAlign w:val="subscript"/>
              </w:rPr>
              <w:t>否</w:t>
            </w:r>
          </w:p>
        </w:tc>
      </w:tr>
      <w:tr>
        <w:trPr>
          <w:trHeight w:val="53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59" w:lineRule="exact"/>
              <w:ind w:left="0" w:right="0" w:firstLine="0"/>
              <w:jc w:val="left"/>
              <w:rPr>
                <w:sz w:val="20"/>
                <w:szCs w:val="20"/>
              </w:rPr>
            </w:pPr>
            <w:r>
              <w:rPr>
                <w:color w:val="000000"/>
                <w:spacing w:val="0"/>
                <w:w w:val="100"/>
                <w:position w:val="0"/>
                <w:sz w:val="20"/>
                <w:szCs w:val="20"/>
              </w:rPr>
              <w:t>香港苏宁电器有 限公司</w:t>
            </w:r>
          </w:p>
        </w:tc>
        <w:tc>
          <w:tcPr>
            <w:gridSpan w:val="2"/>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2015/7/2</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20,000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2015/8/27</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20,000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59" w:lineRule="exact"/>
              <w:ind w:left="0" w:right="0" w:firstLine="0"/>
              <w:jc w:val="left"/>
              <w:rPr>
                <w:sz w:val="20"/>
                <w:szCs w:val="20"/>
              </w:rPr>
            </w:pPr>
            <w:r>
              <w:rPr>
                <w:color w:val="000000"/>
                <w:spacing w:val="0"/>
                <w:w w:val="100"/>
                <w:position w:val="0"/>
                <w:sz w:val="20"/>
                <w:szCs w:val="20"/>
              </w:rPr>
              <w:t>连带责任 保证</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2015/8/28</w:t>
              <w:softHyphen/>
            </w:r>
          </w:p>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2016/8/28</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0"/>
                <w:szCs w:val="10"/>
              </w:rPr>
            </w:pPr>
            <w:r>
              <w:rPr>
                <w:color w:val="000000"/>
                <w:spacing w:val="0"/>
                <w:w w:val="100"/>
                <w:position w:val="0"/>
                <w:sz w:val="10"/>
                <w:szCs w:val="10"/>
                <w:vertAlign w:val="subscript"/>
              </w:rPr>
              <w:t>否</w:t>
            </w:r>
          </w:p>
        </w:tc>
      </w:tr>
      <w:tr>
        <w:trPr>
          <w:trHeight w:val="52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59" w:lineRule="exact"/>
              <w:ind w:left="0" w:right="0" w:firstLine="0"/>
              <w:jc w:val="left"/>
              <w:rPr>
                <w:sz w:val="20"/>
                <w:szCs w:val="20"/>
              </w:rPr>
            </w:pPr>
            <w:r>
              <w:rPr>
                <w:color w:val="000000"/>
                <w:spacing w:val="0"/>
                <w:w w:val="100"/>
                <w:position w:val="0"/>
                <w:sz w:val="20"/>
                <w:szCs w:val="20"/>
              </w:rPr>
              <w:t>香港苏宁电器有 限公司</w:t>
            </w:r>
          </w:p>
        </w:tc>
        <w:tc>
          <w:tcPr>
            <w:gridSpan w:val="2"/>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2015/7/2</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30,000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2015/8/17</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30,000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59" w:lineRule="exact"/>
              <w:ind w:left="0" w:right="0" w:firstLine="0"/>
              <w:jc w:val="left"/>
              <w:rPr>
                <w:sz w:val="20"/>
                <w:szCs w:val="20"/>
              </w:rPr>
            </w:pPr>
            <w:r>
              <w:rPr>
                <w:color w:val="000000"/>
                <w:spacing w:val="0"/>
                <w:w w:val="100"/>
                <w:position w:val="0"/>
                <w:sz w:val="20"/>
                <w:szCs w:val="20"/>
              </w:rPr>
              <w:t>连带责任 保证</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2015/8/19</w:t>
              <w:softHyphen/>
            </w:r>
          </w:p>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2016/8/1</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0"/>
                <w:szCs w:val="10"/>
              </w:rPr>
            </w:pPr>
            <w:r>
              <w:rPr>
                <w:color w:val="000000"/>
                <w:spacing w:val="0"/>
                <w:w w:val="100"/>
                <w:position w:val="0"/>
                <w:sz w:val="10"/>
                <w:szCs w:val="10"/>
                <w:vertAlign w:val="subscript"/>
              </w:rPr>
              <w:t>否</w:t>
            </w:r>
          </w:p>
        </w:tc>
      </w:tr>
      <w:tr>
        <w:trPr>
          <w:trHeight w:val="52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59" w:lineRule="exact"/>
              <w:ind w:left="0" w:right="0" w:firstLine="0"/>
              <w:jc w:val="left"/>
              <w:rPr>
                <w:sz w:val="20"/>
                <w:szCs w:val="20"/>
              </w:rPr>
            </w:pPr>
            <w:r>
              <w:rPr>
                <w:color w:val="000000"/>
                <w:spacing w:val="0"/>
                <w:w w:val="100"/>
                <w:position w:val="0"/>
                <w:sz w:val="20"/>
                <w:szCs w:val="20"/>
              </w:rPr>
              <w:t>香港苏宁电器有 限公司</w:t>
            </w:r>
          </w:p>
        </w:tc>
        <w:tc>
          <w:tcPr>
            <w:gridSpan w:val="2"/>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2015/7/2</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20,000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2015/12/14</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20,000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59" w:lineRule="exact"/>
              <w:ind w:left="0" w:right="0" w:firstLine="0"/>
              <w:jc w:val="left"/>
              <w:rPr>
                <w:sz w:val="20"/>
                <w:szCs w:val="20"/>
              </w:rPr>
            </w:pPr>
            <w:r>
              <w:rPr>
                <w:color w:val="000000"/>
                <w:spacing w:val="0"/>
                <w:w w:val="100"/>
                <w:position w:val="0"/>
                <w:sz w:val="20"/>
                <w:szCs w:val="20"/>
              </w:rPr>
              <w:t>连带责任 保证</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2015/12/15</w:t>
              <w:softHyphen/>
            </w:r>
          </w:p>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2016/12/15</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0"/>
                <w:szCs w:val="10"/>
              </w:rPr>
            </w:pPr>
            <w:r>
              <w:rPr>
                <w:color w:val="000000"/>
                <w:spacing w:val="0"/>
                <w:w w:val="100"/>
                <w:position w:val="0"/>
                <w:sz w:val="10"/>
                <w:szCs w:val="10"/>
                <w:vertAlign w:val="subscript"/>
              </w:rPr>
              <w:t>否</w:t>
            </w:r>
          </w:p>
        </w:tc>
      </w:tr>
      <w:tr>
        <w:trPr>
          <w:trHeight w:val="78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52" w:lineRule="exact"/>
              <w:ind w:left="0" w:right="0" w:firstLine="0"/>
              <w:jc w:val="left"/>
              <w:rPr>
                <w:sz w:val="20"/>
                <w:szCs w:val="20"/>
              </w:rPr>
            </w:pPr>
            <w:r>
              <w:rPr>
                <w:color w:val="000000"/>
                <w:spacing w:val="0"/>
                <w:w w:val="100"/>
                <w:position w:val="0"/>
                <w:sz w:val="20"/>
                <w:szCs w:val="20"/>
              </w:rPr>
              <w:t>香港苏宁采购有 限公司和香港苏 宁云商有限公司</w:t>
            </w:r>
          </w:p>
        </w:tc>
        <w:tc>
          <w:tcPr>
            <w:gridSpan w:val="2"/>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2015/8/22</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20,000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2015/9/5</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20,000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59" w:lineRule="exact"/>
              <w:ind w:left="0" w:right="0" w:firstLine="0"/>
              <w:jc w:val="left"/>
              <w:rPr>
                <w:sz w:val="20"/>
                <w:szCs w:val="20"/>
              </w:rPr>
            </w:pPr>
            <w:r>
              <w:rPr>
                <w:color w:val="000000"/>
                <w:spacing w:val="0"/>
                <w:w w:val="100"/>
                <w:position w:val="0"/>
                <w:sz w:val="20"/>
                <w:szCs w:val="20"/>
              </w:rPr>
              <w:t>连带责任 保证</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2015/9/5</w:t>
              <w:softHyphen/>
            </w:r>
          </w:p>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2016/9/4</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0"/>
                <w:szCs w:val="10"/>
              </w:rPr>
            </w:pPr>
            <w:r>
              <w:rPr>
                <w:color w:val="000000"/>
                <w:spacing w:val="0"/>
                <w:w w:val="100"/>
                <w:position w:val="0"/>
                <w:sz w:val="10"/>
                <w:szCs w:val="10"/>
                <w:vertAlign w:val="subscript"/>
              </w:rPr>
              <w:t>否</w:t>
            </w:r>
          </w:p>
        </w:tc>
      </w:tr>
      <w:tr>
        <w:trPr>
          <w:trHeight w:val="274"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重庆苏宁小额贷</w:t>
            </w:r>
          </w:p>
        </w:tc>
        <w:tc>
          <w:tcPr>
            <w:gridSpan w:val="2"/>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2016/3/12</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50,000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0"/>
                <w:szCs w:val="10"/>
              </w:rPr>
            </w:pPr>
            <w:r>
              <w:rPr>
                <w:color w:val="000000"/>
                <w:spacing w:val="0"/>
                <w:w w:val="100"/>
                <w:position w:val="0"/>
                <w:sz w:val="10"/>
                <w:szCs w:val="10"/>
              </w:rPr>
              <w:t>否</w:t>
            </w:r>
          </w:p>
        </w:tc>
      </w:tr>
    </w:tbl>
    <w:p>
      <w:pPr>
        <w:spacing w:lineRule="exact" w:line="1"/>
        <w:rPr>
          <w:sz w:val="2"/>
          <w:szCs w:val="2"/>
        </w:rPr>
      </w:pPr>
      <w:r>
        <w:br w:type="page"/>
      </w:r>
    </w:p>
    <w:tbl>
      <w:tblPr>
        <w:tblOverlap w:val="never"/>
        <w:jc w:val="center"/>
        <w:tblLayout w:type="fixed"/>
      </w:tblPr>
      <w:tblGrid>
        <w:gridCol w:w="1565"/>
        <w:gridCol w:w="149"/>
        <w:gridCol w:w="922"/>
        <w:gridCol w:w="922"/>
        <w:gridCol w:w="1306"/>
        <w:gridCol w:w="1051"/>
        <w:gridCol w:w="1046"/>
        <w:gridCol w:w="1046"/>
        <w:gridCol w:w="787"/>
        <w:gridCol w:w="854"/>
      </w:tblGrid>
      <w:tr>
        <w:trPr>
          <w:trHeight w:val="274"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款有限公司</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2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64" w:lineRule="exact"/>
              <w:ind w:left="0" w:right="0" w:firstLine="0"/>
              <w:jc w:val="left"/>
              <w:rPr>
                <w:sz w:val="20"/>
                <w:szCs w:val="20"/>
              </w:rPr>
            </w:pPr>
            <w:r>
              <w:rPr>
                <w:color w:val="000000"/>
                <w:spacing w:val="0"/>
                <w:w w:val="100"/>
                <w:position w:val="0"/>
                <w:sz w:val="20"/>
                <w:szCs w:val="20"/>
              </w:rPr>
              <w:t>苏宁商业保理有 限公司</w:t>
            </w:r>
          </w:p>
        </w:tc>
        <w:tc>
          <w:tcPr>
            <w:gridSpan w:val="2"/>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2016/3/12</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150,000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0"/>
                <w:szCs w:val="10"/>
              </w:rPr>
            </w:pPr>
            <w:r>
              <w:rPr>
                <w:color w:val="000000"/>
                <w:spacing w:val="0"/>
                <w:w w:val="100"/>
                <w:position w:val="0"/>
                <w:sz w:val="10"/>
                <w:szCs w:val="10"/>
                <w:vertAlign w:val="subscript"/>
              </w:rPr>
              <w:t>否</w:t>
            </w:r>
          </w:p>
        </w:tc>
      </w:tr>
      <w:tr>
        <w:trPr>
          <w:trHeight w:val="52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59" w:lineRule="exact"/>
              <w:ind w:left="0" w:right="0" w:firstLine="0"/>
              <w:jc w:val="left"/>
              <w:rPr>
                <w:sz w:val="20"/>
                <w:szCs w:val="20"/>
              </w:rPr>
            </w:pPr>
            <w:r>
              <w:rPr>
                <w:color w:val="000000"/>
                <w:spacing w:val="0"/>
                <w:w w:val="100"/>
                <w:position w:val="0"/>
                <w:sz w:val="20"/>
                <w:szCs w:val="20"/>
              </w:rPr>
              <w:t>香港苏宁电器有 限公司</w:t>
            </w:r>
          </w:p>
        </w:tc>
        <w:tc>
          <w:tcPr>
            <w:gridSpan w:val="2"/>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2016/8/4</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150,000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0"/>
                <w:szCs w:val="10"/>
              </w:rPr>
            </w:pPr>
            <w:r>
              <w:rPr>
                <w:color w:val="000000"/>
                <w:spacing w:val="0"/>
                <w:w w:val="100"/>
                <w:position w:val="0"/>
                <w:sz w:val="10"/>
                <w:szCs w:val="10"/>
                <w:vertAlign w:val="subscript"/>
              </w:rPr>
              <w:t>否</w:t>
            </w:r>
          </w:p>
        </w:tc>
      </w:tr>
      <w:tr>
        <w:trPr>
          <w:trHeight w:val="79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52" w:lineRule="exact"/>
              <w:ind w:left="0" w:right="0" w:firstLine="0"/>
              <w:jc w:val="left"/>
              <w:rPr>
                <w:sz w:val="20"/>
                <w:szCs w:val="20"/>
              </w:rPr>
            </w:pPr>
            <w:r>
              <w:rPr>
                <w:color w:val="000000"/>
                <w:spacing w:val="0"/>
                <w:w w:val="100"/>
                <w:position w:val="0"/>
                <w:sz w:val="20"/>
                <w:szCs w:val="20"/>
              </w:rPr>
              <w:t>香港苏宁采购有 限公司和香港苏 宁云商有限公司</w:t>
            </w:r>
          </w:p>
        </w:tc>
        <w:tc>
          <w:tcPr>
            <w:gridSpan w:val="2"/>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2016/9/19</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40,000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2016/9/30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20,000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连带责任 保证</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2016/9/30</w:t>
              <w:softHyphen/>
            </w:r>
          </w:p>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2017/9/30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0"/>
                <w:szCs w:val="10"/>
              </w:rPr>
            </w:pPr>
            <w:r>
              <w:rPr>
                <w:color w:val="000000"/>
                <w:spacing w:val="0"/>
                <w:w w:val="100"/>
                <w:position w:val="0"/>
                <w:sz w:val="10"/>
                <w:szCs w:val="10"/>
                <w:vertAlign w:val="subscript"/>
              </w:rPr>
              <w:t>否</w:t>
            </w:r>
          </w:p>
        </w:tc>
      </w:tr>
      <w:tr>
        <w:trPr>
          <w:trHeight w:val="528" w:hRule="exact"/>
        </w:trPr>
        <w:tc>
          <w:tcPr>
            <w:gridSpan w:val="3"/>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50" w:lineRule="exact"/>
              <w:ind w:left="0" w:right="0" w:firstLine="0"/>
              <w:jc w:val="left"/>
              <w:rPr>
                <w:sz w:val="20"/>
                <w:szCs w:val="20"/>
              </w:rPr>
            </w:pPr>
            <w:r>
              <w:rPr>
                <w:color w:val="000000"/>
                <w:spacing w:val="0"/>
                <w:w w:val="100"/>
                <w:position w:val="0"/>
                <w:sz w:val="20"/>
                <w:szCs w:val="20"/>
              </w:rPr>
              <w:t>报告期内审批对子公司担保 额度合计</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B1</w:t>
            </w:r>
            <w:r>
              <w:rPr>
                <w:color w:val="000000"/>
                <w:spacing w:val="0"/>
                <w:w w:val="100"/>
                <w:position w:val="0"/>
                <w:sz w:val="20"/>
                <w:szCs w:val="20"/>
              </w:rPr>
              <w:t>）</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00" w:right="0" w:firstLine="0"/>
              <w:jc w:val="left"/>
              <w:rPr>
                <w:sz w:val="20"/>
                <w:szCs w:val="20"/>
              </w:rPr>
            </w:pPr>
            <w:r>
              <w:rPr>
                <w:rFonts w:ascii="Times New Roman" w:eastAsia="Times New Roman" w:hAnsi="Times New Roman" w:cs="Times New Roman"/>
                <w:color w:val="000000"/>
                <w:spacing w:val="0"/>
                <w:w w:val="100"/>
                <w:position w:val="0"/>
                <w:sz w:val="20"/>
                <w:szCs w:val="20"/>
              </w:rPr>
              <w:t>390,000.00</w:t>
            </w:r>
          </w:p>
        </w:tc>
        <w:tc>
          <w:tcPr>
            <w:gridSpan w:val="2"/>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50" w:lineRule="exact"/>
              <w:ind w:left="0" w:right="0" w:firstLine="0"/>
              <w:jc w:val="both"/>
              <w:rPr>
                <w:sz w:val="20"/>
                <w:szCs w:val="20"/>
              </w:rPr>
            </w:pPr>
            <w:r>
              <w:rPr>
                <w:color w:val="000000"/>
                <w:spacing w:val="0"/>
                <w:w w:val="100"/>
                <w:position w:val="0"/>
                <w:sz w:val="20"/>
                <w:szCs w:val="20"/>
              </w:rPr>
              <w:t>报告期内对子公司担保 实际发生额合计</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B2</w:t>
            </w:r>
            <w:r>
              <w:rPr>
                <w:color w:val="000000"/>
                <w:spacing w:val="0"/>
                <w:w w:val="100"/>
                <w:position w:val="0"/>
                <w:sz w:val="20"/>
                <w:szCs w:val="20"/>
              </w:rPr>
              <w:t>）</w:t>
            </w:r>
          </w:p>
        </w:tc>
        <w:tc>
          <w:tcPr>
            <w:gridSpan w:val="3"/>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275,844.81</w:t>
            </w:r>
          </w:p>
        </w:tc>
      </w:tr>
      <w:tr>
        <w:trPr>
          <w:trHeight w:val="528" w:hRule="exact"/>
        </w:trPr>
        <w:tc>
          <w:tcPr>
            <w:gridSpan w:val="3"/>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报告期末已审批的对子公司</w:t>
            </w:r>
          </w:p>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担保额度合计</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B3</w:t>
            </w:r>
            <w:r>
              <w:rPr>
                <w:color w:val="000000"/>
                <w:spacing w:val="0"/>
                <w:w w:val="100"/>
                <w:position w:val="0"/>
                <w:sz w:val="20"/>
                <w:szCs w:val="20"/>
              </w:rPr>
              <w:t>）</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00" w:right="0" w:firstLine="0"/>
              <w:jc w:val="left"/>
              <w:rPr>
                <w:sz w:val="20"/>
                <w:szCs w:val="20"/>
              </w:rPr>
            </w:pPr>
            <w:r>
              <w:rPr>
                <w:rFonts w:ascii="Times New Roman" w:eastAsia="Times New Roman" w:hAnsi="Times New Roman" w:cs="Times New Roman"/>
                <w:color w:val="000000"/>
                <w:spacing w:val="0"/>
                <w:w w:val="100"/>
                <w:position w:val="0"/>
                <w:sz w:val="20"/>
                <w:szCs w:val="20"/>
              </w:rPr>
              <w:t>397,364.40</w:t>
            </w:r>
          </w:p>
        </w:tc>
        <w:tc>
          <w:tcPr>
            <w:gridSpan w:val="2"/>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5" w:lineRule="exact"/>
              <w:ind w:left="0" w:right="0" w:firstLine="0"/>
              <w:jc w:val="both"/>
              <w:rPr>
                <w:sz w:val="20"/>
                <w:szCs w:val="20"/>
              </w:rPr>
            </w:pPr>
            <w:r>
              <w:rPr>
                <w:color w:val="000000"/>
                <w:spacing w:val="0"/>
                <w:w w:val="100"/>
                <w:position w:val="0"/>
                <w:sz w:val="20"/>
                <w:szCs w:val="20"/>
              </w:rPr>
              <w:t>报告期末对子公司实际 担保余额合计</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B4</w:t>
            </w:r>
            <w:r>
              <w:rPr>
                <w:color w:val="000000"/>
                <w:spacing w:val="0"/>
                <w:w w:val="100"/>
                <w:position w:val="0"/>
                <w:sz w:val="20"/>
                <w:szCs w:val="20"/>
              </w:rPr>
              <w:t>）</w:t>
            </w:r>
          </w:p>
        </w:tc>
        <w:tc>
          <w:tcPr>
            <w:gridSpan w:val="3"/>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22,567.71</w:t>
            </w:r>
          </w:p>
        </w:tc>
      </w:tr>
      <w:tr>
        <w:trPr>
          <w:trHeight w:val="269" w:hRule="exact"/>
        </w:trPr>
        <w:tc>
          <w:tcPr>
            <w:gridSpan w:val="10"/>
            <w:tcBorders>
              <w:top w:val="single" w:sz="4"/>
              <w:left w:val="single" w:sz="4"/>
              <w:righ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子公司对子公司的担保情况</w:t>
            </w:r>
          </w:p>
        </w:tc>
      </w:tr>
      <w:tr>
        <w:trPr>
          <w:trHeight w:val="787" w:hRule="exact"/>
        </w:trPr>
        <w:tc>
          <w:tcPr>
            <w:gridSpan w:val="2"/>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担保对象名称</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66" w:lineRule="exact"/>
              <w:ind w:left="0" w:right="0" w:firstLine="0"/>
              <w:jc w:val="left"/>
              <w:rPr>
                <w:sz w:val="20"/>
                <w:szCs w:val="20"/>
              </w:rPr>
            </w:pPr>
            <w:r>
              <w:rPr>
                <w:color w:val="000000"/>
                <w:spacing w:val="0"/>
                <w:w w:val="100"/>
                <w:position w:val="0"/>
                <w:sz w:val="20"/>
                <w:szCs w:val="20"/>
              </w:rPr>
              <w:t>担保额度 相关公告 披露日期</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担保额度</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59" w:lineRule="exact"/>
              <w:ind w:left="0" w:right="0" w:firstLine="0"/>
              <w:jc w:val="center"/>
              <w:rPr>
                <w:sz w:val="20"/>
                <w:szCs w:val="20"/>
              </w:rPr>
            </w:pPr>
            <w:r>
              <w:rPr>
                <w:color w:val="000000"/>
                <w:spacing w:val="0"/>
                <w:w w:val="100"/>
                <w:position w:val="0"/>
                <w:sz w:val="20"/>
                <w:szCs w:val="20"/>
              </w:rPr>
              <w:t>实际发生日期 （协议签署 日）</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5" w:lineRule="exact"/>
              <w:ind w:left="0" w:right="0" w:firstLine="0"/>
              <w:jc w:val="center"/>
              <w:rPr>
                <w:sz w:val="20"/>
                <w:szCs w:val="20"/>
              </w:rPr>
            </w:pPr>
            <w:r>
              <w:rPr>
                <w:color w:val="000000"/>
                <w:spacing w:val="0"/>
                <w:w w:val="100"/>
                <w:position w:val="0"/>
                <w:sz w:val="20"/>
                <w:szCs w:val="20"/>
              </w:rPr>
              <w:t>实际担保 金额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担保类型</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担保期</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64" w:lineRule="exact"/>
              <w:ind w:left="0" w:right="0" w:firstLine="0"/>
              <w:jc w:val="left"/>
              <w:rPr>
                <w:sz w:val="20"/>
                <w:szCs w:val="20"/>
              </w:rPr>
            </w:pPr>
            <w:r>
              <w:rPr>
                <w:color w:val="000000"/>
                <w:spacing w:val="0"/>
                <w:w w:val="100"/>
                <w:position w:val="0"/>
                <w:sz w:val="20"/>
                <w:szCs w:val="20"/>
              </w:rPr>
              <w:t>是否履 行完毕</w:t>
            </w:r>
          </w:p>
        </w:tc>
        <w:tc>
          <w:tcPr>
            <w:tcBorders>
              <w:top w:val="single" w:sz="4"/>
              <w:left w:val="single" w:sz="4"/>
              <w:right w:val="single" w:sz="4"/>
            </w:tcBorders>
            <w:shd w:val="clear" w:color="auto" w:fill="D3D3D3"/>
            <w:vAlign w:val="top"/>
          </w:tcPr>
          <w:p>
            <w:pPr>
              <w:pStyle w:val="Style28"/>
              <w:keepNext w:val="0"/>
              <w:keepLines w:val="0"/>
              <w:widowControl w:val="0"/>
              <w:shd w:val="clear" w:color="auto" w:fill="auto"/>
              <w:bidi w:val="0"/>
              <w:spacing w:before="0" w:after="0" w:line="259" w:lineRule="exact"/>
              <w:ind w:left="0" w:right="0" w:firstLine="0"/>
              <w:jc w:val="center"/>
              <w:rPr>
                <w:sz w:val="20"/>
                <w:szCs w:val="20"/>
              </w:rPr>
            </w:pPr>
            <w:r>
              <w:rPr>
                <w:color w:val="000000"/>
                <w:spacing w:val="0"/>
                <w:w w:val="100"/>
                <w:position w:val="0"/>
                <w:sz w:val="20"/>
                <w:szCs w:val="20"/>
              </w:rPr>
              <w:t>是否为 关联方 担保</w:t>
            </w:r>
          </w:p>
        </w:tc>
      </w:tr>
      <w:tr>
        <w:trPr>
          <w:trHeight w:val="528" w:hRule="exact"/>
        </w:trPr>
        <w:tc>
          <w:tcPr>
            <w:gridSpan w:val="2"/>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青叶</w:t>
            </w:r>
            <w:r>
              <w:rPr>
                <w:rFonts w:ascii="Times New Roman" w:eastAsia="Times New Roman" w:hAnsi="Times New Roman" w:cs="Times New Roman"/>
                <w:color w:val="000000"/>
                <w:spacing w:val="0"/>
                <w:w w:val="100"/>
                <w:position w:val="0"/>
                <w:sz w:val="20"/>
                <w:szCs w:val="20"/>
              </w:rPr>
              <w:t>LIFE</w:t>
            </w:r>
          </w:p>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FAMILY</w:t>
            </w:r>
            <w:r>
              <w:rPr>
                <w:color w:val="000000"/>
                <w:spacing w:val="0"/>
                <w:w w:val="100"/>
                <w:position w:val="0"/>
                <w:sz w:val="20"/>
                <w:szCs w:val="20"/>
              </w:rPr>
              <w:t>株式会社</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2016/2/27</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385.94</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2016/3/1</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385.94</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59" w:lineRule="exact"/>
              <w:ind w:left="0" w:right="0" w:firstLine="0"/>
              <w:jc w:val="left"/>
              <w:rPr>
                <w:sz w:val="20"/>
                <w:szCs w:val="20"/>
              </w:rPr>
            </w:pPr>
            <w:r>
              <w:rPr>
                <w:color w:val="000000"/>
                <w:spacing w:val="0"/>
                <w:w w:val="100"/>
                <w:position w:val="0"/>
                <w:sz w:val="20"/>
                <w:szCs w:val="20"/>
              </w:rPr>
              <w:t>连带责任 保证</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2016/3/1</w:t>
              <w:softHyphen/>
            </w:r>
          </w:p>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2020/10/31</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vertAlign w:val="subscript"/>
              </w:rPr>
              <w:t>否</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0"/>
                <w:szCs w:val="10"/>
              </w:rPr>
            </w:pPr>
            <w:r>
              <w:rPr>
                <w:color w:val="000000"/>
                <w:spacing w:val="0"/>
                <w:w w:val="100"/>
                <w:position w:val="0"/>
                <w:sz w:val="10"/>
                <w:szCs w:val="10"/>
                <w:vertAlign w:val="subscript"/>
              </w:rPr>
              <w:t>否</w:t>
            </w:r>
          </w:p>
        </w:tc>
      </w:tr>
      <w:tr>
        <w:trPr>
          <w:trHeight w:val="533" w:hRule="exact"/>
        </w:trPr>
        <w:tc>
          <w:tcPr>
            <w:gridSpan w:val="3"/>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50" w:lineRule="exact"/>
              <w:ind w:left="0" w:right="0" w:firstLine="0"/>
              <w:jc w:val="left"/>
              <w:rPr>
                <w:sz w:val="20"/>
                <w:szCs w:val="20"/>
              </w:rPr>
            </w:pPr>
            <w:r>
              <w:rPr>
                <w:color w:val="000000"/>
                <w:spacing w:val="0"/>
                <w:w w:val="100"/>
                <w:position w:val="0"/>
                <w:sz w:val="20"/>
                <w:szCs w:val="20"/>
              </w:rPr>
              <w:t>报告期内审批对子公司担保 额度合计</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C1</w:t>
            </w:r>
            <w:r>
              <w:rPr>
                <w:color w:val="000000"/>
                <w:spacing w:val="0"/>
                <w:w w:val="100"/>
                <w:position w:val="0"/>
                <w:sz w:val="20"/>
                <w:szCs w:val="20"/>
              </w:rPr>
              <w:t>）</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00" w:right="0" w:firstLine="0"/>
              <w:jc w:val="left"/>
              <w:rPr>
                <w:sz w:val="20"/>
                <w:szCs w:val="20"/>
              </w:rPr>
            </w:pPr>
            <w:r>
              <w:rPr>
                <w:rFonts w:ascii="Times New Roman" w:eastAsia="Times New Roman" w:hAnsi="Times New Roman" w:cs="Times New Roman"/>
                <w:color w:val="000000"/>
                <w:spacing w:val="0"/>
                <w:w w:val="100"/>
                <w:position w:val="0"/>
                <w:sz w:val="20"/>
                <w:szCs w:val="20"/>
              </w:rPr>
              <w:t>385.94</w:t>
            </w:r>
          </w:p>
        </w:tc>
        <w:tc>
          <w:tcPr>
            <w:gridSpan w:val="2"/>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50" w:lineRule="exact"/>
              <w:ind w:left="0" w:right="0" w:firstLine="0"/>
              <w:jc w:val="both"/>
              <w:rPr>
                <w:sz w:val="20"/>
                <w:szCs w:val="20"/>
              </w:rPr>
            </w:pPr>
            <w:r>
              <w:rPr>
                <w:color w:val="000000"/>
                <w:spacing w:val="0"/>
                <w:w w:val="100"/>
                <w:position w:val="0"/>
                <w:sz w:val="20"/>
                <w:szCs w:val="20"/>
              </w:rPr>
              <w:t>报告期内对子公司担保 实际发生额合计</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C2</w:t>
            </w:r>
            <w:r>
              <w:rPr>
                <w:color w:val="000000"/>
                <w:spacing w:val="0"/>
                <w:w w:val="100"/>
                <w:position w:val="0"/>
                <w:sz w:val="20"/>
                <w:szCs w:val="20"/>
              </w:rPr>
              <w:t>）</w:t>
            </w:r>
          </w:p>
        </w:tc>
        <w:tc>
          <w:tcPr>
            <w:gridSpan w:val="3"/>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385.94</w:t>
            </w:r>
          </w:p>
        </w:tc>
      </w:tr>
      <w:tr>
        <w:trPr>
          <w:trHeight w:val="528" w:hRule="exact"/>
        </w:trPr>
        <w:tc>
          <w:tcPr>
            <w:gridSpan w:val="3"/>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报告期末已审批的对子公司</w:t>
            </w:r>
          </w:p>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担保额度合计</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C3</w:t>
            </w:r>
            <w:r>
              <w:rPr>
                <w:color w:val="000000"/>
                <w:spacing w:val="0"/>
                <w:w w:val="100"/>
                <w:position w:val="0"/>
                <w:sz w:val="20"/>
                <w:szCs w:val="20"/>
              </w:rPr>
              <w:t>）</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00" w:right="0" w:firstLine="0"/>
              <w:jc w:val="left"/>
              <w:rPr>
                <w:sz w:val="20"/>
                <w:szCs w:val="20"/>
              </w:rPr>
            </w:pPr>
            <w:r>
              <w:rPr>
                <w:rFonts w:ascii="Times New Roman" w:eastAsia="Times New Roman" w:hAnsi="Times New Roman" w:cs="Times New Roman"/>
                <w:color w:val="000000"/>
                <w:spacing w:val="0"/>
                <w:w w:val="100"/>
                <w:position w:val="0"/>
                <w:sz w:val="20"/>
                <w:szCs w:val="20"/>
              </w:rPr>
              <w:t>385.94</w:t>
            </w:r>
          </w:p>
        </w:tc>
        <w:tc>
          <w:tcPr>
            <w:gridSpan w:val="2"/>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5" w:lineRule="exact"/>
              <w:ind w:left="0" w:right="0" w:firstLine="0"/>
              <w:jc w:val="both"/>
              <w:rPr>
                <w:sz w:val="20"/>
                <w:szCs w:val="20"/>
              </w:rPr>
            </w:pPr>
            <w:r>
              <w:rPr>
                <w:color w:val="000000"/>
                <w:spacing w:val="0"/>
                <w:w w:val="100"/>
                <w:position w:val="0"/>
                <w:sz w:val="20"/>
                <w:szCs w:val="20"/>
              </w:rPr>
              <w:t>报告期末对子公司实际 担保余额合计</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C4</w:t>
            </w:r>
            <w:r>
              <w:rPr>
                <w:color w:val="000000"/>
                <w:spacing w:val="0"/>
                <w:w w:val="100"/>
                <w:position w:val="0"/>
                <w:sz w:val="20"/>
                <w:szCs w:val="20"/>
              </w:rPr>
              <w:t>）</w:t>
            </w:r>
          </w:p>
        </w:tc>
        <w:tc>
          <w:tcPr>
            <w:gridSpan w:val="3"/>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385.94</w:t>
            </w:r>
          </w:p>
        </w:tc>
      </w:tr>
      <w:tr>
        <w:trPr>
          <w:trHeight w:val="269" w:hRule="exact"/>
        </w:trPr>
        <w:tc>
          <w:tcPr>
            <w:gridSpan w:val="10"/>
            <w:tcBorders>
              <w:top w:val="single" w:sz="4"/>
              <w:left w:val="single" w:sz="4"/>
              <w:righ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公司担保总额（即前三大项的合计）</w:t>
            </w:r>
          </w:p>
        </w:tc>
      </w:tr>
      <w:tr>
        <w:trPr>
          <w:trHeight w:val="528" w:hRule="exact"/>
        </w:trPr>
        <w:tc>
          <w:tcPr>
            <w:gridSpan w:val="3"/>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报告期内审批担保额度合计</w:t>
            </w:r>
          </w:p>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A1+B1+C1</w:t>
            </w:r>
            <w:r>
              <w:rPr>
                <w:color w:val="000000"/>
                <w:spacing w:val="0"/>
                <w:w w:val="100"/>
                <w:position w:val="0"/>
                <w:sz w:val="20"/>
                <w:szCs w:val="20"/>
              </w:rPr>
              <w:t>）</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00" w:right="0" w:firstLine="0"/>
              <w:jc w:val="left"/>
              <w:rPr>
                <w:sz w:val="20"/>
                <w:szCs w:val="20"/>
              </w:rPr>
            </w:pPr>
            <w:r>
              <w:rPr>
                <w:rFonts w:ascii="Times New Roman" w:eastAsia="Times New Roman" w:hAnsi="Times New Roman" w:cs="Times New Roman"/>
                <w:color w:val="000000"/>
                <w:spacing w:val="0"/>
                <w:w w:val="100"/>
                <w:position w:val="0"/>
                <w:sz w:val="20"/>
                <w:szCs w:val="20"/>
              </w:rPr>
              <w:t>390,385.94</w:t>
            </w:r>
          </w:p>
        </w:tc>
        <w:tc>
          <w:tcPr>
            <w:gridSpan w:val="2"/>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50" w:lineRule="exact"/>
              <w:ind w:left="0" w:right="0" w:firstLine="0"/>
              <w:jc w:val="both"/>
              <w:rPr>
                <w:sz w:val="20"/>
                <w:szCs w:val="20"/>
              </w:rPr>
            </w:pPr>
            <w:r>
              <w:rPr>
                <w:color w:val="000000"/>
                <w:spacing w:val="0"/>
                <w:w w:val="100"/>
                <w:position w:val="0"/>
                <w:sz w:val="20"/>
                <w:szCs w:val="20"/>
              </w:rPr>
              <w:t>报告期内担保实际发生 额合计</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A2+B2+C2</w:t>
            </w:r>
            <w:r>
              <w:rPr>
                <w:color w:val="000000"/>
                <w:spacing w:val="0"/>
                <w:w w:val="100"/>
                <w:position w:val="0"/>
                <w:sz w:val="20"/>
                <w:szCs w:val="20"/>
              </w:rPr>
              <w:t>）</w:t>
            </w:r>
          </w:p>
        </w:tc>
        <w:tc>
          <w:tcPr>
            <w:gridSpan w:val="3"/>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276,230.75</w:t>
            </w:r>
          </w:p>
        </w:tc>
      </w:tr>
      <w:tr>
        <w:trPr>
          <w:trHeight w:val="528" w:hRule="exact"/>
        </w:trPr>
        <w:tc>
          <w:tcPr>
            <w:gridSpan w:val="3"/>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50" w:lineRule="exact"/>
              <w:ind w:left="0" w:right="0" w:firstLine="0"/>
              <w:jc w:val="left"/>
              <w:rPr>
                <w:sz w:val="20"/>
                <w:szCs w:val="20"/>
              </w:rPr>
            </w:pPr>
            <w:r>
              <w:rPr>
                <w:color w:val="000000"/>
                <w:spacing w:val="0"/>
                <w:w w:val="100"/>
                <w:position w:val="0"/>
                <w:sz w:val="20"/>
                <w:szCs w:val="20"/>
              </w:rPr>
              <w:t>报告期末已审批的担保额度 合计</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A3+B3+C3</w:t>
            </w:r>
            <w:r>
              <w:rPr>
                <w:color w:val="000000"/>
                <w:spacing w:val="0"/>
                <w:w w:val="100"/>
                <w:position w:val="0"/>
                <w:sz w:val="20"/>
                <w:szCs w:val="20"/>
              </w:rPr>
              <w:t>）</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00" w:right="0" w:firstLine="0"/>
              <w:jc w:val="left"/>
              <w:rPr>
                <w:sz w:val="20"/>
                <w:szCs w:val="20"/>
              </w:rPr>
            </w:pPr>
            <w:r>
              <w:rPr>
                <w:rFonts w:ascii="Times New Roman" w:eastAsia="Times New Roman" w:hAnsi="Times New Roman" w:cs="Times New Roman"/>
                <w:color w:val="000000"/>
                <w:spacing w:val="0"/>
                <w:w w:val="100"/>
                <w:position w:val="0"/>
                <w:sz w:val="20"/>
                <w:szCs w:val="20"/>
              </w:rPr>
              <w:t>397,750.34</w:t>
            </w:r>
          </w:p>
        </w:tc>
        <w:tc>
          <w:tcPr>
            <w:gridSpan w:val="2"/>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5" w:lineRule="exact"/>
              <w:ind w:left="0" w:right="0" w:firstLine="0"/>
              <w:jc w:val="both"/>
              <w:rPr>
                <w:sz w:val="20"/>
                <w:szCs w:val="20"/>
              </w:rPr>
            </w:pPr>
            <w:r>
              <w:rPr>
                <w:color w:val="000000"/>
                <w:spacing w:val="0"/>
                <w:w w:val="100"/>
                <w:position w:val="0"/>
                <w:sz w:val="20"/>
                <w:szCs w:val="20"/>
              </w:rPr>
              <w:t>报告期末实际担保余额 合计</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A4+B4+C4</w:t>
            </w:r>
            <w:r>
              <w:rPr>
                <w:color w:val="000000"/>
                <w:spacing w:val="0"/>
                <w:w w:val="100"/>
                <w:position w:val="0"/>
                <w:sz w:val="20"/>
                <w:szCs w:val="20"/>
              </w:rPr>
              <w:t>）</w:t>
            </w:r>
          </w:p>
        </w:tc>
        <w:tc>
          <w:tcPr>
            <w:gridSpan w:val="3"/>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22,953.65</w:t>
            </w:r>
          </w:p>
        </w:tc>
      </w:tr>
      <w:tr>
        <w:trPr>
          <w:trHeight w:val="269" w:hRule="exact"/>
        </w:trPr>
        <w:tc>
          <w:tcPr>
            <w:gridSpan w:val="5"/>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实际担保总额（即</w:t>
            </w:r>
            <w:r>
              <w:rPr>
                <w:rFonts w:ascii="Times New Roman" w:eastAsia="Times New Roman" w:hAnsi="Times New Roman" w:cs="Times New Roman"/>
                <w:color w:val="000000"/>
                <w:spacing w:val="0"/>
                <w:w w:val="100"/>
                <w:position w:val="0"/>
                <w:sz w:val="20"/>
                <w:szCs w:val="20"/>
              </w:rPr>
              <w:t>A4+B4+C4</w:t>
            </w:r>
            <w:r>
              <w:rPr>
                <w:color w:val="000000"/>
                <w:spacing w:val="0"/>
                <w:w w:val="100"/>
                <w:position w:val="0"/>
                <w:sz w:val="20"/>
                <w:szCs w:val="20"/>
              </w:rPr>
              <w:t>）</w:t>
            </w:r>
            <w:r>
              <w:rPr>
                <w:color w:val="000000"/>
                <w:spacing w:val="0"/>
                <w:w w:val="100"/>
                <w:position w:val="0"/>
                <w:sz w:val="20"/>
                <w:szCs w:val="20"/>
              </w:rPr>
              <w:t>占公司净资产的比例</w:t>
            </w:r>
          </w:p>
        </w:tc>
        <w:tc>
          <w:tcPr>
            <w:gridSpan w:val="5"/>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0.35%</w:t>
            </w:r>
          </w:p>
        </w:tc>
      </w:tr>
      <w:tr>
        <w:trPr>
          <w:trHeight w:val="269" w:hRule="exact"/>
        </w:trPr>
        <w:tc>
          <w:tcPr>
            <w:gridSpan w:val="10"/>
            <w:tcBorders>
              <w:top w:val="single" w:sz="4"/>
              <w:left w:val="single" w:sz="4"/>
              <w:righ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w:t>
            </w:r>
          </w:p>
        </w:tc>
      </w:tr>
      <w:tr>
        <w:trPr>
          <w:trHeight w:val="269" w:hRule="exact"/>
        </w:trPr>
        <w:tc>
          <w:tcPr>
            <w:gridSpan w:val="5"/>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为股东、实际控制人及其关联方提供担保的余额</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D</w:t>
            </w:r>
            <w:r>
              <w:rPr>
                <w:color w:val="000000"/>
                <w:spacing w:val="0"/>
                <w:w w:val="100"/>
                <w:position w:val="0"/>
                <w:sz w:val="20"/>
                <w:szCs w:val="20"/>
              </w:rPr>
              <w:t>）</w:t>
            </w:r>
          </w:p>
        </w:tc>
        <w:tc>
          <w:tcPr>
            <w:gridSpan w:val="5"/>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r>
      <w:tr>
        <w:trPr>
          <w:trHeight w:val="533" w:hRule="exact"/>
        </w:trPr>
        <w:tc>
          <w:tcPr>
            <w:gridSpan w:val="5"/>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59" w:lineRule="exact"/>
              <w:ind w:left="0" w:right="0" w:firstLine="0"/>
              <w:jc w:val="left"/>
              <w:rPr>
                <w:sz w:val="20"/>
                <w:szCs w:val="20"/>
              </w:rPr>
            </w:pPr>
            <w:r>
              <w:rPr>
                <w:color w:val="000000"/>
                <w:spacing w:val="0"/>
                <w:w w:val="100"/>
                <w:position w:val="0"/>
                <w:sz w:val="20"/>
                <w:szCs w:val="20"/>
              </w:rPr>
              <w:t>直接或间接为资产负债率超过</w:t>
            </w:r>
            <w:r>
              <w:rPr>
                <w:rFonts w:ascii="Times New Roman" w:eastAsia="Times New Roman" w:hAnsi="Times New Roman" w:cs="Times New Roman"/>
                <w:color w:val="000000"/>
                <w:spacing w:val="0"/>
                <w:w w:val="100"/>
                <w:position w:val="0"/>
                <w:sz w:val="20"/>
                <w:szCs w:val="20"/>
              </w:rPr>
              <w:t>70%</w:t>
            </w:r>
            <w:r>
              <w:rPr>
                <w:color w:val="000000"/>
                <w:spacing w:val="0"/>
                <w:w w:val="100"/>
                <w:position w:val="0"/>
                <w:sz w:val="20"/>
                <w:szCs w:val="20"/>
              </w:rPr>
              <w:t>的被担保对象提供 的债务担保余额</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E</w:t>
            </w:r>
            <w:r>
              <w:rPr>
                <w:color w:val="000000"/>
                <w:spacing w:val="0"/>
                <w:w w:val="100"/>
                <w:position w:val="0"/>
                <w:sz w:val="20"/>
                <w:szCs w:val="20"/>
              </w:rPr>
              <w:t>）</w:t>
            </w:r>
          </w:p>
        </w:tc>
        <w:tc>
          <w:tcPr>
            <w:gridSpan w:val="5"/>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r>
      <w:tr>
        <w:trPr>
          <w:trHeight w:val="269" w:hRule="exact"/>
        </w:trPr>
        <w:tc>
          <w:tcPr>
            <w:gridSpan w:val="5"/>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担保总额超过净资产</w:t>
            </w:r>
            <w:r>
              <w:rPr>
                <w:rFonts w:ascii="Times New Roman" w:eastAsia="Times New Roman" w:hAnsi="Times New Roman" w:cs="Times New Roman"/>
                <w:color w:val="000000"/>
                <w:spacing w:val="0"/>
                <w:w w:val="100"/>
                <w:position w:val="0"/>
                <w:sz w:val="20"/>
                <w:szCs w:val="20"/>
              </w:rPr>
              <w:t>50%</w:t>
            </w:r>
            <w:r>
              <w:rPr>
                <w:color w:val="000000"/>
                <w:spacing w:val="0"/>
                <w:w w:val="100"/>
                <w:position w:val="0"/>
                <w:sz w:val="20"/>
                <w:szCs w:val="20"/>
              </w:rPr>
              <w:t>部分的金额</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F</w:t>
            </w:r>
            <w:r>
              <w:rPr>
                <w:color w:val="000000"/>
                <w:spacing w:val="0"/>
                <w:w w:val="100"/>
                <w:position w:val="0"/>
                <w:sz w:val="20"/>
                <w:szCs w:val="20"/>
              </w:rPr>
              <w:t>）</w:t>
            </w:r>
          </w:p>
        </w:tc>
        <w:tc>
          <w:tcPr>
            <w:gridSpan w:val="5"/>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r>
      <w:tr>
        <w:trPr>
          <w:trHeight w:val="269" w:hRule="exact"/>
        </w:trPr>
        <w:tc>
          <w:tcPr>
            <w:gridSpan w:val="5"/>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上述三项担保金额合计</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D+E+F</w:t>
            </w:r>
            <w:r>
              <w:rPr>
                <w:color w:val="000000"/>
                <w:spacing w:val="0"/>
                <w:w w:val="100"/>
                <w:position w:val="0"/>
                <w:sz w:val="20"/>
                <w:szCs w:val="20"/>
              </w:rPr>
              <w:t>）</w:t>
            </w:r>
          </w:p>
        </w:tc>
        <w:tc>
          <w:tcPr>
            <w:gridSpan w:val="5"/>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r>
      <w:tr>
        <w:trPr>
          <w:trHeight w:val="528" w:hRule="exact"/>
        </w:trPr>
        <w:tc>
          <w:tcPr>
            <w:gridSpan w:val="5"/>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59" w:lineRule="exact"/>
              <w:ind w:left="0" w:right="0" w:firstLine="0"/>
              <w:jc w:val="left"/>
              <w:rPr>
                <w:sz w:val="20"/>
                <w:szCs w:val="20"/>
              </w:rPr>
            </w:pPr>
            <w:r>
              <w:rPr>
                <w:color w:val="000000"/>
                <w:spacing w:val="0"/>
                <w:w w:val="100"/>
                <w:position w:val="0"/>
                <w:sz w:val="20"/>
                <w:szCs w:val="20"/>
              </w:rPr>
              <w:t>对未到期担保，报告期内已发生担保责任或可能承担 连带清偿责任的情况说明（如有）</w:t>
            </w:r>
          </w:p>
        </w:tc>
        <w:tc>
          <w:tcPr>
            <w:gridSpan w:val="5"/>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无</w:t>
            </w:r>
          </w:p>
        </w:tc>
      </w:tr>
      <w:tr>
        <w:trPr>
          <w:trHeight w:val="274" w:hRule="exact"/>
        </w:trPr>
        <w:tc>
          <w:tcPr>
            <w:gridSpan w:val="5"/>
            <w:tcBorders>
              <w:top w:val="single" w:sz="4"/>
              <w:left w:val="single" w:sz="4"/>
              <w:bottom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违反规定程序对外提供担保的说明（如有）</w:t>
            </w:r>
          </w:p>
        </w:tc>
        <w:tc>
          <w:tcPr>
            <w:gridSpan w:val="5"/>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无</w:t>
            </w:r>
          </w:p>
        </w:tc>
      </w:tr>
    </w:tbl>
    <w:p>
      <w:pPr>
        <w:pStyle w:val="Style25"/>
        <w:keepNext w:val="0"/>
        <w:keepLines w:val="0"/>
        <w:widowControl w:val="0"/>
        <w:shd w:val="clear" w:color="auto" w:fill="auto"/>
        <w:bidi w:val="0"/>
        <w:spacing w:before="0" w:after="0" w:line="240" w:lineRule="auto"/>
        <w:ind w:left="446"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、报告期内公司董事会审议担保情况:</w:t>
      </w:r>
    </w:p>
    <w:p>
      <w:pPr>
        <w:pStyle w:val="Style32"/>
        <w:keepNext w:val="0"/>
        <w:keepLines w:val="0"/>
        <w:widowControl w:val="0"/>
        <w:shd w:val="clear" w:color="auto" w:fill="auto"/>
        <w:tabs>
          <w:tab w:pos="994" w:val="left"/>
        </w:tabs>
        <w:bidi w:val="0"/>
        <w:spacing w:before="0" w:after="0" w:line="466" w:lineRule="exact"/>
        <w:ind w:left="0" w:right="0" w:firstLine="460"/>
        <w:jc w:val="left"/>
      </w:pPr>
      <w:bookmarkStart w:id="342" w:name="bookmark342"/>
      <w:r>
        <w:rPr>
          <w:color w:val="000000"/>
          <w:spacing w:val="0"/>
          <w:w w:val="100"/>
          <w:position w:val="0"/>
        </w:rPr>
        <w:t>（</w:t>
      </w:r>
      <w:bookmarkEnd w:id="342"/>
      <w:r>
        <w:rPr>
          <w:rFonts w:ascii="Times New Roman" w:eastAsia="Times New Roman" w:hAnsi="Times New Roman" w:cs="Times New Roman"/>
          <w:color w:val="000000"/>
          <w:spacing w:val="0"/>
          <w:w w:val="100"/>
          <w:position w:val="0"/>
        </w:rPr>
        <w:t>1</w:t>
      </w:r>
      <w:r>
        <w:rPr>
          <w:color w:val="000000"/>
          <w:spacing w:val="0"/>
          <w:w w:val="100"/>
          <w:position w:val="0"/>
        </w:rPr>
        <w:t>）</w:t>
        <w:tab/>
        <w:t>第五届董事会第二十八次会议审议通过《关于为子公司提供担保的议案》，同意公司为全 资子公司重庆苏宁小额贷款有限公司向金融机构融资提供最高额为人民币</w:t>
      </w:r>
      <w:r>
        <w:rPr>
          <w:rFonts w:ascii="Times New Roman" w:eastAsia="Times New Roman" w:hAnsi="Times New Roman" w:cs="Times New Roman"/>
          <w:color w:val="000000"/>
          <w:spacing w:val="0"/>
          <w:w w:val="100"/>
          <w:position w:val="0"/>
        </w:rPr>
        <w:t>5</w:t>
      </w:r>
      <w:r>
        <w:rPr>
          <w:color w:val="000000"/>
          <w:spacing w:val="0"/>
          <w:w w:val="100"/>
          <w:position w:val="0"/>
        </w:rPr>
        <w:t>亿元的担保，苏宁商业 保理有限公司向金融机构融资提供最高额为人民币</w:t>
      </w:r>
      <w:r>
        <w:rPr>
          <w:rFonts w:ascii="Times New Roman" w:eastAsia="Times New Roman" w:hAnsi="Times New Roman" w:cs="Times New Roman"/>
          <w:color w:val="000000"/>
          <w:spacing w:val="0"/>
          <w:w w:val="100"/>
          <w:position w:val="0"/>
        </w:rPr>
        <w:t>15</w:t>
      </w:r>
      <w:r>
        <w:rPr>
          <w:color w:val="000000"/>
          <w:spacing w:val="0"/>
          <w:w w:val="100"/>
          <w:position w:val="0"/>
        </w:rPr>
        <w:t>亿元的担保。</w:t>
      </w:r>
    </w:p>
    <w:p>
      <w:pPr>
        <w:pStyle w:val="Style32"/>
        <w:keepNext w:val="0"/>
        <w:keepLines w:val="0"/>
        <w:widowControl w:val="0"/>
        <w:shd w:val="clear" w:color="auto" w:fill="auto"/>
        <w:tabs>
          <w:tab w:pos="985" w:val="left"/>
        </w:tabs>
        <w:bidi w:val="0"/>
        <w:spacing w:before="0" w:after="0" w:line="466" w:lineRule="exact"/>
        <w:ind w:left="0" w:right="0" w:firstLine="460"/>
        <w:jc w:val="left"/>
      </w:pPr>
      <w:bookmarkStart w:id="343" w:name="bookmark343"/>
      <w:r>
        <w:rPr>
          <w:color w:val="000000"/>
          <w:spacing w:val="0"/>
          <w:w w:val="100"/>
          <w:position w:val="0"/>
        </w:rPr>
        <w:t>（</w:t>
      </w:r>
      <w:bookmarkEnd w:id="343"/>
      <w:r>
        <w:rPr>
          <w:rFonts w:ascii="Times New Roman" w:eastAsia="Times New Roman" w:hAnsi="Times New Roman" w:cs="Times New Roman"/>
          <w:color w:val="000000"/>
          <w:spacing w:val="0"/>
          <w:w w:val="100"/>
          <w:position w:val="0"/>
        </w:rPr>
        <w:t>2</w:t>
      </w:r>
      <w:r>
        <w:rPr>
          <w:color w:val="000000"/>
          <w:spacing w:val="0"/>
          <w:w w:val="100"/>
          <w:position w:val="0"/>
        </w:rPr>
        <w:t>）</w:t>
        <w:tab/>
        <w:t>第五届董事会第三十七次会议审议通过《关于为子公司提供担保的议案》，同意为全资子 公司香港苏宁电器有限公司向银行申请融资或开展其他金融业务提供不超过人民币</w:t>
      </w:r>
      <w:r>
        <w:rPr>
          <w:rFonts w:ascii="Times New Roman" w:eastAsia="Times New Roman" w:hAnsi="Times New Roman" w:cs="Times New Roman"/>
          <w:color w:val="000000"/>
          <w:spacing w:val="0"/>
          <w:w w:val="100"/>
          <w:position w:val="0"/>
        </w:rPr>
        <w:t>15</w:t>
      </w:r>
      <w:r>
        <w:rPr>
          <w:color w:val="000000"/>
          <w:spacing w:val="0"/>
          <w:w w:val="100"/>
          <w:position w:val="0"/>
        </w:rPr>
        <w:t>亿元担保额度。 公司第五届董事会第六次会议审议通过，同意为子公司苏宁商业保理有限公司（以下简称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苏宁保理 公司</w:t>
      </w:r>
      <w:r>
        <w:rPr>
          <w:rFonts w:ascii="Times New Roman" w:eastAsia="Times New Roman" w:hAnsi="Times New Roman" w:cs="Times New Roman"/>
          <w:color w:val="000000"/>
          <w:spacing w:val="0"/>
          <w:w w:val="100"/>
          <w:position w:val="0"/>
        </w:rPr>
        <w:t>”</w:t>
      </w:r>
      <w:r>
        <w:rPr>
          <w:color w:val="000000"/>
          <w:spacing w:val="0"/>
          <w:w w:val="100"/>
          <w:position w:val="0"/>
        </w:rPr>
        <w:t>）向银行或其他合法金融机构融资提供最高额度为人民币</w:t>
      </w:r>
      <w:r>
        <w:rPr>
          <w:rFonts w:ascii="Times New Roman" w:eastAsia="Times New Roman" w:hAnsi="Times New Roman" w:cs="Times New Roman"/>
          <w:color w:val="000000"/>
          <w:spacing w:val="0"/>
          <w:w w:val="100"/>
          <w:position w:val="0"/>
        </w:rPr>
        <w:t>40,000</w:t>
      </w:r>
      <w:r>
        <w:rPr>
          <w:color w:val="000000"/>
          <w:spacing w:val="0"/>
          <w:w w:val="100"/>
          <w:position w:val="0"/>
        </w:rPr>
        <w:t xml:space="preserve">万元的担保，由于苏宁保理公 </w:t>
      </w:r>
      <w:r>
        <w:rPr>
          <w:color w:val="000000"/>
          <w:spacing w:val="0"/>
          <w:w w:val="100"/>
          <w:position w:val="0"/>
        </w:rPr>
        <w:t>司仅申请</w:t>
      </w:r>
      <w:r>
        <w:rPr>
          <w:rFonts w:ascii="Times New Roman" w:eastAsia="Times New Roman" w:hAnsi="Times New Roman" w:cs="Times New Roman"/>
          <w:color w:val="000000"/>
          <w:spacing w:val="0"/>
          <w:w w:val="100"/>
          <w:position w:val="0"/>
        </w:rPr>
        <w:t>10,700</w:t>
      </w:r>
      <w:r>
        <w:rPr>
          <w:color w:val="000000"/>
          <w:spacing w:val="0"/>
          <w:w w:val="100"/>
          <w:position w:val="0"/>
        </w:rPr>
        <w:t>万元授信额度且对应的担保已履行完毕，为提升公司担保额度的使用效率，本次董 事会同意取消对苏宁保理公司前述担保额度。</w:t>
      </w:r>
    </w:p>
    <w:p>
      <w:pPr>
        <w:pStyle w:val="Style32"/>
        <w:keepNext w:val="0"/>
        <w:keepLines w:val="0"/>
        <w:widowControl w:val="0"/>
        <w:shd w:val="clear" w:color="auto" w:fill="auto"/>
        <w:bidi w:val="0"/>
        <w:spacing w:before="0" w:after="0" w:line="475" w:lineRule="exact"/>
        <w:ind w:left="0" w:right="0" w:firstLine="460"/>
        <w:jc w:val="left"/>
      </w:pPr>
      <w:bookmarkStart w:id="344" w:name="bookmark344"/>
      <w:r>
        <w:rPr>
          <w:color w:val="000000"/>
          <w:spacing w:val="0"/>
          <w:w w:val="100"/>
          <w:position w:val="0"/>
        </w:rPr>
        <w:t>（</w:t>
      </w:r>
      <w:bookmarkEnd w:id="344"/>
      <w:r>
        <w:rPr>
          <w:rFonts w:ascii="Times New Roman" w:eastAsia="Times New Roman" w:hAnsi="Times New Roman" w:cs="Times New Roman"/>
          <w:color w:val="000000"/>
          <w:spacing w:val="0"/>
          <w:w w:val="100"/>
          <w:position w:val="0"/>
        </w:rPr>
        <w:t>3</w:t>
      </w:r>
      <w:r>
        <w:rPr>
          <w:color w:val="000000"/>
          <w:spacing w:val="0"/>
          <w:w w:val="100"/>
          <w:position w:val="0"/>
        </w:rPr>
        <w:t>）第五届董事会第三十九次会议审议通过《关于为子公司提供担保的议案》，同意公司为全 资子公司香港苏宁采购有限公司和香港苏宁云商有限公司向银行申请授信提供不超过人民币</w:t>
      </w:r>
      <w:r>
        <w:rPr>
          <w:rFonts w:ascii="Times New Roman" w:eastAsia="Times New Roman" w:hAnsi="Times New Roman" w:cs="Times New Roman"/>
          <w:color w:val="000000"/>
          <w:spacing w:val="0"/>
          <w:w w:val="100"/>
          <w:position w:val="0"/>
        </w:rPr>
        <w:t>4</w:t>
      </w:r>
      <w:r>
        <w:rPr>
          <w:color w:val="000000"/>
          <w:spacing w:val="0"/>
          <w:w w:val="100"/>
          <w:position w:val="0"/>
        </w:rPr>
        <w:t>亿元 的担保。</w:t>
      </w:r>
    </w:p>
    <w:p>
      <w:pPr>
        <w:pStyle w:val="Style32"/>
        <w:keepNext w:val="0"/>
        <w:keepLines w:val="0"/>
        <w:widowControl w:val="0"/>
        <w:shd w:val="clear" w:color="auto" w:fill="auto"/>
        <w:bidi w:val="0"/>
        <w:spacing w:before="0" w:after="0" w:line="478" w:lineRule="exact"/>
        <w:ind w:left="0" w:right="0" w:firstLine="460"/>
        <w:jc w:val="left"/>
      </w:pPr>
      <w:r>
        <w:rPr>
          <w:rFonts w:ascii="Times New Roman" w:eastAsia="Times New Roman" w:hAnsi="Times New Roman" w:cs="Times New Roman"/>
          <w:color w:val="000000"/>
          <w:spacing w:val="0"/>
          <w:w w:val="100"/>
          <w:position w:val="0"/>
        </w:rPr>
        <w:t>2</w:t>
      </w:r>
      <w:r>
        <w:rPr>
          <w:color w:val="000000"/>
          <w:spacing w:val="0"/>
          <w:w w:val="100"/>
          <w:position w:val="0"/>
        </w:rPr>
        <w:t>、采用复合方式担保的具体情况说明</w:t>
      </w:r>
    </w:p>
    <w:p>
      <w:pPr>
        <w:pStyle w:val="Style32"/>
        <w:keepNext w:val="0"/>
        <w:keepLines w:val="0"/>
        <w:widowControl w:val="0"/>
        <w:shd w:val="clear" w:color="auto" w:fill="auto"/>
        <w:bidi w:val="0"/>
        <w:spacing w:before="0" w:after="220" w:line="478" w:lineRule="exact"/>
        <w:ind w:left="0" w:right="0" w:firstLine="460"/>
        <w:jc w:val="left"/>
      </w:pPr>
      <w:r>
        <w:rPr>
          <w:color w:val="000000"/>
          <w:spacing w:val="0"/>
          <w:w w:val="100"/>
          <w:position w:val="0"/>
        </w:rPr>
        <w:t>报告期内公司未采取复合方式担保。</w:t>
      </w:r>
    </w:p>
    <w:p>
      <w:pPr>
        <w:pStyle w:val="Style38"/>
        <w:keepNext/>
        <w:keepLines/>
        <w:widowControl w:val="0"/>
        <w:shd w:val="clear" w:color="auto" w:fill="auto"/>
        <w:bidi w:val="0"/>
        <w:spacing w:before="0" w:after="220" w:line="478" w:lineRule="exact"/>
        <w:ind w:left="0" w:right="0" w:firstLine="0"/>
        <w:jc w:val="left"/>
      </w:pPr>
      <w:bookmarkStart w:id="345" w:name="bookmark345"/>
      <w:bookmarkStart w:id="346" w:name="bookmark346"/>
      <w:bookmarkStart w:id="347" w:name="bookmark347"/>
      <w:bookmarkStart w:id="348" w:name="bookmark348"/>
      <w:r>
        <w:rPr>
          <w:color w:val="000000"/>
          <w:spacing w:val="0"/>
          <w:w w:val="100"/>
          <w:position w:val="0"/>
        </w:rPr>
        <w:t>（</w:t>
      </w:r>
      <w:bookmarkEnd w:id="347"/>
      <w:r>
        <w:rPr>
          <w:rFonts w:ascii="Times New Roman" w:eastAsia="Times New Roman" w:hAnsi="Times New Roman" w:cs="Times New Roman"/>
          <w:color w:val="000000"/>
          <w:spacing w:val="0"/>
          <w:w w:val="100"/>
          <w:position w:val="0"/>
        </w:rPr>
        <w:t>2</w:t>
      </w:r>
      <w:r>
        <w:rPr>
          <w:color w:val="000000"/>
          <w:spacing w:val="0"/>
          <w:w w:val="100"/>
          <w:position w:val="0"/>
        </w:rPr>
        <w:t>）违规对外担保情况</w:t>
      </w:r>
      <w:bookmarkEnd w:id="345"/>
      <w:bookmarkEnd w:id="346"/>
      <w:bookmarkEnd w:id="348"/>
    </w:p>
    <w:p>
      <w:pPr>
        <w:pStyle w:val="Style32"/>
        <w:keepNext w:val="0"/>
        <w:keepLines w:val="0"/>
        <w:widowControl w:val="0"/>
        <w:shd w:val="clear" w:color="auto" w:fill="auto"/>
        <w:bidi w:val="0"/>
        <w:spacing w:before="0" w:after="120" w:line="478" w:lineRule="exact"/>
        <w:ind w:left="0" w:right="0" w:firstLine="46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2"/>
        <w:keepNext w:val="0"/>
        <w:keepLines w:val="0"/>
        <w:widowControl w:val="0"/>
        <w:shd w:val="clear" w:color="auto" w:fill="auto"/>
        <w:bidi w:val="0"/>
        <w:spacing w:before="0" w:after="220" w:line="478" w:lineRule="exact"/>
        <w:ind w:left="0" w:right="0" w:firstLine="460"/>
        <w:jc w:val="left"/>
      </w:pPr>
      <w:r>
        <w:rPr>
          <w:color w:val="000000"/>
          <w:spacing w:val="0"/>
          <w:w w:val="100"/>
          <w:position w:val="0"/>
        </w:rPr>
        <w:t>公司报告期无违规对外担保情况。</w:t>
      </w:r>
    </w:p>
    <w:p>
      <w:pPr>
        <w:pStyle w:val="Style38"/>
        <w:keepNext/>
        <w:keepLines/>
        <w:widowControl w:val="0"/>
        <w:shd w:val="clear" w:color="auto" w:fill="auto"/>
        <w:bidi w:val="0"/>
        <w:spacing w:before="0" w:after="120" w:line="478" w:lineRule="exact"/>
        <w:ind w:left="0" w:right="0" w:firstLine="0"/>
        <w:jc w:val="left"/>
      </w:pPr>
      <w:bookmarkStart w:id="349" w:name="bookmark349"/>
      <w:bookmarkStart w:id="350" w:name="bookmark350"/>
      <w:bookmarkStart w:id="351" w:name="bookmark351"/>
      <w:bookmarkStart w:id="352" w:name="bookmark352"/>
      <w:r>
        <w:rPr>
          <w:rFonts w:ascii="Times New Roman" w:eastAsia="Times New Roman" w:hAnsi="Times New Roman" w:cs="Times New Roman"/>
          <w:color w:val="000000"/>
          <w:spacing w:val="0"/>
          <w:w w:val="100"/>
          <w:position w:val="0"/>
        </w:rPr>
        <w:t>3</w:t>
      </w:r>
      <w:bookmarkEnd w:id="351"/>
      <w:r>
        <w:rPr>
          <w:color w:val="000000"/>
          <w:spacing w:val="0"/>
          <w:w w:val="100"/>
          <w:position w:val="0"/>
        </w:rPr>
        <w:t>、委托他人进行现金资产管理情况</w:t>
      </w:r>
      <w:bookmarkEnd w:id="349"/>
      <w:bookmarkEnd w:id="350"/>
      <w:bookmarkEnd w:id="352"/>
    </w:p>
    <w:p>
      <w:pPr>
        <w:pStyle w:val="Style38"/>
        <w:keepNext/>
        <w:keepLines/>
        <w:widowControl w:val="0"/>
        <w:shd w:val="clear" w:color="auto" w:fill="auto"/>
        <w:bidi w:val="0"/>
        <w:spacing w:before="0" w:after="440" w:line="478" w:lineRule="exact"/>
        <w:ind w:left="0" w:right="0" w:firstLine="0"/>
        <w:jc w:val="left"/>
      </w:pPr>
      <w:bookmarkStart w:id="349" w:name="bookmark349"/>
      <w:bookmarkStart w:id="350" w:name="bookmark350"/>
      <w:bookmarkStart w:id="353" w:name="bookmark353"/>
      <w:bookmarkStart w:id="354" w:name="bookmark354"/>
      <w:r>
        <w:rPr>
          <w:color w:val="000000"/>
          <w:spacing w:val="0"/>
          <w:w w:val="100"/>
          <w:position w:val="0"/>
        </w:rPr>
        <w:t>（</w:t>
      </w:r>
      <w:bookmarkEnd w:id="353"/>
      <w:r>
        <w:rPr>
          <w:rFonts w:ascii="Times New Roman" w:eastAsia="Times New Roman" w:hAnsi="Times New Roman" w:cs="Times New Roman"/>
          <w:color w:val="000000"/>
          <w:spacing w:val="0"/>
          <w:w w:val="100"/>
          <w:position w:val="0"/>
        </w:rPr>
        <w:t>1</w:t>
      </w:r>
      <w:r>
        <w:rPr>
          <w:color w:val="000000"/>
          <w:spacing w:val="0"/>
          <w:w w:val="100"/>
          <w:position w:val="0"/>
        </w:rPr>
        <w:t>）委托理财情况</w:t>
      </w:r>
      <w:bookmarkEnd w:id="349"/>
      <w:bookmarkEnd w:id="350"/>
      <w:bookmarkEnd w:id="354"/>
    </w:p>
    <w:p>
      <w:pPr>
        <w:pStyle w:val="Style25"/>
        <w:keepNext w:val="0"/>
        <w:keepLines w:val="0"/>
        <w:widowControl w:val="0"/>
        <w:shd w:val="clear" w:color="auto" w:fill="auto"/>
        <w:bidi w:val="0"/>
        <w:spacing w:before="0" w:after="0" w:line="240" w:lineRule="auto"/>
        <w:ind w:left="446" w:right="0" w:firstLine="0"/>
        <w:jc w:val="left"/>
      </w:pPr>
      <w:r>
        <w:rPr>
          <w:color w:val="000000"/>
          <w:spacing w:val="0"/>
          <w:w w:val="100"/>
          <w:position w:val="0"/>
        </w:rPr>
        <w:t>"委适用用托不适用</w:t>
      </w:r>
    </w:p>
    <w:tbl>
      <w:tblPr>
        <w:tblOverlap w:val="never"/>
        <w:jc w:val="center"/>
        <w:tblLayout w:type="fixed"/>
      </w:tblPr>
      <w:tblGrid>
        <w:gridCol w:w="998"/>
        <w:gridCol w:w="638"/>
        <w:gridCol w:w="922"/>
        <w:gridCol w:w="710"/>
        <w:gridCol w:w="888"/>
        <w:gridCol w:w="950"/>
        <w:gridCol w:w="571"/>
        <w:gridCol w:w="989"/>
        <w:gridCol w:w="701"/>
        <w:gridCol w:w="576"/>
        <w:gridCol w:w="859"/>
        <w:gridCol w:w="845"/>
      </w:tblGrid>
      <w:tr>
        <w:trPr>
          <w:trHeight w:val="293" w:hRule="exact"/>
        </w:trPr>
        <w:tc>
          <w:tcPr>
            <w:gridSpan w:val="11"/>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立：万元</w:t>
            </w:r>
          </w:p>
        </w:tc>
      </w:tr>
      <w:tr>
        <w:trPr>
          <w:trHeight w:val="1152"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88" w:lineRule="exact"/>
              <w:ind w:left="0" w:right="0" w:firstLine="0"/>
              <w:jc w:val="center"/>
            </w:pPr>
            <w:r>
              <w:rPr>
                <w:color w:val="000000"/>
                <w:spacing w:val="0"/>
                <w:w w:val="100"/>
                <w:position w:val="0"/>
              </w:rPr>
              <w:t>受托人名 称</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93" w:lineRule="exact"/>
              <w:ind w:left="0" w:right="0" w:firstLine="0"/>
              <w:jc w:val="center"/>
            </w:pPr>
            <w:r>
              <w:rPr>
                <w:color w:val="000000"/>
                <w:spacing w:val="0"/>
                <w:w w:val="100"/>
                <w:position w:val="0"/>
              </w:rPr>
              <w:t>是否 关联 交易</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78" w:lineRule="exact"/>
              <w:ind w:left="0" w:right="0" w:firstLine="0"/>
              <w:jc w:val="center"/>
            </w:pPr>
            <w:r>
              <w:rPr>
                <w:color w:val="000000"/>
                <w:spacing w:val="0"/>
                <w:w w:val="100"/>
                <w:position w:val="0"/>
              </w:rPr>
              <w:t>产品类 型</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83" w:lineRule="exact"/>
              <w:ind w:left="0" w:right="0" w:firstLine="0"/>
              <w:jc w:val="left"/>
            </w:pPr>
            <w:r>
              <w:rPr>
                <w:color w:val="000000"/>
                <w:spacing w:val="0"/>
                <w:w w:val="100"/>
                <w:position w:val="0"/>
              </w:rPr>
              <w:t>委托 理财 金额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88" w:lineRule="exact"/>
              <w:ind w:left="0" w:right="0" w:firstLine="0"/>
              <w:jc w:val="center"/>
            </w:pPr>
            <w:r>
              <w:rPr>
                <w:color w:val="000000"/>
                <w:spacing w:val="0"/>
                <w:w w:val="100"/>
                <w:position w:val="0"/>
              </w:rPr>
              <w:t>起始日 期</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终止日期</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报酬</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方式</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本期实际 收回本金 金额</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85" w:lineRule="exact"/>
              <w:ind w:left="0" w:right="0" w:firstLine="0"/>
              <w:jc w:val="left"/>
            </w:pPr>
            <w:r>
              <w:rPr>
                <w:color w:val="000000"/>
                <w:spacing w:val="0"/>
                <w:w w:val="100"/>
                <w:position w:val="0"/>
              </w:rPr>
              <w:t>计提 减值 准备 金额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69" w:lineRule="exact"/>
              <w:ind w:left="0" w:right="0" w:firstLine="0"/>
              <w:jc w:val="left"/>
            </w:pPr>
            <w:r>
              <w:rPr>
                <w:color w:val="000000"/>
                <w:spacing w:val="0"/>
                <w:w w:val="100"/>
                <w:position w:val="0"/>
              </w:rPr>
              <w:t>预计 收益</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83" w:lineRule="exact"/>
              <w:ind w:left="0" w:right="0" w:firstLine="0"/>
              <w:jc w:val="left"/>
            </w:pPr>
            <w:r>
              <w:rPr>
                <w:color w:val="000000"/>
                <w:spacing w:val="0"/>
                <w:w w:val="100"/>
                <w:position w:val="0"/>
              </w:rPr>
              <w:t>报告期 实际损 益金额</w:t>
            </w:r>
          </w:p>
        </w:tc>
        <w:tc>
          <w:tcPr>
            <w:tcBorders>
              <w:top w:val="single" w:sz="4"/>
              <w:left w:val="single" w:sz="4"/>
              <w:right w:val="single" w:sz="4"/>
            </w:tcBorders>
            <w:shd w:val="clear" w:color="auto" w:fill="D3D3D3"/>
            <w:vAlign w:val="top"/>
          </w:tcPr>
          <w:p>
            <w:pPr>
              <w:pStyle w:val="Style28"/>
              <w:keepNext w:val="0"/>
              <w:keepLines w:val="0"/>
              <w:widowControl w:val="0"/>
              <w:shd w:val="clear" w:color="auto" w:fill="auto"/>
              <w:bidi w:val="0"/>
              <w:spacing w:before="0" w:after="0" w:line="285" w:lineRule="exact"/>
              <w:ind w:left="0" w:right="0" w:firstLine="0"/>
              <w:jc w:val="left"/>
            </w:pPr>
            <w:r>
              <w:rPr>
                <w:color w:val="000000"/>
                <w:spacing w:val="0"/>
                <w:w w:val="100"/>
                <w:position w:val="0"/>
              </w:rPr>
              <w:t>报告期 损益实 际收回 情况</w:t>
            </w:r>
          </w:p>
        </w:tc>
      </w:tr>
      <w:tr>
        <w:trPr>
          <w:trHeight w:val="114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78" w:lineRule="exact"/>
              <w:ind w:left="0" w:right="0" w:firstLine="0"/>
              <w:jc w:val="left"/>
            </w:pPr>
            <w:r>
              <w:rPr>
                <w:color w:val="000000"/>
                <w:spacing w:val="0"/>
                <w:w w:val="100"/>
                <w:position w:val="0"/>
              </w:rPr>
              <w:t>中信证券 股份有限 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88" w:lineRule="exact"/>
              <w:ind w:left="0" w:right="0" w:firstLine="0"/>
              <w:jc w:val="left"/>
            </w:pPr>
            <w:r>
              <w:rPr>
                <w:color w:val="000000"/>
                <w:spacing w:val="0"/>
                <w:w w:val="100"/>
                <w:position w:val="0"/>
              </w:rPr>
              <w:t>非保本</w:t>
            </w:r>
          </w:p>
          <w:p>
            <w:pPr>
              <w:pStyle w:val="Style28"/>
              <w:keepNext w:val="0"/>
              <w:keepLines w:val="0"/>
              <w:widowControl w:val="0"/>
              <w:shd w:val="clear" w:color="auto" w:fill="auto"/>
              <w:bidi w:val="0"/>
              <w:spacing w:before="0" w:after="0" w:line="288" w:lineRule="exact"/>
              <w:ind w:left="0" w:right="0" w:firstLine="0"/>
              <w:jc w:val="left"/>
            </w:pPr>
            <w:r>
              <w:rPr>
                <w:color w:val="000000"/>
                <w:spacing w:val="0"/>
                <w:w w:val="100"/>
                <w:position w:val="0"/>
              </w:rPr>
              <w:t>（固定 收益 类）</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2016/9/8</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2017/9/8</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95" w:lineRule="exact"/>
              <w:ind w:left="0" w:right="0" w:firstLine="0"/>
              <w:jc w:val="left"/>
            </w:pPr>
            <w:r>
              <w:rPr>
                <w:color w:val="000000"/>
                <w:spacing w:val="0"/>
                <w:w w:val="100"/>
                <w:position w:val="0"/>
              </w:rPr>
              <w:t xml:space="preserve">固定 </w:t>
            </w:r>
            <w:r>
              <w:rPr>
                <w:rFonts w:ascii="Times New Roman" w:eastAsia="Times New Roman" w:hAnsi="Times New Roman" w:cs="Times New Roman"/>
                <w:color w:val="000000"/>
                <w:spacing w:val="0"/>
                <w:w w:val="100"/>
                <w:position w:val="0"/>
              </w:rPr>
              <w:t>+</w:t>
            </w:r>
            <w:r>
              <w:rPr>
                <w:color w:val="000000"/>
                <w:spacing w:val="0"/>
                <w:w w:val="100"/>
                <w:position w:val="0"/>
              </w:rPr>
              <w:t>浮 动</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w:t>
            </w:r>
          </w:p>
        </w:tc>
      </w:tr>
      <w:tr>
        <w:trPr>
          <w:trHeight w:val="298" w:hRule="exact"/>
        </w:trPr>
        <w:tc>
          <w:tcPr>
            <w:gridSpan w:val="3"/>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r>
      <w:tr>
        <w:trPr>
          <w:trHeight w:val="298" w:hRule="exact"/>
        </w:trPr>
        <w:tc>
          <w:tcPr>
            <w:gridSpan w:val="3"/>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委托理财资金来源</w:t>
            </w:r>
          </w:p>
        </w:tc>
        <w:tc>
          <w:tcPr>
            <w:gridSpan w:val="9"/>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r>
      <w:tr>
        <w:trPr>
          <w:trHeight w:val="581" w:hRule="exact"/>
        </w:trPr>
        <w:tc>
          <w:tcPr>
            <w:gridSpan w:val="3"/>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78" w:lineRule="exact"/>
              <w:ind w:left="0" w:right="0" w:firstLine="0"/>
              <w:jc w:val="left"/>
            </w:pPr>
            <w:r>
              <w:rPr>
                <w:color w:val="000000"/>
                <w:spacing w:val="0"/>
                <w:w w:val="100"/>
                <w:position w:val="0"/>
              </w:rPr>
              <w:t>逾期未收回的本金和收益 累计金额</w:t>
            </w:r>
          </w:p>
        </w:tc>
        <w:tc>
          <w:tcPr>
            <w:gridSpan w:val="9"/>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r>
      <w:tr>
        <w:trPr>
          <w:trHeight w:val="293" w:hRule="exact"/>
        </w:trPr>
        <w:tc>
          <w:tcPr>
            <w:gridSpan w:val="3"/>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涉诉情况（如适用）</w:t>
            </w:r>
          </w:p>
        </w:tc>
        <w:tc>
          <w:tcPr>
            <w:gridSpan w:val="9"/>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581" w:hRule="exact"/>
        </w:trPr>
        <w:tc>
          <w:tcPr>
            <w:gridSpan w:val="3"/>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88" w:lineRule="exact"/>
              <w:ind w:left="0" w:right="0" w:firstLine="0"/>
              <w:jc w:val="left"/>
            </w:pPr>
            <w:r>
              <w:rPr>
                <w:color w:val="000000"/>
                <w:spacing w:val="0"/>
                <w:w w:val="100"/>
                <w:position w:val="0"/>
              </w:rPr>
              <w:t>委托理财审批董事会公告 披露日期（如有</w:t>
            </w:r>
            <w:r>
              <w:rPr>
                <w:color w:val="000000"/>
                <w:spacing w:val="0"/>
                <w:w w:val="100"/>
                <w:position w:val="0"/>
              </w:rPr>
              <w:t>）</w:t>
            </w:r>
          </w:p>
        </w:tc>
        <w:tc>
          <w:tcPr>
            <w:gridSpan w:val="9"/>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r>
        <w:trPr>
          <w:trHeight w:val="581" w:hRule="exact"/>
        </w:trPr>
        <w:tc>
          <w:tcPr>
            <w:gridSpan w:val="3"/>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88" w:lineRule="exact"/>
              <w:ind w:left="0" w:right="0" w:firstLine="0"/>
              <w:jc w:val="left"/>
            </w:pPr>
            <w:r>
              <w:rPr>
                <w:color w:val="000000"/>
                <w:spacing w:val="0"/>
                <w:w w:val="100"/>
                <w:position w:val="0"/>
              </w:rPr>
              <w:t>委托理财审批股东会公告 披露日期（如有</w:t>
            </w:r>
            <w:r>
              <w:rPr>
                <w:color w:val="000000"/>
                <w:spacing w:val="0"/>
                <w:w w:val="100"/>
                <w:position w:val="0"/>
              </w:rPr>
              <w:t>）</w:t>
            </w:r>
          </w:p>
        </w:tc>
        <w:tc>
          <w:tcPr>
            <w:gridSpan w:val="9"/>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r>
      <w:tr>
        <w:trPr>
          <w:trHeight w:val="586" w:hRule="exact"/>
        </w:trPr>
        <w:tc>
          <w:tcPr>
            <w:gridSpan w:val="3"/>
            <w:tcBorders>
              <w:top w:val="single" w:sz="4"/>
              <w:left w:val="single" w:sz="4"/>
              <w:bottom w:val="single" w:sz="4"/>
            </w:tcBorders>
            <w:shd w:val="clear" w:color="auto" w:fill="D3D3D3"/>
            <w:vAlign w:val="top"/>
          </w:tcPr>
          <w:p>
            <w:pPr>
              <w:pStyle w:val="Style28"/>
              <w:keepNext w:val="0"/>
              <w:keepLines w:val="0"/>
              <w:widowControl w:val="0"/>
              <w:shd w:val="clear" w:color="auto" w:fill="auto"/>
              <w:bidi w:val="0"/>
              <w:spacing w:before="0" w:after="0" w:line="293" w:lineRule="exact"/>
              <w:ind w:left="0" w:right="0" w:firstLine="0"/>
              <w:jc w:val="left"/>
            </w:pPr>
            <w:r>
              <w:rPr>
                <w:color w:val="000000"/>
                <w:spacing w:val="0"/>
                <w:w w:val="100"/>
                <w:position w:val="0"/>
              </w:rPr>
              <w:t>未来是否还有委托理财计 划</w:t>
            </w:r>
          </w:p>
        </w:tc>
        <w:tc>
          <w:tcPr>
            <w:gridSpan w:val="9"/>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根据资金情况及委托理财的具体标的来确定</w:t>
            </w:r>
          </w:p>
        </w:tc>
      </w:tr>
    </w:tbl>
    <w:p>
      <w:pPr>
        <w:pStyle w:val="Style38"/>
        <w:keepNext/>
        <w:keepLines/>
        <w:widowControl w:val="0"/>
        <w:shd w:val="clear" w:color="auto" w:fill="auto"/>
        <w:bidi w:val="0"/>
        <w:spacing w:before="0" w:after="420" w:line="469" w:lineRule="exact"/>
        <w:ind w:left="0" w:right="0" w:firstLine="0"/>
        <w:jc w:val="left"/>
      </w:pPr>
      <w:bookmarkStart w:id="355" w:name="bookmark355"/>
      <w:bookmarkStart w:id="356" w:name="bookmark356"/>
      <w:bookmarkStart w:id="357" w:name="bookmark357"/>
      <w:bookmarkStart w:id="358" w:name="bookmark358"/>
      <w:r>
        <w:rPr>
          <w:color w:val="000000"/>
          <w:spacing w:val="0"/>
          <w:w w:val="100"/>
          <w:position w:val="0"/>
        </w:rPr>
        <w:t>（</w:t>
      </w:r>
      <w:bookmarkEnd w:id="357"/>
      <w:r>
        <w:rPr>
          <w:rFonts w:ascii="Times New Roman" w:eastAsia="Times New Roman" w:hAnsi="Times New Roman" w:cs="Times New Roman"/>
          <w:color w:val="000000"/>
          <w:spacing w:val="0"/>
          <w:w w:val="100"/>
          <w:position w:val="0"/>
        </w:rPr>
        <w:t>2</w:t>
      </w:r>
      <w:r>
        <w:rPr>
          <w:color w:val="000000"/>
          <w:spacing w:val="0"/>
          <w:w w:val="100"/>
          <w:position w:val="0"/>
        </w:rPr>
        <w:t>）委托贷款情况</w:t>
      </w:r>
      <w:bookmarkEnd w:id="355"/>
      <w:bookmarkEnd w:id="356"/>
      <w:bookmarkEnd w:id="358"/>
    </w:p>
    <w:p>
      <w:pPr>
        <w:pStyle w:val="Style32"/>
        <w:keepNext w:val="0"/>
        <w:keepLines w:val="0"/>
        <w:widowControl w:val="0"/>
        <w:shd w:val="clear" w:color="auto" w:fill="auto"/>
        <w:bidi w:val="0"/>
        <w:spacing w:before="0" w:after="0"/>
        <w:ind w:left="0" w:right="0" w:firstLine="46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2"/>
        <w:keepNext w:val="0"/>
        <w:keepLines w:val="0"/>
        <w:widowControl w:val="0"/>
        <w:shd w:val="clear" w:color="auto" w:fill="auto"/>
        <w:bidi w:val="0"/>
        <w:spacing w:before="0" w:after="420" w:line="469" w:lineRule="exact"/>
        <w:ind w:left="0" w:right="0" w:firstLine="460"/>
        <w:jc w:val="both"/>
      </w:pPr>
      <w:r>
        <w:rPr>
          <w:color w:val="000000"/>
          <w:spacing w:val="0"/>
          <w:w w:val="100"/>
          <w:position w:val="0"/>
        </w:rPr>
        <w:t>公司报告期不存在委托贷款。</w:t>
      </w:r>
    </w:p>
    <w:p>
      <w:pPr>
        <w:pStyle w:val="Style38"/>
        <w:keepNext/>
        <w:keepLines/>
        <w:widowControl w:val="0"/>
        <w:shd w:val="clear" w:color="auto" w:fill="auto"/>
        <w:bidi w:val="0"/>
        <w:spacing w:before="0" w:after="200" w:line="446" w:lineRule="auto"/>
        <w:ind w:left="0" w:right="0" w:firstLine="0"/>
        <w:jc w:val="left"/>
      </w:pPr>
      <w:bookmarkStart w:id="359" w:name="bookmark359"/>
      <w:bookmarkStart w:id="360" w:name="bookmark360"/>
      <w:bookmarkStart w:id="361" w:name="bookmark361"/>
      <w:bookmarkStart w:id="362" w:name="bookmark362"/>
      <w:r>
        <w:rPr>
          <w:rFonts w:ascii="Times New Roman" w:eastAsia="Times New Roman" w:hAnsi="Times New Roman" w:cs="Times New Roman"/>
          <w:color w:val="000000"/>
          <w:spacing w:val="0"/>
          <w:w w:val="100"/>
          <w:position w:val="0"/>
        </w:rPr>
        <w:t>4</w:t>
      </w:r>
      <w:bookmarkEnd w:id="361"/>
      <w:r>
        <w:rPr>
          <w:color w:val="000000"/>
          <w:spacing w:val="0"/>
          <w:w w:val="100"/>
          <w:position w:val="0"/>
        </w:rPr>
        <w:t>、其他重大合同</w:t>
      </w:r>
      <w:bookmarkEnd w:id="359"/>
      <w:bookmarkEnd w:id="360"/>
      <w:bookmarkEnd w:id="362"/>
    </w:p>
    <w:p>
      <w:pPr>
        <w:pStyle w:val="Style32"/>
        <w:keepNext w:val="0"/>
        <w:keepLines w:val="0"/>
        <w:widowControl w:val="0"/>
        <w:shd w:val="clear" w:color="auto" w:fill="auto"/>
        <w:bidi w:val="0"/>
        <w:spacing w:before="0" w:after="0"/>
        <w:ind w:left="0" w:right="0" w:firstLine="46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2"/>
        <w:keepNext w:val="0"/>
        <w:keepLines w:val="0"/>
        <w:widowControl w:val="0"/>
        <w:shd w:val="clear" w:color="auto" w:fill="auto"/>
        <w:bidi w:val="0"/>
        <w:spacing w:before="0" w:after="200" w:line="469" w:lineRule="exact"/>
        <w:ind w:left="0" w:right="0" w:firstLine="460"/>
        <w:jc w:val="both"/>
      </w:pPr>
      <w:r>
        <w:rPr>
          <w:color w:val="000000"/>
          <w:spacing w:val="0"/>
          <w:w w:val="100"/>
          <w:position w:val="0"/>
        </w:rPr>
        <w:t>公司报告期不存在其他重大合同。</w:t>
      </w:r>
    </w:p>
    <w:p>
      <w:pPr>
        <w:pStyle w:val="Style32"/>
        <w:keepNext w:val="0"/>
        <w:keepLines w:val="0"/>
        <w:widowControl w:val="0"/>
        <w:shd w:val="clear" w:color="auto" w:fill="auto"/>
        <w:bidi w:val="0"/>
        <w:spacing w:before="0" w:after="140" w:line="469" w:lineRule="exact"/>
        <w:ind w:left="0" w:right="0" w:firstLine="0"/>
        <w:jc w:val="left"/>
        <w:rPr>
          <w:sz w:val="24"/>
          <w:szCs w:val="24"/>
        </w:rPr>
      </w:pPr>
      <w:r>
        <w:rPr>
          <w:b/>
          <w:bCs/>
          <w:color w:val="000000"/>
          <w:spacing w:val="0"/>
          <w:w w:val="100"/>
          <w:position w:val="0"/>
          <w:sz w:val="24"/>
          <w:szCs w:val="24"/>
        </w:rPr>
        <w:t>十八、社会责任情况</w:t>
      </w:r>
    </w:p>
    <w:p>
      <w:pPr>
        <w:pStyle w:val="Style38"/>
        <w:keepNext/>
        <w:keepLines/>
        <w:widowControl w:val="0"/>
        <w:shd w:val="clear" w:color="auto" w:fill="auto"/>
        <w:bidi w:val="0"/>
        <w:spacing w:before="0" w:after="200" w:line="469" w:lineRule="exact"/>
        <w:ind w:left="0" w:right="0" w:firstLine="0"/>
        <w:jc w:val="left"/>
      </w:pPr>
      <w:bookmarkStart w:id="363" w:name="bookmark363"/>
      <w:bookmarkStart w:id="364" w:name="bookmark364"/>
      <w:bookmarkStart w:id="365" w:name="bookmark365"/>
      <w:bookmarkStart w:id="366" w:name="bookmark366"/>
      <w:r>
        <w:rPr>
          <w:rFonts w:ascii="Times New Roman" w:eastAsia="Times New Roman" w:hAnsi="Times New Roman" w:cs="Times New Roman"/>
          <w:color w:val="000000"/>
          <w:spacing w:val="0"/>
          <w:w w:val="100"/>
          <w:position w:val="0"/>
        </w:rPr>
        <w:t>1</w:t>
      </w:r>
      <w:bookmarkEnd w:id="365"/>
      <w:r>
        <w:rPr>
          <w:color w:val="000000"/>
          <w:spacing w:val="0"/>
          <w:w w:val="100"/>
          <w:position w:val="0"/>
        </w:rPr>
        <w:t>、履行精准扶贫社会责任情况</w:t>
      </w:r>
      <w:bookmarkEnd w:id="363"/>
      <w:bookmarkEnd w:id="364"/>
      <w:bookmarkEnd w:id="366"/>
    </w:p>
    <w:p>
      <w:pPr>
        <w:pStyle w:val="Style32"/>
        <w:keepNext w:val="0"/>
        <w:keepLines w:val="0"/>
        <w:widowControl w:val="0"/>
        <w:shd w:val="clear" w:color="auto" w:fill="auto"/>
        <w:bidi w:val="0"/>
        <w:spacing w:before="0" w:after="0" w:line="469" w:lineRule="exact"/>
        <w:ind w:left="0" w:right="0" w:firstLine="460"/>
        <w:jc w:val="left"/>
      </w:pPr>
      <w:r>
        <w:rPr>
          <w:color w:val="000000"/>
          <w:spacing w:val="0"/>
          <w:w w:val="100"/>
          <w:position w:val="0"/>
        </w:rPr>
        <w:t>报告期内，公司积极响应国家精准扶贫号召，充分发挥公司在零售、物流、金融业务的优势资 源，利用公司线上线下渠道优势，积极投入精准扶贫事业。具体包括：</w:t>
      </w:r>
    </w:p>
    <w:p>
      <w:pPr>
        <w:pStyle w:val="Style32"/>
        <w:keepNext w:val="0"/>
        <w:keepLines w:val="0"/>
        <w:widowControl w:val="0"/>
        <w:shd w:val="clear" w:color="auto" w:fill="auto"/>
        <w:bidi w:val="0"/>
        <w:spacing w:before="0" w:after="0" w:line="469" w:lineRule="exact"/>
        <w:ind w:left="0" w:right="0" w:firstLine="460"/>
        <w:jc w:val="left"/>
      </w:pPr>
      <w:r>
        <w:rPr>
          <w:color w:val="000000"/>
          <w:spacing w:val="0"/>
          <w:w w:val="100"/>
          <w:position w:val="0"/>
        </w:rPr>
        <w:t>以</w:t>
      </w:r>
      <w:r>
        <w:rPr>
          <w:rFonts w:ascii="Times New Roman" w:eastAsia="Times New Roman" w:hAnsi="Times New Roman" w:cs="Times New Roman"/>
          <w:color w:val="000000"/>
          <w:spacing w:val="0"/>
          <w:w w:val="100"/>
          <w:position w:val="0"/>
        </w:rPr>
        <w:t>832</w:t>
      </w:r>
      <w:r>
        <w:rPr>
          <w:color w:val="000000"/>
          <w:spacing w:val="0"/>
          <w:w w:val="100"/>
          <w:position w:val="0"/>
        </w:rPr>
        <w:t>个国家级贫困县为扶贫主体，依托线下苏宁易购服务站、线上中华特色馆、苏宁易购大 聚惠、苏宁物流云及农村电商学院等载体，通过</w:t>
      </w:r>
      <w:r>
        <w:rPr>
          <w:rFonts w:ascii="Times New Roman" w:eastAsia="Times New Roman" w:hAnsi="Times New Roman" w:cs="Times New Roman"/>
          <w:color w:val="000000"/>
          <w:spacing w:val="0"/>
          <w:w w:val="100"/>
          <w:position w:val="0"/>
        </w:rPr>
        <w:t>“</w:t>
      </w:r>
      <w:r>
        <w:rPr>
          <w:color w:val="000000"/>
          <w:spacing w:val="0"/>
          <w:w w:val="100"/>
          <w:position w:val="0"/>
        </w:rPr>
        <w:t>互联网</w:t>
      </w:r>
      <w:r>
        <w:rPr>
          <w:rFonts w:ascii="Times New Roman" w:eastAsia="Times New Roman" w:hAnsi="Times New Roman" w:cs="Times New Roman"/>
          <w:color w:val="000000"/>
          <w:spacing w:val="0"/>
          <w:w w:val="100"/>
          <w:position w:val="0"/>
        </w:rPr>
        <w:t>+”</w:t>
      </w:r>
      <w:r>
        <w:rPr>
          <w:color w:val="000000"/>
          <w:spacing w:val="0"/>
          <w:w w:val="100"/>
          <w:position w:val="0"/>
        </w:rPr>
        <w:t>精准扶贫，总结摸索出</w:t>
      </w:r>
      <w:r>
        <w:rPr>
          <w:rFonts w:ascii="Times New Roman" w:eastAsia="Times New Roman" w:hAnsi="Times New Roman" w:cs="Times New Roman"/>
          <w:color w:val="000000"/>
          <w:spacing w:val="0"/>
          <w:w w:val="100"/>
          <w:position w:val="0"/>
        </w:rPr>
        <w:t>“</w:t>
      </w:r>
      <w:r>
        <w:rPr>
          <w:color w:val="000000"/>
          <w:spacing w:val="0"/>
          <w:w w:val="100"/>
          <w:position w:val="0"/>
        </w:rPr>
        <w:t>运营产业化、产 品品牌化、人才专业化</w:t>
      </w:r>
      <w:r>
        <w:rPr>
          <w:rFonts w:ascii="Times New Roman" w:eastAsia="Times New Roman" w:hAnsi="Times New Roman" w:cs="Times New Roman"/>
          <w:color w:val="000000"/>
          <w:spacing w:val="0"/>
          <w:w w:val="100"/>
          <w:position w:val="0"/>
        </w:rPr>
        <w:t>”</w:t>
      </w:r>
      <w:r>
        <w:rPr>
          <w:color w:val="000000"/>
          <w:spacing w:val="0"/>
          <w:w w:val="100"/>
          <w:position w:val="0"/>
        </w:rPr>
        <w:t>及</w:t>
      </w:r>
      <w:r>
        <w:rPr>
          <w:rFonts w:ascii="Times New Roman" w:eastAsia="Times New Roman" w:hAnsi="Times New Roman" w:cs="Times New Roman"/>
          <w:color w:val="000000"/>
          <w:spacing w:val="0"/>
          <w:w w:val="100"/>
          <w:position w:val="0"/>
        </w:rPr>
        <w:t>“</w:t>
      </w:r>
      <w:r>
        <w:rPr>
          <w:color w:val="000000"/>
          <w:spacing w:val="0"/>
          <w:w w:val="100"/>
          <w:position w:val="0"/>
        </w:rPr>
        <w:t>销售、纳税、就业、服务、造富在当地</w:t>
      </w:r>
      <w:r>
        <w:rPr>
          <w:rFonts w:ascii="Times New Roman" w:eastAsia="Times New Roman" w:hAnsi="Times New Roman" w:cs="Times New Roman"/>
          <w:color w:val="000000"/>
          <w:spacing w:val="0"/>
          <w:w w:val="100"/>
          <w:position w:val="0"/>
        </w:rPr>
        <w:t>”</w:t>
      </w:r>
      <w:r>
        <w:rPr>
          <w:color w:val="000000"/>
          <w:spacing w:val="0"/>
          <w:w w:val="100"/>
          <w:position w:val="0"/>
        </w:rPr>
        <w:t>的农村电商发展模式，逐步打造 农村经济发展的电商生态圈。</w:t>
      </w:r>
    </w:p>
    <w:p>
      <w:pPr>
        <w:pStyle w:val="Style32"/>
        <w:keepNext w:val="0"/>
        <w:keepLines w:val="0"/>
        <w:widowControl w:val="0"/>
        <w:shd w:val="clear" w:color="auto" w:fill="auto"/>
        <w:bidi w:val="0"/>
        <w:spacing w:before="0" w:after="0" w:line="469" w:lineRule="exact"/>
        <w:ind w:left="0" w:right="0" w:firstLine="460"/>
        <w:jc w:val="left"/>
      </w:pPr>
      <w:r>
        <w:rPr>
          <w:color w:val="000000"/>
          <w:spacing w:val="0"/>
          <w:w w:val="100"/>
          <w:position w:val="0"/>
        </w:rPr>
        <w:t>与中国扶贫基金会合作，成立</w:t>
      </w:r>
      <w:r>
        <w:rPr>
          <w:rFonts w:ascii="Times New Roman" w:eastAsia="Times New Roman" w:hAnsi="Times New Roman" w:cs="Times New Roman"/>
          <w:color w:val="000000"/>
          <w:spacing w:val="0"/>
          <w:w w:val="100"/>
          <w:position w:val="0"/>
        </w:rPr>
        <w:t>“</w:t>
      </w:r>
      <w:r>
        <w:rPr>
          <w:color w:val="000000"/>
          <w:spacing w:val="0"/>
          <w:w w:val="100"/>
          <w:position w:val="0"/>
        </w:rPr>
        <w:t>苏宁农村电商学院</w:t>
      </w:r>
      <w:r>
        <w:rPr>
          <w:rFonts w:ascii="Times New Roman" w:eastAsia="Times New Roman" w:hAnsi="Times New Roman" w:cs="Times New Roman"/>
          <w:color w:val="000000"/>
          <w:spacing w:val="0"/>
          <w:w w:val="100"/>
          <w:position w:val="0"/>
        </w:rPr>
        <w:t>”</w:t>
      </w:r>
      <w:r>
        <w:rPr>
          <w:color w:val="000000"/>
          <w:spacing w:val="0"/>
          <w:w w:val="100"/>
          <w:position w:val="0"/>
        </w:rPr>
        <w:t>，培养农村电商专业人才。农村电商学院充 分运用线上线下</w:t>
      </w:r>
      <w:r>
        <w:rPr>
          <w:rFonts w:ascii="Times New Roman" w:eastAsia="Times New Roman" w:hAnsi="Times New Roman" w:cs="Times New Roman"/>
          <w:color w:val="000000"/>
          <w:spacing w:val="0"/>
          <w:w w:val="100"/>
          <w:position w:val="0"/>
        </w:rPr>
        <w:t>020</w:t>
      </w:r>
      <w:r>
        <w:rPr>
          <w:color w:val="000000"/>
          <w:spacing w:val="0"/>
          <w:w w:val="100"/>
          <w:position w:val="0"/>
        </w:rPr>
        <w:t>融合的电商人才培养方式，跨越地域局限，通过苏宁直播课堂以及第三方直播 软件进行线上平台直播，每周对农村电商商户运营团队和代运营商进行培训，把线上、线下培训相 融合，培养高质量电商人才，尽可能地满足县乡电商人才的需求。截至</w:t>
      </w:r>
      <w:r>
        <w:rPr>
          <w:rFonts w:ascii="Times New Roman" w:eastAsia="Times New Roman" w:hAnsi="Times New Roman" w:cs="Times New Roman"/>
          <w:color w:val="000000"/>
          <w:spacing w:val="0"/>
          <w:w w:val="100"/>
          <w:position w:val="0"/>
        </w:rPr>
        <w:t>2016</w:t>
      </w:r>
      <w:r>
        <w:rPr>
          <w:color w:val="000000"/>
          <w:spacing w:val="0"/>
          <w:w w:val="100"/>
          <w:position w:val="0"/>
        </w:rPr>
        <w:t>年年底，公司已经在</w:t>
      </w:r>
      <w:r>
        <w:rPr>
          <w:rFonts w:ascii="Times New Roman" w:eastAsia="Times New Roman" w:hAnsi="Times New Roman" w:cs="Times New Roman"/>
          <w:color w:val="000000"/>
          <w:spacing w:val="0"/>
          <w:w w:val="100"/>
          <w:position w:val="0"/>
        </w:rPr>
        <w:t xml:space="preserve">28 </w:t>
      </w:r>
      <w:r>
        <w:rPr>
          <w:color w:val="000000"/>
          <w:spacing w:val="0"/>
          <w:w w:val="100"/>
          <w:position w:val="0"/>
        </w:rPr>
        <w:t xml:space="preserve">个省、市、自治区举行了 </w:t>
      </w:r>
      <w:r>
        <w:rPr>
          <w:rFonts w:ascii="Times New Roman" w:eastAsia="Times New Roman" w:hAnsi="Times New Roman" w:cs="Times New Roman"/>
          <w:color w:val="000000"/>
          <w:spacing w:val="0"/>
          <w:w w:val="100"/>
          <w:position w:val="0"/>
        </w:rPr>
        <w:t>193</w:t>
      </w:r>
      <w:r>
        <w:rPr>
          <w:color w:val="000000"/>
          <w:spacing w:val="0"/>
          <w:w w:val="100"/>
          <w:position w:val="0"/>
        </w:rPr>
        <w:t>场线下培训，线上培训超过</w:t>
      </w:r>
      <w:r>
        <w:rPr>
          <w:rFonts w:ascii="Times New Roman" w:eastAsia="Times New Roman" w:hAnsi="Times New Roman" w:cs="Times New Roman"/>
          <w:color w:val="000000"/>
          <w:spacing w:val="0"/>
          <w:w w:val="100"/>
          <w:position w:val="0"/>
        </w:rPr>
        <w:t>100</w:t>
      </w:r>
      <w:r>
        <w:rPr>
          <w:color w:val="000000"/>
          <w:spacing w:val="0"/>
          <w:w w:val="100"/>
          <w:position w:val="0"/>
        </w:rPr>
        <w:t>场。</w:t>
      </w:r>
    </w:p>
    <w:p>
      <w:pPr>
        <w:pStyle w:val="Style32"/>
        <w:keepNext w:val="0"/>
        <w:keepLines w:val="0"/>
        <w:widowControl w:val="0"/>
        <w:shd w:val="clear" w:color="auto" w:fill="auto"/>
        <w:bidi w:val="0"/>
        <w:spacing w:before="0" w:after="0" w:line="469" w:lineRule="exact"/>
        <w:ind w:left="0" w:right="0" w:firstLine="460"/>
        <w:jc w:val="left"/>
      </w:pPr>
      <w:r>
        <w:rPr>
          <w:color w:val="000000"/>
          <w:spacing w:val="0"/>
          <w:w w:val="100"/>
          <w:position w:val="0"/>
        </w:rPr>
        <w:t>挖掘特色农产品，打造优势精品品牌。苏宁易购开设了电商扶贫频道，为国家级贫困县农副产 品提供一个面向全国市场展示与销售的平台，深度整合贫困县的资源，带动了贫困地区特色商品销 售，先后通过苹果电商月、剑河小香鸡销售周等方式解决了山西、陕西、河南、山东、贵州等省苹 果、活鸡等的滞销问题。</w:t>
      </w:r>
    </w:p>
    <w:p>
      <w:pPr>
        <w:pStyle w:val="Style32"/>
        <w:keepNext w:val="0"/>
        <w:keepLines w:val="0"/>
        <w:widowControl w:val="0"/>
        <w:shd w:val="clear" w:color="auto" w:fill="auto"/>
        <w:bidi w:val="0"/>
        <w:spacing w:before="0" w:after="200" w:line="469" w:lineRule="exact"/>
        <w:ind w:left="0" w:right="0" w:firstLine="460"/>
        <w:jc w:val="left"/>
      </w:pPr>
      <w:r>
        <w:rPr>
          <w:color w:val="000000"/>
          <w:spacing w:val="0"/>
          <w:w w:val="100"/>
          <w:position w:val="0"/>
        </w:rPr>
        <w:t>除此之外，公司在教育文化公益、扶贫救弱、资学助教、抗击灾害、支持就业等领域公益方面 开展了各类扶贫工作，并取得了较好的成效。</w:t>
      </w:r>
      <w:r>
        <w:br w:type="page"/>
      </w:r>
    </w:p>
    <w:p>
      <w:pPr>
        <w:pStyle w:val="Style38"/>
        <w:keepNext/>
        <w:keepLines/>
        <w:widowControl w:val="0"/>
        <w:shd w:val="clear" w:color="auto" w:fill="auto"/>
        <w:bidi w:val="0"/>
        <w:spacing w:before="0" w:after="180" w:line="240" w:lineRule="auto"/>
        <w:ind w:left="0" w:right="0" w:firstLine="0"/>
        <w:jc w:val="left"/>
      </w:pPr>
      <w:bookmarkStart w:id="367" w:name="bookmark367"/>
      <w:bookmarkStart w:id="368" w:name="bookmark368"/>
      <w:bookmarkStart w:id="369" w:name="bookmark369"/>
      <w:bookmarkStart w:id="370" w:name="bookmark370"/>
      <w:r>
        <w:rPr>
          <w:color w:val="000000"/>
          <w:spacing w:val="0"/>
          <w:w w:val="100"/>
          <w:position w:val="0"/>
        </w:rPr>
        <w:t>（</w:t>
      </w:r>
      <w:bookmarkEnd w:id="369"/>
      <w:r>
        <w:rPr>
          <w:rFonts w:ascii="Times New Roman" w:eastAsia="Times New Roman" w:hAnsi="Times New Roman" w:cs="Times New Roman"/>
          <w:color w:val="000000"/>
          <w:spacing w:val="0"/>
          <w:w w:val="100"/>
          <w:position w:val="0"/>
        </w:rPr>
        <w:t>1</w:t>
      </w:r>
      <w:r>
        <w:rPr>
          <w:color w:val="000000"/>
          <w:spacing w:val="0"/>
          <w:w w:val="100"/>
          <w:position w:val="0"/>
        </w:rPr>
        <w:t>）年度精准扶贫概要</w:t>
      </w:r>
      <w:bookmarkEnd w:id="367"/>
      <w:bookmarkEnd w:id="368"/>
      <w:bookmarkEnd w:id="370"/>
    </w:p>
    <w:p>
      <w:pPr>
        <w:pStyle w:val="Style32"/>
        <w:keepNext w:val="0"/>
        <w:keepLines w:val="0"/>
        <w:widowControl w:val="0"/>
        <w:shd w:val="clear" w:color="auto" w:fill="auto"/>
        <w:bidi w:val="0"/>
        <w:spacing w:before="0" w:after="180" w:line="240" w:lineRule="auto"/>
        <w:ind w:left="0" w:right="0" w:firstLine="440"/>
        <w:jc w:val="left"/>
      </w:pPr>
      <w:r>
        <w:rPr>
          <w:color w:val="000000"/>
          <w:spacing w:val="0"/>
          <w:w w:val="100"/>
          <w:position w:val="0"/>
        </w:rPr>
        <w:t>报告期内，公司在产业发展脱贫、教育脱贫、社会扶贫方面累计投入</w:t>
      </w:r>
      <w:r>
        <w:rPr>
          <w:rFonts w:ascii="Times New Roman" w:eastAsia="Times New Roman" w:hAnsi="Times New Roman" w:cs="Times New Roman"/>
          <w:color w:val="000000"/>
          <w:spacing w:val="0"/>
          <w:w w:val="100"/>
          <w:position w:val="0"/>
        </w:rPr>
        <w:t>352.21</w:t>
      </w:r>
      <w:r>
        <w:rPr>
          <w:color w:val="000000"/>
          <w:spacing w:val="0"/>
          <w:w w:val="100"/>
          <w:position w:val="0"/>
        </w:rPr>
        <w:t>万元。</w:t>
      </w:r>
    </w:p>
    <w:p>
      <w:pPr>
        <w:pStyle w:val="Style25"/>
        <w:keepNext w:val="0"/>
        <w:keepLines w:val="0"/>
        <w:widowControl w:val="0"/>
        <w:shd w:val="clear" w:color="auto" w:fill="auto"/>
        <w:bidi w:val="0"/>
        <w:spacing w:before="0" w:after="0" w:line="240" w:lineRule="auto"/>
        <w:ind w:left="101" w:right="0" w:firstLine="0"/>
        <w:jc w:val="left"/>
      </w:pPr>
      <w:r>
        <w:rPr>
          <w:rFonts w:ascii="Times New Roman" w:eastAsia="Times New Roman" w:hAnsi="Times New Roman" w:cs="Times New Roman"/>
          <w:b/>
          <w:bCs/>
          <w:color w:val="000000"/>
          <w:spacing w:val="0"/>
          <w:w w:val="100"/>
          <w:position w:val="0"/>
        </w:rPr>
        <w:t>（2</w:t>
      </w:r>
      <w:r>
        <w:rPr>
          <w:b/>
          <w:bCs/>
          <w:color w:val="000000"/>
          <w:spacing w:val="0"/>
          <w:w w:val="100"/>
          <w:position w:val="0"/>
        </w:rPr>
        <w:t>）上市公司年度精准扶贫工作情况</w:t>
      </w:r>
    </w:p>
    <w:tbl>
      <w:tblPr>
        <w:tblOverlap w:val="never"/>
        <w:jc w:val="center"/>
        <w:tblLayout w:type="fixed"/>
      </w:tblPr>
      <w:tblGrid>
        <w:gridCol w:w="4824"/>
        <w:gridCol w:w="1277"/>
        <w:gridCol w:w="3480"/>
      </w:tblGrid>
      <w:tr>
        <w:trPr>
          <w:trHeight w:val="298" w:hRule="exact"/>
        </w:trPr>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指标</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计量单位</w:t>
            </w:r>
          </w:p>
        </w:tc>
        <w:tc>
          <w:tcPr>
            <w:tcBorders>
              <w:top w:val="single" w:sz="4"/>
              <w:left w:val="single" w:sz="4"/>
              <w:righ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r>
              <w:rPr>
                <w:rFonts w:ascii="Times New Roman" w:eastAsia="Times New Roman" w:hAnsi="Times New Roman" w:cs="Times New Roman"/>
                <w:color w:val="000000"/>
                <w:spacing w:val="0"/>
                <w:w w:val="100"/>
                <w:position w:val="0"/>
              </w:rPr>
              <w:t>/</w:t>
            </w:r>
            <w:r>
              <w:rPr>
                <w:color w:val="000000"/>
                <w:spacing w:val="0"/>
                <w:w w:val="100"/>
                <w:position w:val="0"/>
              </w:rPr>
              <w:t>开展情况</w:t>
            </w:r>
          </w:p>
        </w:tc>
      </w:tr>
      <w:tr>
        <w:trPr>
          <w:trHeight w:val="2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一、总体情况</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1500" w:right="0" w:firstLine="0"/>
              <w:jc w:val="both"/>
            </w:pPr>
            <w:r>
              <w:rPr>
                <w:color w:val="000000"/>
                <w:spacing w:val="0"/>
                <w:w w:val="100"/>
                <w:position w:val="0"/>
              </w:rPr>
              <w:t>—</w:t>
            </w:r>
          </w:p>
        </w:tc>
      </w:tr>
      <w:tr>
        <w:trPr>
          <w:trHeight w:val="29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其中：</w:t>
            </w:r>
            <w:r>
              <w:rPr>
                <w:rFonts w:ascii="Times New Roman" w:eastAsia="Times New Roman" w:hAnsi="Times New Roman" w:cs="Times New Roman"/>
                <w:color w:val="000000"/>
                <w:spacing w:val="0"/>
                <w:w w:val="100"/>
                <w:position w:val="0"/>
              </w:rPr>
              <w:t>1.</w:t>
            </w:r>
            <w:r>
              <w:rPr>
                <w:color w:val="000000"/>
                <w:spacing w:val="0"/>
                <w:w w:val="100"/>
                <w:position w:val="0"/>
              </w:rPr>
              <w:t>资金</w:t>
            </w:r>
          </w:p>
        </w:tc>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2840" w:right="0" w:firstLine="0"/>
              <w:jc w:val="both"/>
            </w:pPr>
            <w:r>
              <w:rPr>
                <w:rFonts w:ascii="Times New Roman" w:eastAsia="Times New Roman" w:hAnsi="Times New Roman" w:cs="Times New Roman"/>
                <w:color w:val="000000"/>
                <w:spacing w:val="0"/>
                <w:w w:val="100"/>
                <w:position w:val="0"/>
              </w:rPr>
              <w:t>352.21</w:t>
            </w:r>
          </w:p>
        </w:tc>
      </w:tr>
      <w:tr>
        <w:trPr>
          <w:trHeight w:val="298" w:hRule="exact"/>
        </w:trPr>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物资折款</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3000" w:right="0" w:firstLine="0"/>
              <w:jc w:val="both"/>
            </w:pPr>
            <w:r>
              <w:rPr>
                <w:color w:val="000000"/>
                <w:spacing w:val="0"/>
                <w:w w:val="100"/>
                <w:position w:val="0"/>
              </w:rPr>
              <w:t>—</w:t>
            </w:r>
          </w:p>
        </w:tc>
      </w:tr>
      <w:tr>
        <w:trPr>
          <w:trHeight w:val="293" w:hRule="exact"/>
        </w:trPr>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帮助建档立卡贫困人口脱贫数</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3000" w:right="0" w:firstLine="0"/>
              <w:jc w:val="both"/>
            </w:pPr>
            <w:r>
              <w:rPr>
                <w:color w:val="000000"/>
                <w:spacing w:val="0"/>
                <w:w w:val="100"/>
                <w:position w:val="0"/>
              </w:rPr>
              <w:t>—</w:t>
            </w:r>
          </w:p>
        </w:tc>
      </w:tr>
      <w:tr>
        <w:trPr>
          <w:trHeight w:val="2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二、分项投入</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1500" w:right="0" w:firstLine="0"/>
              <w:jc w:val="both"/>
            </w:pPr>
            <w:r>
              <w:rPr>
                <w:color w:val="000000"/>
                <w:spacing w:val="0"/>
                <w:w w:val="100"/>
                <w:position w:val="0"/>
              </w:rPr>
              <w:t>—</w:t>
            </w:r>
          </w:p>
        </w:tc>
      </w:tr>
      <w:tr>
        <w:trPr>
          <w:trHeight w:val="29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w:t>
            </w:r>
            <w:r>
              <w:rPr>
                <w:color w:val="000000"/>
                <w:spacing w:val="0"/>
                <w:w w:val="100"/>
                <w:position w:val="0"/>
              </w:rPr>
              <w:t>产业发展脱贫</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1500" w:right="0" w:firstLine="0"/>
              <w:jc w:val="both"/>
            </w:pPr>
            <w:r>
              <w:rPr>
                <w:color w:val="000000"/>
                <w:spacing w:val="0"/>
                <w:w w:val="100"/>
                <w:position w:val="0"/>
              </w:rPr>
              <w:t>—</w:t>
            </w:r>
          </w:p>
        </w:tc>
      </w:tr>
      <w:tr>
        <w:trPr>
          <w:trHeight w:val="298" w:hRule="exact"/>
        </w:trPr>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rFonts w:ascii="Times New Roman" w:eastAsia="Times New Roman" w:hAnsi="Times New Roman" w:cs="Times New Roman"/>
                <w:color w:val="000000"/>
                <w:spacing w:val="0"/>
                <w:w w:val="100"/>
                <w:position w:val="0"/>
              </w:rPr>
              <w:t>1.1</w:t>
            </w:r>
            <w:r>
              <w:rPr>
                <w:color w:val="000000"/>
                <w:spacing w:val="0"/>
                <w:w w:val="100"/>
                <w:position w:val="0"/>
              </w:rPr>
              <w:t>产业发展脱贫项目类型</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电商扶贫</w:t>
            </w:r>
          </w:p>
        </w:tc>
      </w:tr>
      <w:tr>
        <w:trPr>
          <w:trHeight w:val="293" w:hRule="exact"/>
        </w:trPr>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rPr>
              <w:t>1.2</w:t>
            </w:r>
            <w:r>
              <w:rPr>
                <w:color w:val="000000"/>
                <w:spacing w:val="0"/>
                <w:w w:val="100"/>
                <w:position w:val="0"/>
              </w:rPr>
              <w:t>产业发展脱贫项目个数</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个</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r>
      <w:tr>
        <w:trPr>
          <w:trHeight w:val="298" w:hRule="exact"/>
        </w:trPr>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rPr>
              <w:t>1.3</w:t>
            </w:r>
            <w:r>
              <w:rPr>
                <w:color w:val="000000"/>
                <w:spacing w:val="0"/>
                <w:w w:val="100"/>
                <w:position w:val="0"/>
              </w:rPr>
              <w:t>产业发展脱贫项目投入金额</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r>
      <w:tr>
        <w:trPr>
          <w:trHeight w:val="293" w:hRule="exact"/>
        </w:trPr>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rPr>
              <w:t>1.4</w:t>
            </w:r>
            <w:r>
              <w:rPr>
                <w:color w:val="000000"/>
                <w:spacing w:val="0"/>
                <w:w w:val="100"/>
                <w:position w:val="0"/>
              </w:rPr>
              <w:t>帮助建档立卡贫困人口脱贫数</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3000" w:right="0" w:firstLine="0"/>
              <w:jc w:val="both"/>
            </w:pPr>
            <w:r>
              <w:rPr>
                <w:color w:val="000000"/>
                <w:spacing w:val="0"/>
                <w:w w:val="100"/>
                <w:position w:val="0"/>
              </w:rPr>
              <w:t>—</w:t>
            </w:r>
          </w:p>
        </w:tc>
      </w:tr>
      <w:tr>
        <w:trPr>
          <w:trHeight w:val="2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w:t>
            </w:r>
            <w:r>
              <w:rPr>
                <w:color w:val="000000"/>
                <w:spacing w:val="0"/>
                <w:w w:val="100"/>
                <w:position w:val="0"/>
              </w:rPr>
              <w:t>转移就业脱贫</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1500" w:right="0" w:firstLine="0"/>
              <w:jc w:val="both"/>
            </w:pPr>
            <w:r>
              <w:rPr>
                <w:color w:val="000000"/>
                <w:spacing w:val="0"/>
                <w:w w:val="100"/>
                <w:position w:val="0"/>
              </w:rPr>
              <w:t>—</w:t>
            </w:r>
          </w:p>
        </w:tc>
      </w:tr>
      <w:tr>
        <w:trPr>
          <w:trHeight w:val="293" w:hRule="exact"/>
        </w:trPr>
        <w:tc>
          <w:tcPr>
            <w:tcBorders>
              <w:top w:val="single" w:sz="4"/>
              <w:left w:val="single" w:sz="4"/>
            </w:tcBorders>
            <w:shd w:val="clear" w:color="auto" w:fill="D3D3D3"/>
            <w:vAlign w:val="top"/>
          </w:tcPr>
          <w:p>
            <w:pPr>
              <w:pStyle w:val="Style28"/>
              <w:keepNext w:val="0"/>
              <w:keepLines w:val="0"/>
              <w:widowControl w:val="0"/>
              <w:shd w:val="clear" w:color="auto" w:fill="auto"/>
              <w:tabs>
                <w:tab w:pos="1085" w:val="left"/>
              </w:tabs>
              <w:bidi w:val="0"/>
              <w:spacing w:before="0" w:after="0" w:line="240" w:lineRule="auto"/>
              <w:ind w:left="0" w:right="0" w:firstLine="0"/>
              <w:jc w:val="left"/>
            </w:pPr>
            <w:r>
              <w:rPr>
                <w:color w:val="000000"/>
                <w:spacing w:val="0"/>
                <w:w w:val="100"/>
                <w:position w:val="0"/>
              </w:rPr>
              <w:t>其中：</w:t>
              <w:tab/>
            </w:r>
            <w:r>
              <w:rPr>
                <w:rFonts w:ascii="Times New Roman" w:eastAsia="Times New Roman" w:hAnsi="Times New Roman" w:cs="Times New Roman"/>
                <w:color w:val="000000"/>
                <w:spacing w:val="0"/>
                <w:w w:val="100"/>
                <w:position w:val="0"/>
              </w:rPr>
              <w:t>2.1</w:t>
            </w:r>
            <w:r>
              <w:rPr>
                <w:color w:val="000000"/>
                <w:spacing w:val="0"/>
                <w:w w:val="100"/>
                <w:position w:val="0"/>
              </w:rPr>
              <w:t>职业技能培训投入金额</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3000" w:right="0" w:firstLine="0"/>
              <w:jc w:val="both"/>
            </w:pPr>
            <w:r>
              <w:rPr>
                <w:color w:val="000000"/>
                <w:spacing w:val="0"/>
                <w:w w:val="100"/>
                <w:position w:val="0"/>
              </w:rPr>
              <w:t>—</w:t>
            </w:r>
          </w:p>
        </w:tc>
      </w:tr>
      <w:tr>
        <w:trPr>
          <w:trHeight w:val="298"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2.2</w:t>
            </w:r>
            <w:r>
              <w:rPr>
                <w:color w:val="000000"/>
                <w:spacing w:val="0"/>
                <w:w w:val="100"/>
                <w:position w:val="0"/>
              </w:rPr>
              <w:t>职业技能培训人数</w:t>
            </w:r>
          </w:p>
        </w:tc>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人次</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3000" w:right="0" w:firstLine="0"/>
              <w:jc w:val="both"/>
            </w:pPr>
            <w:r>
              <w:rPr>
                <w:color w:val="000000"/>
                <w:spacing w:val="0"/>
                <w:w w:val="100"/>
                <w:position w:val="0"/>
              </w:rPr>
              <w:t>—</w:t>
            </w:r>
          </w:p>
        </w:tc>
      </w:tr>
      <w:tr>
        <w:trPr>
          <w:trHeight w:val="293" w:hRule="exact"/>
        </w:trPr>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2.3</w:t>
            </w:r>
            <w:r>
              <w:rPr>
                <w:color w:val="000000"/>
                <w:spacing w:val="0"/>
                <w:w w:val="100"/>
                <w:position w:val="0"/>
              </w:rPr>
              <w:t>帮助建档立卡贫困户实现就业人数</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3000" w:right="0" w:firstLine="0"/>
              <w:jc w:val="both"/>
            </w:pPr>
            <w:r>
              <w:rPr>
                <w:color w:val="000000"/>
                <w:spacing w:val="0"/>
                <w:w w:val="100"/>
                <w:position w:val="0"/>
              </w:rPr>
              <w:t>—</w:t>
            </w:r>
          </w:p>
        </w:tc>
      </w:tr>
      <w:tr>
        <w:trPr>
          <w:trHeight w:val="2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w:t>
            </w:r>
            <w:r>
              <w:rPr>
                <w:color w:val="000000"/>
                <w:spacing w:val="0"/>
                <w:w w:val="100"/>
                <w:position w:val="0"/>
              </w:rPr>
              <w:t>易地搬迁脱贫</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1500" w:right="0" w:firstLine="0"/>
              <w:jc w:val="both"/>
            </w:pPr>
            <w:r>
              <w:rPr>
                <w:color w:val="000000"/>
                <w:spacing w:val="0"/>
                <w:w w:val="100"/>
                <w:position w:val="0"/>
              </w:rPr>
              <w:t>—</w:t>
            </w:r>
          </w:p>
        </w:tc>
      </w:tr>
      <w:tr>
        <w:trPr>
          <w:trHeight w:val="293" w:hRule="exact"/>
        </w:trPr>
        <w:tc>
          <w:tcPr>
            <w:tcBorders>
              <w:top w:val="single" w:sz="4"/>
              <w:left w:val="single" w:sz="4"/>
            </w:tcBorders>
            <w:shd w:val="clear" w:color="auto" w:fill="D3D3D3"/>
            <w:vAlign w:val="top"/>
          </w:tcPr>
          <w:p>
            <w:pPr>
              <w:pStyle w:val="Style28"/>
              <w:keepNext w:val="0"/>
              <w:keepLines w:val="0"/>
              <w:widowControl w:val="0"/>
              <w:shd w:val="clear" w:color="auto" w:fill="auto"/>
              <w:tabs>
                <w:tab w:pos="1090" w:val="left"/>
              </w:tabs>
              <w:bidi w:val="0"/>
              <w:spacing w:before="0" w:after="0" w:line="240" w:lineRule="auto"/>
              <w:ind w:left="0" w:right="0" w:firstLine="0"/>
              <w:jc w:val="left"/>
            </w:pPr>
            <w:r>
              <w:rPr>
                <w:color w:val="000000"/>
                <w:spacing w:val="0"/>
                <w:w w:val="100"/>
                <w:position w:val="0"/>
              </w:rPr>
              <w:t>其中：</w:t>
              <w:tab/>
            </w:r>
            <w:r>
              <w:rPr>
                <w:rFonts w:ascii="Times New Roman" w:eastAsia="Times New Roman" w:hAnsi="Times New Roman" w:cs="Times New Roman"/>
                <w:color w:val="000000"/>
                <w:spacing w:val="0"/>
                <w:w w:val="100"/>
                <w:position w:val="0"/>
              </w:rPr>
              <w:t>3.1</w:t>
            </w:r>
            <w:r>
              <w:rPr>
                <w:color w:val="000000"/>
                <w:spacing w:val="0"/>
                <w:w w:val="100"/>
                <w:position w:val="0"/>
              </w:rPr>
              <w:t>帮助搬迁户就业人数</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3000" w:right="0" w:firstLine="0"/>
              <w:jc w:val="both"/>
            </w:pPr>
            <w:r>
              <w:rPr>
                <w:color w:val="000000"/>
                <w:spacing w:val="0"/>
                <w:w w:val="100"/>
                <w:position w:val="0"/>
              </w:rPr>
              <w:t>—</w:t>
            </w:r>
          </w:p>
        </w:tc>
      </w:tr>
      <w:tr>
        <w:trPr>
          <w:trHeight w:val="2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w:t>
            </w:r>
            <w:r>
              <w:rPr>
                <w:color w:val="000000"/>
                <w:spacing w:val="0"/>
                <w:w w:val="100"/>
                <w:position w:val="0"/>
              </w:rPr>
              <w:t>教育脱贫</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1500" w:right="0" w:firstLine="0"/>
              <w:jc w:val="both"/>
            </w:pPr>
            <w:r>
              <w:rPr>
                <w:color w:val="000000"/>
                <w:spacing w:val="0"/>
                <w:w w:val="100"/>
                <w:position w:val="0"/>
              </w:rPr>
              <w:t>—</w:t>
            </w:r>
          </w:p>
        </w:tc>
      </w:tr>
      <w:tr>
        <w:trPr>
          <w:trHeight w:val="293" w:hRule="exact"/>
        </w:trPr>
        <w:tc>
          <w:tcPr>
            <w:tcBorders>
              <w:top w:val="single" w:sz="4"/>
              <w:left w:val="single" w:sz="4"/>
            </w:tcBorders>
            <w:shd w:val="clear" w:color="auto" w:fill="D3D3D3"/>
            <w:vAlign w:val="bottom"/>
          </w:tcPr>
          <w:p>
            <w:pPr>
              <w:pStyle w:val="Style28"/>
              <w:keepNext w:val="0"/>
              <w:keepLines w:val="0"/>
              <w:widowControl w:val="0"/>
              <w:shd w:val="clear" w:color="auto" w:fill="auto"/>
              <w:tabs>
                <w:tab w:pos="1085" w:val="left"/>
              </w:tabs>
              <w:bidi w:val="0"/>
              <w:spacing w:before="0" w:after="0" w:line="240" w:lineRule="auto"/>
              <w:ind w:left="0" w:right="0" w:firstLine="0"/>
              <w:jc w:val="left"/>
            </w:pPr>
            <w:r>
              <w:rPr>
                <w:color w:val="000000"/>
                <w:spacing w:val="0"/>
                <w:w w:val="100"/>
                <w:position w:val="0"/>
              </w:rPr>
              <w:t>其中：</w:t>
              <w:tab/>
            </w:r>
            <w:r>
              <w:rPr>
                <w:rFonts w:ascii="Times New Roman" w:eastAsia="Times New Roman" w:hAnsi="Times New Roman" w:cs="Times New Roman"/>
                <w:color w:val="000000"/>
                <w:spacing w:val="0"/>
                <w:w w:val="100"/>
                <w:position w:val="0"/>
              </w:rPr>
              <w:t>4.1</w:t>
            </w:r>
            <w:r>
              <w:rPr>
                <w:color w:val="000000"/>
                <w:spacing w:val="0"/>
                <w:w w:val="100"/>
                <w:position w:val="0"/>
              </w:rPr>
              <w:t>资助贫困学生投入金额</w:t>
            </w:r>
          </w:p>
        </w:tc>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50.77</w:t>
            </w:r>
          </w:p>
        </w:tc>
      </w:tr>
      <w:tr>
        <w:trPr>
          <w:trHeight w:val="298"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4.2</w:t>
            </w:r>
            <w:r>
              <w:rPr>
                <w:color w:val="000000"/>
                <w:spacing w:val="0"/>
                <w:w w:val="100"/>
                <w:position w:val="0"/>
              </w:rPr>
              <w:t>资助贫困学生人数</w:t>
            </w:r>
          </w:p>
        </w:tc>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978</w:t>
            </w:r>
          </w:p>
        </w:tc>
      </w:tr>
      <w:tr>
        <w:trPr>
          <w:trHeight w:val="298" w:hRule="exact"/>
        </w:trPr>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4.3</w:t>
            </w:r>
            <w:r>
              <w:rPr>
                <w:color w:val="000000"/>
                <w:spacing w:val="0"/>
                <w:w w:val="100"/>
                <w:position w:val="0"/>
              </w:rPr>
              <w:t>改善贫困地区教育资源投入金额</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3000" w:right="0" w:firstLine="0"/>
              <w:jc w:val="both"/>
            </w:pPr>
            <w:r>
              <w:rPr>
                <w:color w:val="000000"/>
                <w:spacing w:val="0"/>
                <w:w w:val="100"/>
                <w:position w:val="0"/>
              </w:rPr>
              <w:t>—</w:t>
            </w:r>
          </w:p>
        </w:tc>
      </w:tr>
      <w:tr>
        <w:trPr>
          <w:trHeight w:val="29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w:t>
            </w:r>
            <w:r>
              <w:rPr>
                <w:color w:val="000000"/>
                <w:spacing w:val="0"/>
                <w:w w:val="100"/>
                <w:position w:val="0"/>
              </w:rPr>
              <w:t>健康扶贫</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1500" w:right="0" w:firstLine="0"/>
              <w:jc w:val="both"/>
            </w:pPr>
            <w:r>
              <w:rPr>
                <w:color w:val="000000"/>
                <w:spacing w:val="0"/>
                <w:w w:val="100"/>
                <w:position w:val="0"/>
              </w:rPr>
              <w:t>—</w:t>
            </w:r>
          </w:p>
        </w:tc>
      </w:tr>
      <w:tr>
        <w:trPr>
          <w:trHeight w:val="298" w:hRule="exact"/>
        </w:trPr>
        <w:tc>
          <w:tcPr>
            <w:tcBorders>
              <w:top w:val="single" w:sz="4"/>
              <w:left w:val="single" w:sz="4"/>
            </w:tcBorders>
            <w:shd w:val="clear" w:color="auto" w:fill="D3D3D3"/>
            <w:vAlign w:val="top"/>
          </w:tcPr>
          <w:p>
            <w:pPr>
              <w:pStyle w:val="Style28"/>
              <w:keepNext w:val="0"/>
              <w:keepLines w:val="0"/>
              <w:widowControl w:val="0"/>
              <w:shd w:val="clear" w:color="auto" w:fill="auto"/>
              <w:tabs>
                <w:tab w:pos="1262" w:val="left"/>
              </w:tabs>
              <w:bidi w:val="0"/>
              <w:spacing w:before="0" w:after="0" w:line="240" w:lineRule="auto"/>
              <w:ind w:left="0" w:right="0" w:firstLine="0"/>
              <w:jc w:val="left"/>
            </w:pPr>
            <w:r>
              <w:rPr>
                <w:color w:val="000000"/>
                <w:spacing w:val="0"/>
                <w:w w:val="100"/>
                <w:position w:val="0"/>
              </w:rPr>
              <w:t>其中：</w:t>
              <w:tab/>
            </w:r>
            <w:r>
              <w:rPr>
                <w:rFonts w:ascii="Times New Roman" w:eastAsia="Times New Roman" w:hAnsi="Times New Roman" w:cs="Times New Roman"/>
                <w:color w:val="000000"/>
                <w:spacing w:val="0"/>
                <w:w w:val="100"/>
                <w:position w:val="0"/>
              </w:rPr>
              <w:t>5.1</w:t>
            </w:r>
            <w:r>
              <w:rPr>
                <w:color w:val="000000"/>
                <w:spacing w:val="0"/>
                <w:w w:val="100"/>
                <w:position w:val="0"/>
              </w:rPr>
              <w:t>贫困地区医疗卫生资源投入金额</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3000" w:right="0" w:firstLine="0"/>
              <w:jc w:val="both"/>
            </w:pPr>
            <w:r>
              <w:rPr>
                <w:color w:val="000000"/>
                <w:spacing w:val="0"/>
                <w:w w:val="100"/>
                <w:position w:val="0"/>
              </w:rPr>
              <w:t>—</w:t>
            </w:r>
          </w:p>
        </w:tc>
      </w:tr>
      <w:tr>
        <w:trPr>
          <w:trHeight w:val="29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6.</w:t>
            </w:r>
            <w:r>
              <w:rPr>
                <w:color w:val="000000"/>
                <w:spacing w:val="0"/>
                <w:w w:val="100"/>
                <w:position w:val="0"/>
              </w:rPr>
              <w:t>生态保护扶贫</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1500" w:right="0" w:firstLine="0"/>
              <w:jc w:val="both"/>
            </w:pPr>
            <w:r>
              <w:rPr>
                <w:color w:val="000000"/>
                <w:spacing w:val="0"/>
                <w:w w:val="100"/>
                <w:position w:val="0"/>
              </w:rPr>
              <w:t>—</w:t>
            </w:r>
          </w:p>
        </w:tc>
      </w:tr>
      <w:tr>
        <w:trPr>
          <w:trHeight w:val="298" w:hRule="exact"/>
        </w:trPr>
        <w:tc>
          <w:tcPr>
            <w:tcBorders>
              <w:top w:val="single" w:sz="4"/>
              <w:left w:val="single" w:sz="4"/>
            </w:tcBorders>
            <w:shd w:val="clear" w:color="auto" w:fill="D3D3D3"/>
            <w:vAlign w:val="center"/>
          </w:tcPr>
          <w:p>
            <w:pPr>
              <w:pStyle w:val="Style28"/>
              <w:keepNext w:val="0"/>
              <w:keepLines w:val="0"/>
              <w:widowControl w:val="0"/>
              <w:shd w:val="clear" w:color="auto" w:fill="auto"/>
              <w:tabs>
                <w:tab w:pos="1310" w:val="left"/>
              </w:tabs>
              <w:bidi w:val="0"/>
              <w:spacing w:before="0" w:after="0" w:line="240" w:lineRule="auto"/>
              <w:ind w:left="0" w:right="0" w:firstLine="0"/>
              <w:jc w:val="left"/>
            </w:pPr>
            <w:r>
              <w:rPr>
                <w:color w:val="000000"/>
                <w:spacing w:val="0"/>
                <w:w w:val="100"/>
                <w:position w:val="0"/>
              </w:rPr>
              <w:t>其中：</w:t>
              <w:tab/>
            </w:r>
            <w:r>
              <w:rPr>
                <w:rFonts w:ascii="Times New Roman" w:eastAsia="Times New Roman" w:hAnsi="Times New Roman" w:cs="Times New Roman"/>
                <w:color w:val="000000"/>
                <w:spacing w:val="0"/>
                <w:w w:val="100"/>
                <w:position w:val="0"/>
              </w:rPr>
              <w:t>6.1</w:t>
            </w:r>
            <w:r>
              <w:rPr>
                <w:color w:val="000000"/>
                <w:spacing w:val="0"/>
                <w:w w:val="100"/>
                <w:position w:val="0"/>
              </w:rPr>
              <w:t>项目类型</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3000" w:right="0" w:firstLine="0"/>
              <w:jc w:val="both"/>
            </w:pPr>
            <w:r>
              <w:rPr>
                <w:color w:val="000000"/>
                <w:spacing w:val="0"/>
                <w:w w:val="100"/>
                <w:position w:val="0"/>
              </w:rPr>
              <w:t>—</w:t>
            </w:r>
          </w:p>
        </w:tc>
      </w:tr>
      <w:tr>
        <w:trPr>
          <w:trHeight w:val="293" w:hRule="exact"/>
        </w:trPr>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6.2</w:t>
            </w:r>
            <w:r>
              <w:rPr>
                <w:color w:val="000000"/>
                <w:spacing w:val="0"/>
                <w:w w:val="100"/>
                <w:position w:val="0"/>
              </w:rPr>
              <w:t>投入金额</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3000" w:right="0" w:firstLine="0"/>
              <w:jc w:val="both"/>
            </w:pPr>
            <w:r>
              <w:rPr>
                <w:color w:val="000000"/>
                <w:spacing w:val="0"/>
                <w:w w:val="100"/>
                <w:position w:val="0"/>
              </w:rPr>
              <w:t>—</w:t>
            </w:r>
          </w:p>
        </w:tc>
      </w:tr>
      <w:tr>
        <w:trPr>
          <w:trHeight w:val="2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7.</w:t>
            </w:r>
            <w:r>
              <w:rPr>
                <w:color w:val="000000"/>
                <w:spacing w:val="0"/>
                <w:w w:val="100"/>
                <w:position w:val="0"/>
              </w:rPr>
              <w:t>兜底保障</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1500" w:right="0" w:firstLine="0"/>
              <w:jc w:val="both"/>
            </w:pPr>
            <w:r>
              <w:rPr>
                <w:color w:val="000000"/>
                <w:spacing w:val="0"/>
                <w:w w:val="100"/>
                <w:position w:val="0"/>
              </w:rPr>
              <w:t>—</w:t>
            </w:r>
          </w:p>
        </w:tc>
      </w:tr>
      <w:tr>
        <w:trPr>
          <w:trHeight w:val="293" w:hRule="exact"/>
        </w:trPr>
        <w:tc>
          <w:tcPr>
            <w:tcBorders>
              <w:top w:val="single" w:sz="4"/>
              <w:left w:val="single" w:sz="4"/>
            </w:tcBorders>
            <w:shd w:val="clear" w:color="auto" w:fill="D3D3D3"/>
            <w:vAlign w:val="top"/>
          </w:tcPr>
          <w:p>
            <w:pPr>
              <w:pStyle w:val="Style28"/>
              <w:keepNext w:val="0"/>
              <w:keepLines w:val="0"/>
              <w:widowControl w:val="0"/>
              <w:shd w:val="clear" w:color="auto" w:fill="auto"/>
              <w:tabs>
                <w:tab w:pos="1066" w:val="left"/>
              </w:tabs>
              <w:bidi w:val="0"/>
              <w:spacing w:before="0" w:after="0" w:line="240" w:lineRule="auto"/>
              <w:ind w:left="0" w:right="0" w:firstLine="0"/>
              <w:jc w:val="left"/>
            </w:pPr>
            <w:r>
              <w:rPr>
                <w:color w:val="000000"/>
                <w:spacing w:val="0"/>
                <w:w w:val="100"/>
                <w:position w:val="0"/>
              </w:rPr>
              <w:t>其中：</w:t>
              <w:tab/>
            </w:r>
            <w:r>
              <w:rPr>
                <w:rFonts w:ascii="Times New Roman" w:eastAsia="Times New Roman" w:hAnsi="Times New Roman" w:cs="Times New Roman"/>
                <w:color w:val="000000"/>
                <w:spacing w:val="0"/>
                <w:w w:val="100"/>
                <w:position w:val="0"/>
              </w:rPr>
              <w:t>7.1“</w:t>
            </w:r>
            <w:r>
              <w:rPr>
                <w:color w:val="000000"/>
                <w:spacing w:val="0"/>
                <w:w w:val="100"/>
                <w:position w:val="0"/>
              </w:rPr>
              <w:t>三留守</w:t>
            </w:r>
            <w:r>
              <w:rPr>
                <w:rFonts w:ascii="Times New Roman" w:eastAsia="Times New Roman" w:hAnsi="Times New Roman" w:cs="Times New Roman"/>
                <w:color w:val="000000"/>
                <w:spacing w:val="0"/>
                <w:w w:val="100"/>
                <w:position w:val="0"/>
              </w:rPr>
              <w:t>”</w:t>
            </w:r>
            <w:r>
              <w:rPr>
                <w:color w:val="000000"/>
                <w:spacing w:val="0"/>
                <w:w w:val="100"/>
                <w:position w:val="0"/>
              </w:rPr>
              <w:t>人员投入金额</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3000" w:right="0" w:firstLine="0"/>
              <w:jc w:val="both"/>
            </w:pPr>
            <w:r>
              <w:rPr>
                <w:color w:val="000000"/>
                <w:spacing w:val="0"/>
                <w:w w:val="100"/>
                <w:position w:val="0"/>
              </w:rPr>
              <w:t>—</w:t>
            </w:r>
          </w:p>
        </w:tc>
      </w:tr>
      <w:tr>
        <w:trPr>
          <w:trHeight w:val="298" w:hRule="exact"/>
        </w:trPr>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7.2</w:t>
            </w:r>
            <w:r>
              <w:rPr>
                <w:color w:val="000000"/>
                <w:spacing w:val="0"/>
                <w:w w:val="100"/>
                <w:position w:val="0"/>
              </w:rPr>
              <w:t>帮助</w:t>
            </w:r>
            <w:r>
              <w:rPr>
                <w:rFonts w:ascii="Times New Roman" w:eastAsia="Times New Roman" w:hAnsi="Times New Roman" w:cs="Times New Roman"/>
                <w:color w:val="000000"/>
                <w:spacing w:val="0"/>
                <w:w w:val="100"/>
                <w:position w:val="0"/>
              </w:rPr>
              <w:t>“</w:t>
            </w:r>
            <w:r>
              <w:rPr>
                <w:color w:val="000000"/>
                <w:spacing w:val="0"/>
                <w:w w:val="100"/>
                <w:position w:val="0"/>
              </w:rPr>
              <w:t>三留守</w:t>
            </w:r>
            <w:r>
              <w:rPr>
                <w:rFonts w:ascii="Times New Roman" w:eastAsia="Times New Roman" w:hAnsi="Times New Roman" w:cs="Times New Roman"/>
                <w:color w:val="000000"/>
                <w:spacing w:val="0"/>
                <w:w w:val="100"/>
                <w:position w:val="0"/>
              </w:rPr>
              <w:t>”</w:t>
            </w:r>
            <w:r>
              <w:rPr>
                <w:color w:val="000000"/>
                <w:spacing w:val="0"/>
                <w:w w:val="100"/>
                <w:position w:val="0"/>
              </w:rPr>
              <w:t>人员数</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3000" w:right="0" w:firstLine="0"/>
              <w:jc w:val="both"/>
            </w:pPr>
            <w:r>
              <w:rPr>
                <w:color w:val="000000"/>
                <w:spacing w:val="0"/>
                <w:w w:val="100"/>
                <w:position w:val="0"/>
              </w:rPr>
              <w:t>—</w:t>
            </w:r>
          </w:p>
        </w:tc>
      </w:tr>
      <w:tr>
        <w:trPr>
          <w:trHeight w:val="293" w:hRule="exact"/>
        </w:trPr>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7.3</w:t>
            </w:r>
            <w:r>
              <w:rPr>
                <w:color w:val="000000"/>
                <w:spacing w:val="0"/>
                <w:w w:val="100"/>
                <w:position w:val="0"/>
              </w:rPr>
              <w:t>贫困残疾人投入金额</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3000" w:right="0" w:firstLine="0"/>
              <w:jc w:val="both"/>
            </w:pPr>
            <w:r>
              <w:rPr>
                <w:color w:val="000000"/>
                <w:spacing w:val="0"/>
                <w:w w:val="100"/>
                <w:position w:val="0"/>
              </w:rPr>
              <w:t>—</w:t>
            </w:r>
          </w:p>
        </w:tc>
      </w:tr>
      <w:tr>
        <w:trPr>
          <w:trHeight w:val="298" w:hRule="exact"/>
        </w:trPr>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7.4</w:t>
            </w:r>
            <w:r>
              <w:rPr>
                <w:color w:val="000000"/>
                <w:spacing w:val="0"/>
                <w:w w:val="100"/>
                <w:position w:val="0"/>
              </w:rPr>
              <w:t>帮助贫困残疾人数</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3000" w:right="0" w:firstLine="0"/>
              <w:jc w:val="both"/>
            </w:pPr>
            <w:r>
              <w:rPr>
                <w:color w:val="000000"/>
                <w:spacing w:val="0"/>
                <w:w w:val="100"/>
                <w:position w:val="0"/>
              </w:rPr>
              <w:t>—</w:t>
            </w:r>
          </w:p>
        </w:tc>
      </w:tr>
      <w:tr>
        <w:trPr>
          <w:trHeight w:val="29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8.</w:t>
            </w:r>
            <w:r>
              <w:rPr>
                <w:color w:val="000000"/>
                <w:spacing w:val="0"/>
                <w:w w:val="100"/>
                <w:position w:val="0"/>
              </w:rPr>
              <w:t>社会扶贫</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1500" w:right="0" w:firstLine="0"/>
              <w:jc w:val="both"/>
            </w:pPr>
            <w:r>
              <w:rPr>
                <w:color w:val="000000"/>
                <w:spacing w:val="0"/>
                <w:w w:val="100"/>
                <w:position w:val="0"/>
              </w:rPr>
              <w:t>—</w:t>
            </w:r>
          </w:p>
        </w:tc>
      </w:tr>
      <w:tr>
        <w:trPr>
          <w:trHeight w:val="298" w:hRule="exact"/>
        </w:trPr>
        <w:tc>
          <w:tcPr>
            <w:tcBorders>
              <w:top w:val="single" w:sz="4"/>
              <w:left w:val="single" w:sz="4"/>
            </w:tcBorders>
            <w:shd w:val="clear" w:color="auto" w:fill="D3D3D3"/>
            <w:vAlign w:val="bottom"/>
          </w:tcPr>
          <w:p>
            <w:pPr>
              <w:pStyle w:val="Style28"/>
              <w:keepNext w:val="0"/>
              <w:keepLines w:val="0"/>
              <w:widowControl w:val="0"/>
              <w:shd w:val="clear" w:color="auto" w:fill="auto"/>
              <w:tabs>
                <w:tab w:pos="1094" w:val="left"/>
              </w:tabs>
              <w:bidi w:val="0"/>
              <w:spacing w:before="0" w:after="0" w:line="240" w:lineRule="auto"/>
              <w:ind w:left="0" w:right="0" w:firstLine="0"/>
              <w:jc w:val="left"/>
            </w:pPr>
            <w:r>
              <w:rPr>
                <w:color w:val="000000"/>
                <w:spacing w:val="0"/>
                <w:w w:val="100"/>
                <w:position w:val="0"/>
              </w:rPr>
              <w:t>其中：</w:t>
              <w:tab/>
            </w:r>
            <w:r>
              <w:rPr>
                <w:rFonts w:ascii="Times New Roman" w:eastAsia="Times New Roman" w:hAnsi="Times New Roman" w:cs="Times New Roman"/>
                <w:color w:val="000000"/>
                <w:spacing w:val="0"/>
                <w:w w:val="100"/>
                <w:position w:val="0"/>
              </w:rPr>
              <w:t>8.1</w:t>
            </w:r>
            <w:r>
              <w:rPr>
                <w:color w:val="000000"/>
                <w:spacing w:val="0"/>
                <w:w w:val="100"/>
                <w:position w:val="0"/>
              </w:rPr>
              <w:t>东西部扶贫协作投入金额</w:t>
            </w:r>
          </w:p>
        </w:tc>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3000" w:right="0" w:firstLine="0"/>
              <w:jc w:val="both"/>
            </w:pPr>
            <w:r>
              <w:rPr>
                <w:color w:val="000000"/>
                <w:spacing w:val="0"/>
                <w:w w:val="100"/>
                <w:position w:val="0"/>
              </w:rPr>
              <w:t>—</w:t>
            </w:r>
          </w:p>
        </w:tc>
      </w:tr>
      <w:tr>
        <w:trPr>
          <w:trHeight w:val="293" w:hRule="exact"/>
        </w:trPr>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8.2</w:t>
            </w:r>
            <w:r>
              <w:rPr>
                <w:color w:val="000000"/>
                <w:spacing w:val="0"/>
                <w:w w:val="100"/>
                <w:position w:val="0"/>
              </w:rPr>
              <w:t>定点扶贫工作投入金额</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3000" w:right="0" w:firstLine="0"/>
              <w:jc w:val="both"/>
            </w:pPr>
            <w:r>
              <w:rPr>
                <w:color w:val="000000"/>
                <w:spacing w:val="0"/>
                <w:w w:val="100"/>
                <w:position w:val="0"/>
              </w:rPr>
              <w:t>—</w:t>
            </w:r>
          </w:p>
        </w:tc>
      </w:tr>
      <w:tr>
        <w:trPr>
          <w:trHeight w:val="298"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8.3</w:t>
            </w:r>
            <w:r>
              <w:rPr>
                <w:color w:val="000000"/>
                <w:spacing w:val="0"/>
                <w:w w:val="100"/>
                <w:position w:val="0"/>
              </w:rPr>
              <w:t>扶贫公益基金投入金额</w:t>
            </w:r>
          </w:p>
        </w:tc>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2840" w:right="0" w:firstLine="0"/>
              <w:jc w:val="both"/>
            </w:pPr>
            <w:r>
              <w:rPr>
                <w:rFonts w:ascii="Times New Roman" w:eastAsia="Times New Roman" w:hAnsi="Times New Roman" w:cs="Times New Roman"/>
                <w:color w:val="000000"/>
                <w:spacing w:val="0"/>
                <w:w w:val="100"/>
                <w:position w:val="0"/>
              </w:rPr>
              <w:t>301.44</w:t>
            </w:r>
          </w:p>
        </w:tc>
      </w:tr>
      <w:tr>
        <w:trPr>
          <w:trHeight w:val="29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9.</w:t>
            </w:r>
            <w:r>
              <w:rPr>
                <w:color w:val="000000"/>
                <w:spacing w:val="0"/>
                <w:w w:val="100"/>
                <w:position w:val="0"/>
              </w:rPr>
              <w:t>其他项目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1500" w:right="0" w:firstLine="0"/>
              <w:jc w:val="both"/>
            </w:pPr>
            <w:r>
              <w:rPr>
                <w:color w:val="000000"/>
                <w:spacing w:val="0"/>
                <w:w w:val="100"/>
                <w:position w:val="0"/>
              </w:rPr>
              <w:t>—</w:t>
            </w:r>
          </w:p>
        </w:tc>
      </w:tr>
      <w:tr>
        <w:trPr>
          <w:trHeight w:val="298" w:hRule="exact"/>
        </w:trPr>
        <w:tc>
          <w:tcPr>
            <w:tcBorders>
              <w:top w:val="single" w:sz="4"/>
              <w:left w:val="single" w:sz="4"/>
            </w:tcBorders>
            <w:shd w:val="clear" w:color="auto" w:fill="D3D3D3"/>
            <w:vAlign w:val="bottom"/>
          </w:tcPr>
          <w:p>
            <w:pPr>
              <w:pStyle w:val="Style28"/>
              <w:keepNext w:val="0"/>
              <w:keepLines w:val="0"/>
              <w:widowControl w:val="0"/>
              <w:shd w:val="clear" w:color="auto" w:fill="auto"/>
              <w:tabs>
                <w:tab w:pos="1090" w:val="left"/>
              </w:tabs>
              <w:bidi w:val="0"/>
              <w:spacing w:before="0" w:after="0" w:line="240" w:lineRule="auto"/>
              <w:ind w:left="0" w:right="0" w:firstLine="0"/>
              <w:jc w:val="left"/>
            </w:pPr>
            <w:r>
              <w:rPr>
                <w:color w:val="000000"/>
                <w:spacing w:val="0"/>
                <w:w w:val="100"/>
                <w:position w:val="0"/>
              </w:rPr>
              <w:t>其中：</w:t>
              <w:tab/>
            </w:r>
            <w:r>
              <w:rPr>
                <w:rFonts w:ascii="Times New Roman" w:eastAsia="Times New Roman" w:hAnsi="Times New Roman" w:cs="Times New Roman"/>
                <w:color w:val="000000"/>
                <w:spacing w:val="0"/>
                <w:w w:val="100"/>
                <w:position w:val="0"/>
              </w:rPr>
              <w:t>9.1.</w:t>
            </w:r>
            <w:r>
              <w:rPr>
                <w:color w:val="000000"/>
                <w:spacing w:val="0"/>
                <w:w w:val="100"/>
                <w:position w:val="0"/>
              </w:rPr>
              <w:t>项目个数</w:t>
            </w:r>
          </w:p>
        </w:tc>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个</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3000" w:right="0" w:firstLine="0"/>
              <w:jc w:val="both"/>
            </w:pPr>
            <w:r>
              <w:rPr>
                <w:color w:val="000000"/>
                <w:spacing w:val="0"/>
                <w:w w:val="100"/>
                <w:position w:val="0"/>
              </w:rPr>
              <w:t>—</w:t>
            </w:r>
          </w:p>
        </w:tc>
      </w:tr>
      <w:tr>
        <w:trPr>
          <w:trHeight w:val="293" w:hRule="exact"/>
        </w:trPr>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9.2.</w:t>
            </w:r>
            <w:r>
              <w:rPr>
                <w:color w:val="000000"/>
                <w:spacing w:val="0"/>
                <w:w w:val="100"/>
                <w:position w:val="0"/>
              </w:rPr>
              <w:t>投入金额</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3000" w:right="0" w:firstLine="0"/>
              <w:jc w:val="both"/>
            </w:pPr>
            <w:r>
              <w:rPr>
                <w:color w:val="000000"/>
                <w:spacing w:val="0"/>
                <w:w w:val="100"/>
                <w:position w:val="0"/>
              </w:rPr>
              <w:t>—</w:t>
            </w:r>
          </w:p>
        </w:tc>
      </w:tr>
      <w:tr>
        <w:trPr>
          <w:trHeight w:val="298"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9.3.</w:t>
            </w:r>
            <w:r>
              <w:rPr>
                <w:color w:val="000000"/>
                <w:spacing w:val="0"/>
                <w:w w:val="100"/>
                <w:position w:val="0"/>
              </w:rPr>
              <w:t>帮助建档立卡贫困人口脱贫数</w:t>
            </w:r>
          </w:p>
        </w:tc>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3000" w:right="0" w:firstLine="0"/>
              <w:jc w:val="both"/>
            </w:pPr>
            <w:r>
              <w:rPr>
                <w:color w:val="000000"/>
                <w:spacing w:val="0"/>
                <w:w w:val="100"/>
                <w:position w:val="0"/>
              </w:rPr>
              <w:t>—</w:t>
            </w:r>
          </w:p>
        </w:tc>
      </w:tr>
      <w:tr>
        <w:trPr>
          <w:trHeight w:val="302"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三、所获奖项（内容、级别）</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1500" w:right="0" w:firstLine="0"/>
              <w:jc w:val="both"/>
            </w:pPr>
            <w:r>
              <w:rPr>
                <w:color w:val="000000"/>
                <w:spacing w:val="0"/>
                <w:w w:val="100"/>
                <w:position w:val="0"/>
              </w:rPr>
              <w:t>—</w:t>
            </w:r>
          </w:p>
        </w:tc>
      </w:tr>
    </w:tbl>
    <w:p>
      <w:pPr>
        <w:pStyle w:val="Style38"/>
        <w:keepNext/>
        <w:keepLines/>
        <w:widowControl w:val="0"/>
        <w:shd w:val="clear" w:color="auto" w:fill="auto"/>
        <w:bidi w:val="0"/>
        <w:spacing w:before="0" w:after="0" w:line="470" w:lineRule="exact"/>
        <w:ind w:left="0" w:right="0" w:firstLine="0"/>
        <w:jc w:val="left"/>
      </w:pPr>
      <w:bookmarkStart w:id="371" w:name="bookmark371"/>
      <w:bookmarkStart w:id="372" w:name="bookmark372"/>
      <w:bookmarkStart w:id="373" w:name="bookmark373"/>
      <w:bookmarkStart w:id="374" w:name="bookmark374"/>
      <w:r>
        <w:rPr>
          <w:color w:val="000000"/>
          <w:spacing w:val="0"/>
          <w:w w:val="100"/>
          <w:position w:val="0"/>
        </w:rPr>
        <w:t>（</w:t>
      </w:r>
      <w:bookmarkEnd w:id="373"/>
      <w:r>
        <w:rPr>
          <w:rFonts w:ascii="Times New Roman" w:eastAsia="Times New Roman" w:hAnsi="Times New Roman" w:cs="Times New Roman"/>
          <w:color w:val="000000"/>
          <w:spacing w:val="0"/>
          <w:w w:val="100"/>
          <w:position w:val="0"/>
        </w:rPr>
        <w:t>3</w:t>
      </w:r>
      <w:r>
        <w:rPr>
          <w:color w:val="000000"/>
          <w:spacing w:val="0"/>
          <w:w w:val="100"/>
          <w:position w:val="0"/>
        </w:rPr>
        <w:t>）后续精准扶贫计划</w:t>
      </w:r>
      <w:bookmarkEnd w:id="371"/>
      <w:bookmarkEnd w:id="372"/>
      <w:bookmarkEnd w:id="374"/>
    </w:p>
    <w:p>
      <w:pPr>
        <w:pStyle w:val="Style32"/>
        <w:keepNext w:val="0"/>
        <w:keepLines w:val="0"/>
        <w:widowControl w:val="0"/>
        <w:shd w:val="clear" w:color="auto" w:fill="auto"/>
        <w:bidi w:val="0"/>
        <w:spacing w:before="0" w:after="220" w:line="470" w:lineRule="exact"/>
        <w:ind w:left="0" w:right="0" w:firstLine="460"/>
        <w:jc w:val="both"/>
      </w:pPr>
      <w:r>
        <w:rPr>
          <w:rFonts w:ascii="Times New Roman" w:eastAsia="Times New Roman" w:hAnsi="Times New Roman" w:cs="Times New Roman"/>
          <w:color w:val="000000"/>
          <w:spacing w:val="0"/>
          <w:w w:val="100"/>
          <w:position w:val="0"/>
        </w:rPr>
        <w:t>2017</w:t>
      </w:r>
      <w:r>
        <w:rPr>
          <w:color w:val="000000"/>
          <w:spacing w:val="0"/>
          <w:w w:val="100"/>
          <w:position w:val="0"/>
        </w:rPr>
        <w:t>年公司将继续在互联网</w:t>
      </w:r>
      <w:r>
        <w:rPr>
          <w:rFonts w:ascii="Times New Roman" w:eastAsia="Times New Roman" w:hAnsi="Times New Roman" w:cs="Times New Roman"/>
          <w:color w:val="000000"/>
          <w:spacing w:val="0"/>
          <w:w w:val="100"/>
          <w:position w:val="0"/>
        </w:rPr>
        <w:t>+</w:t>
      </w:r>
      <w:r>
        <w:rPr>
          <w:color w:val="000000"/>
          <w:spacing w:val="0"/>
          <w:w w:val="100"/>
          <w:position w:val="0"/>
        </w:rPr>
        <w:t>精准扶贫方面积极探索，同步在教育文化公益、扶贫救弱、资学助 教、抗击灾害、支持就业等领域公益方面开展各类扶贫工作。</w:t>
      </w:r>
    </w:p>
    <w:p>
      <w:pPr>
        <w:pStyle w:val="Style38"/>
        <w:keepNext/>
        <w:keepLines/>
        <w:widowControl w:val="0"/>
        <w:shd w:val="clear" w:color="auto" w:fill="auto"/>
        <w:bidi w:val="0"/>
        <w:spacing w:before="0" w:after="220" w:line="470" w:lineRule="exact"/>
        <w:ind w:left="0" w:right="0" w:firstLine="0"/>
        <w:jc w:val="left"/>
      </w:pPr>
      <w:bookmarkStart w:id="375" w:name="bookmark375"/>
      <w:bookmarkStart w:id="376" w:name="bookmark376"/>
      <w:bookmarkStart w:id="377" w:name="bookmark377"/>
      <w:bookmarkStart w:id="378" w:name="bookmark378"/>
      <w:r>
        <w:rPr>
          <w:rFonts w:ascii="Times New Roman" w:eastAsia="Times New Roman" w:hAnsi="Times New Roman" w:cs="Times New Roman"/>
          <w:color w:val="000000"/>
          <w:spacing w:val="0"/>
          <w:w w:val="100"/>
          <w:position w:val="0"/>
        </w:rPr>
        <w:t>2</w:t>
      </w:r>
      <w:bookmarkEnd w:id="377"/>
      <w:r>
        <w:rPr>
          <w:color w:val="000000"/>
          <w:spacing w:val="0"/>
          <w:w w:val="100"/>
          <w:position w:val="0"/>
        </w:rPr>
        <w:t>、履行其他社会责任的情况</w:t>
      </w:r>
      <w:bookmarkEnd w:id="375"/>
      <w:bookmarkEnd w:id="376"/>
      <w:bookmarkEnd w:id="378"/>
    </w:p>
    <w:p>
      <w:pPr>
        <w:pStyle w:val="Style32"/>
        <w:keepNext w:val="0"/>
        <w:keepLines w:val="0"/>
        <w:widowControl w:val="0"/>
        <w:shd w:val="clear" w:color="auto" w:fill="auto"/>
        <w:bidi w:val="0"/>
        <w:spacing w:before="0" w:after="360" w:line="470" w:lineRule="exact"/>
        <w:ind w:left="0" w:right="0" w:firstLine="460"/>
        <w:jc w:val="left"/>
      </w:pPr>
      <w:r>
        <w:rPr>
          <w:color w:val="000000"/>
          <w:spacing w:val="0"/>
          <w:w w:val="100"/>
          <w:position w:val="0"/>
        </w:rPr>
        <w:t>公司《</w:t>
      </w:r>
      <w:r>
        <w:rPr>
          <w:rFonts w:ascii="Times New Roman" w:eastAsia="Times New Roman" w:hAnsi="Times New Roman" w:cs="Times New Roman"/>
          <w:color w:val="000000"/>
          <w:spacing w:val="0"/>
          <w:w w:val="100"/>
          <w:position w:val="0"/>
        </w:rPr>
        <w:t>2016</w:t>
      </w:r>
      <w:r>
        <w:rPr>
          <w:color w:val="000000"/>
          <w:spacing w:val="0"/>
          <w:w w:val="100"/>
          <w:position w:val="0"/>
        </w:rPr>
        <w:t>年度社会责任报告》全文详见巨潮资讯网</w:t>
      </w:r>
      <w:r>
        <w:rPr>
          <w:rFonts w:ascii="Times New Roman" w:eastAsia="Times New Roman" w:hAnsi="Times New Roman" w:cs="Times New Roman"/>
          <w:color w:val="000000"/>
          <w:spacing w:val="0"/>
          <w:w w:val="100"/>
          <w:position w:val="0"/>
        </w:rPr>
        <w:t>www.cninfb.com.cn</w:t>
      </w:r>
      <w:r>
        <w:rPr>
          <w:color w:val="000000"/>
          <w:spacing w:val="0"/>
          <w:w w:val="100"/>
          <w:position w:val="0"/>
        </w:rPr>
        <w:t>。</w:t>
      </w:r>
    </w:p>
    <w:p>
      <w:pPr>
        <w:pStyle w:val="Style32"/>
        <w:keepNext w:val="0"/>
        <w:keepLines w:val="0"/>
        <w:widowControl w:val="0"/>
        <w:shd w:val="clear" w:color="auto" w:fill="auto"/>
        <w:bidi w:val="0"/>
        <w:spacing w:before="0" w:after="360" w:line="240" w:lineRule="auto"/>
        <w:ind w:left="0" w:right="0" w:firstLine="460"/>
        <w:jc w:val="left"/>
      </w:pPr>
      <w:r>
        <w:rPr>
          <w:color w:val="000000"/>
          <w:spacing w:val="0"/>
          <w:w w:val="100"/>
          <w:position w:val="0"/>
        </w:rPr>
        <w:t>上市公司及其子公司是否属于环境保护部门公布的重点排污单位</w:t>
      </w:r>
    </w:p>
    <w:p>
      <w:pPr>
        <w:pStyle w:val="Style32"/>
        <w:keepNext w:val="0"/>
        <w:keepLines w:val="0"/>
        <w:widowControl w:val="0"/>
        <w:shd w:val="clear" w:color="auto" w:fill="auto"/>
        <w:bidi w:val="0"/>
        <w:spacing w:before="0" w:after="660" w:line="240" w:lineRule="auto"/>
        <w:ind w:left="0" w:right="0" w:firstLine="460"/>
        <w:jc w:val="both"/>
      </w:pPr>
      <w:r>
        <w:rPr>
          <w:color w:val="000000"/>
          <w:spacing w:val="0"/>
          <w:w w:val="100"/>
          <w:position w:val="0"/>
        </w:rPr>
        <w:t>不适用</w:t>
      </w:r>
    </w:p>
    <w:p>
      <w:pPr>
        <w:pStyle w:val="Style25"/>
        <w:keepNext w:val="0"/>
        <w:keepLines w:val="0"/>
        <w:widowControl w:val="0"/>
        <w:shd w:val="clear" w:color="auto" w:fill="auto"/>
        <w:bidi w:val="0"/>
        <w:spacing w:before="0" w:after="0" w:line="240" w:lineRule="auto"/>
        <w:ind w:left="432" w:right="0" w:firstLine="0"/>
        <w:jc w:val="left"/>
      </w:pPr>
      <w:r>
        <w:rPr>
          <w:color w:val="000000"/>
          <w:spacing w:val="0"/>
          <w:w w:val="100"/>
          <w:position w:val="0"/>
        </w:rPr>
        <w:t>是否发布社会责任报告</w:t>
      </w:r>
    </w:p>
    <w:tbl>
      <w:tblPr>
        <w:tblOverlap w:val="never"/>
        <w:jc w:val="center"/>
        <w:tblLayout w:type="fixed"/>
      </w:tblPr>
      <w:tblGrid>
        <w:gridCol w:w="1488"/>
        <w:gridCol w:w="1478"/>
        <w:gridCol w:w="1483"/>
        <w:gridCol w:w="1478"/>
        <w:gridCol w:w="1853"/>
        <w:gridCol w:w="1800"/>
      </w:tblGrid>
      <w:tr>
        <w:trPr>
          <w:trHeight w:val="298" w:hRule="exact"/>
        </w:trPr>
        <w:tc>
          <w:tcPr>
            <w:gridSpan w:val="6"/>
            <w:tcBorders>
              <w:top w:val="single" w:sz="4"/>
              <w:left w:val="single" w:sz="4"/>
              <w:righ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企业社会责任报告</w:t>
            </w:r>
          </w:p>
        </w:tc>
      </w:tr>
      <w:tr>
        <w:trPr>
          <w:trHeight w:val="298" w:hRule="exact"/>
        </w:trPr>
        <w:tc>
          <w:tcPr>
            <w:vMerge w:val="restart"/>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300"/>
              <w:jc w:val="left"/>
            </w:pPr>
            <w:r>
              <w:rPr>
                <w:color w:val="000000"/>
                <w:spacing w:val="0"/>
                <w:w w:val="100"/>
                <w:position w:val="0"/>
              </w:rPr>
              <w:t>企业性质</w:t>
            </w:r>
          </w:p>
        </w:tc>
        <w:tc>
          <w:tcPr>
            <w:vMerge w:val="restart"/>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是否含环境方 面信息</w:t>
            </w:r>
          </w:p>
        </w:tc>
        <w:tc>
          <w:tcPr>
            <w:vMerge w:val="restart"/>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88" w:lineRule="exact"/>
              <w:ind w:left="0" w:right="0" w:firstLine="0"/>
              <w:jc w:val="center"/>
            </w:pPr>
            <w:r>
              <w:rPr>
                <w:color w:val="000000"/>
                <w:spacing w:val="0"/>
                <w:w w:val="100"/>
                <w:position w:val="0"/>
              </w:rPr>
              <w:t>是否含社会方 面信息</w:t>
            </w:r>
          </w:p>
        </w:tc>
        <w:tc>
          <w:tcPr>
            <w:vMerge w:val="restart"/>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83" w:lineRule="exact"/>
              <w:ind w:left="0" w:right="0" w:firstLine="0"/>
              <w:jc w:val="center"/>
            </w:pPr>
            <w:r>
              <w:rPr>
                <w:color w:val="000000"/>
                <w:spacing w:val="0"/>
                <w:w w:val="100"/>
                <w:position w:val="0"/>
              </w:rPr>
              <w:t>是否含公司治 理方面信息</w:t>
            </w:r>
          </w:p>
        </w:tc>
        <w:tc>
          <w:tcPr>
            <w:gridSpan w:val="2"/>
            <w:tcBorders>
              <w:top w:val="single" w:sz="4"/>
              <w:left w:val="single" w:sz="4"/>
              <w:righ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报告披露标准</w:t>
            </w:r>
          </w:p>
        </w:tc>
      </w:tr>
      <w:tr>
        <w:trPr>
          <w:trHeight w:val="298" w:hRule="exact"/>
        </w:trPr>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国内标准</w:t>
            </w:r>
          </w:p>
        </w:tc>
        <w:tc>
          <w:tcPr>
            <w:tcBorders>
              <w:top w:val="single" w:sz="4"/>
              <w:left w:val="single" w:sz="4"/>
              <w:righ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国外标准</w:t>
            </w:r>
          </w:p>
        </w:tc>
      </w:tr>
      <w:tr>
        <w:trPr>
          <w:trHeight w:val="3691"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私企</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81" w:lineRule="exact"/>
              <w:ind w:left="0" w:right="0" w:firstLine="0"/>
              <w:jc w:val="left"/>
            </w:pPr>
            <w:r>
              <w:rPr>
                <w:color w:val="000000"/>
                <w:spacing w:val="0"/>
                <w:w w:val="100"/>
                <w:position w:val="0"/>
              </w:rPr>
              <w:t>深圳证券交易所 《上市公司社会责 任指引》、中国社 科院《中国企业社 会责任报告编写指 南</w:t>
            </w:r>
            <w:r>
              <w:rPr>
                <w:color w:val="000000"/>
                <w:spacing w:val="0"/>
                <w:w w:val="100"/>
                <w:position w:val="0"/>
              </w:rPr>
              <w:t>（</w:t>
            </w:r>
            <w:r>
              <w:rPr>
                <w:rFonts w:ascii="Times New Roman" w:eastAsia="Times New Roman" w:hAnsi="Times New Roman" w:cs="Times New Roman"/>
                <w:color w:val="000000"/>
                <w:spacing w:val="0"/>
                <w:w w:val="100"/>
                <w:position w:val="0"/>
              </w:rPr>
              <w:t>CASS-CSR 3.0</w:t>
            </w:r>
            <w:r>
              <w:rPr>
                <w:color w:val="000000"/>
                <w:spacing w:val="0"/>
                <w:w w:val="100"/>
                <w:position w:val="0"/>
              </w:rPr>
              <w:t>）</w:t>
            </w:r>
            <w:r>
              <w:rPr>
                <w:color w:val="000000"/>
                <w:spacing w:val="0"/>
                <w:w w:val="100"/>
                <w:position w:val="0"/>
              </w:rPr>
              <w:t>》、《社会 责任国际标准</w:t>
            </w:r>
            <w:r>
              <w:rPr>
                <w:rFonts w:ascii="Times New Roman" w:eastAsia="Times New Roman" w:hAnsi="Times New Roman" w:cs="Times New Roman"/>
                <w:color w:val="000000"/>
                <w:spacing w:val="0"/>
                <w:w w:val="100"/>
                <w:position w:val="0"/>
              </w:rPr>
              <w:t xml:space="preserve">ISO </w:t>
            </w:r>
            <w:r>
              <w:rPr>
                <w:rFonts w:ascii="Times New Roman" w:eastAsia="Times New Roman" w:hAnsi="Times New Roman" w:cs="Times New Roman"/>
                <w:color w:val="000000"/>
                <w:spacing w:val="0"/>
                <w:w w:val="100"/>
                <w:position w:val="0"/>
              </w:rPr>
              <w:t>26000:2010</w:t>
            </w:r>
            <w:r>
              <w:rPr>
                <w:color w:val="000000"/>
                <w:spacing w:val="0"/>
                <w:w w:val="100"/>
                <w:position w:val="0"/>
              </w:rPr>
              <w:t xml:space="preserve">》及国 家标准《社会责任 报告编写指南》 </w:t>
            </w:r>
            <w:r>
              <w:rPr>
                <w:rFonts w:ascii="Times New Roman" w:eastAsia="Times New Roman" w:hAnsi="Times New Roman" w:cs="Times New Roman"/>
                <w:color w:val="000000"/>
                <w:spacing w:val="0"/>
                <w:w w:val="100"/>
                <w:position w:val="0"/>
              </w:rPr>
              <w:t xml:space="preserve">（GB/T 36001- </w:t>
            </w:r>
            <w:r>
              <w:rPr>
                <w:rFonts w:ascii="Times New Roman" w:eastAsia="Times New Roman" w:hAnsi="Times New Roman" w:cs="Times New Roman"/>
                <w:color w:val="000000"/>
                <w:spacing w:val="0"/>
                <w:w w:val="100"/>
                <w:position w:val="0"/>
              </w:rPr>
              <w:t>2015</w:t>
            </w:r>
            <w:r>
              <w:rPr>
                <w:color w:val="000000"/>
                <w:spacing w:val="0"/>
                <w:w w:val="100"/>
                <w:position w:val="0"/>
              </w:rPr>
              <w:t>）</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87" w:lineRule="exact"/>
              <w:ind w:left="0" w:right="0" w:firstLine="0"/>
              <w:jc w:val="left"/>
            </w:pPr>
            <w:r>
              <w:rPr>
                <w:color w:val="000000"/>
                <w:spacing w:val="0"/>
                <w:w w:val="100"/>
                <w:position w:val="0"/>
              </w:rPr>
              <w:t>全球报告倡议组 织</w:t>
            </w:r>
            <w:r>
              <w:rPr>
                <w:color w:val="000000"/>
                <w:spacing w:val="0"/>
                <w:w w:val="100"/>
                <w:position w:val="0"/>
              </w:rPr>
              <w:t>（</w:t>
            </w:r>
            <w:r>
              <w:rPr>
                <w:rFonts w:ascii="Times New Roman" w:eastAsia="Times New Roman" w:hAnsi="Times New Roman" w:cs="Times New Roman"/>
                <w:color w:val="000000"/>
                <w:spacing w:val="0"/>
                <w:w w:val="100"/>
                <w:position w:val="0"/>
              </w:rPr>
              <w:t>GRI</w:t>
            </w:r>
            <w:r>
              <w:rPr>
                <w:color w:val="000000"/>
                <w:spacing w:val="0"/>
                <w:w w:val="100"/>
                <w:position w:val="0"/>
              </w:rPr>
              <w:t>）</w:t>
            </w:r>
            <w:r>
              <w:rPr>
                <w:color w:val="000000"/>
                <w:spacing w:val="0"/>
                <w:w w:val="100"/>
                <w:position w:val="0"/>
              </w:rPr>
              <w:t>《可持 续发展报告指 南》</w:t>
            </w:r>
            <w:r>
              <w:rPr>
                <w:color w:val="000000"/>
                <w:spacing w:val="0"/>
                <w:w w:val="100"/>
                <w:position w:val="0"/>
              </w:rPr>
              <w:t>（</w:t>
            </w:r>
            <w:r>
              <w:rPr>
                <w:rFonts w:ascii="Times New Roman" w:eastAsia="Times New Roman" w:hAnsi="Times New Roman" w:cs="Times New Roman"/>
                <w:color w:val="000000"/>
                <w:spacing w:val="0"/>
                <w:w w:val="100"/>
                <w:position w:val="0"/>
              </w:rPr>
              <w:t>G4</w:t>
            </w:r>
            <w:r>
              <w:rPr>
                <w:color w:val="000000"/>
                <w:spacing w:val="0"/>
                <w:w w:val="100"/>
                <w:position w:val="0"/>
              </w:rPr>
              <w:t>）</w:t>
            </w:r>
            <w:r>
              <w:rPr>
                <w:color w:val="000000"/>
                <w:spacing w:val="0"/>
                <w:w w:val="100"/>
                <w:position w:val="0"/>
              </w:rPr>
              <w:t>核心 方案</w:t>
            </w:r>
          </w:p>
        </w:tc>
      </w:tr>
    </w:tbl>
    <w:p>
      <w:pPr>
        <w:widowControl w:val="0"/>
        <w:spacing w:after="219" w:line="1" w:lineRule="exact"/>
      </w:pPr>
    </w:p>
    <w:p>
      <w:pPr>
        <w:pStyle w:val="Style25"/>
        <w:keepNext w:val="0"/>
        <w:keepLines w:val="0"/>
        <w:widowControl w:val="0"/>
        <w:shd w:val="clear" w:color="auto" w:fill="auto"/>
        <w:bidi w:val="0"/>
        <w:spacing w:before="0" w:after="0" w:line="240" w:lineRule="auto"/>
        <w:ind w:left="432" w:right="0" w:firstLine="0"/>
        <w:jc w:val="left"/>
      </w:pPr>
      <w:r>
        <w:rPr>
          <w:color w:val="000000"/>
          <w:spacing w:val="0"/>
          <w:w w:val="100"/>
          <w:position w:val="0"/>
        </w:rPr>
        <w:t>具体情况说明</w:t>
      </w:r>
    </w:p>
    <w:tbl>
      <w:tblPr>
        <w:tblOverlap w:val="never"/>
        <w:jc w:val="center"/>
        <w:tblLayout w:type="fixed"/>
      </w:tblPr>
      <w:tblGrid>
        <w:gridCol w:w="4790"/>
        <w:gridCol w:w="4790"/>
      </w:tblGrid>
      <w:tr>
        <w:trPr>
          <w:trHeight w:val="302"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公司是否通过环境管理体系认证</w:t>
            </w:r>
            <w:r>
              <w:rPr>
                <w:color w:val="000000"/>
                <w:spacing w:val="0"/>
                <w:w w:val="100"/>
                <w:position w:val="0"/>
              </w:rPr>
              <w:t>（</w:t>
            </w:r>
            <w:r>
              <w:rPr>
                <w:rFonts w:ascii="Times New Roman" w:eastAsia="Times New Roman" w:hAnsi="Times New Roman" w:cs="Times New Roman"/>
                <w:color w:val="000000"/>
                <w:spacing w:val="0"/>
                <w:w w:val="100"/>
                <w:position w:val="0"/>
              </w:rPr>
              <w:t>ISO14001</w:t>
            </w:r>
            <w:r>
              <w:rPr>
                <w:color w:val="000000"/>
                <w:spacing w:val="0"/>
                <w:w w:val="100"/>
                <w:position w:val="0"/>
              </w:rPr>
              <w:t>）</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r>
      <w:tr>
        <w:trPr>
          <w:trHeight w:val="298" w:hRule="exact"/>
        </w:trPr>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公司年度环保投支出金额（万元）</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r>
      <w:tr>
        <w:trPr>
          <w:trHeight w:val="293" w:hRule="exact"/>
        </w:trPr>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公司</w:t>
            </w:r>
            <w:r>
              <w:rPr>
                <w:rFonts w:ascii="Times New Roman" w:eastAsia="Times New Roman" w:hAnsi="Times New Roman" w:cs="Times New Roman"/>
                <w:color w:val="000000"/>
                <w:spacing w:val="0"/>
                <w:w w:val="100"/>
                <w:position w:val="0"/>
              </w:rPr>
              <w:t>“</w:t>
            </w:r>
            <w:r>
              <w:rPr>
                <w:color w:val="000000"/>
                <w:spacing w:val="0"/>
                <w:w w:val="100"/>
                <w:position w:val="0"/>
              </w:rPr>
              <w:t>废气、废水、废渣</w:t>
            </w:r>
            <w:r>
              <w:rPr>
                <w:rFonts w:ascii="Times New Roman" w:eastAsia="Times New Roman" w:hAnsi="Times New Roman" w:cs="Times New Roman"/>
                <w:color w:val="000000"/>
                <w:spacing w:val="0"/>
                <w:w w:val="100"/>
                <w:position w:val="0"/>
              </w:rPr>
              <w:t>”</w:t>
            </w:r>
            <w:r>
              <w:rPr>
                <w:color w:val="000000"/>
                <w:spacing w:val="0"/>
                <w:w w:val="100"/>
                <w:position w:val="0"/>
              </w:rPr>
              <w:t>三废减排绩效</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r>
      <w:tr>
        <w:trPr>
          <w:trHeight w:val="581" w:hRule="exact"/>
        </w:trPr>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302" w:lineRule="exact"/>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公司投资于雇员个人知识和技能提高以提升雇 员职业发展能力的投入（注，万元）</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1,901.84</w:t>
            </w:r>
          </w:p>
        </w:tc>
      </w:tr>
      <w:tr>
        <w:trPr>
          <w:trHeight w:val="586" w:hRule="exact"/>
        </w:trPr>
        <w:tc>
          <w:tcPr>
            <w:tcBorders>
              <w:top w:val="single" w:sz="4"/>
              <w:left w:val="single" w:sz="4"/>
              <w:bottom w:val="single" w:sz="4"/>
            </w:tcBorders>
            <w:shd w:val="clear" w:color="auto" w:fill="D3D3D3"/>
            <w:vAlign w:val="top"/>
          </w:tcPr>
          <w:p>
            <w:pPr>
              <w:pStyle w:val="Style28"/>
              <w:keepNext w:val="0"/>
              <w:keepLines w:val="0"/>
              <w:widowControl w:val="0"/>
              <w:shd w:val="clear" w:color="auto" w:fill="auto"/>
              <w:bidi w:val="0"/>
              <w:spacing w:before="0" w:after="0" w:line="302" w:lineRule="exact"/>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公司的社会公益捐赠（资金、物资、无偿专业 服务）金额（万元）</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682.76</w:t>
            </w:r>
          </w:p>
        </w:tc>
      </w:tr>
    </w:tbl>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注：统计口径仅包含因培训发生的讲师费、课程采购开发费用、差旅费及相关后勤等基本运营费用,</w:t>
      </w:r>
    </w:p>
    <w:p>
      <w:pPr>
        <w:widowControl w:val="0"/>
        <w:spacing w:after="219" w:line="1" w:lineRule="exact"/>
      </w:pPr>
    </w:p>
    <w:p>
      <w:pPr>
        <w:pStyle w:val="Style32"/>
        <w:keepNext w:val="0"/>
        <w:keepLines w:val="0"/>
        <w:widowControl w:val="0"/>
        <w:shd w:val="clear" w:color="auto" w:fill="auto"/>
        <w:bidi w:val="0"/>
        <w:spacing w:before="0" w:after="220" w:line="240" w:lineRule="auto"/>
        <w:ind w:left="0" w:right="0" w:firstLine="0"/>
        <w:jc w:val="both"/>
        <w:rPr>
          <w:sz w:val="20"/>
          <w:szCs w:val="20"/>
        </w:rPr>
      </w:pPr>
      <w:r>
        <w:rPr>
          <w:color w:val="000000"/>
          <w:spacing w:val="0"/>
          <w:w w:val="100"/>
          <w:position w:val="0"/>
          <w:sz w:val="20"/>
          <w:szCs w:val="20"/>
        </w:rPr>
        <w:t>不包含培训场地建设及分摊费用、学习系统开发及运营费用、培训管理及讲师薪酬费用、员工培训期间</w:t>
      </w:r>
    </w:p>
    <w:p>
      <w:pPr>
        <w:pStyle w:val="Style32"/>
        <w:keepNext w:val="0"/>
        <w:keepLines w:val="0"/>
        <w:widowControl w:val="0"/>
        <w:shd w:val="clear" w:color="auto" w:fill="auto"/>
        <w:bidi w:val="0"/>
        <w:spacing w:before="0" w:after="220" w:line="240" w:lineRule="auto"/>
        <w:ind w:left="0" w:right="0" w:firstLine="0"/>
        <w:jc w:val="both"/>
        <w:rPr>
          <w:sz w:val="20"/>
          <w:szCs w:val="20"/>
        </w:rPr>
      </w:pPr>
      <w:r>
        <w:rPr>
          <w:color w:val="000000"/>
          <w:spacing w:val="0"/>
          <w:w w:val="100"/>
          <w:position w:val="0"/>
          <w:sz w:val="20"/>
          <w:szCs w:val="20"/>
        </w:rPr>
        <w:t>涉及的薪酬费用等。</w:t>
      </w:r>
    </w:p>
    <w:p>
      <w:pPr>
        <w:pStyle w:val="Style32"/>
        <w:keepNext w:val="0"/>
        <w:keepLines w:val="0"/>
        <w:widowControl w:val="0"/>
        <w:shd w:val="clear" w:color="auto" w:fill="auto"/>
        <w:bidi w:val="0"/>
        <w:spacing w:before="0" w:after="220" w:line="240" w:lineRule="auto"/>
        <w:ind w:left="0" w:right="0" w:firstLine="0"/>
        <w:jc w:val="both"/>
        <w:rPr>
          <w:sz w:val="24"/>
          <w:szCs w:val="24"/>
        </w:rPr>
      </w:pPr>
      <w:r>
        <w:rPr>
          <w:b/>
          <w:bCs/>
          <w:color w:val="000000"/>
          <w:spacing w:val="0"/>
          <w:w w:val="100"/>
          <w:position w:val="0"/>
          <w:sz w:val="24"/>
          <w:szCs w:val="24"/>
        </w:rPr>
        <w:t>十九、其他重大事项的说明</w:t>
      </w:r>
    </w:p>
    <w:p>
      <w:pPr>
        <w:pStyle w:val="Style32"/>
        <w:keepNext w:val="0"/>
        <w:keepLines w:val="0"/>
        <w:widowControl w:val="0"/>
        <w:shd w:val="clear" w:color="auto" w:fill="auto"/>
        <w:bidi w:val="0"/>
        <w:spacing w:before="0" w:after="0" w:line="467" w:lineRule="exact"/>
        <w:ind w:left="0" w:right="0" w:firstLine="46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2"/>
        <w:keepNext w:val="0"/>
        <w:keepLines w:val="0"/>
        <w:widowControl w:val="0"/>
        <w:shd w:val="clear" w:color="auto" w:fill="auto"/>
        <w:bidi w:val="0"/>
        <w:spacing w:before="0" w:after="220" w:line="467" w:lineRule="exact"/>
        <w:ind w:left="0" w:right="0" w:firstLine="460"/>
        <w:jc w:val="both"/>
      </w:pPr>
      <w:r>
        <w:rPr>
          <w:color w:val="000000"/>
          <w:spacing w:val="0"/>
          <w:w w:val="100"/>
          <w:position w:val="0"/>
        </w:rPr>
        <w:t>公司报告期不存在需要说明的其他重大事项。</w:t>
      </w:r>
    </w:p>
    <w:p>
      <w:pPr>
        <w:pStyle w:val="Style32"/>
        <w:keepNext w:val="0"/>
        <w:keepLines w:val="0"/>
        <w:widowControl w:val="0"/>
        <w:shd w:val="clear" w:color="auto" w:fill="auto"/>
        <w:bidi w:val="0"/>
        <w:spacing w:before="0" w:after="140" w:line="467" w:lineRule="exact"/>
        <w:ind w:left="0" w:right="0" w:firstLine="0"/>
        <w:jc w:val="left"/>
        <w:rPr>
          <w:sz w:val="24"/>
          <w:szCs w:val="24"/>
        </w:rPr>
      </w:pPr>
      <w:r>
        <w:rPr>
          <w:b/>
          <w:bCs/>
          <w:color w:val="000000"/>
          <w:spacing w:val="0"/>
          <w:w w:val="100"/>
          <w:position w:val="0"/>
          <w:sz w:val="24"/>
          <w:szCs w:val="24"/>
        </w:rPr>
        <w:t>二十、公司子公司重大事项</w:t>
      </w:r>
    </w:p>
    <w:p>
      <w:pPr>
        <w:pStyle w:val="Style38"/>
        <w:keepNext/>
        <w:keepLines/>
        <w:widowControl w:val="0"/>
        <w:shd w:val="clear" w:color="auto" w:fill="auto"/>
        <w:tabs>
          <w:tab w:pos="343" w:val="left"/>
        </w:tabs>
        <w:bidi w:val="0"/>
        <w:spacing w:before="0" w:after="220" w:line="467" w:lineRule="exact"/>
        <w:ind w:left="0" w:right="0" w:firstLine="0"/>
        <w:jc w:val="left"/>
      </w:pPr>
      <w:bookmarkStart w:id="379" w:name="bookmark379"/>
      <w:bookmarkStart w:id="380" w:name="bookmark380"/>
      <w:bookmarkStart w:id="381" w:name="bookmark381"/>
      <w:bookmarkStart w:id="382" w:name="bookmark382"/>
      <w:r>
        <w:rPr>
          <w:rFonts w:ascii="Times New Roman" w:eastAsia="Times New Roman" w:hAnsi="Times New Roman" w:cs="Times New Roman"/>
          <w:color w:val="000000"/>
          <w:spacing w:val="0"/>
          <w:w w:val="100"/>
          <w:position w:val="0"/>
        </w:rPr>
        <w:t>1</w:t>
      </w:r>
      <w:bookmarkEnd w:id="381"/>
      <w:r>
        <w:rPr>
          <w:color w:val="000000"/>
          <w:spacing w:val="0"/>
          <w:w w:val="100"/>
          <w:position w:val="0"/>
        </w:rPr>
        <w:t>、</w:t>
        <w:tab/>
        <w:t>子公司引入战略投资者和员工持股合伙企业</w:t>
      </w:r>
      <w:bookmarkEnd w:id="379"/>
      <w:bookmarkEnd w:id="380"/>
      <w:bookmarkEnd w:id="382"/>
    </w:p>
    <w:p>
      <w:pPr>
        <w:pStyle w:val="Style32"/>
        <w:keepNext w:val="0"/>
        <w:keepLines w:val="0"/>
        <w:widowControl w:val="0"/>
        <w:shd w:val="clear" w:color="auto" w:fill="auto"/>
        <w:bidi w:val="0"/>
        <w:spacing w:before="0" w:after="0" w:line="467" w:lineRule="exact"/>
        <w:ind w:left="0" w:right="0" w:firstLine="460"/>
        <w:jc w:val="both"/>
      </w:pPr>
      <w:r>
        <w:rPr>
          <w:color w:val="000000"/>
          <w:spacing w:val="0"/>
          <w:w w:val="100"/>
          <w:position w:val="0"/>
        </w:rPr>
        <w:t>公司第五届董事会第三十一次会议审议通过、</w:t>
      </w:r>
      <w:r>
        <w:rPr>
          <w:rFonts w:ascii="Times New Roman" w:eastAsia="Times New Roman" w:hAnsi="Times New Roman" w:cs="Times New Roman"/>
          <w:color w:val="000000"/>
          <w:spacing w:val="0"/>
          <w:w w:val="100"/>
          <w:position w:val="0"/>
        </w:rPr>
        <w:t>2016</w:t>
      </w:r>
      <w:r>
        <w:rPr>
          <w:color w:val="000000"/>
          <w:spacing w:val="0"/>
          <w:w w:val="100"/>
          <w:position w:val="0"/>
        </w:rPr>
        <w:t>年第二次临时股东大会决议通过《关于公司 子公司引入战略投资者苏宁金控投资有限公司暨关联交易的议案》、《关于公司子公司引入员工持 股合伙企业暨关联交易的议案》，同意苏宁金融服务（上海）有限公司（以下简称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苏宁金服</w:t>
      </w:r>
      <w:r>
        <w:rPr>
          <w:rFonts w:ascii="Times New Roman" w:eastAsia="Times New Roman" w:hAnsi="Times New Roman" w:cs="Times New Roman"/>
          <w:color w:val="000000"/>
          <w:spacing w:val="0"/>
          <w:w w:val="100"/>
          <w:position w:val="0"/>
        </w:rPr>
        <w:t>”</w:t>
      </w:r>
      <w:r>
        <w:rPr>
          <w:color w:val="000000"/>
          <w:spacing w:val="0"/>
          <w:w w:val="100"/>
          <w:position w:val="0"/>
        </w:rPr>
        <w:t>）引 进长期战略投资者苏宁金控投资有限公司（以下简称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苏宁金控</w:t>
      </w:r>
      <w:r>
        <w:rPr>
          <w:rFonts w:ascii="Times New Roman" w:eastAsia="Times New Roman" w:hAnsi="Times New Roman" w:cs="Times New Roman"/>
          <w:color w:val="000000"/>
          <w:spacing w:val="0"/>
          <w:w w:val="100"/>
          <w:position w:val="0"/>
        </w:rPr>
        <w:t>”</w:t>
      </w:r>
      <w:r>
        <w:rPr>
          <w:color w:val="000000"/>
          <w:spacing w:val="0"/>
          <w:w w:val="100"/>
          <w:position w:val="0"/>
        </w:rPr>
        <w:t xml:space="preserve">）；同意苏宁金服及其股东企业苏 宁云商、苏宁金控的核心员工，以及对苏宁金服业务发展有贡献的关联企业核心员工共同出资设立 员工持股合伙企业，同时参与本次苏宁金服增资扩股。本次增资扩股，苏宁金控计划出资人民币 </w:t>
      </w:r>
      <w:r>
        <w:rPr>
          <w:rFonts w:ascii="Times New Roman" w:eastAsia="Times New Roman" w:hAnsi="Times New Roman" w:cs="Times New Roman"/>
          <w:color w:val="000000"/>
          <w:spacing w:val="0"/>
          <w:w w:val="100"/>
          <w:position w:val="0"/>
        </w:rPr>
        <w:t>58.33</w:t>
      </w:r>
      <w:r>
        <w:rPr>
          <w:color w:val="000000"/>
          <w:spacing w:val="0"/>
          <w:w w:val="100"/>
          <w:position w:val="0"/>
        </w:rPr>
        <w:t>亿元，员工持股合伙企业出资人民币</w:t>
      </w:r>
      <w:r>
        <w:rPr>
          <w:rFonts w:ascii="Times New Roman" w:eastAsia="Times New Roman" w:hAnsi="Times New Roman" w:cs="Times New Roman"/>
          <w:color w:val="000000"/>
          <w:spacing w:val="0"/>
          <w:w w:val="100"/>
          <w:position w:val="0"/>
        </w:rPr>
        <w:t>8.33</w:t>
      </w:r>
      <w:r>
        <w:rPr>
          <w:color w:val="000000"/>
          <w:spacing w:val="0"/>
          <w:w w:val="100"/>
          <w:position w:val="0"/>
        </w:rPr>
        <w:t>亿元，增资完成后，苏宁云商将持有苏宁金服</w:t>
      </w:r>
      <w:r>
        <w:rPr>
          <w:rFonts w:ascii="Times New Roman" w:eastAsia="Times New Roman" w:hAnsi="Times New Roman" w:cs="Times New Roman"/>
          <w:color w:val="000000"/>
          <w:spacing w:val="0"/>
          <w:w w:val="100"/>
          <w:position w:val="0"/>
        </w:rPr>
        <w:t>60%</w:t>
      </w:r>
      <w:r>
        <w:rPr>
          <w:color w:val="000000"/>
          <w:spacing w:val="0"/>
          <w:w w:val="100"/>
          <w:position w:val="0"/>
        </w:rPr>
        <w:t>股 份，苏宁金控将持有苏宁金服</w:t>
      </w:r>
      <w:r>
        <w:rPr>
          <w:rFonts w:ascii="Times New Roman" w:eastAsia="Times New Roman" w:hAnsi="Times New Roman" w:cs="Times New Roman"/>
          <w:color w:val="000000"/>
          <w:spacing w:val="0"/>
          <w:w w:val="100"/>
          <w:position w:val="0"/>
        </w:rPr>
        <w:t>35%</w:t>
      </w:r>
      <w:r>
        <w:rPr>
          <w:color w:val="000000"/>
          <w:spacing w:val="0"/>
          <w:w w:val="100"/>
          <w:position w:val="0"/>
        </w:rPr>
        <w:t>股份，员工持股合伙企业将持有苏宁金服</w:t>
      </w:r>
      <w:r>
        <w:rPr>
          <w:rFonts w:ascii="Times New Roman" w:eastAsia="Times New Roman" w:hAnsi="Times New Roman" w:cs="Times New Roman"/>
          <w:color w:val="000000"/>
          <w:spacing w:val="0"/>
          <w:w w:val="100"/>
          <w:position w:val="0"/>
        </w:rPr>
        <w:t>5%</w:t>
      </w:r>
      <w:r>
        <w:rPr>
          <w:color w:val="000000"/>
          <w:spacing w:val="0"/>
          <w:w w:val="100"/>
          <w:position w:val="0"/>
        </w:rPr>
        <w:t xml:space="preserve">股份（具体内容详见 公司 </w:t>
      </w:r>
      <w:r>
        <w:rPr>
          <w:rFonts w:ascii="Times New Roman" w:eastAsia="Times New Roman" w:hAnsi="Times New Roman" w:cs="Times New Roman"/>
          <w:color w:val="000000"/>
          <w:spacing w:val="0"/>
          <w:w w:val="100"/>
          <w:position w:val="0"/>
        </w:rPr>
        <w:t>2016-035</w:t>
      </w:r>
      <w:r>
        <w:rPr>
          <w:color w:val="000000"/>
          <w:spacing w:val="0"/>
          <w:w w:val="100"/>
          <w:position w:val="0"/>
        </w:rPr>
        <w:t>、</w:t>
      </w:r>
      <w:r>
        <w:rPr>
          <w:rFonts w:ascii="Times New Roman" w:eastAsia="Times New Roman" w:hAnsi="Times New Roman" w:cs="Times New Roman"/>
          <w:color w:val="000000"/>
          <w:spacing w:val="0"/>
          <w:w w:val="100"/>
          <w:position w:val="0"/>
        </w:rPr>
        <w:t>2016-036</w:t>
      </w:r>
      <w:r>
        <w:rPr>
          <w:color w:val="000000"/>
          <w:spacing w:val="0"/>
          <w:w w:val="100"/>
          <w:position w:val="0"/>
        </w:rPr>
        <w:t>、</w:t>
      </w:r>
      <w:r>
        <w:rPr>
          <w:rFonts w:ascii="Times New Roman" w:eastAsia="Times New Roman" w:hAnsi="Times New Roman" w:cs="Times New Roman"/>
          <w:color w:val="000000"/>
          <w:spacing w:val="0"/>
          <w:w w:val="100"/>
          <w:position w:val="0"/>
        </w:rPr>
        <w:t xml:space="preserve">2016-046 </w:t>
      </w:r>
      <w:r>
        <w:rPr>
          <w:color w:val="000000"/>
          <w:spacing w:val="0"/>
          <w:w w:val="100"/>
          <w:position w:val="0"/>
        </w:rPr>
        <w:t>号公告）。</w:t>
      </w:r>
    </w:p>
    <w:p>
      <w:pPr>
        <w:pStyle w:val="Style32"/>
        <w:keepNext w:val="0"/>
        <w:keepLines w:val="0"/>
        <w:widowControl w:val="0"/>
        <w:shd w:val="clear" w:color="auto" w:fill="auto"/>
        <w:bidi w:val="0"/>
        <w:spacing w:before="0" w:after="0" w:line="467" w:lineRule="exact"/>
        <w:ind w:left="0" w:right="0" w:firstLine="460"/>
        <w:jc w:val="both"/>
      </w:pPr>
      <w:r>
        <w:rPr>
          <w:color w:val="000000"/>
          <w:spacing w:val="0"/>
          <w:w w:val="100"/>
          <w:position w:val="0"/>
        </w:rPr>
        <w:t>报告期内，苏宁金服按照既定规划，陆续完成对旗下第三方支付、供应链金融、理财、保险销 售、基金销售、众筹、预付卡等金融业务进行整合。苏宁金服平台搭建基本完成，有效地提升公司 金融业务的平台价值和品牌价值，促进金融业务与其他业务的风险隔离、增强了金融产品创新以及 向全社会输出金融服务能力。</w:t>
      </w:r>
    </w:p>
    <w:p>
      <w:pPr>
        <w:pStyle w:val="Style32"/>
        <w:keepNext w:val="0"/>
        <w:keepLines w:val="0"/>
        <w:widowControl w:val="0"/>
        <w:shd w:val="clear" w:color="auto" w:fill="auto"/>
        <w:bidi w:val="0"/>
        <w:spacing w:before="0" w:after="220" w:line="467" w:lineRule="exact"/>
        <w:ind w:left="0" w:right="0" w:firstLine="46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 xml:space="preserve">月，苏宁金服引入战略投资者及员工持股合伙企业事宜已全部完成，苏宁金控通过其 指定主体南京润煜企业管理咨询中心（有限合伙）完成了 </w:t>
      </w:r>
      <w:r>
        <w:rPr>
          <w:rFonts w:ascii="Times New Roman" w:eastAsia="Times New Roman" w:hAnsi="Times New Roman" w:cs="Times New Roman"/>
          <w:color w:val="000000"/>
          <w:spacing w:val="0"/>
          <w:w w:val="100"/>
          <w:position w:val="0"/>
        </w:rPr>
        <w:t>58.33</w:t>
      </w:r>
      <w:r>
        <w:rPr>
          <w:color w:val="000000"/>
          <w:spacing w:val="0"/>
          <w:w w:val="100"/>
          <w:position w:val="0"/>
        </w:rPr>
        <w:t>亿元的增资入股，持有苏宁金服</w:t>
      </w:r>
      <w:r>
        <w:rPr>
          <w:rFonts w:ascii="Times New Roman" w:eastAsia="Times New Roman" w:hAnsi="Times New Roman" w:cs="Times New Roman"/>
          <w:color w:val="000000"/>
          <w:spacing w:val="0"/>
          <w:w w:val="100"/>
          <w:position w:val="0"/>
        </w:rPr>
        <w:t xml:space="preserve">35% </w:t>
      </w:r>
      <w:r>
        <w:rPr>
          <w:color w:val="000000"/>
          <w:spacing w:val="0"/>
          <w:w w:val="100"/>
          <w:position w:val="0"/>
        </w:rPr>
        <w:t>的股份，员工持股合伙企业南京泽鼎企业管理咨询中心（有限合伙）完成</w:t>
      </w:r>
      <w:r>
        <w:rPr>
          <w:rFonts w:ascii="Times New Roman" w:eastAsia="Times New Roman" w:hAnsi="Times New Roman" w:cs="Times New Roman"/>
          <w:color w:val="000000"/>
          <w:spacing w:val="0"/>
          <w:w w:val="100"/>
          <w:position w:val="0"/>
        </w:rPr>
        <w:t>8.33</w:t>
      </w:r>
      <w:r>
        <w:rPr>
          <w:color w:val="000000"/>
          <w:spacing w:val="0"/>
          <w:w w:val="100"/>
          <w:position w:val="0"/>
        </w:rPr>
        <w:t>亿元的增资入股，持 有苏宁金服</w:t>
      </w:r>
      <w:r>
        <w:rPr>
          <w:rFonts w:ascii="Times New Roman" w:eastAsia="Times New Roman" w:hAnsi="Times New Roman" w:cs="Times New Roman"/>
          <w:color w:val="000000"/>
          <w:spacing w:val="0"/>
          <w:w w:val="100"/>
          <w:position w:val="0"/>
        </w:rPr>
        <w:t>5%</w:t>
      </w:r>
      <w:r>
        <w:rPr>
          <w:color w:val="000000"/>
          <w:spacing w:val="0"/>
          <w:w w:val="100"/>
          <w:position w:val="0"/>
        </w:rPr>
        <w:t>股份。（具体内容详见公司</w:t>
      </w:r>
      <w:r>
        <w:rPr>
          <w:rFonts w:ascii="Times New Roman" w:eastAsia="Times New Roman" w:hAnsi="Times New Roman" w:cs="Times New Roman"/>
          <w:color w:val="000000"/>
          <w:spacing w:val="0"/>
          <w:w w:val="100"/>
          <w:position w:val="0"/>
        </w:rPr>
        <w:t>2017-009</w:t>
      </w:r>
      <w:r>
        <w:rPr>
          <w:color w:val="000000"/>
          <w:spacing w:val="0"/>
          <w:w w:val="100"/>
          <w:position w:val="0"/>
        </w:rPr>
        <w:t>号公告）</w:t>
      </w:r>
    </w:p>
    <w:p>
      <w:pPr>
        <w:pStyle w:val="Style38"/>
        <w:keepNext/>
        <w:keepLines/>
        <w:widowControl w:val="0"/>
        <w:shd w:val="clear" w:color="auto" w:fill="auto"/>
        <w:tabs>
          <w:tab w:pos="353" w:val="left"/>
        </w:tabs>
        <w:bidi w:val="0"/>
        <w:spacing w:before="0" w:after="220" w:line="467" w:lineRule="exact"/>
        <w:ind w:left="0" w:right="0" w:firstLine="0"/>
        <w:jc w:val="both"/>
      </w:pPr>
      <w:bookmarkStart w:id="383" w:name="bookmark383"/>
      <w:bookmarkStart w:id="384" w:name="bookmark384"/>
      <w:bookmarkStart w:id="385" w:name="bookmark385"/>
      <w:bookmarkStart w:id="386" w:name="bookmark386"/>
      <w:r>
        <w:rPr>
          <w:rFonts w:ascii="Times New Roman" w:eastAsia="Times New Roman" w:hAnsi="Times New Roman" w:cs="Times New Roman"/>
          <w:color w:val="000000"/>
          <w:spacing w:val="0"/>
          <w:w w:val="100"/>
          <w:position w:val="0"/>
        </w:rPr>
        <w:t>2</w:t>
      </w:r>
      <w:bookmarkEnd w:id="385"/>
      <w:r>
        <w:rPr>
          <w:color w:val="000000"/>
          <w:spacing w:val="0"/>
          <w:w w:val="100"/>
          <w:position w:val="0"/>
        </w:rPr>
        <w:t>、</w:t>
        <w:tab/>
        <w:t>子公司出售股权</w:t>
      </w:r>
      <w:bookmarkEnd w:id="383"/>
      <w:bookmarkEnd w:id="384"/>
      <w:bookmarkEnd w:id="386"/>
    </w:p>
    <w:p>
      <w:pPr>
        <w:pStyle w:val="Style32"/>
        <w:keepNext w:val="0"/>
        <w:keepLines w:val="0"/>
        <w:widowControl w:val="0"/>
        <w:shd w:val="clear" w:color="auto" w:fill="auto"/>
        <w:bidi w:val="0"/>
        <w:spacing w:before="0" w:after="0" w:line="469" w:lineRule="exact"/>
        <w:ind w:left="0" w:right="0" w:firstLine="460"/>
        <w:jc w:val="left"/>
      </w:pPr>
      <w:r>
        <w:rPr>
          <w:color w:val="000000"/>
          <w:spacing w:val="0"/>
          <w:w w:val="100"/>
          <w:position w:val="0"/>
        </w:rPr>
        <w:t>公司第五届董事会第四十三次会议审议、</w:t>
      </w:r>
      <w:r>
        <w:rPr>
          <w:rFonts w:ascii="Times New Roman" w:eastAsia="Times New Roman" w:hAnsi="Times New Roman" w:cs="Times New Roman"/>
          <w:color w:val="000000"/>
          <w:spacing w:val="0"/>
          <w:w w:val="100"/>
          <w:position w:val="0"/>
        </w:rPr>
        <w:t>2016</w:t>
      </w:r>
      <w:r>
        <w:rPr>
          <w:color w:val="000000"/>
          <w:spacing w:val="0"/>
          <w:w w:val="100"/>
          <w:position w:val="0"/>
        </w:rPr>
        <w:t>年第三次临时股东大会决议通过《关于拟出售子 公司股权暨关联交易的议案》，公司全资子公司北京苏宁云商销售有限公司（以下简称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北京苏宁云 商</w:t>
      </w:r>
      <w:r>
        <w:rPr>
          <w:rFonts w:ascii="Times New Roman" w:eastAsia="Times New Roman" w:hAnsi="Times New Roman" w:cs="Times New Roman"/>
          <w:color w:val="000000"/>
          <w:spacing w:val="0"/>
          <w:w w:val="100"/>
          <w:position w:val="0"/>
        </w:rPr>
        <w:t>”</w:t>
      </w:r>
      <w:r>
        <w:rPr>
          <w:color w:val="000000"/>
          <w:spacing w:val="0"/>
          <w:w w:val="100"/>
          <w:position w:val="0"/>
        </w:rPr>
        <w:t>）将其子公司北京京朝苏宁电器有限公司（以下简称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北京京朝苏宁</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100%</w:t>
      </w:r>
      <w:r>
        <w:rPr>
          <w:color w:val="000000"/>
          <w:spacing w:val="0"/>
          <w:w w:val="100"/>
          <w:position w:val="0"/>
        </w:rPr>
        <w:t>股权转让于苏宁电器 集团有限公司（以下简称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苏宁电器集团</w:t>
      </w:r>
      <w:r>
        <w:rPr>
          <w:rFonts w:ascii="Times New Roman" w:eastAsia="Times New Roman" w:hAnsi="Times New Roman" w:cs="Times New Roman"/>
          <w:color w:val="000000"/>
          <w:spacing w:val="0"/>
          <w:w w:val="100"/>
          <w:position w:val="0"/>
        </w:rPr>
        <w:t>”</w:t>
      </w:r>
      <w:r>
        <w:rPr>
          <w:color w:val="000000"/>
          <w:spacing w:val="0"/>
          <w:w w:val="100"/>
          <w:position w:val="0"/>
        </w:rPr>
        <w:t>），转让价格</w:t>
      </w:r>
      <w:r>
        <w:rPr>
          <w:rFonts w:ascii="Times New Roman" w:eastAsia="Times New Roman" w:hAnsi="Times New Roman" w:cs="Times New Roman"/>
          <w:color w:val="000000"/>
          <w:spacing w:val="0"/>
          <w:w w:val="100"/>
          <w:position w:val="0"/>
        </w:rPr>
        <w:t>130,483.67</w:t>
      </w:r>
      <w:r>
        <w:rPr>
          <w:color w:val="000000"/>
          <w:spacing w:val="0"/>
          <w:w w:val="100"/>
          <w:position w:val="0"/>
        </w:rPr>
        <w:t xml:space="preserve">万元。北京京朝苏宁拥有公司北 </w:t>
      </w:r>
      <w:r>
        <w:rPr>
          <w:color w:val="000000"/>
          <w:spacing w:val="0"/>
          <w:w w:val="100"/>
          <w:position w:val="0"/>
        </w:rPr>
        <w:t xml:space="preserve">京八里庄苏宁生活广场项目，负责八里庄生活广场的建设及招商运营工作。（具体内容详见公司 </w:t>
      </w:r>
      <w:r>
        <w:rPr>
          <w:rFonts w:ascii="Times New Roman" w:eastAsia="Times New Roman" w:hAnsi="Times New Roman" w:cs="Times New Roman"/>
          <w:color w:val="000000"/>
          <w:spacing w:val="0"/>
          <w:w w:val="100"/>
          <w:position w:val="0"/>
        </w:rPr>
        <w:t>2016-082</w:t>
      </w:r>
      <w:r>
        <w:rPr>
          <w:color w:val="000000"/>
          <w:spacing w:val="0"/>
          <w:w w:val="100"/>
          <w:position w:val="0"/>
        </w:rPr>
        <w:t>、</w:t>
      </w:r>
      <w:r>
        <w:rPr>
          <w:rFonts w:ascii="Times New Roman" w:eastAsia="Times New Roman" w:hAnsi="Times New Roman" w:cs="Times New Roman"/>
          <w:color w:val="000000"/>
          <w:spacing w:val="0"/>
          <w:w w:val="100"/>
          <w:position w:val="0"/>
        </w:rPr>
        <w:t>2016-083</w:t>
      </w:r>
      <w:r>
        <w:rPr>
          <w:color w:val="000000"/>
          <w:spacing w:val="0"/>
          <w:w w:val="100"/>
          <w:position w:val="0"/>
        </w:rPr>
        <w:t>、</w:t>
      </w:r>
      <w:r>
        <w:rPr>
          <w:rFonts w:ascii="Times New Roman" w:eastAsia="Times New Roman" w:hAnsi="Times New Roman" w:cs="Times New Roman"/>
          <w:color w:val="000000"/>
          <w:spacing w:val="0"/>
          <w:w w:val="100"/>
          <w:position w:val="0"/>
        </w:rPr>
        <w:t xml:space="preserve">2016-087 </w:t>
      </w:r>
      <w:r>
        <w:rPr>
          <w:color w:val="000000"/>
          <w:spacing w:val="0"/>
          <w:w w:val="100"/>
          <w:position w:val="0"/>
        </w:rPr>
        <w:t>号公告）。</w:t>
      </w:r>
    </w:p>
    <w:p>
      <w:pPr>
        <w:pStyle w:val="Style32"/>
        <w:keepNext w:val="0"/>
        <w:keepLines w:val="0"/>
        <w:widowControl w:val="0"/>
        <w:shd w:val="clear" w:color="auto" w:fill="auto"/>
        <w:bidi w:val="0"/>
        <w:spacing w:before="0" w:after="0" w:line="466" w:lineRule="exact"/>
        <w:ind w:left="0" w:right="0" w:firstLine="540"/>
        <w:jc w:val="both"/>
        <w:sectPr>
          <w:headerReference w:type="default" r:id="rId83"/>
          <w:footerReference w:type="default" r:id="rId84"/>
          <w:headerReference w:type="even" r:id="rId85"/>
          <w:footerReference w:type="even" r:id="rId86"/>
          <w:footnotePr>
            <w:pos w:val="pageBottom"/>
            <w:numFmt w:val="decimal"/>
            <w:numRestart w:val="continuous"/>
          </w:footnotePr>
          <w:pgSz w:w="11900" w:h="16840"/>
          <w:pgMar w:top="1326" w:right="970" w:bottom="1648" w:left="980" w:header="0" w:footer="3" w:gutter="0"/>
          <w:cols w:space="720"/>
          <w:noEndnote/>
          <w:rtlGutter w:val="0"/>
          <w:docGrid w:linePitch="360"/>
        </w:sectPr>
      </w:pPr>
      <w:r>
        <w:rPr>
          <w:color w:val="000000"/>
          <w:spacing w:val="0"/>
          <w:w w:val="100"/>
          <w:position w:val="0"/>
        </w:rPr>
        <w:t>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日，公司子公司北京苏宁云商持有的北京京朝苏宁</w:t>
      </w:r>
      <w:r>
        <w:rPr>
          <w:rFonts w:ascii="Times New Roman" w:eastAsia="Times New Roman" w:hAnsi="Times New Roman" w:cs="Times New Roman"/>
          <w:color w:val="000000"/>
          <w:spacing w:val="0"/>
          <w:w w:val="100"/>
          <w:position w:val="0"/>
        </w:rPr>
        <w:t>90%</w:t>
      </w:r>
      <w:r>
        <w:rPr>
          <w:color w:val="000000"/>
          <w:spacing w:val="0"/>
          <w:w w:val="100"/>
          <w:position w:val="0"/>
        </w:rPr>
        <w:t>股权已转让给苏宁 电器集团，剩余</w:t>
      </w:r>
      <w:r>
        <w:rPr>
          <w:rFonts w:ascii="Times New Roman" w:eastAsia="Times New Roman" w:hAnsi="Times New Roman" w:cs="Times New Roman"/>
          <w:color w:val="000000"/>
          <w:spacing w:val="0"/>
          <w:w w:val="100"/>
          <w:position w:val="0"/>
        </w:rPr>
        <w:t>10%</w:t>
      </w:r>
      <w:r>
        <w:rPr>
          <w:color w:val="000000"/>
          <w:spacing w:val="0"/>
          <w:w w:val="100"/>
          <w:position w:val="0"/>
        </w:rPr>
        <w:t>转让手续正在办理中，苏宁电器集团已支付</w:t>
      </w:r>
      <w:r>
        <w:rPr>
          <w:rFonts w:ascii="Times New Roman" w:eastAsia="Times New Roman" w:hAnsi="Times New Roman" w:cs="Times New Roman"/>
          <w:color w:val="000000"/>
          <w:spacing w:val="0"/>
          <w:w w:val="100"/>
          <w:position w:val="0"/>
        </w:rPr>
        <w:t>8.02</w:t>
      </w:r>
      <w:r>
        <w:rPr>
          <w:color w:val="000000"/>
          <w:spacing w:val="0"/>
          <w:w w:val="100"/>
          <w:position w:val="0"/>
        </w:rPr>
        <w:t>亿元的股权对价款，其余款项 将在完成剩余股权转让工商登记手续之后予以支付，并已在</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日前偿还完毕北京京朝 苏宁所欠苏宁云商及子公司的款项。截止本报告披露日，苏宁电器集团已经将余款</w:t>
      </w:r>
      <w:r>
        <w:rPr>
          <w:rFonts w:ascii="Times New Roman" w:eastAsia="Times New Roman" w:hAnsi="Times New Roman" w:cs="Times New Roman"/>
          <w:color w:val="000000"/>
          <w:spacing w:val="0"/>
          <w:w w:val="100"/>
          <w:position w:val="0"/>
        </w:rPr>
        <w:t>5.03</w:t>
      </w:r>
      <w:r>
        <w:rPr>
          <w:color w:val="000000"/>
          <w:spacing w:val="0"/>
          <w:w w:val="100"/>
          <w:position w:val="0"/>
        </w:rPr>
        <w:t>亿元支付完 毕。本次交易增加公司净利润</w:t>
      </w:r>
      <w:r>
        <w:rPr>
          <w:rFonts w:ascii="Times New Roman" w:eastAsia="Times New Roman" w:hAnsi="Times New Roman" w:cs="Times New Roman"/>
          <w:color w:val="000000"/>
          <w:spacing w:val="0"/>
          <w:w w:val="100"/>
          <w:position w:val="0"/>
        </w:rPr>
        <w:t>9.88</w:t>
      </w:r>
      <w:r>
        <w:rPr>
          <w:color w:val="000000"/>
          <w:spacing w:val="0"/>
          <w:w w:val="100"/>
          <w:position w:val="0"/>
        </w:rPr>
        <w:t>亿元。</w:t>
      </w:r>
    </w:p>
    <w:p>
      <w:pPr>
        <w:pStyle w:val="Style18"/>
        <w:keepNext/>
        <w:keepLines/>
        <w:widowControl w:val="0"/>
        <w:shd w:val="clear" w:color="auto" w:fill="auto"/>
        <w:bidi w:val="0"/>
        <w:spacing w:before="800" w:after="520" w:line="240" w:lineRule="auto"/>
        <w:ind w:left="0" w:right="0" w:firstLine="0"/>
        <w:jc w:val="center"/>
      </w:pPr>
      <w:bookmarkStart w:id="387" w:name="bookmark387"/>
      <w:bookmarkStart w:id="388" w:name="bookmark388"/>
      <w:bookmarkStart w:id="389" w:name="bookmark389"/>
      <w:bookmarkStart w:id="390" w:name="bookmark390"/>
      <w:r>
        <w:rPr>
          <w:color w:val="000000"/>
          <w:spacing w:val="0"/>
          <w:w w:val="100"/>
          <w:position w:val="0"/>
        </w:rPr>
        <w:t>第六节股份变动及股东情况</w:t>
      </w:r>
      <w:bookmarkEnd w:id="388"/>
      <w:bookmarkEnd w:id="389"/>
      <w:bookmarkEnd w:id="390"/>
      <w:bookmarkEnd w:id="387"/>
    </w:p>
    <w:p>
      <w:pPr>
        <w:pStyle w:val="Style32"/>
        <w:keepNext w:val="0"/>
        <w:keepLines w:val="0"/>
        <w:widowControl w:val="0"/>
        <w:shd w:val="clear" w:color="auto" w:fill="auto"/>
        <w:bidi w:val="0"/>
        <w:spacing w:before="0" w:after="320" w:line="240" w:lineRule="auto"/>
        <w:ind w:left="0" w:right="0" w:firstLine="0"/>
        <w:jc w:val="left"/>
        <w:rPr>
          <w:sz w:val="24"/>
          <w:szCs w:val="24"/>
        </w:rPr>
      </w:pPr>
      <w:bookmarkStart w:id="391" w:name="bookmark391"/>
      <w:r>
        <w:rPr>
          <w:b/>
          <w:bCs/>
          <w:color w:val="000000"/>
          <w:spacing w:val="0"/>
          <w:w w:val="100"/>
          <w:position w:val="0"/>
          <w:sz w:val="24"/>
          <w:szCs w:val="24"/>
        </w:rPr>
        <w:t>一</w:t>
      </w:r>
      <w:bookmarkEnd w:id="391"/>
      <w:r>
        <w:rPr>
          <w:b/>
          <w:bCs/>
          <w:color w:val="000000"/>
          <w:spacing w:val="0"/>
          <w:w w:val="100"/>
          <w:position w:val="0"/>
          <w:sz w:val="24"/>
          <w:szCs w:val="24"/>
        </w:rPr>
        <w:t>、股份变动情况</w:t>
      </w:r>
    </w:p>
    <w:p>
      <w:pPr>
        <w:pStyle w:val="Style38"/>
        <w:keepNext/>
        <w:keepLines/>
        <w:widowControl w:val="0"/>
        <w:shd w:val="clear" w:color="auto" w:fill="auto"/>
        <w:bidi w:val="0"/>
        <w:spacing w:before="0" w:after="320" w:line="240" w:lineRule="auto"/>
        <w:ind w:left="0" w:right="0" w:firstLine="0"/>
        <w:jc w:val="left"/>
      </w:pPr>
      <w:bookmarkStart w:id="392" w:name="bookmark392"/>
      <w:bookmarkStart w:id="393" w:name="bookmark393"/>
      <w:bookmarkStart w:id="394" w:name="bookmark394"/>
      <w:bookmarkStart w:id="395" w:name="bookmark395"/>
      <w:r>
        <w:rPr>
          <w:rFonts w:ascii="Times New Roman" w:eastAsia="Times New Roman" w:hAnsi="Times New Roman" w:cs="Times New Roman"/>
          <w:color w:val="000000"/>
          <w:spacing w:val="0"/>
          <w:w w:val="100"/>
          <w:position w:val="0"/>
        </w:rPr>
        <w:t>1</w:t>
      </w:r>
      <w:bookmarkEnd w:id="394"/>
      <w:r>
        <w:rPr>
          <w:color w:val="000000"/>
          <w:spacing w:val="0"/>
          <w:w w:val="100"/>
          <w:position w:val="0"/>
        </w:rPr>
        <w:t>、股份变动情况</w:t>
      </w:r>
      <w:bookmarkEnd w:id="392"/>
      <w:bookmarkEnd w:id="393"/>
      <w:bookmarkEnd w:id="395"/>
    </w:p>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单位：股</w:t>
      </w:r>
    </w:p>
    <w:tbl>
      <w:tblPr>
        <w:tblOverlap w:val="never"/>
        <w:jc w:val="center"/>
        <w:tblLayout w:type="fixed"/>
      </w:tblPr>
      <w:tblGrid>
        <w:gridCol w:w="1642"/>
        <w:gridCol w:w="1262"/>
        <w:gridCol w:w="816"/>
        <w:gridCol w:w="1277"/>
        <w:gridCol w:w="298"/>
        <w:gridCol w:w="634"/>
        <w:gridCol w:w="341"/>
        <w:gridCol w:w="1277"/>
        <w:gridCol w:w="1282"/>
        <w:gridCol w:w="878"/>
      </w:tblGrid>
      <w:tr>
        <w:trPr>
          <w:trHeight w:val="27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本次变动前</w:t>
            </w:r>
          </w:p>
        </w:tc>
        <w:tc>
          <w:tcPr>
            <w:gridSpan w:val="5"/>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本次变动增减</w:t>
            </w:r>
            <w:r>
              <w:rPr>
                <w:color w:val="000000"/>
                <w:spacing w:val="0"/>
                <w:w w:val="100"/>
                <w:position w:val="0"/>
                <w:sz w:val="20"/>
                <w:szCs w:val="20"/>
              </w:rPr>
              <w:t>（ + ,一）</w:t>
            </w:r>
          </w:p>
        </w:tc>
        <w:tc>
          <w:tcPr>
            <w:gridSpan w:val="2"/>
            <w:tcBorders>
              <w:top w:val="single" w:sz="4"/>
              <w:left w:val="single" w:sz="4"/>
              <w:righ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本次变动后</w:t>
            </w:r>
          </w:p>
        </w:tc>
      </w:tr>
      <w:tr>
        <w:trPr>
          <w:trHeight w:val="787"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数量</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比例</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发行新股</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送 股</w:t>
            </w:r>
          </w:p>
        </w:tc>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62" w:lineRule="exact"/>
              <w:ind w:left="0" w:right="0" w:firstLine="0"/>
              <w:jc w:val="center"/>
              <w:rPr>
                <w:sz w:val="20"/>
                <w:szCs w:val="20"/>
              </w:rPr>
            </w:pPr>
            <w:r>
              <w:rPr>
                <w:color w:val="000000"/>
                <w:spacing w:val="0"/>
                <w:w w:val="100"/>
                <w:position w:val="0"/>
                <w:sz w:val="20"/>
                <w:szCs w:val="20"/>
              </w:rPr>
              <w:t>公积 金转 股</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54" w:lineRule="exact"/>
              <w:ind w:left="0" w:right="0" w:firstLine="0"/>
              <w:jc w:val="left"/>
              <w:rPr>
                <w:sz w:val="20"/>
                <w:szCs w:val="20"/>
              </w:rPr>
            </w:pPr>
            <w:r>
              <w:rPr>
                <w:color w:val="000000"/>
                <w:spacing w:val="0"/>
                <w:w w:val="100"/>
                <w:position w:val="0"/>
                <w:sz w:val="20"/>
                <w:szCs w:val="20"/>
              </w:rPr>
              <w:t>其 他</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小计</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数量</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比例</w:t>
            </w:r>
          </w:p>
        </w:tc>
      </w:tr>
      <w:tr>
        <w:trPr>
          <w:trHeight w:val="528" w:hRule="exact"/>
        </w:trPr>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一、有限售条件 股份</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2,365,228,291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32.04%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1,926,996,505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1,926,996,505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4,292,224,796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46.10%</w:t>
            </w:r>
          </w:p>
        </w:tc>
      </w:tr>
      <w:tr>
        <w:trPr>
          <w:trHeight w:val="269" w:hRule="exact"/>
        </w:trPr>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、国家持股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、国有法人持股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、其他内资持股</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2,365,228,291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32.04%</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1,926,996,505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1,926,996,505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4,292,224,796</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46.10%</w:t>
            </w:r>
          </w:p>
        </w:tc>
      </w:tr>
      <w:tr>
        <w:trPr>
          <w:trHeight w:val="528" w:hRule="exact"/>
        </w:trPr>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64" w:lineRule="exact"/>
              <w:ind w:left="0" w:right="0" w:firstLine="0"/>
              <w:jc w:val="left"/>
              <w:rPr>
                <w:sz w:val="20"/>
                <w:szCs w:val="20"/>
              </w:rPr>
            </w:pPr>
            <w:r>
              <w:rPr>
                <w:color w:val="000000"/>
                <w:spacing w:val="0"/>
                <w:w w:val="100"/>
                <w:position w:val="0"/>
                <w:sz w:val="20"/>
                <w:szCs w:val="20"/>
              </w:rPr>
              <w:t>其中：境内法人 持股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309,730,551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4.20%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1,926,996,505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1,926,996,505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2,236,727,056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24.02%</w:t>
            </w:r>
          </w:p>
        </w:tc>
      </w:tr>
      <w:tr>
        <w:trPr>
          <w:trHeight w:val="269"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境内自然人持股</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2,055,497,740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27.84%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2,055,497,740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22.08%</w:t>
            </w:r>
          </w:p>
        </w:tc>
      </w:tr>
      <w:tr>
        <w:trPr>
          <w:trHeight w:val="274"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、外资持股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28" w:hRule="exact"/>
        </w:trPr>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64" w:lineRule="exact"/>
              <w:ind w:left="0" w:right="0" w:firstLine="0"/>
              <w:jc w:val="left"/>
              <w:rPr>
                <w:sz w:val="20"/>
                <w:szCs w:val="20"/>
              </w:rPr>
            </w:pPr>
            <w:r>
              <w:rPr>
                <w:color w:val="000000"/>
                <w:spacing w:val="0"/>
                <w:w w:val="100"/>
                <w:position w:val="0"/>
                <w:sz w:val="20"/>
                <w:szCs w:val="20"/>
              </w:rPr>
              <w:t>其中：境外法人 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境外自然人持股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28"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64" w:lineRule="exact"/>
              <w:ind w:left="0" w:right="0" w:firstLine="0"/>
              <w:jc w:val="left"/>
              <w:rPr>
                <w:sz w:val="20"/>
                <w:szCs w:val="20"/>
              </w:rPr>
            </w:pPr>
            <w:r>
              <w:rPr>
                <w:color w:val="000000"/>
                <w:spacing w:val="0"/>
                <w:w w:val="100"/>
                <w:position w:val="0"/>
                <w:sz w:val="20"/>
                <w:szCs w:val="20"/>
              </w:rPr>
              <w:t>二、无限售条件 股份</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5,017,814,859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67.96%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5,017,814,859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53.90%</w:t>
            </w:r>
          </w:p>
        </w:tc>
      </w:tr>
      <w:tr>
        <w:trPr>
          <w:trHeight w:val="269"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、人民币普通股</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5,017,814,859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67.96%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5,017,814,859</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53.90%</w:t>
            </w:r>
          </w:p>
        </w:tc>
      </w:tr>
      <w:tr>
        <w:trPr>
          <w:trHeight w:val="528" w:hRule="exact"/>
        </w:trPr>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74" w:lineRule="exact"/>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、境内上市的外 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28" w:hRule="exact"/>
        </w:trPr>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74" w:lineRule="exact"/>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、境外上市的外 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bottom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三、股份总数</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7,383,043,150</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1,926,996,505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1,926,996,505</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9,310,039,655</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100.00%</w:t>
            </w:r>
          </w:p>
        </w:tc>
      </w:tr>
    </w:tbl>
    <w:p>
      <w:pPr>
        <w:widowControl w:val="0"/>
        <w:spacing w:after="59" w:line="1" w:lineRule="exact"/>
      </w:pPr>
    </w:p>
    <w:p>
      <w:pPr>
        <w:pStyle w:val="Style32"/>
        <w:keepNext w:val="0"/>
        <w:keepLines w:val="0"/>
        <w:widowControl w:val="0"/>
        <w:shd w:val="clear" w:color="auto" w:fill="auto"/>
        <w:tabs>
          <w:tab w:pos="502" w:val="left"/>
        </w:tabs>
        <w:bidi w:val="0"/>
        <w:spacing w:before="0" w:after="0" w:line="473" w:lineRule="exact"/>
        <w:ind w:left="0" w:right="0" w:firstLine="0"/>
        <w:jc w:val="left"/>
      </w:pPr>
      <w:bookmarkStart w:id="396" w:name="bookmark396"/>
      <w:r>
        <w:rPr>
          <w:color w:val="000000"/>
          <w:spacing w:val="0"/>
          <w:w w:val="100"/>
          <w:position w:val="0"/>
        </w:rPr>
        <w:t>（</w:t>
      </w:r>
      <w:bookmarkEnd w:id="396"/>
      <w:r>
        <w:rPr>
          <w:rFonts w:ascii="Times New Roman" w:eastAsia="Times New Roman" w:hAnsi="Times New Roman" w:cs="Times New Roman"/>
          <w:color w:val="000000"/>
          <w:spacing w:val="0"/>
          <w:w w:val="100"/>
          <w:position w:val="0"/>
        </w:rPr>
        <w:t>1</w:t>
      </w:r>
      <w:r>
        <w:rPr>
          <w:color w:val="000000"/>
          <w:spacing w:val="0"/>
          <w:w w:val="100"/>
          <w:position w:val="0"/>
        </w:rPr>
        <w:t>）</w:t>
        <w:tab/>
        <w:t>股份变动的原因</w:t>
      </w:r>
    </w:p>
    <w:p>
      <w:pPr>
        <w:pStyle w:val="Style32"/>
        <w:keepNext w:val="0"/>
        <w:keepLines w:val="0"/>
        <w:widowControl w:val="0"/>
        <w:shd w:val="clear" w:color="auto" w:fill="auto"/>
        <w:bidi w:val="0"/>
        <w:spacing w:before="0" w:after="0" w:line="473" w:lineRule="exact"/>
        <w:ind w:left="0" w:right="0" w:firstLine="540"/>
        <w:jc w:val="left"/>
      </w:pPr>
      <w:r>
        <w:rPr>
          <w:color w:val="000000"/>
          <w:spacing w:val="0"/>
          <w:w w:val="100"/>
          <w:position w:val="0"/>
        </w:rPr>
        <w:t>经中国证券监督管理委员会《关于核准苏宁云商集团股份有限公司非公开发行股票的批复》</w:t>
      </w:r>
    </w:p>
    <w:p>
      <w:pPr>
        <w:pStyle w:val="Style32"/>
        <w:keepNext w:val="0"/>
        <w:keepLines w:val="0"/>
        <w:widowControl w:val="0"/>
        <w:shd w:val="clear" w:color="auto" w:fill="auto"/>
        <w:bidi w:val="0"/>
        <w:spacing w:before="0" w:after="0" w:line="473" w:lineRule="exact"/>
        <w:ind w:left="0" w:right="0" w:firstLine="0"/>
        <w:jc w:val="left"/>
      </w:pPr>
      <w:r>
        <w:rPr>
          <w:color w:val="000000"/>
          <w:spacing w:val="0"/>
          <w:w w:val="100"/>
          <w:position w:val="0"/>
        </w:rPr>
        <w:t>（证监许可</w:t>
      </w:r>
      <w:r>
        <w:rPr>
          <w:rFonts w:ascii="Times New Roman" w:eastAsia="Times New Roman" w:hAnsi="Times New Roman" w:cs="Times New Roman"/>
          <w:color w:val="000000"/>
          <w:spacing w:val="0"/>
          <w:w w:val="100"/>
          <w:position w:val="0"/>
        </w:rPr>
        <w:t>[2016]418</w:t>
      </w:r>
      <w:r>
        <w:rPr>
          <w:color w:val="000000"/>
          <w:spacing w:val="0"/>
          <w:w w:val="100"/>
          <w:position w:val="0"/>
        </w:rPr>
        <w:t>号）核准，公司于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日向淘宝（中国）软件有限公司、苏宁云商 集团股份有限公司一第二期员工持股计划非公开发行人民币普通股</w:t>
      </w: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股）</w:t>
      </w:r>
      <w:r>
        <w:rPr>
          <w:rFonts w:ascii="Times New Roman" w:eastAsia="Times New Roman" w:hAnsi="Times New Roman" w:cs="Times New Roman"/>
          <w:color w:val="000000"/>
          <w:spacing w:val="0"/>
          <w:w w:val="100"/>
          <w:position w:val="0"/>
        </w:rPr>
        <w:t>1,926,996,505</w:t>
      </w:r>
      <w:r>
        <w:rPr>
          <w:color w:val="000000"/>
          <w:spacing w:val="0"/>
          <w:w w:val="100"/>
          <w:position w:val="0"/>
        </w:rPr>
        <w:t>股，本次 发行股份自新增股份上市之日起</w:t>
      </w:r>
      <w:r>
        <w:rPr>
          <w:rFonts w:ascii="Times New Roman" w:eastAsia="Times New Roman" w:hAnsi="Times New Roman" w:cs="Times New Roman"/>
          <w:color w:val="000000"/>
          <w:spacing w:val="0"/>
          <w:w w:val="100"/>
          <w:position w:val="0"/>
        </w:rPr>
        <w:t>36</w:t>
      </w:r>
      <w:r>
        <w:rPr>
          <w:color w:val="000000"/>
          <w:spacing w:val="0"/>
          <w:w w:val="100"/>
          <w:position w:val="0"/>
        </w:rPr>
        <w:t>个月内不得转让。</w:t>
      </w:r>
    </w:p>
    <w:p>
      <w:pPr>
        <w:pStyle w:val="Style32"/>
        <w:keepNext w:val="0"/>
        <w:keepLines w:val="0"/>
        <w:widowControl w:val="0"/>
        <w:shd w:val="clear" w:color="auto" w:fill="auto"/>
        <w:tabs>
          <w:tab w:pos="502" w:val="left"/>
        </w:tabs>
        <w:bidi w:val="0"/>
        <w:spacing w:before="0" w:after="180" w:line="473" w:lineRule="exact"/>
        <w:ind w:left="0" w:right="0" w:firstLine="0"/>
        <w:jc w:val="left"/>
      </w:pPr>
      <w:bookmarkStart w:id="397" w:name="bookmark397"/>
      <w:r>
        <w:rPr>
          <w:color w:val="000000"/>
          <w:spacing w:val="0"/>
          <w:w w:val="100"/>
          <w:position w:val="0"/>
        </w:rPr>
        <w:t>（</w:t>
      </w:r>
      <w:bookmarkEnd w:id="397"/>
      <w:r>
        <w:rPr>
          <w:rFonts w:ascii="Times New Roman" w:eastAsia="Times New Roman" w:hAnsi="Times New Roman" w:cs="Times New Roman"/>
          <w:color w:val="000000"/>
          <w:spacing w:val="0"/>
          <w:w w:val="100"/>
          <w:position w:val="0"/>
        </w:rPr>
        <w:t>2</w:t>
      </w:r>
      <w:r>
        <w:rPr>
          <w:color w:val="000000"/>
          <w:spacing w:val="0"/>
          <w:w w:val="100"/>
          <w:position w:val="0"/>
        </w:rPr>
        <w:t>）</w:t>
        <w:tab/>
        <w:t>股份变动的批准情况</w:t>
      </w:r>
    </w:p>
    <w:p>
      <w:pPr>
        <w:pStyle w:val="Style32"/>
        <w:keepNext w:val="0"/>
        <w:keepLines w:val="0"/>
        <w:widowControl w:val="0"/>
        <w:shd w:val="clear" w:color="auto" w:fill="auto"/>
        <w:bidi w:val="0"/>
        <w:spacing w:before="0" w:after="0" w:line="449" w:lineRule="auto"/>
        <w:ind w:left="0" w:right="0" w:firstLine="54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日，公司第五届董事会第二十三次会议审议通过非公开发行股票的相关议案；</w:t>
      </w:r>
    </w:p>
    <w:p>
      <w:pPr>
        <w:pStyle w:val="Style32"/>
        <w:keepNext w:val="0"/>
        <w:keepLines w:val="0"/>
        <w:widowControl w:val="0"/>
        <w:shd w:val="clear" w:color="auto" w:fill="auto"/>
        <w:bidi w:val="0"/>
        <w:spacing w:before="0" w:after="320" w:line="449" w:lineRule="auto"/>
        <w:ind w:left="0" w:right="0" w:firstLine="54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日，公司</w:t>
      </w:r>
      <w:r>
        <w:rPr>
          <w:rFonts w:ascii="Times New Roman" w:eastAsia="Times New Roman" w:hAnsi="Times New Roman" w:cs="Times New Roman"/>
          <w:color w:val="000000"/>
          <w:spacing w:val="0"/>
          <w:w w:val="100"/>
          <w:position w:val="0"/>
        </w:rPr>
        <w:t>2015</w:t>
      </w:r>
      <w:r>
        <w:rPr>
          <w:color w:val="000000"/>
          <w:spacing w:val="0"/>
          <w:w w:val="100"/>
          <w:position w:val="0"/>
        </w:rPr>
        <w:t>年第三次临时股东大会逐项审议通过非公开发行股票的相关议案;</w:t>
      </w:r>
    </w:p>
    <w:p>
      <w:pPr>
        <w:pStyle w:val="Style32"/>
        <w:keepNext w:val="0"/>
        <w:keepLines w:val="0"/>
        <w:widowControl w:val="0"/>
        <w:shd w:val="clear" w:color="auto" w:fill="auto"/>
        <w:bidi w:val="0"/>
        <w:spacing w:before="0" w:after="0" w:line="466" w:lineRule="exact"/>
        <w:ind w:left="0" w:right="0" w:firstLine="54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日，公司收到中国证监会《关于核准苏宁云商集团股份有限公司非公开发行股票 的批复》（证监许可</w:t>
      </w:r>
      <w:r>
        <w:rPr>
          <w:rFonts w:ascii="Times New Roman" w:eastAsia="Times New Roman" w:hAnsi="Times New Roman" w:cs="Times New Roman"/>
          <w:color w:val="000000"/>
          <w:spacing w:val="0"/>
          <w:w w:val="100"/>
          <w:position w:val="0"/>
        </w:rPr>
        <w:t>[2016]418</w:t>
      </w:r>
      <w:r>
        <w:rPr>
          <w:color w:val="000000"/>
          <w:spacing w:val="0"/>
          <w:w w:val="100"/>
          <w:position w:val="0"/>
        </w:rPr>
        <w:t>号）。</w:t>
      </w:r>
    </w:p>
    <w:p>
      <w:pPr>
        <w:pStyle w:val="Style32"/>
        <w:keepNext w:val="0"/>
        <w:keepLines w:val="0"/>
        <w:widowControl w:val="0"/>
        <w:shd w:val="clear" w:color="auto" w:fill="auto"/>
        <w:tabs>
          <w:tab w:pos="502" w:val="left"/>
        </w:tabs>
        <w:bidi w:val="0"/>
        <w:spacing w:before="0" w:after="0" w:line="466" w:lineRule="exact"/>
        <w:ind w:left="0" w:right="0" w:firstLine="0"/>
        <w:jc w:val="left"/>
      </w:pPr>
      <w:bookmarkStart w:id="398" w:name="bookmark398"/>
      <w:r>
        <w:rPr>
          <w:color w:val="000000"/>
          <w:spacing w:val="0"/>
          <w:w w:val="100"/>
          <w:position w:val="0"/>
        </w:rPr>
        <w:t>（</w:t>
      </w:r>
      <w:bookmarkEnd w:id="398"/>
      <w:r>
        <w:rPr>
          <w:rFonts w:ascii="Times New Roman" w:eastAsia="Times New Roman" w:hAnsi="Times New Roman" w:cs="Times New Roman"/>
          <w:color w:val="000000"/>
          <w:spacing w:val="0"/>
          <w:w w:val="100"/>
          <w:position w:val="0"/>
        </w:rPr>
        <w:t>3</w:t>
      </w:r>
      <w:r>
        <w:rPr>
          <w:color w:val="000000"/>
          <w:spacing w:val="0"/>
          <w:w w:val="100"/>
          <w:position w:val="0"/>
        </w:rPr>
        <w:t>）</w:t>
        <w:tab/>
        <w:t>股份变动的过户情况</w:t>
      </w:r>
    </w:p>
    <w:p>
      <w:pPr>
        <w:pStyle w:val="Style32"/>
        <w:keepNext w:val="0"/>
        <w:keepLines w:val="0"/>
        <w:widowControl w:val="0"/>
        <w:shd w:val="clear" w:color="auto" w:fill="auto"/>
        <w:bidi w:val="0"/>
        <w:spacing w:before="0" w:after="0" w:line="466" w:lineRule="exact"/>
        <w:ind w:left="0" w:right="0" w:firstLine="540"/>
        <w:jc w:val="left"/>
      </w:pPr>
      <w:r>
        <w:rPr>
          <w:color w:val="000000"/>
          <w:spacing w:val="0"/>
          <w:w w:val="100"/>
          <w:position w:val="0"/>
        </w:rPr>
        <w:t>本次向特定对象淘宝（中国）软件有限公司非公开发行人民币普通股</w:t>
      </w: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股）</w:t>
      </w:r>
      <w:r>
        <w:rPr>
          <w:rFonts w:ascii="Times New Roman" w:eastAsia="Times New Roman" w:hAnsi="Times New Roman" w:cs="Times New Roman"/>
          <w:color w:val="000000"/>
          <w:spacing w:val="0"/>
          <w:w w:val="100"/>
          <w:position w:val="0"/>
        </w:rPr>
        <w:t>1,861,076,927</w:t>
      </w:r>
      <w:r>
        <w:rPr>
          <w:color w:val="000000"/>
          <w:spacing w:val="0"/>
          <w:w w:val="100"/>
          <w:position w:val="0"/>
        </w:rPr>
        <w:t>股， 向苏宁云商集团股份有限公司一第二期员工持股计划非公开发行人民币普通股</w:t>
      </w: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股）</w:t>
      </w:r>
      <w:r>
        <w:rPr>
          <w:rFonts w:ascii="Times New Roman" w:eastAsia="Times New Roman" w:hAnsi="Times New Roman" w:cs="Times New Roman"/>
          <w:color w:val="000000"/>
          <w:spacing w:val="0"/>
          <w:w w:val="100"/>
          <w:position w:val="0"/>
        </w:rPr>
        <w:t>65,919,578</w:t>
      </w:r>
      <w:r>
        <w:rPr>
          <w:color w:val="000000"/>
          <w:spacing w:val="0"/>
          <w:w w:val="100"/>
          <w:position w:val="0"/>
        </w:rPr>
        <w:t>股, 并于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日取得中国证券登记结算有限责任公司深圳分公司股份登记证明，于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 xml:space="preserve">6 </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日在深圳证券交易所上市。</w:t>
      </w:r>
    </w:p>
    <w:p>
      <w:pPr>
        <w:pStyle w:val="Style32"/>
        <w:keepNext w:val="0"/>
        <w:keepLines w:val="0"/>
        <w:widowControl w:val="0"/>
        <w:shd w:val="clear" w:color="auto" w:fill="auto"/>
        <w:tabs>
          <w:tab w:pos="502" w:val="left"/>
        </w:tabs>
        <w:bidi w:val="0"/>
        <w:spacing w:before="0" w:after="220" w:line="466" w:lineRule="exact"/>
        <w:ind w:left="0" w:right="0" w:firstLine="0"/>
        <w:jc w:val="left"/>
      </w:pPr>
      <w:bookmarkStart w:id="399" w:name="bookmark399"/>
      <w:r>
        <w:rPr>
          <w:color w:val="000000"/>
          <w:spacing w:val="0"/>
          <w:w w:val="100"/>
          <w:position w:val="0"/>
        </w:rPr>
        <w:t>（</w:t>
      </w:r>
      <w:bookmarkEnd w:id="399"/>
      <w:r>
        <w:rPr>
          <w:rFonts w:ascii="Times New Roman" w:eastAsia="Times New Roman" w:hAnsi="Times New Roman" w:cs="Times New Roman"/>
          <w:color w:val="000000"/>
          <w:spacing w:val="0"/>
          <w:w w:val="100"/>
          <w:position w:val="0"/>
        </w:rPr>
        <w:t>4</w:t>
      </w:r>
      <w:r>
        <w:rPr>
          <w:color w:val="000000"/>
          <w:spacing w:val="0"/>
          <w:w w:val="100"/>
          <w:position w:val="0"/>
        </w:rPr>
        <w:t>）</w:t>
        <w:tab/>
        <w:t>股份变动对最近一年和最近一期基本每股收益和稀释每股收益、归属于公司普通股股东的每股</w:t>
      </w:r>
    </w:p>
    <w:p>
      <w:pPr>
        <w:pStyle w:val="Style25"/>
        <w:keepNext w:val="0"/>
        <w:keepLines w:val="0"/>
        <w:widowControl w:val="0"/>
        <w:shd w:val="clear" w:color="auto" w:fill="auto"/>
        <w:bidi w:val="0"/>
        <w:spacing w:before="0" w:after="0" w:line="240" w:lineRule="auto"/>
        <w:ind w:left="91" w:right="0" w:firstLine="0"/>
        <w:jc w:val="left"/>
      </w:pPr>
      <w:r>
        <w:rPr>
          <w:color w:val="000000"/>
          <w:spacing w:val="0"/>
          <w:w w:val="100"/>
          <w:position w:val="0"/>
        </w:rPr>
        <w:t>净资产等财务指标的影响</w:t>
      </w:r>
    </w:p>
    <w:tbl>
      <w:tblPr>
        <w:tblOverlap w:val="never"/>
        <w:jc w:val="center"/>
        <w:tblLayout w:type="fixed"/>
      </w:tblPr>
      <w:tblGrid>
        <w:gridCol w:w="4646"/>
        <w:gridCol w:w="1709"/>
        <w:gridCol w:w="1267"/>
        <w:gridCol w:w="2242"/>
      </w:tblGrid>
      <w:tr>
        <w:trPr>
          <w:trHeight w:val="29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p>
        </w:tc>
        <w:tc>
          <w:tcPr>
            <w:tcBorders>
              <w:top w:val="single" w:sz="4"/>
              <w:left w:val="single" w:sz="4"/>
              <w:righ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r>
      <w:tr>
        <w:trPr>
          <w:trHeight w:val="298"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增发前</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增发后</w:t>
            </w:r>
          </w:p>
        </w:tc>
        <w:tc>
          <w:tcPr>
            <w:tcBorders>
              <w:top w:val="single" w:sz="4"/>
              <w:left w:val="single" w:sz="4"/>
              <w:righ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780"/>
              <w:jc w:val="left"/>
            </w:pPr>
            <w:r>
              <w:rPr>
                <w:color w:val="000000"/>
                <w:spacing w:val="0"/>
                <w:w w:val="100"/>
                <w:position w:val="0"/>
              </w:rPr>
              <w:t>增发后</w:t>
            </w:r>
          </w:p>
        </w:tc>
      </w:tr>
      <w:tr>
        <w:trPr>
          <w:trHeight w:val="29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0.12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0.09</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740" w:right="0" w:firstLine="0"/>
              <w:jc w:val="left"/>
            </w:pPr>
            <w:r>
              <w:rPr>
                <w:rFonts w:ascii="Times New Roman" w:eastAsia="Times New Roman" w:hAnsi="Times New Roman" w:cs="Times New Roman"/>
                <w:color w:val="000000"/>
                <w:spacing w:val="0"/>
                <w:w w:val="100"/>
                <w:position w:val="0"/>
              </w:rPr>
              <w:t>0.08</w:t>
            </w:r>
          </w:p>
        </w:tc>
      </w:tr>
      <w:tr>
        <w:trPr>
          <w:trHeight w:val="2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0.12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0.09</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740" w:right="0" w:firstLine="0"/>
              <w:jc w:val="left"/>
            </w:pPr>
            <w:r>
              <w:rPr>
                <w:rFonts w:ascii="Times New Roman" w:eastAsia="Times New Roman" w:hAnsi="Times New Roman" w:cs="Times New Roman"/>
                <w:color w:val="000000"/>
                <w:spacing w:val="0"/>
                <w:w w:val="100"/>
                <w:position w:val="0"/>
              </w:rPr>
              <w:t>0.08</w:t>
            </w:r>
          </w:p>
        </w:tc>
      </w:tr>
      <w:tr>
        <w:trPr>
          <w:trHeight w:val="586"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0"/>
              <w:jc w:val="left"/>
            </w:pPr>
            <w:r>
              <w:rPr>
                <w:color w:val="000000"/>
                <w:spacing w:val="0"/>
                <w:w w:val="100"/>
                <w:position w:val="0"/>
              </w:rPr>
              <w:t>归属于公司普通股股东的每股净资产（元</w:t>
            </w:r>
            <w:r>
              <w:rPr>
                <w:rFonts w:ascii="Times New Roman" w:eastAsia="Times New Roman" w:hAnsi="Times New Roman" w:cs="Times New Roman"/>
                <w:color w:val="000000"/>
                <w:spacing w:val="0"/>
                <w:w w:val="100"/>
                <w:position w:val="0"/>
              </w:rPr>
              <w:t xml:space="preserve">/ </w:t>
            </w:r>
            <w:r>
              <w:rPr>
                <w:color w:val="000000"/>
                <w:spacing w:val="0"/>
                <w:w w:val="100"/>
                <w:position w:val="0"/>
              </w:rPr>
              <w:t>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4.13</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3.27</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740" w:right="0" w:firstLine="0"/>
              <w:jc w:val="left"/>
            </w:pPr>
            <w:r>
              <w:rPr>
                <w:rFonts w:ascii="Times New Roman" w:eastAsia="Times New Roman" w:hAnsi="Times New Roman" w:cs="Times New Roman"/>
                <w:color w:val="000000"/>
                <w:spacing w:val="0"/>
                <w:w w:val="100"/>
                <w:position w:val="0"/>
              </w:rPr>
              <w:t>7.06</w:t>
            </w:r>
          </w:p>
        </w:tc>
      </w:tr>
    </w:tbl>
    <w:p>
      <w:pPr>
        <w:pStyle w:val="Style25"/>
        <w:keepNext w:val="0"/>
        <w:keepLines w:val="0"/>
        <w:widowControl w:val="0"/>
        <w:shd w:val="clear" w:color="auto" w:fill="auto"/>
        <w:bidi w:val="0"/>
        <w:spacing w:before="0" w:after="0" w:line="240" w:lineRule="auto"/>
        <w:ind w:left="206"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5</w:t>
      </w:r>
      <w:r>
        <w:rPr>
          <w:color w:val="000000"/>
          <w:spacing w:val="0"/>
          <w:w w:val="100"/>
          <w:position w:val="0"/>
        </w:rPr>
        <w:t>）公司认为必要或证券监管机构要求披露的其他内容</w:t>
      </w:r>
    </w:p>
    <w:p>
      <w:pPr>
        <w:widowControl w:val="0"/>
        <w:spacing w:after="299" w:line="1" w:lineRule="exact"/>
      </w:pPr>
    </w:p>
    <w:p>
      <w:pPr>
        <w:pStyle w:val="Style3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8"/>
        <w:keepNext/>
        <w:keepLines/>
        <w:widowControl w:val="0"/>
        <w:shd w:val="clear" w:color="auto" w:fill="auto"/>
        <w:bidi w:val="0"/>
        <w:spacing w:before="0" w:after="380" w:line="240" w:lineRule="auto"/>
        <w:ind w:left="0" w:right="0" w:firstLine="0"/>
        <w:jc w:val="left"/>
      </w:pPr>
      <w:bookmarkStart w:id="400" w:name="bookmark400"/>
      <w:bookmarkStart w:id="401" w:name="bookmark401"/>
      <w:bookmarkStart w:id="402" w:name="bookmark402"/>
      <w:bookmarkStart w:id="403" w:name="bookmark403"/>
      <w:r>
        <w:rPr>
          <w:rFonts w:ascii="Times New Roman" w:eastAsia="Times New Roman" w:hAnsi="Times New Roman" w:cs="Times New Roman"/>
          <w:color w:val="000000"/>
          <w:spacing w:val="0"/>
          <w:w w:val="100"/>
          <w:position w:val="0"/>
        </w:rPr>
        <w:t>2</w:t>
      </w:r>
      <w:bookmarkEnd w:id="402"/>
      <w:r>
        <w:rPr>
          <w:color w:val="000000"/>
          <w:spacing w:val="0"/>
          <w:w w:val="100"/>
          <w:position w:val="0"/>
        </w:rPr>
        <w:t>、限售股份变动情况</w:t>
      </w:r>
      <w:bookmarkEnd w:id="400"/>
      <w:bookmarkEnd w:id="401"/>
      <w:bookmarkEnd w:id="403"/>
    </w:p>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单位：股</w:t>
      </w:r>
    </w:p>
    <w:tbl>
      <w:tblPr>
        <w:tblOverlap w:val="never"/>
        <w:jc w:val="center"/>
        <w:tblLayout w:type="fixed"/>
      </w:tblPr>
      <w:tblGrid>
        <w:gridCol w:w="1373"/>
        <w:gridCol w:w="1469"/>
        <w:gridCol w:w="994"/>
        <w:gridCol w:w="1416"/>
        <w:gridCol w:w="1594"/>
        <w:gridCol w:w="1363"/>
        <w:gridCol w:w="1584"/>
      </w:tblGrid>
      <w:tr>
        <w:trPr>
          <w:trHeight w:val="533" w:hRule="exact"/>
        </w:trPr>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股东名称</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期初限售股数</w:t>
            </w:r>
          </w:p>
        </w:tc>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54" w:lineRule="exact"/>
              <w:ind w:left="0" w:right="0" w:firstLine="0"/>
              <w:jc w:val="center"/>
              <w:rPr>
                <w:sz w:val="20"/>
                <w:szCs w:val="20"/>
              </w:rPr>
            </w:pPr>
            <w:r>
              <w:rPr>
                <w:color w:val="000000"/>
                <w:spacing w:val="0"/>
                <w:w w:val="100"/>
                <w:position w:val="0"/>
                <w:sz w:val="20"/>
                <w:szCs w:val="20"/>
              </w:rPr>
              <w:t>本期解除 限售股数</w:t>
            </w:r>
          </w:p>
        </w:tc>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59" w:lineRule="exact"/>
              <w:ind w:left="0" w:right="0" w:firstLine="0"/>
              <w:jc w:val="center"/>
              <w:rPr>
                <w:sz w:val="20"/>
                <w:szCs w:val="20"/>
              </w:rPr>
            </w:pPr>
            <w:r>
              <w:rPr>
                <w:color w:val="000000"/>
                <w:spacing w:val="0"/>
                <w:w w:val="100"/>
                <w:position w:val="0"/>
                <w:sz w:val="20"/>
                <w:szCs w:val="20"/>
              </w:rPr>
              <w:t>本期增加限售 股数</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期末限售股数</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限售原因</w:t>
            </w:r>
          </w:p>
        </w:tc>
        <w:tc>
          <w:tcPr>
            <w:tcBorders>
              <w:top w:val="single" w:sz="4"/>
              <w:left w:val="single" w:sz="4"/>
              <w:righ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解除限售日期</w:t>
            </w:r>
          </w:p>
        </w:tc>
      </w:tr>
      <w:tr>
        <w:trPr>
          <w:trHeight w:val="269"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张近东</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1,951,811,430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1,951,811,430</w:t>
            </w:r>
          </w:p>
        </w:tc>
        <w:tc>
          <w:tcPr>
            <w:vMerge w:val="restart"/>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60" w:lineRule="exact"/>
              <w:ind w:left="0" w:right="0" w:firstLine="0"/>
              <w:jc w:val="left"/>
              <w:rPr>
                <w:sz w:val="20"/>
                <w:szCs w:val="20"/>
              </w:rPr>
            </w:pPr>
            <w:r>
              <w:rPr>
                <w:color w:val="000000"/>
                <w:spacing w:val="0"/>
                <w:w w:val="100"/>
                <w:position w:val="0"/>
                <w:sz w:val="20"/>
                <w:szCs w:val="20"/>
              </w:rPr>
              <w:t>公司控股股 东、实际控制 人张近东先生 及其子公司苏 宁控股集团有 限公司积极参 与</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中小企业板 首</w:t>
            </w:r>
            <w:r>
              <w:rPr>
                <w:rFonts w:ascii="Times New Roman" w:eastAsia="Times New Roman" w:hAnsi="Times New Roman" w:cs="Times New Roman"/>
                <w:color w:val="000000"/>
                <w:spacing w:val="0"/>
                <w:w w:val="100"/>
                <w:position w:val="0"/>
                <w:sz w:val="20"/>
                <w:szCs w:val="20"/>
              </w:rPr>
              <w:t>50</w:t>
            </w:r>
            <w:r>
              <w:rPr>
                <w:color w:val="000000"/>
                <w:spacing w:val="0"/>
                <w:w w:val="100"/>
                <w:position w:val="0"/>
                <w:sz w:val="20"/>
                <w:szCs w:val="20"/>
              </w:rPr>
              <w:t xml:space="preserve">家公司关 于坚定发展信 心、维护市场 稳定的倡议书 </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,以实际行动 表明其对于资 本市场、中小 板以及企业长 期发展的强烈 信心，并向公 司递交了《关 于追加股份限</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2018</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7</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日</w:t>
            </w:r>
          </w:p>
        </w:tc>
      </w:tr>
      <w:tr>
        <w:trPr>
          <w:trHeight w:val="4670"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5" w:lineRule="exact"/>
              <w:ind w:left="0" w:right="0" w:firstLine="0"/>
              <w:jc w:val="left"/>
              <w:rPr>
                <w:sz w:val="20"/>
                <w:szCs w:val="20"/>
              </w:rPr>
            </w:pPr>
            <w:r>
              <w:rPr>
                <w:color w:val="000000"/>
                <w:spacing w:val="0"/>
                <w:w w:val="100"/>
                <w:position w:val="0"/>
                <w:sz w:val="20"/>
                <w:szCs w:val="20"/>
              </w:rPr>
              <w:t>苏宁控股集团 有限公司</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309,730,551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309,730,551</w:t>
            </w:r>
          </w:p>
        </w:tc>
        <w:tc>
          <w:tcPr>
            <w:vMerge/>
            <w:tcBorders>
              <w:left w:val="single" w:sz="4"/>
              <w:bottom w:val="single" w:sz="4"/>
            </w:tcBorders>
            <w:shd w:val="clear" w:color="auto" w:fill="FFFFFF"/>
            <w:vAlign w:val="bottom"/>
          </w:tcPr>
          <w:p>
            <w:pP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2018</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7</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日</w:t>
            </w:r>
          </w:p>
        </w:tc>
      </w:tr>
    </w:tbl>
    <w:p>
      <w:pPr>
        <w:spacing w:lineRule="exact" w:line="1"/>
        <w:rPr>
          <w:sz w:val="2"/>
          <w:szCs w:val="2"/>
        </w:rPr>
      </w:pPr>
      <w:r>
        <w:br w:type="page"/>
      </w:r>
    </w:p>
    <w:tbl>
      <w:tblPr>
        <w:tblOverlap w:val="never"/>
        <w:jc w:val="center"/>
        <w:tblLayout w:type="fixed"/>
      </w:tblPr>
      <w:tblGrid>
        <w:gridCol w:w="1373"/>
        <w:gridCol w:w="1469"/>
        <w:gridCol w:w="994"/>
        <w:gridCol w:w="1416"/>
        <w:gridCol w:w="1594"/>
        <w:gridCol w:w="1363"/>
        <w:gridCol w:w="1584"/>
      </w:tblGrid>
      <w:tr>
        <w:trPr>
          <w:trHeight w:val="533" w:hRule="exact"/>
        </w:trPr>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股东名称</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期初限售股数</w:t>
            </w:r>
          </w:p>
        </w:tc>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54" w:lineRule="exact"/>
              <w:ind w:left="0" w:right="0" w:firstLine="0"/>
              <w:jc w:val="center"/>
              <w:rPr>
                <w:sz w:val="20"/>
                <w:szCs w:val="20"/>
              </w:rPr>
            </w:pPr>
            <w:r>
              <w:rPr>
                <w:color w:val="000000"/>
                <w:spacing w:val="0"/>
                <w:w w:val="100"/>
                <w:position w:val="0"/>
                <w:sz w:val="20"/>
                <w:szCs w:val="20"/>
              </w:rPr>
              <w:t>本期解除 限售股数</w:t>
            </w:r>
          </w:p>
        </w:tc>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59" w:lineRule="exact"/>
              <w:ind w:left="0" w:right="0" w:firstLine="0"/>
              <w:jc w:val="center"/>
              <w:rPr>
                <w:sz w:val="20"/>
                <w:szCs w:val="20"/>
              </w:rPr>
            </w:pPr>
            <w:r>
              <w:rPr>
                <w:color w:val="000000"/>
                <w:spacing w:val="0"/>
                <w:w w:val="100"/>
                <w:position w:val="0"/>
                <w:sz w:val="20"/>
                <w:szCs w:val="20"/>
              </w:rPr>
              <w:t>本期增加限售 股数</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期末限售股数</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限售原因</w:t>
            </w:r>
          </w:p>
        </w:tc>
        <w:tc>
          <w:tcPr>
            <w:tcBorders>
              <w:top w:val="single" w:sz="4"/>
              <w:left w:val="single" w:sz="4"/>
              <w:righ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解除限售日期</w:t>
            </w:r>
          </w:p>
        </w:tc>
      </w:tr>
      <w:tr>
        <w:trPr>
          <w:trHeight w:val="52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54" w:lineRule="exact"/>
              <w:ind w:left="0" w:right="0" w:firstLine="0"/>
              <w:jc w:val="both"/>
              <w:rPr>
                <w:sz w:val="20"/>
                <w:szCs w:val="20"/>
              </w:rPr>
            </w:pPr>
            <w:r>
              <w:rPr>
                <w:color w:val="000000"/>
                <w:spacing w:val="0"/>
                <w:w w:val="100"/>
                <w:position w:val="0"/>
                <w:sz w:val="20"/>
                <w:szCs w:val="20"/>
              </w:rPr>
              <w:t>售承诺的 函》。</w:t>
            </w:r>
          </w:p>
        </w:tc>
        <w:tc>
          <w:tcPr>
            <w:tcBorders>
              <w:top w:val="single" w:sz="4"/>
              <w:left w:val="single" w:sz="4"/>
              <w:right w:val="single" w:sz="4"/>
            </w:tcBorders>
            <w:shd w:val="clear" w:color="auto" w:fill="FFFFFF"/>
            <w:vAlign w:val="top"/>
          </w:tcPr>
          <w:p>
            <w:pPr>
              <w:widowControl w:val="0"/>
              <w:rPr>
                <w:sz w:val="10"/>
                <w:szCs w:val="10"/>
              </w:rPr>
            </w:pPr>
          </w:p>
        </w:tc>
      </w:tr>
      <w:tr>
        <w:trPr>
          <w:trHeight w:val="1829"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64" w:lineRule="exact"/>
              <w:ind w:left="0" w:right="0" w:firstLine="0"/>
              <w:jc w:val="left"/>
              <w:rPr>
                <w:sz w:val="20"/>
                <w:szCs w:val="20"/>
              </w:rPr>
            </w:pPr>
            <w:r>
              <w:rPr>
                <w:color w:val="000000"/>
                <w:spacing w:val="0"/>
                <w:w w:val="100"/>
                <w:position w:val="0"/>
                <w:sz w:val="20"/>
                <w:szCs w:val="20"/>
              </w:rPr>
              <w:t>淘宝（中国） 软件有限公司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both"/>
              <w:rPr>
                <w:sz w:val="20"/>
                <w:szCs w:val="20"/>
              </w:rPr>
            </w:pPr>
            <w:r>
              <w:rPr>
                <w:rFonts w:ascii="Times New Roman" w:eastAsia="Times New Roman" w:hAnsi="Times New Roman" w:cs="Times New Roman"/>
                <w:color w:val="000000"/>
                <w:spacing w:val="0"/>
                <w:w w:val="100"/>
                <w:position w:val="0"/>
                <w:sz w:val="20"/>
                <w:szCs w:val="20"/>
              </w:rPr>
              <w:t>1,861,076,927</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jc w:val="both"/>
              <w:rPr>
                <w:sz w:val="20"/>
                <w:szCs w:val="20"/>
              </w:rPr>
            </w:pPr>
            <w:r>
              <w:rPr>
                <w:rFonts w:ascii="Times New Roman" w:eastAsia="Times New Roman" w:hAnsi="Times New Roman" w:cs="Times New Roman"/>
                <w:color w:val="000000"/>
                <w:spacing w:val="0"/>
                <w:w w:val="100"/>
                <w:position w:val="0"/>
                <w:sz w:val="20"/>
                <w:szCs w:val="20"/>
              </w:rPr>
              <w:t>1,861,076,927</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64" w:lineRule="exact"/>
              <w:ind w:left="0" w:right="0" w:firstLine="0"/>
              <w:jc w:val="both"/>
              <w:rPr>
                <w:sz w:val="20"/>
                <w:szCs w:val="20"/>
              </w:rPr>
            </w:pPr>
            <w:r>
              <w:rPr>
                <w:color w:val="000000"/>
                <w:spacing w:val="0"/>
                <w:w w:val="100"/>
                <w:position w:val="0"/>
                <w:sz w:val="20"/>
                <w:szCs w:val="20"/>
              </w:rPr>
              <w:t>认购公司非公 开发行股份， 本次认购股份 锁定期自股份 上市首日</w:t>
            </w:r>
            <w:r>
              <w:rPr>
                <w:rFonts w:ascii="Times New Roman" w:eastAsia="Times New Roman" w:hAnsi="Times New Roman" w:cs="Times New Roman"/>
                <w:color w:val="000000"/>
                <w:spacing w:val="0"/>
                <w:w w:val="100"/>
                <w:position w:val="0"/>
                <w:sz w:val="20"/>
                <w:szCs w:val="20"/>
              </w:rPr>
              <w:t xml:space="preserve">2016 </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日起 满</w:t>
            </w:r>
            <w:r>
              <w:rPr>
                <w:rFonts w:ascii="Times New Roman" w:eastAsia="Times New Roman" w:hAnsi="Times New Roman" w:cs="Times New Roman"/>
                <w:color w:val="000000"/>
                <w:spacing w:val="0"/>
                <w:w w:val="100"/>
                <w:position w:val="0"/>
                <w:sz w:val="20"/>
                <w:szCs w:val="20"/>
              </w:rPr>
              <w:t>36</w:t>
            </w:r>
            <w:r>
              <w:rPr>
                <w:color w:val="000000"/>
                <w:spacing w:val="0"/>
                <w:w w:val="100"/>
                <w:position w:val="0"/>
                <w:sz w:val="20"/>
                <w:szCs w:val="20"/>
              </w:rPr>
              <w:t>个月。</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2019</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日</w:t>
            </w:r>
          </w:p>
        </w:tc>
      </w:tr>
      <w:tr>
        <w:trPr>
          <w:trHeight w:val="1824"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66" w:lineRule="exact"/>
              <w:ind w:left="0" w:right="0" w:firstLine="0"/>
              <w:jc w:val="left"/>
              <w:rPr>
                <w:sz w:val="20"/>
                <w:szCs w:val="20"/>
              </w:rPr>
            </w:pPr>
            <w:r>
              <w:rPr>
                <w:color w:val="000000"/>
                <w:spacing w:val="0"/>
                <w:w w:val="100"/>
                <w:position w:val="0"/>
                <w:sz w:val="20"/>
                <w:szCs w:val="20"/>
              </w:rPr>
              <w:t>苏宁云商集团 股份有限公司 一第二期员工 持股计划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65,919,578</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65,919,578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59" w:lineRule="exact"/>
              <w:ind w:left="0" w:right="0" w:firstLine="0"/>
              <w:jc w:val="both"/>
              <w:rPr>
                <w:sz w:val="20"/>
                <w:szCs w:val="20"/>
              </w:rPr>
            </w:pPr>
            <w:r>
              <w:rPr>
                <w:color w:val="000000"/>
                <w:spacing w:val="0"/>
                <w:w w:val="100"/>
                <w:position w:val="0"/>
                <w:sz w:val="20"/>
                <w:szCs w:val="20"/>
              </w:rPr>
              <w:t>认购公司非公 开发行股份， 本次认购股份 锁定期自股份 上市首日</w:t>
            </w:r>
            <w:r>
              <w:rPr>
                <w:rFonts w:ascii="Times New Roman" w:eastAsia="Times New Roman" w:hAnsi="Times New Roman" w:cs="Times New Roman"/>
                <w:color w:val="000000"/>
                <w:spacing w:val="0"/>
                <w:w w:val="100"/>
                <w:position w:val="0"/>
                <w:sz w:val="20"/>
                <w:szCs w:val="20"/>
              </w:rPr>
              <w:t xml:space="preserve">2016 </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日起 满</w:t>
            </w:r>
            <w:r>
              <w:rPr>
                <w:rFonts w:ascii="Times New Roman" w:eastAsia="Times New Roman" w:hAnsi="Times New Roman" w:cs="Times New Roman"/>
                <w:color w:val="000000"/>
                <w:spacing w:val="0"/>
                <w:w w:val="100"/>
                <w:position w:val="0"/>
                <w:sz w:val="20"/>
                <w:szCs w:val="20"/>
              </w:rPr>
              <w:t>36</w:t>
            </w:r>
            <w:r>
              <w:rPr>
                <w:color w:val="000000"/>
                <w:spacing w:val="0"/>
                <w:w w:val="100"/>
                <w:position w:val="0"/>
                <w:sz w:val="20"/>
                <w:szCs w:val="20"/>
              </w:rPr>
              <w:t>个月。</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2019</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日</w:t>
            </w:r>
          </w:p>
        </w:tc>
      </w:tr>
      <w:tr>
        <w:trPr>
          <w:trHeight w:val="269"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金明</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93,750,874</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93,750,874</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高管锁定股</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r>
      <w:tr>
        <w:trPr>
          <w:trHeight w:val="269"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孙为民</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3,452,252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60"/>
              <w:jc w:val="both"/>
              <w:rPr>
                <w:sz w:val="20"/>
                <w:szCs w:val="20"/>
              </w:rPr>
            </w:pPr>
            <w:r>
              <w:rPr>
                <w:rFonts w:ascii="Times New Roman" w:eastAsia="Times New Roman" w:hAnsi="Times New Roman" w:cs="Times New Roman"/>
                <w:color w:val="000000"/>
                <w:spacing w:val="0"/>
                <w:w w:val="100"/>
                <w:position w:val="0"/>
                <w:sz w:val="20"/>
                <w:szCs w:val="20"/>
              </w:rPr>
              <w:t>3,452,252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高管锁定股</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r>
      <w:tr>
        <w:trPr>
          <w:trHeight w:val="269"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任峻</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3,447,223</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60"/>
              <w:jc w:val="both"/>
              <w:rPr>
                <w:sz w:val="20"/>
                <w:szCs w:val="20"/>
              </w:rPr>
            </w:pPr>
            <w:r>
              <w:rPr>
                <w:rFonts w:ascii="Times New Roman" w:eastAsia="Times New Roman" w:hAnsi="Times New Roman" w:cs="Times New Roman"/>
                <w:color w:val="000000"/>
                <w:spacing w:val="0"/>
                <w:w w:val="100"/>
                <w:position w:val="0"/>
                <w:sz w:val="20"/>
                <w:szCs w:val="20"/>
              </w:rPr>
              <w:t>3,447,223</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高管锁定股</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r>
      <w:tr>
        <w:trPr>
          <w:trHeight w:val="269"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孟祥胜</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3,035,961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60"/>
              <w:jc w:val="both"/>
              <w:rPr>
                <w:sz w:val="20"/>
                <w:szCs w:val="20"/>
              </w:rPr>
            </w:pPr>
            <w:r>
              <w:rPr>
                <w:rFonts w:ascii="Times New Roman" w:eastAsia="Times New Roman" w:hAnsi="Times New Roman" w:cs="Times New Roman"/>
                <w:color w:val="000000"/>
                <w:spacing w:val="0"/>
                <w:w w:val="100"/>
                <w:position w:val="0"/>
                <w:sz w:val="20"/>
                <w:szCs w:val="20"/>
              </w:rPr>
              <w:t>3,035,961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高管锁定股</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r>
      <w:tr>
        <w:trPr>
          <w:trHeight w:val="278" w:hRule="exact"/>
        </w:trPr>
        <w:tc>
          <w:tcPr>
            <w:tcBorders>
              <w:top w:val="single" w:sz="4"/>
              <w:left w:val="single" w:sz="4"/>
              <w:bottom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2,365,228,291</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1,926,996,505</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jc w:val="both"/>
              <w:rPr>
                <w:sz w:val="20"/>
                <w:szCs w:val="20"/>
              </w:rPr>
            </w:pPr>
            <w:r>
              <w:rPr>
                <w:rFonts w:ascii="Times New Roman" w:eastAsia="Times New Roman" w:hAnsi="Times New Roman" w:cs="Times New Roman"/>
                <w:color w:val="000000"/>
                <w:spacing w:val="0"/>
                <w:w w:val="100"/>
                <w:position w:val="0"/>
                <w:sz w:val="20"/>
                <w:szCs w:val="20"/>
              </w:rPr>
              <w:t>4,292,224,796</w:t>
            </w:r>
          </w:p>
        </w:tc>
        <w:tc>
          <w:tcPr>
            <w:tcBorders>
              <w:top w:val="single" w:sz="4"/>
              <w:left w:val="single" w:sz="4"/>
              <w:bottom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righ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r>
    </w:tbl>
    <w:p>
      <w:pPr>
        <w:widowControl w:val="0"/>
        <w:spacing w:after="319" w:line="1" w:lineRule="exact"/>
      </w:pPr>
    </w:p>
    <w:p>
      <w:pPr>
        <w:pStyle w:val="Style32"/>
        <w:keepNext w:val="0"/>
        <w:keepLines w:val="0"/>
        <w:widowControl w:val="0"/>
        <w:shd w:val="clear" w:color="auto" w:fill="auto"/>
        <w:bidi w:val="0"/>
        <w:spacing w:before="0" w:after="320" w:line="240" w:lineRule="auto"/>
        <w:ind w:left="0" w:right="0" w:firstLine="0"/>
        <w:jc w:val="left"/>
        <w:rPr>
          <w:sz w:val="24"/>
          <w:szCs w:val="24"/>
        </w:rPr>
      </w:pPr>
      <w:bookmarkStart w:id="404" w:name="bookmark404"/>
      <w:r>
        <w:rPr>
          <w:b/>
          <w:bCs/>
          <w:color w:val="000000"/>
          <w:spacing w:val="0"/>
          <w:w w:val="100"/>
          <w:position w:val="0"/>
          <w:sz w:val="24"/>
          <w:szCs w:val="24"/>
        </w:rPr>
        <w:t>二</w:t>
      </w:r>
      <w:bookmarkEnd w:id="404"/>
      <w:r>
        <w:rPr>
          <w:b/>
          <w:bCs/>
          <w:color w:val="000000"/>
          <w:spacing w:val="0"/>
          <w:w w:val="100"/>
          <w:position w:val="0"/>
          <w:sz w:val="24"/>
          <w:szCs w:val="24"/>
        </w:rPr>
        <w:t>、证券发行与上市情况</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1</w:t>
      </w:r>
      <w:r>
        <w:rPr>
          <w:b/>
          <w:bCs/>
          <w:color w:val="000000"/>
          <w:spacing w:val="0"/>
          <w:w w:val="100"/>
          <w:position w:val="0"/>
        </w:rPr>
        <w:t>、报告期内证券发行（不含优先股）情况</w:t>
      </w:r>
    </w:p>
    <w:tbl>
      <w:tblPr>
        <w:tblOverlap w:val="never"/>
        <w:jc w:val="center"/>
        <w:tblLayout w:type="fixed"/>
      </w:tblPr>
      <w:tblGrid>
        <w:gridCol w:w="1421"/>
        <w:gridCol w:w="1286"/>
        <w:gridCol w:w="1301"/>
        <w:gridCol w:w="1526"/>
        <w:gridCol w:w="1061"/>
        <w:gridCol w:w="1632"/>
        <w:gridCol w:w="1565"/>
      </w:tblGrid>
      <w:tr>
        <w:trPr>
          <w:trHeight w:val="590"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股票及其衍生 证券名称</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发行日期</w:t>
            </w:r>
          </w:p>
        </w:tc>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发行价格 （或利率）</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发行数量</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上市日期</w:t>
            </w:r>
          </w:p>
        </w:tc>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93" w:lineRule="exact"/>
              <w:ind w:left="0" w:right="0" w:firstLine="0"/>
              <w:jc w:val="center"/>
            </w:pPr>
            <w:r>
              <w:rPr>
                <w:color w:val="000000"/>
                <w:spacing w:val="0"/>
                <w:w w:val="100"/>
                <w:position w:val="0"/>
              </w:rPr>
              <w:t>获准上市交易 数量</w:t>
            </w:r>
          </w:p>
        </w:tc>
        <w:tc>
          <w:tcPr>
            <w:tcBorders>
              <w:top w:val="single" w:sz="4"/>
              <w:left w:val="single" w:sz="4"/>
              <w:right w:val="single" w:sz="4"/>
            </w:tcBorders>
            <w:shd w:val="clear" w:color="auto" w:fill="D3D3D3"/>
            <w:vAlign w:val="bottom"/>
          </w:tcPr>
          <w:p>
            <w:pPr>
              <w:pStyle w:val="Style28"/>
              <w:keepNext w:val="0"/>
              <w:keepLines w:val="0"/>
              <w:widowControl w:val="0"/>
              <w:shd w:val="clear" w:color="auto" w:fill="auto"/>
              <w:bidi w:val="0"/>
              <w:spacing w:before="0" w:after="0" w:line="283" w:lineRule="exact"/>
              <w:ind w:left="0" w:right="0" w:firstLine="0"/>
              <w:jc w:val="center"/>
            </w:pPr>
            <w:r>
              <w:rPr>
                <w:color w:val="000000"/>
                <w:spacing w:val="0"/>
                <w:w w:val="100"/>
                <w:position w:val="0"/>
              </w:rPr>
              <w:t>交易终止 日期</w:t>
            </w:r>
          </w:p>
        </w:tc>
      </w:tr>
      <w:tr>
        <w:trPr>
          <w:trHeight w:val="293" w:hRule="exact"/>
        </w:trPr>
        <w:tc>
          <w:tcPr>
            <w:gridSpan w:val="7"/>
            <w:tcBorders>
              <w:top w:val="single" w:sz="4"/>
              <w:left w:val="single" w:sz="4"/>
              <w:righ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股票类</w:t>
            </w:r>
          </w:p>
        </w:tc>
      </w:tr>
      <w:tr>
        <w:trPr>
          <w:trHeight w:val="58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69" w:lineRule="exact"/>
              <w:ind w:left="0" w:right="0" w:firstLine="0"/>
              <w:jc w:val="center"/>
            </w:pPr>
            <w:r>
              <w:rPr>
                <w:color w:val="000000"/>
                <w:spacing w:val="0"/>
                <w:w w:val="100"/>
                <w:position w:val="0"/>
              </w:rPr>
              <w:t xml:space="preserve">人民币普通股 </w:t>
            </w: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83" w:lineRule="exact"/>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15.17</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1,926,996,505</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6</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1,926,996,505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293" w:hRule="exact"/>
        </w:trPr>
        <w:tc>
          <w:tcPr>
            <w:gridSpan w:val="2"/>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可转换公司债券、分离交易</w:t>
            </w:r>
          </w:p>
        </w:tc>
        <w:tc>
          <w:tcPr>
            <w:gridSpan w:val="5"/>
            <w:tcBorders>
              <w:top w:val="single" w:sz="4"/>
              <w:left w:val="single" w:sz="4"/>
              <w:righ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的可转换公司债券、公司债类</w:t>
            </w:r>
          </w:p>
        </w:tc>
      </w:tr>
      <w:tr>
        <w:trPr>
          <w:trHeight w:val="26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298" w:hRule="exact"/>
        </w:trPr>
        <w:tc>
          <w:tcPr>
            <w:gridSpan w:val="7"/>
            <w:tcBorders>
              <w:top w:val="single" w:sz="4"/>
              <w:left w:val="single" w:sz="4"/>
              <w:righ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其他衍生证券类</w:t>
            </w:r>
          </w:p>
        </w:tc>
      </w:tr>
      <w:tr>
        <w:trPr>
          <w:trHeight w:val="269"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32"/>
        <w:keepNext w:val="0"/>
        <w:keepLines w:val="0"/>
        <w:widowControl w:val="0"/>
        <w:shd w:val="clear" w:color="auto" w:fill="auto"/>
        <w:bidi w:val="0"/>
        <w:spacing w:before="0" w:after="0" w:line="475" w:lineRule="exact"/>
        <w:ind w:left="0" w:right="0" w:firstLine="0"/>
        <w:jc w:val="left"/>
      </w:pPr>
      <w:r>
        <w:rPr>
          <w:color w:val="000000"/>
          <w:spacing w:val="0"/>
          <w:w w:val="100"/>
          <w:position w:val="0"/>
        </w:rPr>
        <w:t>报告期内证券发行（不含优先股）情况的说明：</w:t>
      </w:r>
    </w:p>
    <w:p>
      <w:pPr>
        <w:pStyle w:val="Style32"/>
        <w:keepNext w:val="0"/>
        <w:keepLines w:val="0"/>
        <w:widowControl w:val="0"/>
        <w:shd w:val="clear" w:color="auto" w:fill="auto"/>
        <w:bidi w:val="0"/>
        <w:spacing w:before="0" w:after="0" w:line="475" w:lineRule="exact"/>
        <w:ind w:left="0" w:right="0" w:firstLine="460"/>
        <w:jc w:val="left"/>
      </w:pPr>
      <w:r>
        <w:rPr>
          <w:color w:val="000000"/>
          <w:spacing w:val="0"/>
          <w:w w:val="100"/>
          <w:position w:val="0"/>
        </w:rPr>
        <w:t>经中国证券监督管理委员会《关于核准苏宁云商集团股份有限公司非公开发行股票的批复》</w:t>
      </w:r>
    </w:p>
    <w:p>
      <w:pPr>
        <w:pStyle w:val="Style32"/>
        <w:keepNext w:val="0"/>
        <w:keepLines w:val="0"/>
        <w:widowControl w:val="0"/>
        <w:shd w:val="clear" w:color="auto" w:fill="auto"/>
        <w:bidi w:val="0"/>
        <w:spacing w:before="0" w:after="320" w:line="475" w:lineRule="exact"/>
        <w:ind w:left="0" w:right="0" w:firstLine="0"/>
        <w:jc w:val="left"/>
      </w:pPr>
      <w:r>
        <w:rPr>
          <w:color w:val="000000"/>
          <w:spacing w:val="0"/>
          <w:w w:val="100"/>
          <w:position w:val="0"/>
        </w:rPr>
        <w:t>（证监许可</w:t>
      </w:r>
      <w:r>
        <w:rPr>
          <w:rFonts w:ascii="Times New Roman" w:eastAsia="Times New Roman" w:hAnsi="Times New Roman" w:cs="Times New Roman"/>
          <w:color w:val="000000"/>
          <w:spacing w:val="0"/>
          <w:w w:val="100"/>
          <w:position w:val="0"/>
        </w:rPr>
        <w:t>[2016]418</w:t>
      </w:r>
      <w:r>
        <w:rPr>
          <w:color w:val="000000"/>
          <w:spacing w:val="0"/>
          <w:w w:val="100"/>
          <w:position w:val="0"/>
        </w:rPr>
        <w:t>号）核准，公司于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日向特定对象非公开发行人民币普通股</w:t>
      </w:r>
      <w:r>
        <w:rPr>
          <w:color w:val="000000"/>
          <w:spacing w:val="0"/>
          <w:w w:val="100"/>
          <w:position w:val="0"/>
        </w:rPr>
        <w:t>（</w:t>
      </w:r>
      <w:r>
        <w:rPr>
          <w:rFonts w:ascii="Times New Roman" w:eastAsia="Times New Roman" w:hAnsi="Times New Roman" w:cs="Times New Roman"/>
          <w:color w:val="000000"/>
          <w:spacing w:val="0"/>
          <w:w w:val="100"/>
          <w:position w:val="0"/>
        </w:rPr>
        <w:t xml:space="preserve">A </w:t>
      </w:r>
      <w:r>
        <w:rPr>
          <w:color w:val="000000"/>
          <w:spacing w:val="0"/>
          <w:w w:val="100"/>
          <w:position w:val="0"/>
        </w:rPr>
        <w:t>股）</w:t>
      </w:r>
      <w:r>
        <w:rPr>
          <w:rFonts w:ascii="Times New Roman" w:eastAsia="Times New Roman" w:hAnsi="Times New Roman" w:cs="Times New Roman"/>
          <w:color w:val="000000"/>
          <w:spacing w:val="0"/>
          <w:w w:val="100"/>
          <w:position w:val="0"/>
        </w:rPr>
        <w:t>1,926,996,505</w:t>
      </w:r>
      <w:r>
        <w:rPr>
          <w:color w:val="000000"/>
          <w:spacing w:val="0"/>
          <w:w w:val="100"/>
          <w:position w:val="0"/>
        </w:rPr>
        <w:t>股，每股面值人民币</w:t>
      </w:r>
      <w:r>
        <w:rPr>
          <w:rFonts w:ascii="Times New Roman" w:eastAsia="Times New Roman" w:hAnsi="Times New Roman" w:cs="Times New Roman"/>
          <w:color w:val="000000"/>
          <w:spacing w:val="0"/>
          <w:w w:val="100"/>
          <w:position w:val="0"/>
        </w:rPr>
        <w:t>1.00</w:t>
      </w:r>
      <w:r>
        <w:rPr>
          <w:color w:val="000000"/>
          <w:spacing w:val="0"/>
          <w:w w:val="100"/>
          <w:position w:val="0"/>
        </w:rPr>
        <w:t>元，每股发行价格为人民币</w:t>
      </w:r>
      <w:r>
        <w:rPr>
          <w:rFonts w:ascii="Times New Roman" w:eastAsia="Times New Roman" w:hAnsi="Times New Roman" w:cs="Times New Roman"/>
          <w:color w:val="000000"/>
          <w:spacing w:val="0"/>
          <w:w w:val="100"/>
          <w:position w:val="0"/>
        </w:rPr>
        <w:t>15.17</w:t>
      </w:r>
      <w:r>
        <w:rPr>
          <w:color w:val="000000"/>
          <w:spacing w:val="0"/>
          <w:w w:val="100"/>
          <w:position w:val="0"/>
        </w:rPr>
        <w:t>元，于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 xml:space="preserve">6 </w:t>
      </w:r>
      <w:r>
        <w:rPr>
          <w:color w:val="000000"/>
          <w:spacing w:val="0"/>
          <w:w w:val="100"/>
          <w:position w:val="0"/>
        </w:rPr>
        <w:t>日在深圳证券交易所上市。</w:t>
      </w:r>
    </w:p>
    <w:p>
      <w:pPr>
        <w:pStyle w:val="Style38"/>
        <w:keepNext/>
        <w:keepLines/>
        <w:widowControl w:val="0"/>
        <w:shd w:val="clear" w:color="auto" w:fill="auto"/>
        <w:tabs>
          <w:tab w:pos="387" w:val="left"/>
        </w:tabs>
        <w:bidi w:val="0"/>
        <w:spacing w:before="0" w:after="220" w:line="464" w:lineRule="exact"/>
        <w:ind w:left="0" w:right="0" w:firstLine="0"/>
        <w:jc w:val="left"/>
      </w:pPr>
      <w:bookmarkStart w:id="405" w:name="bookmark405"/>
      <w:bookmarkStart w:id="406" w:name="bookmark406"/>
      <w:bookmarkStart w:id="407" w:name="bookmark407"/>
      <w:bookmarkStart w:id="408" w:name="bookmark408"/>
      <w:r>
        <w:rPr>
          <w:rFonts w:ascii="Times New Roman" w:eastAsia="Times New Roman" w:hAnsi="Times New Roman" w:cs="Times New Roman"/>
          <w:color w:val="000000"/>
          <w:spacing w:val="0"/>
          <w:w w:val="100"/>
          <w:position w:val="0"/>
        </w:rPr>
        <w:t>2</w:t>
      </w:r>
      <w:bookmarkEnd w:id="407"/>
      <w:r>
        <w:rPr>
          <w:color w:val="000000"/>
          <w:spacing w:val="0"/>
          <w:w w:val="100"/>
          <w:position w:val="0"/>
        </w:rPr>
        <w:t>、</w:t>
        <w:tab/>
        <w:t>公司股份总数及股东结构的变动、公司资产和负债结构的变动情况说明</w:t>
      </w:r>
      <w:bookmarkEnd w:id="405"/>
      <w:bookmarkEnd w:id="406"/>
      <w:bookmarkEnd w:id="408"/>
    </w:p>
    <w:p>
      <w:pPr>
        <w:pStyle w:val="Style53"/>
        <w:keepNext w:val="0"/>
        <w:keepLines w:val="0"/>
        <w:widowControl w:val="0"/>
        <w:shd w:val="clear" w:color="auto" w:fill="auto"/>
        <w:bidi w:val="0"/>
        <w:spacing w:before="0" w:after="0" w:line="464" w:lineRule="exact"/>
        <w:ind w:left="0" w:right="0"/>
        <w:jc w:val="left"/>
      </w:pPr>
      <w:r>
        <w:rPr>
          <w:rFonts w:ascii="SimSun" w:eastAsia="SimSun" w:hAnsi="SimSun" w:cs="SimSun"/>
          <w:color w:val="000000"/>
          <w:spacing w:val="0"/>
          <w:w w:val="100"/>
          <w:position w:val="0"/>
        </w:rPr>
        <w:t>本次增发后，公司总股数由</w:t>
      </w:r>
      <w:r>
        <w:rPr>
          <w:color w:val="000000"/>
          <w:spacing w:val="0"/>
          <w:w w:val="100"/>
          <w:position w:val="0"/>
        </w:rPr>
        <w:t>7,383,043,150</w:t>
      </w:r>
      <w:r>
        <w:rPr>
          <w:rFonts w:ascii="SimSun" w:eastAsia="SimSun" w:hAnsi="SimSun" w:cs="SimSun"/>
          <w:color w:val="000000"/>
          <w:spacing w:val="0"/>
          <w:w w:val="100"/>
          <w:position w:val="0"/>
        </w:rPr>
        <w:t>股增加至</w:t>
      </w:r>
      <w:r>
        <w:rPr>
          <w:color w:val="000000"/>
          <w:spacing w:val="0"/>
          <w:w w:val="100"/>
          <w:position w:val="0"/>
        </w:rPr>
        <w:t>9,310,039,655</w:t>
      </w:r>
      <w:r>
        <w:rPr>
          <w:rFonts w:ascii="SimSun" w:eastAsia="SimSun" w:hAnsi="SimSun" w:cs="SimSun"/>
          <w:color w:val="000000"/>
          <w:spacing w:val="0"/>
          <w:w w:val="100"/>
          <w:position w:val="0"/>
        </w:rPr>
        <w:t xml:space="preserve">股，其中有限售条件股份 </w:t>
      </w:r>
      <w:r>
        <w:rPr>
          <w:color w:val="000000"/>
          <w:spacing w:val="0"/>
          <w:w w:val="100"/>
          <w:position w:val="0"/>
        </w:rPr>
        <w:t xml:space="preserve">4,292,224,796 </w:t>
      </w:r>
      <w:r>
        <w:rPr>
          <w:rFonts w:ascii="SimSun" w:eastAsia="SimSun" w:hAnsi="SimSun" w:cs="SimSun"/>
          <w:color w:val="000000"/>
          <w:spacing w:val="0"/>
          <w:w w:val="100"/>
          <w:position w:val="0"/>
        </w:rPr>
        <w:t xml:space="preserve">股，无限售条件股份 </w:t>
      </w:r>
      <w:r>
        <w:rPr>
          <w:color w:val="000000"/>
          <w:spacing w:val="0"/>
          <w:w w:val="100"/>
          <w:position w:val="0"/>
        </w:rPr>
        <w:t xml:space="preserve">5,017,814,859 </w:t>
      </w:r>
      <w:r>
        <w:rPr>
          <w:rFonts w:ascii="SimSun" w:eastAsia="SimSun" w:hAnsi="SimSun" w:cs="SimSun"/>
          <w:color w:val="000000"/>
          <w:spacing w:val="0"/>
          <w:w w:val="100"/>
          <w:position w:val="0"/>
        </w:rPr>
        <w:t>股。</w:t>
      </w:r>
    </w:p>
    <w:p>
      <w:pPr>
        <w:pStyle w:val="Style32"/>
        <w:keepNext w:val="0"/>
        <w:keepLines w:val="0"/>
        <w:widowControl w:val="0"/>
        <w:shd w:val="clear" w:color="auto" w:fill="auto"/>
        <w:bidi w:val="0"/>
        <w:spacing w:before="0" w:after="220" w:line="464" w:lineRule="exact"/>
        <w:ind w:left="0" w:right="0" w:firstLine="460"/>
        <w:jc w:val="left"/>
      </w:pPr>
      <w:r>
        <w:rPr>
          <w:color w:val="000000"/>
          <w:spacing w:val="0"/>
          <w:w w:val="100"/>
          <w:position w:val="0"/>
        </w:rPr>
        <w:t>本次非公开发行人民币普通股</w:t>
      </w: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股）</w:t>
      </w:r>
      <w:r>
        <w:rPr>
          <w:rFonts w:ascii="Times New Roman" w:eastAsia="Times New Roman" w:hAnsi="Times New Roman" w:cs="Times New Roman"/>
          <w:color w:val="000000"/>
          <w:spacing w:val="0"/>
          <w:w w:val="100"/>
          <w:position w:val="0"/>
        </w:rPr>
        <w:t>1,926,996,505</w:t>
      </w:r>
      <w:r>
        <w:rPr>
          <w:color w:val="000000"/>
          <w:spacing w:val="0"/>
          <w:w w:val="100"/>
          <w:position w:val="0"/>
        </w:rPr>
        <w:t>股，每股面值人民币</w:t>
      </w:r>
      <w:r>
        <w:rPr>
          <w:rFonts w:ascii="Times New Roman" w:eastAsia="Times New Roman" w:hAnsi="Times New Roman" w:cs="Times New Roman"/>
          <w:color w:val="000000"/>
          <w:spacing w:val="0"/>
          <w:w w:val="100"/>
          <w:position w:val="0"/>
        </w:rPr>
        <w:t>1.00</w:t>
      </w:r>
      <w:r>
        <w:rPr>
          <w:color w:val="000000"/>
          <w:spacing w:val="0"/>
          <w:w w:val="100"/>
          <w:position w:val="0"/>
        </w:rPr>
        <w:t>元，每股发行价 格为人民币</w:t>
      </w:r>
      <w:r>
        <w:rPr>
          <w:rFonts w:ascii="Times New Roman" w:eastAsia="Times New Roman" w:hAnsi="Times New Roman" w:cs="Times New Roman"/>
          <w:color w:val="000000"/>
          <w:spacing w:val="0"/>
          <w:w w:val="100"/>
          <w:position w:val="0"/>
        </w:rPr>
        <w:t>15.17</w:t>
      </w:r>
      <w:r>
        <w:rPr>
          <w:color w:val="000000"/>
          <w:spacing w:val="0"/>
          <w:w w:val="100"/>
          <w:position w:val="0"/>
        </w:rPr>
        <w:t>元，公司募集资金人民币</w:t>
      </w:r>
      <w:r>
        <w:rPr>
          <w:rFonts w:ascii="Times New Roman" w:eastAsia="Times New Roman" w:hAnsi="Times New Roman" w:cs="Times New Roman"/>
          <w:color w:val="000000"/>
          <w:spacing w:val="0"/>
          <w:w w:val="100"/>
          <w:position w:val="0"/>
        </w:rPr>
        <w:t>29,232,536,980.85</w:t>
      </w:r>
      <w:r>
        <w:rPr>
          <w:color w:val="000000"/>
          <w:spacing w:val="0"/>
          <w:w w:val="100"/>
          <w:position w:val="0"/>
        </w:rPr>
        <w:t>元，扣除与发行有关的费用及印花税人 民币</w:t>
      </w:r>
      <w:r>
        <w:rPr>
          <w:rFonts w:ascii="Times New Roman" w:eastAsia="Times New Roman" w:hAnsi="Times New Roman" w:cs="Times New Roman"/>
          <w:color w:val="000000"/>
          <w:spacing w:val="0"/>
          <w:w w:val="100"/>
          <w:position w:val="0"/>
        </w:rPr>
        <w:t>147,227,617.72</w:t>
      </w:r>
      <w:r>
        <w:rPr>
          <w:color w:val="000000"/>
          <w:spacing w:val="0"/>
          <w:w w:val="100"/>
          <w:position w:val="0"/>
        </w:rPr>
        <w:t>元（含税），公司募集资金净额</w:t>
      </w:r>
      <w:r>
        <w:rPr>
          <w:rFonts w:ascii="Times New Roman" w:eastAsia="Times New Roman" w:hAnsi="Times New Roman" w:cs="Times New Roman"/>
          <w:color w:val="000000"/>
          <w:spacing w:val="0"/>
          <w:w w:val="100"/>
          <w:position w:val="0"/>
        </w:rPr>
        <w:t>29,085,309,363.13</w:t>
      </w:r>
      <w:r>
        <w:rPr>
          <w:color w:val="000000"/>
          <w:spacing w:val="0"/>
          <w:w w:val="100"/>
          <w:position w:val="0"/>
        </w:rPr>
        <w:t xml:space="preserve">元，其中新增注册资本 </w:t>
      </w:r>
      <w:r>
        <w:rPr>
          <w:rFonts w:ascii="Times New Roman" w:eastAsia="Times New Roman" w:hAnsi="Times New Roman" w:cs="Times New Roman"/>
          <w:color w:val="000000"/>
          <w:spacing w:val="0"/>
          <w:w w:val="100"/>
          <w:position w:val="0"/>
        </w:rPr>
        <w:t>1,926,996,505</w:t>
      </w:r>
      <w:r>
        <w:rPr>
          <w:color w:val="000000"/>
          <w:spacing w:val="0"/>
          <w:w w:val="100"/>
          <w:position w:val="0"/>
        </w:rPr>
        <w:t>元，超出股本部分计入资本公积人民币</w:t>
      </w:r>
      <w:r>
        <w:rPr>
          <w:rFonts w:ascii="Times New Roman" w:eastAsia="Times New Roman" w:hAnsi="Times New Roman" w:cs="Times New Roman"/>
          <w:color w:val="000000"/>
          <w:spacing w:val="0"/>
          <w:w w:val="100"/>
          <w:position w:val="0"/>
        </w:rPr>
        <w:t>27,165,822,353.94</w:t>
      </w:r>
      <w:r>
        <w:rPr>
          <w:color w:val="000000"/>
          <w:spacing w:val="0"/>
          <w:w w:val="100"/>
          <w:position w:val="0"/>
        </w:rPr>
        <w:t>元。</w:t>
      </w:r>
    </w:p>
    <w:p>
      <w:pPr>
        <w:pStyle w:val="Style38"/>
        <w:keepNext/>
        <w:keepLines/>
        <w:widowControl w:val="0"/>
        <w:shd w:val="clear" w:color="auto" w:fill="auto"/>
        <w:tabs>
          <w:tab w:pos="387" w:val="left"/>
        </w:tabs>
        <w:bidi w:val="0"/>
        <w:spacing w:before="0" w:after="220" w:line="464" w:lineRule="exact"/>
        <w:ind w:left="0" w:right="0" w:firstLine="0"/>
        <w:jc w:val="left"/>
      </w:pPr>
      <w:bookmarkStart w:id="409" w:name="bookmark409"/>
      <w:bookmarkStart w:id="410" w:name="bookmark410"/>
      <w:bookmarkStart w:id="411" w:name="bookmark411"/>
      <w:bookmarkStart w:id="412" w:name="bookmark412"/>
      <w:r>
        <w:rPr>
          <w:rFonts w:ascii="Times New Roman" w:eastAsia="Times New Roman" w:hAnsi="Times New Roman" w:cs="Times New Roman"/>
          <w:color w:val="000000"/>
          <w:spacing w:val="0"/>
          <w:w w:val="100"/>
          <w:position w:val="0"/>
        </w:rPr>
        <w:t>3</w:t>
      </w:r>
      <w:bookmarkEnd w:id="411"/>
      <w:r>
        <w:rPr>
          <w:color w:val="000000"/>
          <w:spacing w:val="0"/>
          <w:w w:val="100"/>
          <w:position w:val="0"/>
        </w:rPr>
        <w:t>、</w:t>
        <w:tab/>
        <w:t>现存的内部职工股情况</w:t>
      </w:r>
      <w:bookmarkEnd w:id="409"/>
      <w:bookmarkEnd w:id="410"/>
      <w:bookmarkEnd w:id="412"/>
    </w:p>
    <w:p>
      <w:pPr>
        <w:pStyle w:val="Style32"/>
        <w:keepNext w:val="0"/>
        <w:keepLines w:val="0"/>
        <w:widowControl w:val="0"/>
        <w:shd w:val="clear" w:color="auto" w:fill="auto"/>
        <w:bidi w:val="0"/>
        <w:spacing w:before="0" w:after="220" w:line="464" w:lineRule="exact"/>
        <w:ind w:left="0" w:right="0" w:firstLine="46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2"/>
        <w:keepNext w:val="0"/>
        <w:keepLines w:val="0"/>
        <w:widowControl w:val="0"/>
        <w:shd w:val="clear" w:color="auto" w:fill="auto"/>
        <w:bidi w:val="0"/>
        <w:spacing w:before="0" w:after="320" w:line="464" w:lineRule="exact"/>
        <w:ind w:left="0" w:right="0" w:firstLine="0"/>
        <w:jc w:val="left"/>
        <w:rPr>
          <w:sz w:val="24"/>
          <w:szCs w:val="24"/>
        </w:rPr>
      </w:pPr>
      <w:bookmarkStart w:id="413" w:name="bookmark413"/>
      <w:r>
        <w:rPr>
          <w:b/>
          <w:bCs/>
          <w:color w:val="000000"/>
          <w:spacing w:val="0"/>
          <w:w w:val="100"/>
          <w:position w:val="0"/>
          <w:sz w:val="24"/>
          <w:szCs w:val="24"/>
        </w:rPr>
        <w:t>三</w:t>
      </w:r>
      <w:bookmarkEnd w:id="413"/>
      <w:r>
        <w:rPr>
          <w:b/>
          <w:bCs/>
          <w:color w:val="000000"/>
          <w:spacing w:val="0"/>
          <w:w w:val="100"/>
          <w:position w:val="0"/>
          <w:sz w:val="24"/>
          <w:szCs w:val="24"/>
        </w:rPr>
        <w:t>、股东和实际控制人情况</w:t>
      </w:r>
    </w:p>
    <w:p>
      <w:pPr>
        <w:pStyle w:val="Style38"/>
        <w:keepNext/>
        <w:keepLines/>
        <w:widowControl w:val="0"/>
        <w:shd w:val="clear" w:color="auto" w:fill="auto"/>
        <w:bidi w:val="0"/>
        <w:spacing w:before="0" w:after="320" w:line="240" w:lineRule="auto"/>
        <w:ind w:left="0" w:right="0" w:firstLine="0"/>
        <w:jc w:val="left"/>
      </w:pPr>
      <w:bookmarkStart w:id="414" w:name="bookmark414"/>
      <w:bookmarkStart w:id="415" w:name="bookmark415"/>
      <w:bookmarkStart w:id="416" w:name="bookmark416"/>
      <w:bookmarkStart w:id="417" w:name="bookmark417"/>
      <w:r>
        <w:rPr>
          <w:rFonts w:ascii="Times New Roman" w:eastAsia="Times New Roman" w:hAnsi="Times New Roman" w:cs="Times New Roman"/>
          <w:color w:val="000000"/>
          <w:spacing w:val="0"/>
          <w:w w:val="100"/>
          <w:position w:val="0"/>
        </w:rPr>
        <w:t>1</w:t>
      </w:r>
      <w:bookmarkEnd w:id="416"/>
      <w:r>
        <w:rPr>
          <w:color w:val="000000"/>
          <w:spacing w:val="0"/>
          <w:w w:val="100"/>
          <w:position w:val="0"/>
        </w:rPr>
        <w:t>、公司股东数量及持股情况</w:t>
      </w:r>
      <w:bookmarkEnd w:id="414"/>
      <w:bookmarkEnd w:id="415"/>
      <w:bookmarkEnd w:id="417"/>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单位：股</w:t>
      </w:r>
    </w:p>
    <w:tbl>
      <w:tblPr>
        <w:tblOverlap w:val="never"/>
        <w:jc w:val="center"/>
        <w:tblLayout w:type="fixed"/>
      </w:tblPr>
      <w:tblGrid>
        <w:gridCol w:w="1291"/>
        <w:gridCol w:w="830"/>
        <w:gridCol w:w="874"/>
        <w:gridCol w:w="370"/>
        <w:gridCol w:w="864"/>
        <w:gridCol w:w="1253"/>
        <w:gridCol w:w="826"/>
        <w:gridCol w:w="542"/>
        <w:gridCol w:w="1243"/>
        <w:gridCol w:w="499"/>
        <w:gridCol w:w="1114"/>
      </w:tblGrid>
      <w:tr>
        <w:trPr>
          <w:trHeight w:val="1051"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59" w:lineRule="exact"/>
              <w:ind w:left="0" w:right="0" w:firstLine="0"/>
              <w:jc w:val="center"/>
              <w:rPr>
                <w:sz w:val="20"/>
                <w:szCs w:val="20"/>
              </w:rPr>
            </w:pPr>
            <w:r>
              <w:rPr>
                <w:color w:val="000000"/>
                <w:spacing w:val="0"/>
                <w:w w:val="100"/>
                <w:position w:val="0"/>
                <w:sz w:val="20"/>
                <w:szCs w:val="20"/>
              </w:rPr>
              <w:t>报告期末普 通股股东总 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427,818</w:t>
            </w:r>
          </w:p>
        </w:tc>
        <w:tc>
          <w:tcPr>
            <w:gridSpan w:val="2"/>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59" w:lineRule="exact"/>
              <w:ind w:left="0" w:right="0" w:firstLine="0"/>
              <w:jc w:val="center"/>
              <w:rPr>
                <w:sz w:val="20"/>
                <w:szCs w:val="20"/>
              </w:rPr>
            </w:pPr>
            <w:r>
              <w:rPr>
                <w:color w:val="000000"/>
                <w:spacing w:val="0"/>
                <w:w w:val="100"/>
                <w:position w:val="0"/>
                <w:sz w:val="20"/>
                <w:szCs w:val="20"/>
              </w:rPr>
              <w:t>年度报告披露 日前上一月末 普通股股东总 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420,791</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52" w:lineRule="exact"/>
              <w:ind w:left="0" w:right="0" w:firstLine="0"/>
              <w:jc w:val="center"/>
              <w:rPr>
                <w:sz w:val="20"/>
                <w:szCs w:val="20"/>
              </w:rPr>
            </w:pPr>
            <w:r>
              <w:rPr>
                <w:color w:val="000000"/>
                <w:spacing w:val="0"/>
                <w:w w:val="100"/>
                <w:position w:val="0"/>
                <w:sz w:val="20"/>
                <w:szCs w:val="20"/>
              </w:rPr>
              <w:t>报告期末表决 权恢复的优先 股股东总数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gridSpan w:val="2"/>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64" w:lineRule="exact"/>
              <w:ind w:left="0" w:right="0" w:firstLine="0"/>
              <w:jc w:val="center"/>
              <w:rPr>
                <w:sz w:val="20"/>
                <w:szCs w:val="20"/>
              </w:rPr>
            </w:pPr>
            <w:r>
              <w:rPr>
                <w:color w:val="000000"/>
                <w:spacing w:val="0"/>
                <w:w w:val="100"/>
                <w:position w:val="0"/>
                <w:sz w:val="20"/>
                <w:szCs w:val="20"/>
              </w:rPr>
              <w:t>年度报告披露日前 上一月末表决权恢 复的优先股股东总 数</w:t>
            </w:r>
          </w:p>
        </w:tc>
        <w:tc>
          <w:tcPr>
            <w:gridSpan w:val="2"/>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r>
      <w:tr>
        <w:trPr>
          <w:trHeight w:val="274" w:hRule="exact"/>
        </w:trPr>
        <w:tc>
          <w:tcPr>
            <w:gridSpan w:val="3"/>
            <w:tcBorders>
              <w:top w:val="single" w:sz="4"/>
              <w:left w:val="single" w:sz="4"/>
            </w:tcBorders>
            <w:shd w:val="clear" w:color="auto" w:fill="D3D3D3"/>
            <w:vAlign w:val="top"/>
          </w:tcPr>
          <w:p>
            <w:pPr>
              <w:widowControl w:val="0"/>
              <w:rPr>
                <w:sz w:val="10"/>
                <w:szCs w:val="10"/>
              </w:rPr>
            </w:pPr>
          </w:p>
        </w:tc>
        <w:tc>
          <w:tcPr>
            <w:gridSpan w:val="8"/>
            <w:tcBorders>
              <w:top w:val="single" w:sz="4"/>
              <w:left w:val="single" w:sz="4"/>
              <w:righ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持股</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以上的股东或前</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名股东持股情况</w:t>
            </w:r>
          </w:p>
        </w:tc>
      </w:tr>
      <w:tr>
        <w:trPr>
          <w:trHeight w:val="269" w:hRule="exact"/>
        </w:trPr>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股东名称</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64" w:lineRule="exact"/>
              <w:ind w:left="0" w:right="0" w:firstLine="0"/>
              <w:jc w:val="center"/>
              <w:rPr>
                <w:sz w:val="20"/>
                <w:szCs w:val="20"/>
              </w:rPr>
            </w:pPr>
            <w:r>
              <w:rPr>
                <w:color w:val="000000"/>
                <w:spacing w:val="0"/>
                <w:w w:val="100"/>
                <w:position w:val="0"/>
                <w:sz w:val="20"/>
                <w:szCs w:val="20"/>
              </w:rPr>
              <w:t>股东性 质</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持股比例</w:t>
            </w:r>
          </w:p>
        </w:tc>
        <w:tc>
          <w:tcPr>
            <w:gridSpan w:val="2"/>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59" w:lineRule="exact"/>
              <w:ind w:left="0" w:right="0" w:firstLine="0"/>
              <w:jc w:val="center"/>
              <w:rPr>
                <w:sz w:val="20"/>
                <w:szCs w:val="20"/>
              </w:rPr>
            </w:pPr>
            <w:r>
              <w:rPr>
                <w:color w:val="000000"/>
                <w:spacing w:val="0"/>
                <w:w w:val="100"/>
                <w:position w:val="0"/>
                <w:sz w:val="20"/>
                <w:szCs w:val="20"/>
              </w:rPr>
              <w:t>报告期末持 股数量</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59" w:lineRule="exact"/>
              <w:ind w:left="0" w:right="0" w:firstLine="0"/>
              <w:jc w:val="center"/>
              <w:rPr>
                <w:sz w:val="20"/>
                <w:szCs w:val="20"/>
              </w:rPr>
            </w:pPr>
            <w:r>
              <w:rPr>
                <w:color w:val="000000"/>
                <w:spacing w:val="0"/>
                <w:w w:val="100"/>
                <w:position w:val="0"/>
                <w:sz w:val="20"/>
                <w:szCs w:val="20"/>
              </w:rPr>
              <w:t>报告期内增 减变动情况</w:t>
            </w:r>
          </w:p>
        </w:tc>
        <w:tc>
          <w:tcPr>
            <w:gridSpan w:val="2"/>
            <w:vMerge w:val="restart"/>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54" w:lineRule="exact"/>
              <w:ind w:left="0" w:right="0" w:firstLine="0"/>
              <w:jc w:val="left"/>
              <w:rPr>
                <w:sz w:val="20"/>
                <w:szCs w:val="20"/>
              </w:rPr>
            </w:pPr>
            <w:r>
              <w:rPr>
                <w:color w:val="000000"/>
                <w:spacing w:val="0"/>
                <w:w w:val="100"/>
                <w:position w:val="0"/>
                <w:sz w:val="20"/>
                <w:szCs w:val="20"/>
              </w:rPr>
              <w:t>持有有限售条 件的股份数量</w:t>
            </w:r>
          </w:p>
          <w:p>
            <w:pPr>
              <w:pStyle w:val="Style28"/>
              <w:keepNext w:val="0"/>
              <w:keepLines w:val="0"/>
              <w:widowControl w:val="0"/>
              <w:shd w:val="clear" w:color="auto" w:fill="auto"/>
              <w:bidi w:val="0"/>
              <w:spacing w:before="0" w:after="0" w:line="254" w:lineRule="exact"/>
              <w:ind w:left="0" w:right="0" w:firstLine="300"/>
              <w:jc w:val="left"/>
              <w:rPr>
                <w:sz w:val="20"/>
                <w:szCs w:val="20"/>
              </w:rPr>
            </w:pPr>
            <w:r>
              <w:rPr>
                <w:color w:val="000000"/>
                <w:spacing w:val="0"/>
                <w:w w:val="100"/>
                <w:position w:val="0"/>
                <w:sz w:val="20"/>
                <w:szCs w:val="20"/>
              </w:rPr>
              <w:t>（注</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r>
          </w:p>
        </w:tc>
        <w:tc>
          <w:tcPr>
            <w:vMerge w:val="restart"/>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57" w:lineRule="exact"/>
              <w:ind w:left="0" w:right="0" w:firstLine="0"/>
              <w:jc w:val="center"/>
              <w:rPr>
                <w:sz w:val="20"/>
                <w:szCs w:val="20"/>
              </w:rPr>
            </w:pPr>
            <w:r>
              <w:rPr>
                <w:color w:val="000000"/>
                <w:spacing w:val="0"/>
                <w:w w:val="100"/>
                <w:position w:val="0"/>
                <w:sz w:val="20"/>
                <w:szCs w:val="20"/>
              </w:rPr>
              <w:t>持有无限售 条件的股份 数量</w:t>
            </w:r>
          </w:p>
        </w:tc>
        <w:tc>
          <w:tcPr>
            <w:gridSpan w:val="2"/>
            <w:tcBorders>
              <w:top w:val="single" w:sz="4"/>
              <w:left w:val="single" w:sz="4"/>
              <w:righ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质押或冻结情况</w:t>
            </w:r>
          </w:p>
        </w:tc>
      </w:tr>
      <w:tr>
        <w:trPr>
          <w:trHeight w:val="52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top"/>
          </w:tcPr>
          <w:p>
            <w:pPr/>
          </w:p>
        </w:tc>
        <w:tc>
          <w:tcPr>
            <w:vMerge/>
            <w:tcBorders>
              <w:left w:val="single" w:sz="4"/>
            </w:tcBorders>
            <w:shd w:val="clear" w:color="auto" w:fill="D3D3D3"/>
            <w:vAlign w:val="top"/>
          </w:tcPr>
          <w:p>
            <w:pPr/>
          </w:p>
        </w:tc>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54" w:lineRule="exact"/>
              <w:ind w:left="0" w:right="0" w:firstLine="0"/>
              <w:jc w:val="left"/>
              <w:rPr>
                <w:sz w:val="20"/>
                <w:szCs w:val="20"/>
              </w:rPr>
            </w:pPr>
            <w:r>
              <w:rPr>
                <w:color w:val="000000"/>
                <w:spacing w:val="0"/>
                <w:w w:val="100"/>
                <w:position w:val="0"/>
                <w:sz w:val="20"/>
                <w:szCs w:val="20"/>
              </w:rPr>
              <w:t>股份 状态</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数量</w:t>
            </w:r>
          </w:p>
        </w:tc>
      </w:tr>
      <w:tr>
        <w:trPr>
          <w:trHeight w:val="52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张近东</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境内自</w:t>
            </w:r>
          </w:p>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然人</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20.96%</w:t>
            </w:r>
          </w:p>
        </w:tc>
        <w:tc>
          <w:tcPr>
            <w:gridSpan w:val="2"/>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1,951,811,430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gridSpan w:val="2"/>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1,951,811,430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质押</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300,000,000</w:t>
            </w:r>
          </w:p>
          <w:p>
            <w:pPr>
              <w:pStyle w:val="Style2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（注</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w:t>
            </w:r>
          </w:p>
        </w:tc>
      </w:tr>
      <w:tr>
        <w:trPr>
          <w:trHeight w:val="78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5" w:lineRule="exact"/>
              <w:ind w:left="0" w:right="0" w:firstLine="0"/>
              <w:jc w:val="left"/>
              <w:rPr>
                <w:sz w:val="20"/>
                <w:szCs w:val="20"/>
              </w:rPr>
            </w:pPr>
            <w:r>
              <w:rPr>
                <w:color w:val="000000"/>
                <w:spacing w:val="0"/>
                <w:w w:val="100"/>
                <w:position w:val="0"/>
                <w:sz w:val="20"/>
                <w:szCs w:val="20"/>
              </w:rPr>
              <w:t>苏宁电器集团 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59" w:lineRule="exact"/>
              <w:ind w:left="0" w:right="0" w:firstLine="0"/>
              <w:jc w:val="left"/>
              <w:rPr>
                <w:sz w:val="20"/>
                <w:szCs w:val="20"/>
              </w:rPr>
            </w:pPr>
            <w:r>
              <w:rPr>
                <w:color w:val="000000"/>
                <w:spacing w:val="0"/>
                <w:w w:val="100"/>
                <w:position w:val="0"/>
                <w:sz w:val="20"/>
                <w:szCs w:val="20"/>
              </w:rPr>
              <w:t>境内非 国有法 人</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19.99%</w:t>
            </w:r>
          </w:p>
        </w:tc>
        <w:tc>
          <w:tcPr>
            <w:gridSpan w:val="2"/>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1,861,076,979</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782,935,900</w:t>
            </w:r>
          </w:p>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（注</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r>
          </w:p>
        </w:tc>
        <w:tc>
          <w:tcPr>
            <w:gridSpan w:val="2"/>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1,861,076,979</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质押</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720,000,000</w:t>
            </w:r>
          </w:p>
        </w:tc>
      </w:tr>
      <w:tr>
        <w:trPr>
          <w:trHeight w:val="78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64" w:lineRule="exact"/>
              <w:ind w:left="0" w:right="0" w:firstLine="0"/>
              <w:jc w:val="left"/>
              <w:rPr>
                <w:sz w:val="20"/>
                <w:szCs w:val="20"/>
              </w:rPr>
            </w:pPr>
            <w:r>
              <w:rPr>
                <w:color w:val="000000"/>
                <w:spacing w:val="0"/>
                <w:w w:val="100"/>
                <w:position w:val="0"/>
                <w:sz w:val="20"/>
                <w:szCs w:val="20"/>
              </w:rPr>
              <w:t>淘宝（中国） 软件有限公司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59" w:lineRule="exact"/>
              <w:ind w:left="0" w:right="0" w:firstLine="0"/>
              <w:jc w:val="left"/>
              <w:rPr>
                <w:sz w:val="20"/>
                <w:szCs w:val="20"/>
              </w:rPr>
            </w:pPr>
            <w:r>
              <w:rPr>
                <w:color w:val="000000"/>
                <w:spacing w:val="0"/>
                <w:w w:val="100"/>
                <w:position w:val="0"/>
                <w:sz w:val="20"/>
                <w:szCs w:val="20"/>
              </w:rPr>
              <w:t>境内非 国有法 人</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19.99%</w:t>
            </w:r>
          </w:p>
        </w:tc>
        <w:tc>
          <w:tcPr>
            <w:gridSpan w:val="2"/>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1,861,076,927</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1,861,076,927</w:t>
            </w:r>
          </w:p>
        </w:tc>
        <w:tc>
          <w:tcPr>
            <w:gridSpan w:val="2"/>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1,861,076,927</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140" w:right="0" w:firstLine="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r>
      <w:tr>
        <w:trPr>
          <w:trHeight w:val="79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5" w:lineRule="exact"/>
              <w:ind w:left="0" w:right="0" w:firstLine="0"/>
              <w:jc w:val="left"/>
              <w:rPr>
                <w:sz w:val="20"/>
                <w:szCs w:val="20"/>
              </w:rPr>
            </w:pPr>
            <w:r>
              <w:rPr>
                <w:color w:val="000000"/>
                <w:spacing w:val="0"/>
                <w:w w:val="100"/>
                <w:position w:val="0"/>
                <w:sz w:val="20"/>
                <w:szCs w:val="20"/>
              </w:rPr>
              <w:t>苏宁控股集团 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境内非 国有法 人</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3.33%</w:t>
            </w:r>
          </w:p>
        </w:tc>
        <w:tc>
          <w:tcPr>
            <w:gridSpan w:val="2"/>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00"/>
              <w:jc w:val="both"/>
              <w:rPr>
                <w:sz w:val="20"/>
                <w:szCs w:val="20"/>
              </w:rPr>
            </w:pPr>
            <w:r>
              <w:rPr>
                <w:rFonts w:ascii="Times New Roman" w:eastAsia="Times New Roman" w:hAnsi="Times New Roman" w:cs="Times New Roman"/>
                <w:color w:val="000000"/>
                <w:spacing w:val="0"/>
                <w:w w:val="100"/>
                <w:position w:val="0"/>
                <w:sz w:val="20"/>
                <w:szCs w:val="20"/>
              </w:rPr>
              <w:t>309,730,551</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gridSpan w:val="2"/>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309,730,551</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140" w:right="0" w:firstLine="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r>
      <w:tr>
        <w:trPr>
          <w:trHeight w:val="52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陈金凤</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境内自</w:t>
            </w:r>
          </w:p>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然人</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1.98%</w:t>
            </w:r>
          </w:p>
        </w:tc>
        <w:tc>
          <w:tcPr>
            <w:gridSpan w:val="2"/>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00"/>
              <w:jc w:val="both"/>
              <w:rPr>
                <w:sz w:val="20"/>
                <w:szCs w:val="20"/>
              </w:rPr>
            </w:pPr>
            <w:r>
              <w:rPr>
                <w:rFonts w:ascii="Times New Roman" w:eastAsia="Times New Roman" w:hAnsi="Times New Roman" w:cs="Times New Roman"/>
                <w:color w:val="000000"/>
                <w:spacing w:val="0"/>
                <w:w w:val="100"/>
                <w:position w:val="0"/>
                <w:sz w:val="20"/>
                <w:szCs w:val="20"/>
              </w:rPr>
              <w:t>184,127,709</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gridSpan w:val="2"/>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184,127,709</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质押</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99,760,000</w:t>
            </w:r>
          </w:p>
        </w:tc>
      </w:tr>
      <w:tr>
        <w:trPr>
          <w:trHeight w:val="52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金明</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境内自</w:t>
            </w:r>
          </w:p>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然人</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1.34%</w:t>
            </w:r>
          </w:p>
        </w:tc>
        <w:tc>
          <w:tcPr>
            <w:gridSpan w:val="2"/>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00"/>
              <w:jc w:val="both"/>
              <w:rPr>
                <w:sz w:val="20"/>
                <w:szCs w:val="20"/>
              </w:rPr>
            </w:pPr>
            <w:r>
              <w:rPr>
                <w:rFonts w:ascii="Times New Roman" w:eastAsia="Times New Roman" w:hAnsi="Times New Roman" w:cs="Times New Roman"/>
                <w:color w:val="000000"/>
                <w:spacing w:val="0"/>
                <w:w w:val="100"/>
                <w:position w:val="0"/>
                <w:sz w:val="20"/>
                <w:szCs w:val="20"/>
              </w:rPr>
              <w:t>125,001,165</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gridSpan w:val="2"/>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93,750,874</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31,250,291</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r>
      <w:tr>
        <w:trPr>
          <w:trHeight w:val="78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52" w:lineRule="exact"/>
              <w:ind w:left="0" w:right="0" w:firstLine="0"/>
              <w:jc w:val="left"/>
              <w:rPr>
                <w:sz w:val="20"/>
                <w:szCs w:val="20"/>
              </w:rPr>
            </w:pPr>
            <w:r>
              <w:rPr>
                <w:color w:val="000000"/>
                <w:spacing w:val="0"/>
                <w:w w:val="100"/>
                <w:position w:val="0"/>
                <w:sz w:val="20"/>
                <w:szCs w:val="20"/>
              </w:rPr>
              <w:t>中央汇金资产 管理有限责任 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59" w:lineRule="exact"/>
              <w:ind w:left="0" w:right="0" w:firstLine="0"/>
              <w:jc w:val="left"/>
              <w:rPr>
                <w:sz w:val="20"/>
                <w:szCs w:val="20"/>
              </w:rPr>
            </w:pPr>
            <w:r>
              <w:rPr>
                <w:color w:val="000000"/>
                <w:spacing w:val="0"/>
                <w:w w:val="100"/>
                <w:position w:val="0"/>
                <w:sz w:val="20"/>
                <w:szCs w:val="20"/>
              </w:rPr>
              <w:t>境内国 有法人</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0.79%</w:t>
            </w:r>
          </w:p>
        </w:tc>
        <w:tc>
          <w:tcPr>
            <w:gridSpan w:val="2"/>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both"/>
              <w:rPr>
                <w:sz w:val="20"/>
                <w:szCs w:val="20"/>
              </w:rPr>
            </w:pPr>
            <w:r>
              <w:rPr>
                <w:rFonts w:ascii="Times New Roman" w:eastAsia="Times New Roman" w:hAnsi="Times New Roman" w:cs="Times New Roman"/>
                <w:color w:val="000000"/>
                <w:spacing w:val="0"/>
                <w:w w:val="100"/>
                <w:position w:val="0"/>
                <w:sz w:val="20"/>
                <w:szCs w:val="20"/>
              </w:rPr>
              <w:t>73,231,900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gridSpan w:val="2"/>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73,231,900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r>
      <w:tr>
        <w:trPr>
          <w:trHeight w:val="274" w:hRule="exact"/>
        </w:trPr>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苏宁云商集团</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0.71%</w:t>
            </w:r>
          </w:p>
        </w:tc>
        <w:tc>
          <w:tcPr>
            <w:gridSpan w:val="2"/>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both"/>
              <w:rPr>
                <w:sz w:val="20"/>
                <w:szCs w:val="20"/>
              </w:rPr>
            </w:pPr>
            <w:r>
              <w:rPr>
                <w:rFonts w:ascii="Times New Roman" w:eastAsia="Times New Roman" w:hAnsi="Times New Roman" w:cs="Times New Roman"/>
                <w:color w:val="000000"/>
                <w:spacing w:val="0"/>
                <w:w w:val="100"/>
                <w:position w:val="0"/>
                <w:sz w:val="20"/>
                <w:szCs w:val="20"/>
              </w:rPr>
              <w:t>65,919,578</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65,919,578</w:t>
            </w:r>
          </w:p>
        </w:tc>
        <w:tc>
          <w:tcPr>
            <w:gridSpan w:val="2"/>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65,919,578</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140" w:right="0" w:firstLine="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r>
    </w:tbl>
    <w:p>
      <w:pPr>
        <w:spacing w:lineRule="exact" w:line="1"/>
        <w:rPr>
          <w:sz w:val="2"/>
          <w:szCs w:val="2"/>
        </w:rPr>
      </w:pPr>
      <w:r>
        <w:br w:type="page"/>
      </w:r>
    </w:p>
    <w:tbl>
      <w:tblPr>
        <w:tblOverlap w:val="never"/>
        <w:jc w:val="center"/>
        <w:tblLayout w:type="fixed"/>
      </w:tblPr>
      <w:tblGrid>
        <w:gridCol w:w="1301"/>
        <w:gridCol w:w="826"/>
        <w:gridCol w:w="869"/>
        <w:gridCol w:w="298"/>
        <w:gridCol w:w="946"/>
        <w:gridCol w:w="1243"/>
        <w:gridCol w:w="226"/>
        <w:gridCol w:w="1128"/>
        <w:gridCol w:w="379"/>
        <w:gridCol w:w="864"/>
        <w:gridCol w:w="514"/>
        <w:gridCol w:w="1114"/>
      </w:tblGrid>
      <w:tr>
        <w:trPr>
          <w:trHeight w:val="79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股份有限公司 一第二期员工 持股计划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51"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59" w:lineRule="exact"/>
              <w:ind w:left="0" w:right="0" w:firstLine="0"/>
              <w:jc w:val="both"/>
              <w:rPr>
                <w:sz w:val="20"/>
                <w:szCs w:val="20"/>
              </w:rPr>
            </w:pPr>
            <w:r>
              <w:rPr>
                <w:color w:val="000000"/>
                <w:spacing w:val="0"/>
                <w:w w:val="100"/>
                <w:position w:val="0"/>
                <w:sz w:val="20"/>
                <w:szCs w:val="20"/>
              </w:rPr>
              <w:t>苏宁云商集团 股份有限公司 一第</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期员工 持股计划</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0.66%</w:t>
            </w:r>
          </w:p>
        </w:tc>
        <w:tc>
          <w:tcPr>
            <w:gridSpan w:val="2"/>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61,056,374</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61,056,374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46"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62" w:lineRule="exact"/>
              <w:ind w:left="0" w:right="0" w:firstLine="0"/>
              <w:jc w:val="both"/>
              <w:rPr>
                <w:sz w:val="20"/>
                <w:szCs w:val="20"/>
              </w:rPr>
            </w:pPr>
            <w:r>
              <w:rPr>
                <w:color w:val="000000"/>
                <w:spacing w:val="0"/>
                <w:w w:val="100"/>
                <w:position w:val="0"/>
                <w:sz w:val="20"/>
                <w:szCs w:val="20"/>
              </w:rPr>
              <w:t>北京弘毅贰零 壹零股权投资 中心（有限合 伙）</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0.53%</w:t>
            </w:r>
          </w:p>
        </w:tc>
        <w:tc>
          <w:tcPr>
            <w:gridSpan w:val="2"/>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49,632,003</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49,632,003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06" w:hRule="exact"/>
        </w:trPr>
        <w:tc>
          <w:tcPr>
            <w:gridSpan w:val="2"/>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57" w:lineRule="exact"/>
              <w:ind w:left="0" w:right="0" w:firstLine="0"/>
              <w:jc w:val="left"/>
              <w:rPr>
                <w:sz w:val="20"/>
                <w:szCs w:val="20"/>
              </w:rPr>
            </w:pPr>
            <w:r>
              <w:rPr>
                <w:color w:val="000000"/>
                <w:spacing w:val="0"/>
                <w:w w:val="100"/>
                <w:position w:val="0"/>
                <w:sz w:val="20"/>
                <w:szCs w:val="20"/>
              </w:rPr>
              <w:t>战略投资者或一般法人 因配售新股成为前</w:t>
            </w:r>
            <w:r>
              <w:rPr>
                <w:rFonts w:ascii="Times New Roman" w:eastAsia="Times New Roman" w:hAnsi="Times New Roman" w:cs="Times New Roman"/>
                <w:color w:val="000000"/>
                <w:spacing w:val="0"/>
                <w:w w:val="100"/>
                <w:position w:val="0"/>
                <w:sz w:val="20"/>
                <w:szCs w:val="20"/>
              </w:rPr>
              <w:t xml:space="preserve">10 </w:t>
            </w:r>
            <w:r>
              <w:rPr>
                <w:color w:val="000000"/>
                <w:spacing w:val="0"/>
                <w:w w:val="100"/>
                <w:position w:val="0"/>
                <w:sz w:val="20"/>
                <w:szCs w:val="20"/>
              </w:rPr>
              <w:t>名股东的情况</w:t>
            </w:r>
          </w:p>
        </w:tc>
        <w:tc>
          <w:tcPr>
            <w:gridSpan w:val="4"/>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60" w:lineRule="exact"/>
              <w:ind w:left="0" w:right="0" w:firstLine="0"/>
              <w:jc w:val="left"/>
              <w:rPr>
                <w:sz w:val="20"/>
                <w:szCs w:val="20"/>
              </w:rPr>
            </w:pPr>
            <w:r>
              <w:rPr>
                <w:color w:val="000000"/>
                <w:spacing w:val="0"/>
                <w:w w:val="100"/>
                <w:position w:val="0"/>
                <w:sz w:val="20"/>
                <w:szCs w:val="20"/>
              </w:rPr>
              <w:t>经中国证券监督管理委员会《关于核准 批复》（证监许可</w:t>
            </w:r>
            <w:r>
              <w:rPr>
                <w:rFonts w:ascii="Times New Roman" w:eastAsia="Times New Roman" w:hAnsi="Times New Roman" w:cs="Times New Roman"/>
                <w:color w:val="000000"/>
                <w:spacing w:val="0"/>
                <w:w w:val="100"/>
                <w:position w:val="0"/>
                <w:sz w:val="20"/>
                <w:szCs w:val="20"/>
              </w:rPr>
              <w:t>[2016]418</w:t>
            </w:r>
            <w:r>
              <w:rPr>
                <w:color w:val="000000"/>
                <w:spacing w:val="0"/>
                <w:w w:val="100"/>
                <w:position w:val="0"/>
                <w:sz w:val="20"/>
                <w:szCs w:val="20"/>
              </w:rPr>
              <w:t>号）核准, 日向淘宝（中国）软件有限公司非公开 本的</w:t>
            </w:r>
            <w:r>
              <w:rPr>
                <w:rFonts w:ascii="Times New Roman" w:eastAsia="Times New Roman" w:hAnsi="Times New Roman" w:cs="Times New Roman"/>
                <w:color w:val="000000"/>
                <w:spacing w:val="0"/>
                <w:w w:val="100"/>
                <w:position w:val="0"/>
                <w:sz w:val="20"/>
                <w:szCs w:val="20"/>
              </w:rPr>
              <w:t>19.99%</w:t>
            </w:r>
            <w:r>
              <w:rPr>
                <w:color w:val="000000"/>
                <w:spacing w:val="0"/>
                <w:w w:val="100"/>
                <w:position w:val="0"/>
                <w:sz w:val="20"/>
                <w:szCs w:val="20"/>
              </w:rPr>
              <w:t>,新增股份约定持股期间 内不得转让。</w:t>
            </w:r>
          </w:p>
        </w:tc>
        <w:tc>
          <w:tcPr>
            <w:gridSpan w:val="2"/>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59" w:lineRule="exact"/>
              <w:ind w:left="0" w:right="0" w:firstLine="0"/>
              <w:jc w:val="right"/>
              <w:rPr>
                <w:sz w:val="20"/>
                <w:szCs w:val="20"/>
              </w:rPr>
            </w:pPr>
            <w:r>
              <w:rPr>
                <w:color w:val="000000"/>
                <w:spacing w:val="0"/>
                <w:w w:val="100"/>
                <w:position w:val="0"/>
                <w:sz w:val="20"/>
                <w:szCs w:val="20"/>
              </w:rPr>
              <w:t xml:space="preserve">苏宁云商集团股 苏宁云商集团 </w:t>
            </w:r>
            <w:r>
              <w:rPr>
                <w:rFonts w:ascii="Times New Roman" w:eastAsia="Times New Roman" w:hAnsi="Times New Roman" w:cs="Times New Roman"/>
                <w:color w:val="000000"/>
                <w:spacing w:val="0"/>
                <w:w w:val="100"/>
                <w:position w:val="0"/>
                <w:sz w:val="20"/>
                <w:szCs w:val="20"/>
              </w:rPr>
              <w:t>F</w:t>
            </w:r>
            <w:r>
              <w:rPr>
                <w:color w:val="000000"/>
                <w:spacing w:val="0"/>
                <w:w w:val="100"/>
                <w:position w:val="0"/>
                <w:sz w:val="20"/>
                <w:szCs w:val="20"/>
              </w:rPr>
              <w:t>发行股份</w:t>
            </w:r>
            <w:r>
              <w:rPr>
                <w:rFonts w:ascii="Times New Roman" w:eastAsia="Times New Roman" w:hAnsi="Times New Roman" w:cs="Times New Roman"/>
                <w:color w:val="000000"/>
                <w:spacing w:val="0"/>
                <w:w w:val="100"/>
                <w:position w:val="0"/>
                <w:sz w:val="20"/>
                <w:szCs w:val="20"/>
              </w:rPr>
              <w:t xml:space="preserve">1,861 </w:t>
            </w:r>
            <w:r>
              <w:rPr>
                <w:color w:val="000000"/>
                <w:spacing w:val="0"/>
                <w:w w:val="100"/>
                <w:position w:val="0"/>
                <w:sz w:val="20"/>
                <w:szCs w:val="20"/>
              </w:rPr>
              <w:t>股份上市之日</w:t>
            </w:r>
          </w:p>
        </w:tc>
        <w:tc>
          <w:tcPr>
            <w:gridSpan w:val="2"/>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59" w:lineRule="exact"/>
              <w:ind w:left="0" w:right="0" w:firstLine="0"/>
              <w:jc w:val="right"/>
              <w:rPr>
                <w:sz w:val="20"/>
                <w:szCs w:val="20"/>
              </w:rPr>
            </w:pPr>
            <w:r>
              <w:rPr>
                <w:color w:val="000000"/>
                <w:spacing w:val="0"/>
                <w:w w:val="100"/>
                <w:position w:val="0"/>
                <w:sz w:val="20"/>
                <w:szCs w:val="20"/>
              </w:rPr>
              <w:t xml:space="preserve">份有限公司非 股份有限公司于 </w:t>
            </w:r>
            <w:r>
              <w:rPr>
                <w:rFonts w:ascii="Times New Roman" w:eastAsia="Times New Roman" w:hAnsi="Times New Roman" w:cs="Times New Roman"/>
                <w:color w:val="000000"/>
                <w:spacing w:val="0"/>
                <w:w w:val="100"/>
                <w:position w:val="0"/>
                <w:sz w:val="20"/>
                <w:szCs w:val="20"/>
              </w:rPr>
              <w:t xml:space="preserve">,076,927 </w:t>
            </w:r>
            <w:r>
              <w:rPr>
                <w:color w:val="000000"/>
                <w:spacing w:val="0"/>
                <w:w w:val="100"/>
                <w:position w:val="0"/>
                <w:sz w:val="20"/>
                <w:szCs w:val="20"/>
              </w:rPr>
              <w:t>股，占 （</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月</w:t>
            </w:r>
          </w:p>
        </w:tc>
        <w:tc>
          <w:tcPr>
            <w:gridSpan w:val="2"/>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59" w:lineRule="exact"/>
              <w:ind w:left="0" w:right="0" w:firstLine="0"/>
              <w:jc w:val="left"/>
              <w:rPr>
                <w:sz w:val="20"/>
                <w:szCs w:val="20"/>
              </w:rPr>
            </w:pPr>
            <w:r>
              <w:rPr>
                <w:color w:val="000000"/>
                <w:spacing w:val="0"/>
                <w:w w:val="100"/>
                <w:position w:val="0"/>
                <w:sz w:val="20"/>
                <w:szCs w:val="20"/>
              </w:rPr>
              <w:t>m</w:t>
            </w:r>
            <w:r>
              <w:rPr>
                <w:color w:val="000000"/>
                <w:spacing w:val="0"/>
                <w:w w:val="100"/>
                <w:position w:val="0"/>
                <w:sz w:val="20"/>
                <w:szCs w:val="20"/>
              </w:rPr>
              <w:t xml:space="preserve">公开发行股票的 </w:t>
            </w:r>
            <w:r>
              <w:rPr>
                <w:rFonts w:ascii="Times New Roman" w:eastAsia="Times New Roman" w:hAnsi="Times New Roman" w:cs="Times New Roman"/>
                <w:color w:val="000000"/>
                <w:spacing w:val="0"/>
                <w:w w:val="100"/>
                <w:position w:val="0"/>
                <w:sz w:val="20"/>
                <w:szCs w:val="20"/>
              </w:rPr>
              <w:t xml:space="preserve">F </w:t>
            </w:r>
            <w:r>
              <w:rPr>
                <w:rFonts w:ascii="Times New Roman" w:eastAsia="Times New Roman" w:hAnsi="Times New Roman" w:cs="Times New Roman"/>
                <w:color w:val="000000"/>
                <w:spacing w:val="0"/>
                <w:w w:val="100"/>
                <w:position w:val="0"/>
                <w:sz w:val="20"/>
                <w:szCs w:val="20"/>
              </w:rPr>
              <w:t xml:space="preserve">2016 </w:t>
            </w:r>
            <w:r>
              <w:rPr>
                <w:color w:val="000000"/>
                <w:spacing w:val="0"/>
                <w:w w:val="100"/>
                <w:position w:val="0"/>
                <w:sz w:val="20"/>
                <w:szCs w:val="20"/>
              </w:rPr>
              <w:t xml:space="preserve">年 </w:t>
            </w:r>
            <w:r>
              <w:rPr>
                <w:rFonts w:ascii="Times New Roman" w:eastAsia="Times New Roman" w:hAnsi="Times New Roman" w:cs="Times New Roman"/>
                <w:color w:val="000000"/>
                <w:spacing w:val="0"/>
                <w:w w:val="100"/>
                <w:position w:val="0"/>
                <w:sz w:val="20"/>
                <w:szCs w:val="20"/>
              </w:rPr>
              <w:t xml:space="preserve">5 </w:t>
            </w:r>
            <w:r>
              <w:rPr>
                <w:color w:val="000000"/>
                <w:spacing w:val="0"/>
                <w:w w:val="100"/>
                <w:position w:val="0"/>
                <w:sz w:val="20"/>
                <w:szCs w:val="20"/>
              </w:rPr>
              <w:t xml:space="preserve">月 </w:t>
            </w:r>
            <w:r>
              <w:rPr>
                <w:rFonts w:ascii="Times New Roman" w:eastAsia="Times New Roman" w:hAnsi="Times New Roman" w:cs="Times New Roman"/>
                <w:color w:val="000000"/>
                <w:spacing w:val="0"/>
                <w:w w:val="100"/>
                <w:position w:val="0"/>
                <w:sz w:val="20"/>
                <w:szCs w:val="20"/>
              </w:rPr>
              <w:t>20 5</w:t>
            </w:r>
            <w:r>
              <w:rPr>
                <w:color w:val="000000"/>
                <w:spacing w:val="0"/>
                <w:w w:val="100"/>
                <w:position w:val="0"/>
                <w:sz w:val="20"/>
                <w:szCs w:val="20"/>
              </w:rPr>
              <w:t>发行后公司总股</w:t>
            </w:r>
          </w:p>
          <w:p>
            <w:pPr>
              <w:pStyle w:val="Style28"/>
              <w:keepNext w:val="0"/>
              <w:keepLines w:val="0"/>
              <w:widowControl w:val="0"/>
              <w:shd w:val="clear" w:color="auto" w:fill="auto"/>
              <w:bidi w:val="0"/>
              <w:spacing w:before="0" w:after="0" w:line="271"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日）起</w:t>
            </w:r>
            <w:r>
              <w:rPr>
                <w:rFonts w:ascii="Times New Roman" w:eastAsia="Times New Roman" w:hAnsi="Times New Roman" w:cs="Times New Roman"/>
                <w:color w:val="000000"/>
                <w:spacing w:val="0"/>
                <w:w w:val="100"/>
                <w:position w:val="0"/>
                <w:sz w:val="20"/>
                <w:szCs w:val="20"/>
              </w:rPr>
              <w:t>36</w:t>
            </w:r>
            <w:r>
              <w:rPr>
                <w:color w:val="000000"/>
                <w:spacing w:val="0"/>
                <w:w w:val="100"/>
                <w:position w:val="0"/>
                <w:sz w:val="20"/>
                <w:szCs w:val="20"/>
              </w:rPr>
              <w:t>个月</w:t>
            </w:r>
          </w:p>
        </w:tc>
      </w:tr>
      <w:tr>
        <w:trPr>
          <w:trHeight w:val="4142" w:hRule="exact"/>
        </w:trPr>
        <w:tc>
          <w:tcPr>
            <w:gridSpan w:val="2"/>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59" w:lineRule="exact"/>
              <w:ind w:left="0" w:right="0" w:firstLine="0"/>
              <w:jc w:val="left"/>
              <w:rPr>
                <w:sz w:val="20"/>
                <w:szCs w:val="20"/>
              </w:rPr>
            </w:pPr>
            <w:r>
              <w:rPr>
                <w:color w:val="000000"/>
                <w:spacing w:val="0"/>
                <w:w w:val="100"/>
                <w:position w:val="0"/>
                <w:sz w:val="20"/>
                <w:szCs w:val="20"/>
              </w:rPr>
              <w:t>上述股东关联关系或一 致行动的说明</w:t>
            </w:r>
          </w:p>
        </w:tc>
        <w:tc>
          <w:tcPr>
            <w:gridSpan w:val="10"/>
            <w:tcBorders>
              <w:top w:val="single" w:sz="4"/>
              <w:left w:val="single" w:sz="4"/>
              <w:right w:val="single" w:sz="4"/>
            </w:tcBorders>
            <w:shd w:val="clear" w:color="auto" w:fill="FFFFFF"/>
            <w:vAlign w:val="top"/>
          </w:tcPr>
          <w:p>
            <w:pPr>
              <w:pStyle w:val="Style28"/>
              <w:keepNext w:val="0"/>
              <w:keepLines w:val="0"/>
              <w:widowControl w:val="0"/>
              <w:shd w:val="clear" w:color="auto" w:fill="auto"/>
              <w:tabs>
                <w:tab w:pos="298" w:val="left"/>
              </w:tabs>
              <w:bidi w:val="0"/>
              <w:spacing w:before="0" w:after="0" w:line="259" w:lineRule="exact"/>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tab/>
              <w:t>张近东先生持有苏宁控股集团有限公司</w:t>
            </w:r>
            <w:r>
              <w:rPr>
                <w:rFonts w:ascii="Times New Roman" w:eastAsia="Times New Roman" w:hAnsi="Times New Roman" w:cs="Times New Roman"/>
                <w:color w:val="000000"/>
                <w:spacing w:val="0"/>
                <w:w w:val="100"/>
                <w:position w:val="0"/>
                <w:sz w:val="20"/>
                <w:szCs w:val="20"/>
              </w:rPr>
              <w:t>100%</w:t>
            </w:r>
            <w:r>
              <w:rPr>
                <w:color w:val="000000"/>
                <w:spacing w:val="0"/>
                <w:w w:val="100"/>
                <w:position w:val="0"/>
                <w:sz w:val="20"/>
                <w:szCs w:val="20"/>
              </w:rPr>
              <w:t>股权，张近东先生与苏宁控股集团有 限公司构成一致行动人关系；</w:t>
            </w:r>
          </w:p>
          <w:p>
            <w:pPr>
              <w:pStyle w:val="Style28"/>
              <w:keepNext w:val="0"/>
              <w:keepLines w:val="0"/>
              <w:widowControl w:val="0"/>
              <w:shd w:val="clear" w:color="auto" w:fill="auto"/>
              <w:tabs>
                <w:tab w:pos="312" w:val="left"/>
              </w:tabs>
              <w:bidi w:val="0"/>
              <w:spacing w:before="0" w:after="0" w:line="259" w:lineRule="exact"/>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tab/>
              <w:t>张近东先生持有苏宁电器集团有限公司</w:t>
            </w:r>
            <w:r>
              <w:rPr>
                <w:rFonts w:ascii="Times New Roman" w:eastAsia="Times New Roman" w:hAnsi="Times New Roman" w:cs="Times New Roman"/>
                <w:color w:val="000000"/>
                <w:spacing w:val="0"/>
                <w:w w:val="100"/>
                <w:position w:val="0"/>
                <w:sz w:val="20"/>
                <w:szCs w:val="20"/>
              </w:rPr>
              <w:t>48.10%</w:t>
            </w:r>
            <w:r>
              <w:rPr>
                <w:color w:val="000000"/>
                <w:spacing w:val="0"/>
                <w:w w:val="100"/>
                <w:position w:val="0"/>
                <w:sz w:val="20"/>
                <w:szCs w:val="20"/>
              </w:rPr>
              <w:t>股权，为其第二大股东，张近东先 生与苏宁电器集团有限公司构成关联关系；</w:t>
            </w:r>
          </w:p>
          <w:p>
            <w:pPr>
              <w:pStyle w:val="Style28"/>
              <w:keepNext w:val="0"/>
              <w:keepLines w:val="0"/>
              <w:widowControl w:val="0"/>
              <w:shd w:val="clear" w:color="auto" w:fill="auto"/>
              <w:tabs>
                <w:tab w:pos="312" w:val="left"/>
              </w:tabs>
              <w:bidi w:val="0"/>
              <w:spacing w:before="0" w:after="0" w:line="259" w:lineRule="exact"/>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w:t>
              <w:tab/>
              <w:t>苏宁电器集团有限公司持有公司股份合计</w:t>
            </w:r>
            <w:r>
              <w:rPr>
                <w:rFonts w:ascii="Times New Roman" w:eastAsia="Times New Roman" w:hAnsi="Times New Roman" w:cs="Times New Roman"/>
                <w:color w:val="000000"/>
                <w:spacing w:val="0"/>
                <w:w w:val="100"/>
                <w:position w:val="0"/>
                <w:sz w:val="20"/>
                <w:szCs w:val="20"/>
              </w:rPr>
              <w:t>1,861,076,979</w:t>
            </w:r>
            <w:r>
              <w:rPr>
                <w:color w:val="000000"/>
                <w:spacing w:val="0"/>
                <w:w w:val="100"/>
                <w:position w:val="0"/>
                <w:sz w:val="20"/>
                <w:szCs w:val="20"/>
              </w:rPr>
              <w:t xml:space="preserve">股，占公司总股本比例 </w:t>
            </w:r>
            <w:r>
              <w:rPr>
                <w:rFonts w:ascii="Times New Roman" w:eastAsia="Times New Roman" w:hAnsi="Times New Roman" w:cs="Times New Roman"/>
                <w:color w:val="000000"/>
                <w:spacing w:val="0"/>
                <w:w w:val="100"/>
                <w:position w:val="0"/>
                <w:sz w:val="20"/>
                <w:szCs w:val="20"/>
              </w:rPr>
              <w:t>19.99%</w:t>
            </w:r>
            <w:r>
              <w:rPr>
                <w:color w:val="000000"/>
                <w:spacing w:val="0"/>
                <w:w w:val="100"/>
                <w:position w:val="0"/>
                <w:sz w:val="20"/>
                <w:szCs w:val="20"/>
              </w:rPr>
              <w:t>。其中，苏宁电器集团有限公司通过</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西藏信托有限公司一西藏信托一顺景</w:t>
            </w:r>
            <w:r>
              <w:rPr>
                <w:rFonts w:ascii="Times New Roman" w:eastAsia="Times New Roman" w:hAnsi="Times New Roman" w:cs="Times New Roman"/>
                <w:color w:val="000000"/>
                <w:spacing w:val="0"/>
                <w:w w:val="100"/>
                <w:position w:val="0"/>
                <w:sz w:val="20"/>
                <w:szCs w:val="20"/>
              </w:rPr>
              <w:t xml:space="preserve">34 </w:t>
            </w:r>
            <w:r>
              <w:rPr>
                <w:color w:val="000000"/>
                <w:spacing w:val="0"/>
                <w:w w:val="100"/>
                <w:position w:val="0"/>
                <w:sz w:val="20"/>
                <w:szCs w:val="20"/>
              </w:rPr>
              <w:t>号集合资金信托计划</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持有公司股份</w:t>
            </w:r>
            <w:r>
              <w:rPr>
                <w:rFonts w:ascii="Times New Roman" w:eastAsia="Times New Roman" w:hAnsi="Times New Roman" w:cs="Times New Roman"/>
                <w:color w:val="000000"/>
                <w:spacing w:val="0"/>
                <w:w w:val="100"/>
                <w:position w:val="0"/>
                <w:sz w:val="20"/>
                <w:szCs w:val="20"/>
              </w:rPr>
              <w:t>89,009,599</w:t>
            </w:r>
            <w:r>
              <w:rPr>
                <w:color w:val="000000"/>
                <w:spacing w:val="0"/>
                <w:w w:val="100"/>
                <w:position w:val="0"/>
                <w:sz w:val="20"/>
                <w:szCs w:val="20"/>
              </w:rPr>
              <w:t>股，占公司总股本比例</w:t>
            </w:r>
            <w:r>
              <w:rPr>
                <w:rFonts w:ascii="Times New Roman" w:eastAsia="Times New Roman" w:hAnsi="Times New Roman" w:cs="Times New Roman"/>
                <w:color w:val="000000"/>
                <w:spacing w:val="0"/>
                <w:w w:val="100"/>
                <w:position w:val="0"/>
                <w:sz w:val="20"/>
                <w:szCs w:val="20"/>
              </w:rPr>
              <w:t>0.96%</w:t>
            </w:r>
            <w:r>
              <w:rPr>
                <w:color w:val="000000"/>
                <w:spacing w:val="0"/>
                <w:w w:val="100"/>
                <w:position w:val="0"/>
                <w:sz w:val="20"/>
                <w:szCs w:val="20"/>
              </w:rPr>
              <w:t xml:space="preserve">；通过 </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西藏信托有限公司一西藏信托一莱沃</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号集合资金信托计划</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持有公司股份</w:t>
            </w:r>
            <w:r>
              <w:rPr>
                <w:rFonts w:ascii="Times New Roman" w:eastAsia="Times New Roman" w:hAnsi="Times New Roman" w:cs="Times New Roman"/>
                <w:color w:val="000000"/>
                <w:spacing w:val="0"/>
                <w:w w:val="100"/>
                <w:position w:val="0"/>
                <w:sz w:val="20"/>
                <w:szCs w:val="20"/>
              </w:rPr>
              <w:t xml:space="preserve">85,979,961 </w:t>
            </w:r>
            <w:r>
              <w:rPr>
                <w:color w:val="000000"/>
                <w:spacing w:val="0"/>
                <w:w w:val="100"/>
                <w:position w:val="0"/>
                <w:sz w:val="20"/>
                <w:szCs w:val="20"/>
              </w:rPr>
              <w:t>股，占公司总股本比例</w:t>
            </w:r>
            <w:r>
              <w:rPr>
                <w:rFonts w:ascii="Times New Roman" w:eastAsia="Times New Roman" w:hAnsi="Times New Roman" w:cs="Times New Roman"/>
                <w:color w:val="000000"/>
                <w:spacing w:val="0"/>
                <w:w w:val="100"/>
                <w:position w:val="0"/>
                <w:sz w:val="20"/>
                <w:szCs w:val="20"/>
              </w:rPr>
              <w:t>0.92%</w:t>
            </w:r>
            <w:r>
              <w:rPr>
                <w:color w:val="000000"/>
                <w:spacing w:val="0"/>
                <w:w w:val="100"/>
                <w:position w:val="0"/>
                <w:sz w:val="20"/>
                <w:szCs w:val="20"/>
              </w:rPr>
              <w:t>；通过</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西藏信托有限公司一西藏信托一顺景</w:t>
            </w:r>
            <w:r>
              <w:rPr>
                <w:rFonts w:ascii="Times New Roman" w:eastAsia="Times New Roman" w:hAnsi="Times New Roman" w:cs="Times New Roman"/>
                <w:color w:val="000000"/>
                <w:spacing w:val="0"/>
                <w:w w:val="100"/>
                <w:position w:val="0"/>
                <w:sz w:val="20"/>
                <w:szCs w:val="20"/>
              </w:rPr>
              <w:t>53</w:t>
            </w:r>
            <w:r>
              <w:rPr>
                <w:color w:val="000000"/>
                <w:spacing w:val="0"/>
                <w:w w:val="100"/>
                <w:position w:val="0"/>
                <w:sz w:val="20"/>
                <w:szCs w:val="20"/>
              </w:rPr>
              <w:t>号集合 资金信托计划</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持有公司股份</w:t>
            </w:r>
            <w:r>
              <w:rPr>
                <w:rFonts w:ascii="Times New Roman" w:eastAsia="Times New Roman" w:hAnsi="Times New Roman" w:cs="Times New Roman"/>
                <w:color w:val="000000"/>
                <w:spacing w:val="0"/>
                <w:w w:val="100"/>
                <w:position w:val="0"/>
                <w:sz w:val="20"/>
                <w:szCs w:val="20"/>
              </w:rPr>
              <w:t>83,489,598</w:t>
            </w:r>
            <w:r>
              <w:rPr>
                <w:color w:val="000000"/>
                <w:spacing w:val="0"/>
                <w:w w:val="100"/>
                <w:position w:val="0"/>
                <w:sz w:val="20"/>
                <w:szCs w:val="20"/>
              </w:rPr>
              <w:t>股，占公司总股本比例</w:t>
            </w:r>
            <w:r>
              <w:rPr>
                <w:rFonts w:ascii="Times New Roman" w:eastAsia="Times New Roman" w:hAnsi="Times New Roman" w:cs="Times New Roman"/>
                <w:color w:val="000000"/>
                <w:spacing w:val="0"/>
                <w:w w:val="100"/>
                <w:position w:val="0"/>
                <w:sz w:val="20"/>
                <w:szCs w:val="20"/>
              </w:rPr>
              <w:t>0.90%</w:t>
            </w:r>
            <w:r>
              <w:rPr>
                <w:color w:val="000000"/>
                <w:spacing w:val="0"/>
                <w:w w:val="100"/>
                <w:position w:val="0"/>
                <w:sz w:val="20"/>
                <w:szCs w:val="20"/>
              </w:rPr>
              <w:t>；通过</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西藏信 托有限公司一西藏信托一莱沃</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号集合资金信托计划</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持有公司股份</w:t>
            </w:r>
            <w:r>
              <w:rPr>
                <w:rFonts w:ascii="Times New Roman" w:eastAsia="Times New Roman" w:hAnsi="Times New Roman" w:cs="Times New Roman"/>
                <w:color w:val="000000"/>
                <w:spacing w:val="0"/>
                <w:w w:val="100"/>
                <w:position w:val="0"/>
                <w:sz w:val="20"/>
                <w:szCs w:val="20"/>
              </w:rPr>
              <w:t>38,160,122</w:t>
            </w:r>
            <w:r>
              <w:rPr>
                <w:color w:val="000000"/>
                <w:spacing w:val="0"/>
                <w:w w:val="100"/>
                <w:position w:val="0"/>
                <w:sz w:val="20"/>
                <w:szCs w:val="20"/>
              </w:rPr>
              <w:t>股， 占公司总股本比例</w:t>
            </w:r>
            <w:r>
              <w:rPr>
                <w:rFonts w:ascii="Times New Roman" w:eastAsia="Times New Roman" w:hAnsi="Times New Roman" w:cs="Times New Roman"/>
                <w:color w:val="000000"/>
                <w:spacing w:val="0"/>
                <w:w w:val="100"/>
                <w:position w:val="0"/>
                <w:sz w:val="20"/>
                <w:szCs w:val="20"/>
              </w:rPr>
              <w:t>0.41%</w:t>
            </w:r>
            <w:r>
              <w:rPr>
                <w:color w:val="000000"/>
                <w:spacing w:val="0"/>
                <w:w w:val="100"/>
                <w:position w:val="0"/>
                <w:sz w:val="20"/>
                <w:szCs w:val="20"/>
              </w:rPr>
              <w:t>。</w:t>
            </w:r>
          </w:p>
          <w:p>
            <w:pPr>
              <w:pStyle w:val="Style28"/>
              <w:keepNext w:val="0"/>
              <w:keepLines w:val="0"/>
              <w:widowControl w:val="0"/>
              <w:shd w:val="clear" w:color="auto" w:fill="auto"/>
              <w:bidi w:val="0"/>
              <w:spacing w:before="0" w:after="0" w:line="259" w:lineRule="exact"/>
              <w:ind w:left="0" w:right="0" w:firstLine="0"/>
              <w:jc w:val="left"/>
              <w:rPr>
                <w:sz w:val="20"/>
                <w:szCs w:val="20"/>
              </w:rPr>
            </w:pPr>
            <w:r>
              <w:rPr>
                <w:color w:val="000000"/>
                <w:spacing w:val="0"/>
                <w:w w:val="100"/>
                <w:position w:val="0"/>
                <w:sz w:val="20"/>
                <w:szCs w:val="20"/>
              </w:rPr>
              <w:t>除前述关联关系外，未知公司前十名主要股东、前十名无限售条件股东之间是否存在 其他关联关系，也未知是否存在《上市公司收购管理办法》中规定的一致行动人的情 况。</w:t>
            </w:r>
          </w:p>
        </w:tc>
      </w:tr>
      <w:tr>
        <w:trPr>
          <w:trHeight w:val="269" w:hRule="exact"/>
        </w:trPr>
        <w:tc>
          <w:tcPr>
            <w:gridSpan w:val="12"/>
            <w:tcBorders>
              <w:top w:val="single" w:sz="4"/>
              <w:left w:val="single" w:sz="4"/>
              <w:righ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前</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名无限售条件股东持股情况</w:t>
            </w:r>
          </w:p>
        </w:tc>
      </w:tr>
      <w:tr>
        <w:trPr>
          <w:trHeight w:val="269" w:hRule="exact"/>
        </w:trPr>
        <w:tc>
          <w:tcPr>
            <w:gridSpan w:val="4"/>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股东名称</w:t>
            </w:r>
          </w:p>
        </w:tc>
        <w:tc>
          <w:tcPr>
            <w:gridSpan w:val="3"/>
            <w:vMerge w:val="restart"/>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54" w:lineRule="exact"/>
              <w:ind w:left="0" w:right="0" w:firstLine="0"/>
              <w:jc w:val="center"/>
              <w:rPr>
                <w:sz w:val="20"/>
                <w:szCs w:val="20"/>
              </w:rPr>
            </w:pPr>
            <w:r>
              <w:rPr>
                <w:color w:val="000000"/>
                <w:spacing w:val="0"/>
                <w:w w:val="100"/>
                <w:position w:val="0"/>
                <w:sz w:val="20"/>
                <w:szCs w:val="20"/>
              </w:rPr>
              <w:t>报告期末持有无限售条件 股份数量</w:t>
            </w:r>
          </w:p>
        </w:tc>
        <w:tc>
          <w:tcPr>
            <w:gridSpan w:val="5"/>
            <w:tcBorders>
              <w:top w:val="single" w:sz="4"/>
              <w:left w:val="single" w:sz="4"/>
              <w:righ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股份种类</w:t>
            </w:r>
          </w:p>
        </w:tc>
      </w:tr>
      <w:tr>
        <w:trPr>
          <w:trHeight w:val="269" w:hRule="exact"/>
        </w:trPr>
        <w:tc>
          <w:tcPr>
            <w:gridSpan w:val="4"/>
            <w:vMerge/>
            <w:tcBorders>
              <w:left w:val="single" w:sz="4"/>
            </w:tcBorders>
            <w:shd w:val="clear" w:color="auto" w:fill="D3D3D3"/>
            <w:vAlign w:val="center"/>
          </w:tcPr>
          <w:p>
            <w:pPr/>
          </w:p>
        </w:tc>
        <w:tc>
          <w:tcPr>
            <w:gridSpan w:val="3"/>
            <w:vMerge/>
            <w:tcBorders>
              <w:left w:val="single" w:sz="4"/>
            </w:tcBorders>
            <w:shd w:val="clear" w:color="auto" w:fill="D3D3D3"/>
            <w:vAlign w:val="bottom"/>
          </w:tcPr>
          <w:p>
            <w:pPr/>
          </w:p>
        </w:tc>
        <w:tc>
          <w:tcPr>
            <w:gridSpan w:val="2"/>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股份种类</w:t>
            </w:r>
          </w:p>
        </w:tc>
        <w:tc>
          <w:tcPr>
            <w:gridSpan w:val="3"/>
            <w:tcBorders>
              <w:top w:val="single" w:sz="4"/>
              <w:left w:val="single" w:sz="4"/>
              <w:righ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数量</w:t>
            </w:r>
          </w:p>
        </w:tc>
      </w:tr>
      <w:tr>
        <w:trPr>
          <w:trHeight w:val="269" w:hRule="exact"/>
        </w:trPr>
        <w:tc>
          <w:tcPr>
            <w:gridSpan w:val="4"/>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苏宁电器集团有限公司</w:t>
            </w:r>
          </w:p>
        </w:tc>
        <w:tc>
          <w:tcPr>
            <w:gridSpan w:val="3"/>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1,861,076,979</w:t>
            </w:r>
          </w:p>
        </w:tc>
        <w:tc>
          <w:tcPr>
            <w:gridSpan w:val="2"/>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人民币普通股</w:t>
            </w:r>
          </w:p>
        </w:tc>
        <w:tc>
          <w:tcPr>
            <w:gridSpan w:val="3"/>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1,861,076,979</w:t>
            </w:r>
          </w:p>
        </w:tc>
      </w:tr>
      <w:tr>
        <w:trPr>
          <w:trHeight w:val="269" w:hRule="exact"/>
        </w:trPr>
        <w:tc>
          <w:tcPr>
            <w:gridSpan w:val="4"/>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陈金凤</w:t>
            </w:r>
          </w:p>
        </w:tc>
        <w:tc>
          <w:tcPr>
            <w:gridSpan w:val="3"/>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184,127,709</w:t>
            </w:r>
          </w:p>
        </w:tc>
        <w:tc>
          <w:tcPr>
            <w:gridSpan w:val="2"/>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人民币普通股</w:t>
            </w:r>
          </w:p>
        </w:tc>
        <w:tc>
          <w:tcPr>
            <w:gridSpan w:val="3"/>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184,127,709</w:t>
            </w:r>
          </w:p>
        </w:tc>
      </w:tr>
      <w:tr>
        <w:trPr>
          <w:trHeight w:val="269" w:hRule="exact"/>
        </w:trPr>
        <w:tc>
          <w:tcPr>
            <w:gridSpan w:val="4"/>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中央汇金资产管理有限责任公司</w:t>
            </w:r>
          </w:p>
        </w:tc>
        <w:tc>
          <w:tcPr>
            <w:gridSpan w:val="3"/>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73,231,900</w:t>
            </w:r>
          </w:p>
        </w:tc>
        <w:tc>
          <w:tcPr>
            <w:gridSpan w:val="2"/>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人民币普通股</w:t>
            </w:r>
          </w:p>
        </w:tc>
        <w:tc>
          <w:tcPr>
            <w:gridSpan w:val="3"/>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73,231,900</w:t>
            </w:r>
          </w:p>
        </w:tc>
      </w:tr>
      <w:tr>
        <w:trPr>
          <w:trHeight w:val="528" w:hRule="exact"/>
        </w:trPr>
        <w:tc>
          <w:tcPr>
            <w:gridSpan w:val="4"/>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64" w:lineRule="exact"/>
              <w:ind w:left="0" w:right="0" w:firstLine="0"/>
              <w:jc w:val="left"/>
              <w:rPr>
                <w:sz w:val="20"/>
                <w:szCs w:val="20"/>
              </w:rPr>
            </w:pPr>
            <w:r>
              <w:rPr>
                <w:color w:val="000000"/>
                <w:spacing w:val="0"/>
                <w:w w:val="100"/>
                <w:position w:val="0"/>
                <w:sz w:val="20"/>
                <w:szCs w:val="20"/>
              </w:rPr>
              <w:t>苏宁云商集团股份有限公司一第</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期 员工持股计划</w:t>
            </w:r>
          </w:p>
        </w:tc>
        <w:tc>
          <w:tcPr>
            <w:gridSpan w:val="3"/>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61,056,374</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人民币普通股</w:t>
            </w:r>
          </w:p>
        </w:tc>
        <w:tc>
          <w:tcPr>
            <w:gridSpan w:val="3"/>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61,056,374</w:t>
            </w:r>
          </w:p>
        </w:tc>
      </w:tr>
      <w:tr>
        <w:trPr>
          <w:trHeight w:val="533" w:hRule="exact"/>
        </w:trPr>
        <w:tc>
          <w:tcPr>
            <w:gridSpan w:val="4"/>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59" w:lineRule="exact"/>
              <w:ind w:left="0" w:right="0" w:firstLine="0"/>
              <w:jc w:val="left"/>
              <w:rPr>
                <w:sz w:val="20"/>
                <w:szCs w:val="20"/>
              </w:rPr>
            </w:pPr>
            <w:r>
              <w:rPr>
                <w:color w:val="000000"/>
                <w:spacing w:val="0"/>
                <w:w w:val="100"/>
                <w:position w:val="0"/>
                <w:sz w:val="20"/>
                <w:szCs w:val="20"/>
              </w:rPr>
              <w:t>北京弘毅贰零壹零股权投资中心（有 限合伙）</w:t>
            </w:r>
          </w:p>
        </w:tc>
        <w:tc>
          <w:tcPr>
            <w:gridSpan w:val="3"/>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49,632,003</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人民币普通股</w:t>
            </w:r>
          </w:p>
        </w:tc>
        <w:tc>
          <w:tcPr>
            <w:gridSpan w:val="3"/>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49,632,003</w:t>
            </w:r>
          </w:p>
        </w:tc>
      </w:tr>
      <w:tr>
        <w:trPr>
          <w:trHeight w:val="269" w:hRule="exact"/>
        </w:trPr>
        <w:tc>
          <w:tcPr>
            <w:gridSpan w:val="4"/>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蒋勇</w:t>
            </w:r>
          </w:p>
        </w:tc>
        <w:tc>
          <w:tcPr>
            <w:gridSpan w:val="3"/>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49,038,171</w:t>
            </w:r>
          </w:p>
        </w:tc>
        <w:tc>
          <w:tcPr>
            <w:gridSpan w:val="2"/>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人民币普通股</w:t>
            </w:r>
          </w:p>
        </w:tc>
        <w:tc>
          <w:tcPr>
            <w:gridSpan w:val="3"/>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49,038,171</w:t>
            </w:r>
          </w:p>
        </w:tc>
      </w:tr>
      <w:tr>
        <w:trPr>
          <w:trHeight w:val="269" w:hRule="exact"/>
        </w:trPr>
        <w:tc>
          <w:tcPr>
            <w:gridSpan w:val="4"/>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金明</w:t>
            </w:r>
          </w:p>
        </w:tc>
        <w:tc>
          <w:tcPr>
            <w:gridSpan w:val="3"/>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31,250,291</w:t>
            </w:r>
          </w:p>
        </w:tc>
        <w:tc>
          <w:tcPr>
            <w:gridSpan w:val="2"/>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人民币普通股</w:t>
            </w:r>
          </w:p>
        </w:tc>
        <w:tc>
          <w:tcPr>
            <w:gridSpan w:val="3"/>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31,250,291</w:t>
            </w:r>
          </w:p>
        </w:tc>
      </w:tr>
      <w:tr>
        <w:trPr>
          <w:trHeight w:val="528" w:hRule="exact"/>
        </w:trPr>
        <w:tc>
          <w:tcPr>
            <w:gridSpan w:val="4"/>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54" w:lineRule="exact"/>
              <w:ind w:left="0" w:right="0" w:firstLine="0"/>
              <w:jc w:val="left"/>
              <w:rPr>
                <w:sz w:val="20"/>
                <w:szCs w:val="20"/>
              </w:rPr>
            </w:pPr>
            <w:r>
              <w:rPr>
                <w:color w:val="000000"/>
                <w:spacing w:val="0"/>
                <w:w w:val="100"/>
                <w:position w:val="0"/>
                <w:sz w:val="20"/>
                <w:szCs w:val="20"/>
              </w:rPr>
              <w:t>中国民生信托有限公司一民生信托价 值精选</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期证券投资资金信托</w:t>
            </w:r>
          </w:p>
        </w:tc>
        <w:tc>
          <w:tcPr>
            <w:gridSpan w:val="3"/>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26,999,000</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人民币普通股</w:t>
            </w:r>
          </w:p>
        </w:tc>
        <w:tc>
          <w:tcPr>
            <w:gridSpan w:val="3"/>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26,999,000</w:t>
            </w:r>
          </w:p>
        </w:tc>
      </w:tr>
      <w:tr>
        <w:trPr>
          <w:trHeight w:val="269" w:hRule="exact"/>
        </w:trPr>
        <w:tc>
          <w:tcPr>
            <w:gridSpan w:val="4"/>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林艺玲</w:t>
            </w:r>
          </w:p>
        </w:tc>
        <w:tc>
          <w:tcPr>
            <w:gridSpan w:val="3"/>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24,322,950</w:t>
            </w:r>
          </w:p>
        </w:tc>
        <w:tc>
          <w:tcPr>
            <w:gridSpan w:val="2"/>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人民币普通股</w:t>
            </w:r>
          </w:p>
        </w:tc>
        <w:tc>
          <w:tcPr>
            <w:gridSpan w:val="3"/>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24,322,950</w:t>
            </w:r>
          </w:p>
        </w:tc>
      </w:tr>
      <w:tr>
        <w:trPr>
          <w:trHeight w:val="269" w:hRule="exact"/>
        </w:trPr>
        <w:tc>
          <w:tcPr>
            <w:gridSpan w:val="4"/>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李铜</w:t>
            </w:r>
          </w:p>
        </w:tc>
        <w:tc>
          <w:tcPr>
            <w:gridSpan w:val="3"/>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20,369,331</w:t>
            </w:r>
          </w:p>
        </w:tc>
        <w:tc>
          <w:tcPr>
            <w:gridSpan w:val="2"/>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人民币普通股</w:t>
            </w:r>
          </w:p>
        </w:tc>
        <w:tc>
          <w:tcPr>
            <w:gridSpan w:val="3"/>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20,369,331</w:t>
            </w:r>
          </w:p>
        </w:tc>
      </w:tr>
      <w:tr>
        <w:trPr>
          <w:trHeight w:val="1046" w:hRule="exact"/>
        </w:trPr>
        <w:tc>
          <w:tcPr>
            <w:gridSpan w:val="4"/>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64" w:lineRule="exact"/>
              <w:ind w:left="0" w:right="0" w:firstLine="0"/>
              <w:jc w:val="left"/>
              <w:rPr>
                <w:sz w:val="20"/>
                <w:szCs w:val="20"/>
              </w:rPr>
            </w:pPr>
            <w:r>
              <w:rPr>
                <w:color w:val="000000"/>
                <w:spacing w:val="0"/>
                <w:w w:val="100"/>
                <w:position w:val="0"/>
                <w:sz w:val="20"/>
                <w:szCs w:val="20"/>
              </w:rPr>
              <w:t>前</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名无限售流通股股东之间，以 及前</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名无限售流通股股东和前</w:t>
            </w:r>
            <w:r>
              <w:rPr>
                <w:rFonts w:ascii="Times New Roman" w:eastAsia="Times New Roman" w:hAnsi="Times New Roman" w:cs="Times New Roman"/>
                <w:color w:val="000000"/>
                <w:spacing w:val="0"/>
                <w:w w:val="100"/>
                <w:position w:val="0"/>
                <w:sz w:val="20"/>
                <w:szCs w:val="20"/>
              </w:rPr>
              <w:t xml:space="preserve">10 </w:t>
            </w:r>
            <w:r>
              <w:rPr>
                <w:color w:val="000000"/>
                <w:spacing w:val="0"/>
                <w:w w:val="100"/>
                <w:position w:val="0"/>
                <w:sz w:val="20"/>
                <w:szCs w:val="20"/>
              </w:rPr>
              <w:t>名股东之间关联关系或一致行动的说 明</w:t>
            </w:r>
          </w:p>
        </w:tc>
        <w:tc>
          <w:tcPr>
            <w:gridSpan w:val="8"/>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详见</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上述股东关联关系或一致行动的说明</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p>
        </w:tc>
      </w:tr>
      <w:tr>
        <w:trPr>
          <w:trHeight w:val="283" w:hRule="exact"/>
        </w:trPr>
        <w:tc>
          <w:tcPr>
            <w:gridSpan w:val="4"/>
            <w:tcBorders>
              <w:top w:val="single" w:sz="4"/>
              <w:left w:val="single" w:sz="4"/>
              <w:bottom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前</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名普通股股东参与融资融券业</w:t>
            </w:r>
          </w:p>
        </w:tc>
        <w:tc>
          <w:tcPr>
            <w:gridSpan w:val="8"/>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、林艺玲通过客户信用交易担保证券账户持有公司股票</w:t>
            </w:r>
            <w:r>
              <w:rPr>
                <w:rFonts w:ascii="Times New Roman" w:eastAsia="Times New Roman" w:hAnsi="Times New Roman" w:cs="Times New Roman"/>
                <w:color w:val="000000"/>
                <w:spacing w:val="0"/>
                <w:w w:val="100"/>
                <w:position w:val="0"/>
                <w:sz w:val="20"/>
                <w:szCs w:val="20"/>
              </w:rPr>
              <w:t>24,322,850</w:t>
            </w:r>
            <w:r>
              <w:rPr>
                <w:color w:val="000000"/>
                <w:spacing w:val="0"/>
                <w:w w:val="100"/>
                <w:position w:val="0"/>
                <w:sz w:val="20"/>
                <w:szCs w:val="20"/>
              </w:rPr>
              <w:t>股，</w:t>
            </w:r>
          </w:p>
        </w:tc>
      </w:tr>
    </w:tbl>
    <w:tbl>
      <w:tblPr>
        <w:tblOverlap w:val="never"/>
        <w:jc w:val="center"/>
        <w:tblLayout w:type="fixed"/>
      </w:tblPr>
      <w:tblGrid>
        <w:gridCol w:w="3293"/>
        <w:gridCol w:w="6418"/>
      </w:tblGrid>
      <w:tr>
        <w:trPr>
          <w:trHeight w:val="317" w:hRule="exact"/>
        </w:trPr>
        <w:tc>
          <w:tcPr>
            <w:gridSpan w:val="2"/>
            <w:tcBorders>
              <w:top w:val="single" w:sz="4"/>
            </w:tcBorders>
            <w:shd w:val="clear" w:color="auto" w:fill="FFFFFF"/>
            <w:vAlign w:val="top"/>
          </w:tcPr>
          <w:p>
            <w:pPr>
              <w:widowControl w:val="0"/>
              <w:rPr>
                <w:sz w:val="10"/>
                <w:szCs w:val="10"/>
              </w:rPr>
            </w:pPr>
          </w:p>
        </w:tc>
      </w:tr>
      <w:tr>
        <w:trPr>
          <w:trHeight w:val="533" w:hRule="exact"/>
        </w:trPr>
        <w:tc>
          <w:tcPr>
            <w:tcBorders>
              <w:top w:val="single" w:sz="4"/>
              <w:left w:val="single" w:sz="4"/>
              <w:bottom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务情况说明</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通过普通证券账户持有公司股票</w:t>
            </w:r>
            <w:r>
              <w:rPr>
                <w:rFonts w:ascii="Times New Roman" w:eastAsia="Times New Roman" w:hAnsi="Times New Roman" w:cs="Times New Roman"/>
                <w:color w:val="000000"/>
                <w:spacing w:val="0"/>
                <w:w w:val="100"/>
                <w:position w:val="0"/>
                <w:sz w:val="20"/>
                <w:szCs w:val="20"/>
              </w:rPr>
              <w:t>100</w:t>
            </w:r>
            <w:r>
              <w:rPr>
                <w:color w:val="000000"/>
                <w:spacing w:val="0"/>
                <w:w w:val="100"/>
                <w:position w:val="0"/>
                <w:sz w:val="20"/>
                <w:szCs w:val="20"/>
              </w:rPr>
              <w:t>股；</w:t>
            </w:r>
          </w:p>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、李铜通过客户信用交易担保证券账户持有公司股票</w:t>
            </w:r>
            <w:r>
              <w:rPr>
                <w:rFonts w:ascii="Times New Roman" w:eastAsia="Times New Roman" w:hAnsi="Times New Roman" w:cs="Times New Roman"/>
                <w:color w:val="000000"/>
                <w:spacing w:val="0"/>
                <w:w w:val="100"/>
                <w:position w:val="0"/>
                <w:sz w:val="20"/>
                <w:szCs w:val="20"/>
              </w:rPr>
              <w:t>20,369,331</w:t>
            </w:r>
            <w:r>
              <w:rPr>
                <w:color w:val="000000"/>
                <w:spacing w:val="0"/>
                <w:w w:val="100"/>
                <w:position w:val="0"/>
                <w:sz w:val="20"/>
                <w:szCs w:val="20"/>
              </w:rPr>
              <w:t>股。</w:t>
            </w:r>
          </w:p>
        </w:tc>
      </w:tr>
    </w:tbl>
    <w:p>
      <w:pPr>
        <w:pStyle w:val="Style25"/>
        <w:keepNext w:val="0"/>
        <w:keepLines w:val="0"/>
        <w:widowControl w:val="0"/>
        <w:shd w:val="clear" w:color="auto" w:fill="auto"/>
        <w:bidi w:val="0"/>
        <w:spacing w:before="0" w:after="0" w:line="467" w:lineRule="exact"/>
        <w:ind w:left="10" w:right="0" w:firstLine="0"/>
        <w:jc w:val="left"/>
        <w:rPr>
          <w:sz w:val="20"/>
          <w:szCs w:val="20"/>
        </w:rPr>
      </w:pPr>
      <w:r>
        <w:rPr>
          <w:color w:val="000000"/>
          <w:spacing w:val="0"/>
          <w:w w:val="100"/>
          <w:position w:val="0"/>
          <w:sz w:val="20"/>
          <w:szCs w:val="20"/>
        </w:rPr>
        <w:t>注</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:持有有限售条件的股份具体情况详见本节</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一、股份变动情况''。</w:t>
      </w:r>
    </w:p>
    <w:p>
      <w:pPr>
        <w:pStyle w:val="Style32"/>
        <w:keepNext w:val="0"/>
        <w:keepLines w:val="0"/>
        <w:widowControl w:val="0"/>
        <w:shd w:val="clear" w:color="auto" w:fill="auto"/>
        <w:bidi w:val="0"/>
        <w:spacing w:before="0" w:after="0" w:line="467" w:lineRule="exact"/>
        <w:ind w:left="0" w:right="0" w:firstLine="460"/>
        <w:jc w:val="both"/>
        <w:rPr>
          <w:sz w:val="20"/>
          <w:szCs w:val="20"/>
        </w:rPr>
      </w:pPr>
      <w:r>
        <w:rPr>
          <w:color w:val="000000"/>
          <w:spacing w:val="0"/>
          <w:w w:val="100"/>
          <w:position w:val="0"/>
          <w:sz w:val="20"/>
          <w:szCs w:val="20"/>
        </w:rPr>
        <w:t>注</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：苏宁电器集团有限公司基于对公司发展的强烈信心，报告期内增持公司股票；苏宁电器集团基 于融资用途将其持有的</w:t>
      </w:r>
      <w:r>
        <w:rPr>
          <w:rFonts w:ascii="Times New Roman" w:eastAsia="Times New Roman" w:hAnsi="Times New Roman" w:cs="Times New Roman"/>
          <w:color w:val="000000"/>
          <w:spacing w:val="0"/>
          <w:w w:val="100"/>
          <w:position w:val="0"/>
          <w:sz w:val="20"/>
          <w:szCs w:val="20"/>
        </w:rPr>
        <w:t>7.2</w:t>
      </w:r>
      <w:r>
        <w:rPr>
          <w:color w:val="000000"/>
          <w:spacing w:val="0"/>
          <w:w w:val="100"/>
          <w:position w:val="0"/>
          <w:sz w:val="20"/>
          <w:szCs w:val="20"/>
        </w:rPr>
        <w:t>亿股股份进行了质押，详见公司</w:t>
      </w:r>
      <w:r>
        <w:rPr>
          <w:rFonts w:ascii="Times New Roman" w:eastAsia="Times New Roman" w:hAnsi="Times New Roman" w:cs="Times New Roman"/>
          <w:color w:val="000000"/>
          <w:spacing w:val="0"/>
          <w:w w:val="100"/>
          <w:position w:val="0"/>
          <w:sz w:val="20"/>
          <w:szCs w:val="20"/>
        </w:rPr>
        <w:t>2016-003</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2016-008</w:t>
      </w:r>
      <w:r>
        <w:rPr>
          <w:color w:val="000000"/>
          <w:spacing w:val="0"/>
          <w:w w:val="100"/>
          <w:position w:val="0"/>
          <w:sz w:val="20"/>
          <w:szCs w:val="20"/>
        </w:rPr>
        <w:t>号公告。</w:t>
      </w:r>
    </w:p>
    <w:p>
      <w:pPr>
        <w:pStyle w:val="Style32"/>
        <w:keepNext w:val="0"/>
        <w:keepLines w:val="0"/>
        <w:widowControl w:val="0"/>
        <w:shd w:val="clear" w:color="auto" w:fill="auto"/>
        <w:bidi w:val="0"/>
        <w:spacing w:before="0" w:after="140" w:line="467" w:lineRule="exact"/>
        <w:ind w:left="0" w:right="0" w:firstLine="460"/>
        <w:jc w:val="both"/>
        <w:rPr>
          <w:sz w:val="20"/>
          <w:szCs w:val="20"/>
        </w:rPr>
      </w:pPr>
      <w:r>
        <w:rPr>
          <w:color w:val="000000"/>
          <w:spacing w:val="0"/>
          <w:w w:val="100"/>
          <w:position w:val="0"/>
          <w:sz w:val="20"/>
          <w:szCs w:val="20"/>
        </w:rPr>
        <w:t>注</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：张近东先生为向公司</w:t>
      </w:r>
      <w:r>
        <w:rPr>
          <w:rFonts w:ascii="Times New Roman" w:eastAsia="Times New Roman" w:hAnsi="Times New Roman" w:cs="Times New Roman"/>
          <w:color w:val="000000"/>
          <w:spacing w:val="0"/>
          <w:w w:val="100"/>
          <w:position w:val="0"/>
          <w:sz w:val="20"/>
          <w:szCs w:val="20"/>
        </w:rPr>
        <w:t>2014</w:t>
      </w:r>
      <w:r>
        <w:rPr>
          <w:color w:val="000000"/>
          <w:spacing w:val="0"/>
          <w:w w:val="100"/>
          <w:position w:val="0"/>
          <w:sz w:val="20"/>
          <w:szCs w:val="20"/>
        </w:rPr>
        <w:t>年员工持股计划提供借款支持，分别于</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9</w:t>
      </w:r>
      <w:r>
        <w:rPr>
          <w:color w:val="000000"/>
          <w:spacing w:val="0"/>
          <w:w w:val="100"/>
          <w:position w:val="0"/>
          <w:sz w:val="20"/>
          <w:szCs w:val="20"/>
        </w:rPr>
        <w:t>月份以</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亿股向安 信证券办理股票质押式回购业务，于</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月以</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亿股向中信证券办理股票质押式回购，总计质押股 份</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亿股。</w:t>
      </w:r>
    </w:p>
    <w:p>
      <w:pPr>
        <w:pStyle w:val="Style32"/>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公司前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名无限售条件普通股股东在报告期内是否进行约定购回交易</w:t>
      </w:r>
    </w:p>
    <w:p>
      <w:pPr>
        <w:pStyle w:val="Style32"/>
        <w:keepNext w:val="0"/>
        <w:keepLines w:val="0"/>
        <w:widowControl w:val="0"/>
        <w:shd w:val="clear" w:color="auto" w:fill="auto"/>
        <w:bidi w:val="0"/>
        <w:spacing w:before="0" w:after="0" w:line="467" w:lineRule="exact"/>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是</w:t>
      </w:r>
      <w:r>
        <w:rPr>
          <w:color w:val="000000"/>
          <w:spacing w:val="0"/>
          <w:w w:val="100"/>
          <w:position w:val="0"/>
        </w:rPr>
        <w:t>寸</w:t>
      </w:r>
      <w:r>
        <w:rPr>
          <w:color w:val="000000"/>
          <w:spacing w:val="0"/>
          <w:w w:val="100"/>
          <w:position w:val="0"/>
        </w:rPr>
        <w:t>否</w:t>
      </w:r>
    </w:p>
    <w:p>
      <w:pPr>
        <w:pStyle w:val="Style32"/>
        <w:keepNext w:val="0"/>
        <w:keepLines w:val="0"/>
        <w:widowControl w:val="0"/>
        <w:shd w:val="clear" w:color="auto" w:fill="auto"/>
        <w:bidi w:val="0"/>
        <w:spacing w:before="0" w:after="220" w:line="467" w:lineRule="exact"/>
        <w:ind w:left="0" w:right="0" w:firstLine="440"/>
        <w:jc w:val="both"/>
      </w:pPr>
      <w:r>
        <w:rPr>
          <w:color w:val="000000"/>
          <w:spacing w:val="0"/>
          <w:w w:val="100"/>
          <w:position w:val="0"/>
        </w:rPr>
        <w:t>公司前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名无限售条件普通股股东在报告期内未进行约定购回交易。</w:t>
      </w:r>
    </w:p>
    <w:p>
      <w:pPr>
        <w:pStyle w:val="Style38"/>
        <w:keepNext/>
        <w:keepLines/>
        <w:widowControl w:val="0"/>
        <w:shd w:val="clear" w:color="auto" w:fill="auto"/>
        <w:bidi w:val="0"/>
        <w:spacing w:before="0" w:after="220" w:line="467" w:lineRule="exact"/>
        <w:ind w:left="0" w:right="0" w:firstLine="0"/>
        <w:jc w:val="both"/>
      </w:pPr>
      <w:bookmarkStart w:id="418" w:name="bookmark418"/>
      <w:bookmarkStart w:id="419" w:name="bookmark419"/>
      <w:bookmarkStart w:id="420" w:name="bookmark420"/>
      <w:bookmarkStart w:id="421" w:name="bookmark421"/>
      <w:r>
        <w:rPr>
          <w:rFonts w:ascii="Times New Roman" w:eastAsia="Times New Roman" w:hAnsi="Times New Roman" w:cs="Times New Roman"/>
          <w:color w:val="000000"/>
          <w:spacing w:val="0"/>
          <w:w w:val="100"/>
          <w:position w:val="0"/>
        </w:rPr>
        <w:t>2</w:t>
      </w:r>
      <w:bookmarkEnd w:id="420"/>
      <w:r>
        <w:rPr>
          <w:color w:val="000000"/>
          <w:spacing w:val="0"/>
          <w:w w:val="100"/>
          <w:position w:val="0"/>
        </w:rPr>
        <w:t>、公司控股股东情况</w:t>
      </w:r>
      <w:bookmarkEnd w:id="418"/>
      <w:bookmarkEnd w:id="419"/>
      <w:bookmarkEnd w:id="421"/>
    </w:p>
    <w:p>
      <w:pPr>
        <w:pStyle w:val="Style32"/>
        <w:keepNext w:val="0"/>
        <w:keepLines w:val="0"/>
        <w:widowControl w:val="0"/>
        <w:shd w:val="clear" w:color="auto" w:fill="auto"/>
        <w:bidi w:val="0"/>
        <w:spacing w:before="0" w:after="0" w:line="467" w:lineRule="exact"/>
        <w:ind w:left="0" w:right="0" w:firstLine="440"/>
        <w:jc w:val="both"/>
      </w:pPr>
      <w:r>
        <w:rPr>
          <w:color w:val="000000"/>
          <w:spacing w:val="0"/>
          <w:w w:val="100"/>
          <w:position w:val="0"/>
        </w:rPr>
        <w:t>控股股东性质：自然人控股</w:t>
      </w:r>
    </w:p>
    <w:p>
      <w:pPr>
        <w:pStyle w:val="Style32"/>
        <w:keepNext w:val="0"/>
        <w:keepLines w:val="0"/>
        <w:widowControl w:val="0"/>
        <w:shd w:val="clear" w:color="auto" w:fill="auto"/>
        <w:bidi w:val="0"/>
        <w:spacing w:before="0" w:after="580" w:line="467" w:lineRule="exact"/>
        <w:ind w:left="0" w:right="0" w:firstLine="440"/>
        <w:jc w:val="both"/>
      </w:pPr>
      <w:r>
        <w:rPr>
          <w:color w:val="000000"/>
          <w:spacing w:val="0"/>
          <w:w w:val="100"/>
          <w:position w:val="0"/>
        </w:rPr>
        <w:t>控股股东类型：自然人</w:t>
      </w:r>
    </w:p>
    <w:tbl>
      <w:tblPr>
        <w:tblOverlap w:val="never"/>
        <w:jc w:val="center"/>
        <w:tblLayout w:type="fixed"/>
      </w:tblPr>
      <w:tblGrid>
        <w:gridCol w:w="3154"/>
        <w:gridCol w:w="974"/>
        <w:gridCol w:w="5549"/>
      </w:tblGrid>
      <w:tr>
        <w:trPr>
          <w:trHeight w:val="298"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控股股东姓名</w:t>
            </w:r>
          </w:p>
        </w:tc>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29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张近东</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中国</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8" w:hRule="exact"/>
        </w:trPr>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公司董事长</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长、中国人民政治协商会议第十二届全国委员会委员、中</w:t>
            </w:r>
          </w:p>
        </w:tc>
      </w:tr>
      <w:tr>
        <w:trPr>
          <w:trHeight w:val="288" w:hRule="exact"/>
        </w:trPr>
        <w:tc>
          <w:tcPr>
            <w:vMerge/>
            <w:tcBorders>
              <w:left w:val="single" w:sz="4"/>
            </w:tcBorders>
            <w:shd w:val="clear" w:color="auto" w:fill="D3D3D3"/>
            <w:vAlign w:val="center"/>
          </w:tcPr>
          <w:p>
            <w:pPr/>
          </w:p>
        </w:tc>
        <w:tc>
          <w:tcPr>
            <w:gridSpan w:val="2"/>
            <w:tcBorders>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国民间商会副会长、中国上市公司协会副会长。</w:t>
            </w:r>
          </w:p>
        </w:tc>
      </w:tr>
      <w:tr>
        <w:trPr>
          <w:trHeight w:val="590" w:hRule="exact"/>
        </w:trPr>
        <w:tc>
          <w:tcPr>
            <w:tcBorders>
              <w:top w:val="single" w:sz="4"/>
              <w:left w:val="single" w:sz="4"/>
              <w:bottom w:val="single" w:sz="4"/>
            </w:tcBorders>
            <w:shd w:val="clear" w:color="auto" w:fill="D3D3D3"/>
            <w:vAlign w:val="top"/>
          </w:tcPr>
          <w:p>
            <w:pPr>
              <w:pStyle w:val="Style28"/>
              <w:keepNext w:val="0"/>
              <w:keepLines w:val="0"/>
              <w:widowControl w:val="0"/>
              <w:shd w:val="clear" w:color="auto" w:fill="auto"/>
              <w:bidi w:val="0"/>
              <w:spacing w:before="0" w:after="0" w:line="283" w:lineRule="exact"/>
              <w:ind w:left="0" w:right="0" w:firstLine="0"/>
              <w:jc w:val="left"/>
            </w:pPr>
            <w:r>
              <w:rPr>
                <w:color w:val="000000"/>
                <w:spacing w:val="0"/>
                <w:w w:val="100"/>
                <w:position w:val="0"/>
              </w:rPr>
              <w:t>报告期内控股和参股的其他境内 外上市公司的股权情况</w:t>
            </w:r>
          </w:p>
        </w:tc>
        <w:tc>
          <w:tcPr>
            <w:gridSpan w:val="2"/>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219" w:line="1" w:lineRule="exact"/>
      </w:pPr>
    </w:p>
    <w:p>
      <w:pPr>
        <w:pStyle w:val="Style32"/>
        <w:keepNext w:val="0"/>
        <w:keepLines w:val="0"/>
        <w:widowControl w:val="0"/>
        <w:shd w:val="clear" w:color="auto" w:fill="auto"/>
        <w:bidi w:val="0"/>
        <w:spacing w:before="0" w:after="220" w:line="240" w:lineRule="auto"/>
        <w:ind w:left="0" w:right="0" w:firstLine="440"/>
        <w:jc w:val="both"/>
      </w:pPr>
      <w:r>
        <w:rPr>
          <w:color w:val="000000"/>
          <w:spacing w:val="0"/>
          <w:w w:val="100"/>
          <w:position w:val="0"/>
        </w:rPr>
        <w:t>控股股东报告期内变更</w:t>
      </w:r>
    </w:p>
    <w:p>
      <w:pPr>
        <w:pStyle w:val="Style32"/>
        <w:keepNext w:val="0"/>
        <w:keepLines w:val="0"/>
        <w:widowControl w:val="0"/>
        <w:shd w:val="clear" w:color="auto" w:fill="auto"/>
        <w:bidi w:val="0"/>
        <w:spacing w:before="0" w:after="220" w:line="240" w:lineRule="auto"/>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2"/>
        <w:keepNext w:val="0"/>
        <w:keepLines w:val="0"/>
        <w:widowControl w:val="0"/>
        <w:shd w:val="clear" w:color="auto" w:fill="auto"/>
        <w:bidi w:val="0"/>
        <w:spacing w:before="0" w:after="420" w:line="240" w:lineRule="auto"/>
        <w:ind w:left="0" w:right="0" w:firstLine="440"/>
        <w:jc w:val="both"/>
      </w:pPr>
      <w:r>
        <w:rPr>
          <w:color w:val="000000"/>
          <w:spacing w:val="0"/>
          <w:w w:val="100"/>
          <w:position w:val="0"/>
        </w:rPr>
        <w:t>公司报告期控股股东未发生变更。</w:t>
      </w:r>
    </w:p>
    <w:p>
      <w:pPr>
        <w:pStyle w:val="Style38"/>
        <w:keepNext/>
        <w:keepLines/>
        <w:widowControl w:val="0"/>
        <w:shd w:val="clear" w:color="auto" w:fill="auto"/>
        <w:bidi w:val="0"/>
        <w:spacing w:before="0" w:after="420" w:line="240" w:lineRule="auto"/>
        <w:ind w:left="0" w:right="0" w:firstLine="0"/>
        <w:jc w:val="left"/>
      </w:pPr>
      <w:bookmarkStart w:id="422" w:name="bookmark422"/>
      <w:bookmarkStart w:id="423" w:name="bookmark423"/>
      <w:bookmarkStart w:id="424" w:name="bookmark424"/>
      <w:bookmarkStart w:id="425" w:name="bookmark425"/>
      <w:r>
        <w:rPr>
          <w:rFonts w:ascii="Times New Roman" w:eastAsia="Times New Roman" w:hAnsi="Times New Roman" w:cs="Times New Roman"/>
          <w:color w:val="000000"/>
          <w:spacing w:val="0"/>
          <w:w w:val="100"/>
          <w:position w:val="0"/>
        </w:rPr>
        <w:t>3</w:t>
      </w:r>
      <w:bookmarkEnd w:id="424"/>
      <w:r>
        <w:rPr>
          <w:color w:val="000000"/>
          <w:spacing w:val="0"/>
          <w:w w:val="100"/>
          <w:position w:val="0"/>
        </w:rPr>
        <w:t>、公司实际控制人情况</w:t>
      </w:r>
      <w:bookmarkEnd w:id="422"/>
      <w:bookmarkEnd w:id="423"/>
      <w:bookmarkEnd w:id="425"/>
    </w:p>
    <w:p>
      <w:pPr>
        <w:pStyle w:val="Style32"/>
        <w:keepNext w:val="0"/>
        <w:keepLines w:val="0"/>
        <w:widowControl w:val="0"/>
        <w:shd w:val="clear" w:color="auto" w:fill="auto"/>
        <w:bidi w:val="0"/>
        <w:spacing w:before="0" w:after="220" w:line="240" w:lineRule="auto"/>
        <w:ind w:left="0" w:right="0" w:firstLine="440"/>
        <w:jc w:val="both"/>
      </w:pPr>
      <w:r>
        <w:rPr>
          <w:color w:val="000000"/>
          <w:spacing w:val="0"/>
          <w:w w:val="100"/>
          <w:position w:val="0"/>
        </w:rPr>
        <w:t>实际控制人性质：境内自然人</w:t>
      </w:r>
    </w:p>
    <w:p>
      <w:pPr>
        <w:pStyle w:val="Style32"/>
        <w:keepNext w:val="0"/>
        <w:keepLines w:val="0"/>
        <w:widowControl w:val="0"/>
        <w:shd w:val="clear" w:color="auto" w:fill="auto"/>
        <w:bidi w:val="0"/>
        <w:spacing w:before="0" w:after="100" w:line="240" w:lineRule="auto"/>
        <w:ind w:left="0" w:right="0" w:firstLine="440"/>
        <w:jc w:val="both"/>
      </w:pPr>
      <w:r>
        <w:rPr>
          <w:color w:val="000000"/>
          <w:spacing w:val="0"/>
          <w:w w:val="100"/>
          <w:position w:val="0"/>
        </w:rPr>
        <w:t>实际控制人类型：自然人</w:t>
      </w:r>
    </w:p>
    <w:tbl>
      <w:tblPr>
        <w:tblOverlap w:val="never"/>
        <w:jc w:val="center"/>
        <w:tblLayout w:type="fixed"/>
      </w:tblPr>
      <w:tblGrid>
        <w:gridCol w:w="2549"/>
        <w:gridCol w:w="1046"/>
        <w:gridCol w:w="6082"/>
      </w:tblGrid>
      <w:tr>
        <w:trPr>
          <w:trHeight w:val="298"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实际控制人姓名</w:t>
            </w:r>
          </w:p>
        </w:tc>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29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张近东</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中国</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581"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2"/>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98" w:lineRule="exact"/>
              <w:ind w:left="0" w:right="0" w:firstLine="0"/>
              <w:jc w:val="left"/>
            </w:pPr>
            <w:r>
              <w:rPr>
                <w:color w:val="000000"/>
                <w:spacing w:val="0"/>
                <w:w w:val="100"/>
                <w:position w:val="0"/>
              </w:rPr>
              <w:t>公司董事长、中国人民政治协商会议第十二届全国委员会委员、中国民间 商会副会长、中国上市公司协会副会长。</w:t>
            </w:r>
          </w:p>
        </w:tc>
      </w:tr>
    </w:tbl>
    <w:p>
      <w:pPr>
        <w:spacing w:lineRule="exact" w:line="1"/>
        <w:rPr>
          <w:sz w:val="2"/>
          <w:szCs w:val="2"/>
        </w:rPr>
      </w:pPr>
      <w:r>
        <w:br w:type="page"/>
      </w:r>
    </w:p>
    <w:tbl>
      <w:tblPr>
        <w:tblOverlap w:val="never"/>
        <w:jc w:val="center"/>
        <w:tblLayout w:type="fixed"/>
      </w:tblPr>
      <w:tblGrid>
        <w:gridCol w:w="2549"/>
        <w:gridCol w:w="7133"/>
      </w:tblGrid>
      <w:tr>
        <w:trPr>
          <w:trHeight w:val="317" w:hRule="exact"/>
        </w:trPr>
        <w:tc>
          <w:tcPr>
            <w:gridSpan w:val="2"/>
            <w:tcBorders>
              <w:top w:val="single" w:sz="4"/>
            </w:tcBorders>
            <w:shd w:val="clear" w:color="auto" w:fill="FFFFFF"/>
            <w:vAlign w:val="top"/>
          </w:tcPr>
          <w:p>
            <w:pPr>
              <w:widowControl w:val="0"/>
              <w:rPr>
                <w:sz w:val="10"/>
                <w:szCs w:val="10"/>
              </w:rPr>
            </w:pPr>
          </w:p>
        </w:tc>
      </w:tr>
      <w:tr>
        <w:trPr>
          <w:trHeight w:val="586" w:hRule="exact"/>
        </w:trPr>
        <w:tc>
          <w:tcPr>
            <w:tcBorders>
              <w:top w:val="single" w:sz="4"/>
              <w:left w:val="single" w:sz="4"/>
              <w:bottom w:val="single" w:sz="4"/>
            </w:tcBorders>
            <w:shd w:val="clear" w:color="auto" w:fill="D3D3D3"/>
            <w:vAlign w:val="top"/>
          </w:tcPr>
          <w:p>
            <w:pPr>
              <w:pStyle w:val="Style28"/>
              <w:keepNext w:val="0"/>
              <w:keepLines w:val="0"/>
              <w:widowControl w:val="0"/>
              <w:shd w:val="clear" w:color="auto" w:fill="auto"/>
              <w:bidi w:val="0"/>
              <w:spacing w:before="0" w:after="0" w:line="293" w:lineRule="exact"/>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rPr>
              <w:t>10</w:t>
            </w:r>
            <w:r>
              <w:rPr>
                <w:color w:val="000000"/>
                <w:spacing w:val="0"/>
                <w:w w:val="100"/>
                <w:position w:val="0"/>
              </w:rPr>
              <w:t>年曾控股的境内 外上市公司情况</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259" w:line="1" w:lineRule="exact"/>
      </w:pPr>
    </w:p>
    <w:p>
      <w:pPr>
        <w:pStyle w:val="Style32"/>
        <w:keepNext w:val="0"/>
        <w:keepLines w:val="0"/>
        <w:widowControl w:val="0"/>
        <w:shd w:val="clear" w:color="auto" w:fill="auto"/>
        <w:bidi w:val="0"/>
        <w:spacing w:before="0" w:after="200" w:line="240" w:lineRule="auto"/>
        <w:ind w:left="0" w:right="0" w:firstLine="460"/>
        <w:jc w:val="left"/>
      </w:pPr>
      <w:r>
        <w:rPr>
          <w:color w:val="000000"/>
          <w:spacing w:val="0"/>
          <w:w w:val="100"/>
          <w:position w:val="0"/>
        </w:rPr>
        <w:t>实际控制人报告期内变更</w:t>
      </w:r>
    </w:p>
    <w:p>
      <w:pPr>
        <w:pStyle w:val="Style32"/>
        <w:keepNext w:val="0"/>
        <w:keepLines w:val="0"/>
        <w:widowControl w:val="0"/>
        <w:shd w:val="clear" w:color="auto" w:fill="auto"/>
        <w:bidi w:val="0"/>
        <w:spacing w:before="0" w:after="200" w:line="240" w:lineRule="auto"/>
        <w:ind w:left="0" w:right="0" w:firstLine="46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2"/>
        <w:keepNext w:val="0"/>
        <w:keepLines w:val="0"/>
        <w:widowControl w:val="0"/>
        <w:shd w:val="clear" w:color="auto" w:fill="auto"/>
        <w:bidi w:val="0"/>
        <w:spacing w:before="0" w:after="200" w:line="240" w:lineRule="auto"/>
        <w:ind w:left="0" w:right="0" w:firstLine="460"/>
        <w:jc w:val="left"/>
      </w:pPr>
      <w:r>
        <w:rPr>
          <w:color w:val="000000"/>
          <w:spacing w:val="0"/>
          <w:w w:val="100"/>
          <w:position w:val="0"/>
        </w:rPr>
        <w:t>公司报告期实际控制人未发生变更。</w:t>
      </w:r>
    </w:p>
    <w:p>
      <w:pPr>
        <w:pStyle w:val="Style32"/>
        <w:keepNext w:val="0"/>
        <w:keepLines w:val="0"/>
        <w:widowControl w:val="0"/>
        <w:shd w:val="clear" w:color="auto" w:fill="auto"/>
        <w:bidi w:val="0"/>
        <w:spacing w:before="0" w:after="260" w:line="240" w:lineRule="auto"/>
        <w:ind w:left="0" w:right="0" w:firstLine="460"/>
        <w:jc w:val="left"/>
      </w:pPr>
      <w:r>
        <w:rPr>
          <w:color w:val="000000"/>
          <w:spacing w:val="0"/>
          <w:w w:val="100"/>
          <w:position w:val="0"/>
        </w:rPr>
        <w:t>公司与实际控制人之间的产权及控制关系的方框图</w:t>
      </w:r>
    </w:p>
    <w:p>
      <w:pPr>
        <w:widowControl w:val="0"/>
        <w:jc w:val="center"/>
        <w:rPr>
          <w:sz w:val="2"/>
          <w:szCs w:val="2"/>
        </w:rPr>
      </w:pPr>
      <w:r>
        <w:drawing>
          <wp:inline>
            <wp:extent cx="4590415" cy="2724785"/>
            <wp:docPr id="163" name="Picutre 163"/>
            <a:graphic xmlns:a="http://schemas.openxmlformats.org/drawingml/2006/main">
              <a:graphicData uri="http://schemas.openxmlformats.org/drawingml/2006/picture">
                <pic:pic xmlns:pic="http://schemas.openxmlformats.org/drawingml/2006/picture">
                  <pic:nvPicPr>
                    <pic:cNvPr id="163" name="Picture 163"/>
                    <pic:cNvPicPr/>
                  </pic:nvPicPr>
                  <pic:blipFill>
                    <a:blip r:embed="rId87"/>
                    <a:stretch/>
                  </pic:blipFill>
                  <pic:spPr>
                    <a:xfrm>
                      <a:ext cx="4590415" cy="2724785"/>
                    </a:xfrm>
                    <a:prstGeom prst="rect"/>
                  </pic:spPr>
                </pic:pic>
              </a:graphicData>
            </a:graphic>
          </wp:inline>
        </w:drawing>
      </w:r>
    </w:p>
    <w:p>
      <w:pPr>
        <w:widowControl w:val="0"/>
        <w:spacing w:after="119" w:line="1" w:lineRule="exact"/>
      </w:pPr>
    </w:p>
    <w:p>
      <w:pPr>
        <w:pStyle w:val="Style32"/>
        <w:keepNext w:val="0"/>
        <w:keepLines w:val="0"/>
        <w:widowControl w:val="0"/>
        <w:shd w:val="clear" w:color="auto" w:fill="auto"/>
        <w:bidi w:val="0"/>
        <w:spacing w:before="0" w:after="200" w:line="240" w:lineRule="auto"/>
        <w:ind w:left="0" w:right="0" w:firstLine="460"/>
        <w:jc w:val="left"/>
      </w:pPr>
      <w:r>
        <w:rPr>
          <w:color w:val="000000"/>
          <w:spacing w:val="0"/>
          <w:w w:val="100"/>
          <w:position w:val="0"/>
        </w:rPr>
        <w:t>实际控制人通过信托或其他资产管理方式控制公司</w:t>
      </w:r>
    </w:p>
    <w:p>
      <w:pPr>
        <w:pStyle w:val="Style32"/>
        <w:keepNext w:val="0"/>
        <w:keepLines w:val="0"/>
        <w:widowControl w:val="0"/>
        <w:shd w:val="clear" w:color="auto" w:fill="auto"/>
        <w:bidi w:val="0"/>
        <w:spacing w:before="0" w:after="380" w:line="240" w:lineRule="auto"/>
        <w:ind w:left="0" w:right="0" w:firstLine="46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4</w:t>
      </w:r>
      <w:r>
        <w:rPr>
          <w:b/>
          <w:bCs/>
          <w:color w:val="000000"/>
          <w:spacing w:val="0"/>
          <w:w w:val="100"/>
          <w:position w:val="0"/>
        </w:rPr>
        <w:t>、其他持股在</w:t>
      </w:r>
      <w:r>
        <w:rPr>
          <w:rFonts w:ascii="Times New Roman" w:eastAsia="Times New Roman" w:hAnsi="Times New Roman" w:cs="Times New Roman"/>
          <w:b/>
          <w:bCs/>
          <w:color w:val="000000"/>
          <w:spacing w:val="0"/>
          <w:w w:val="100"/>
          <w:position w:val="0"/>
        </w:rPr>
        <w:t>10%</w:t>
      </w:r>
      <w:r>
        <w:rPr>
          <w:b/>
          <w:bCs/>
          <w:color w:val="000000"/>
          <w:spacing w:val="0"/>
          <w:w w:val="100"/>
          <w:position w:val="0"/>
        </w:rPr>
        <w:t>以上的法人股东</w:t>
      </w:r>
    </w:p>
    <w:tbl>
      <w:tblPr>
        <w:tblOverlap w:val="never"/>
        <w:jc w:val="center"/>
        <w:tblLayout w:type="fixed"/>
      </w:tblPr>
      <w:tblGrid>
        <w:gridCol w:w="998"/>
        <w:gridCol w:w="850"/>
        <w:gridCol w:w="1277"/>
        <w:gridCol w:w="1416"/>
        <w:gridCol w:w="5136"/>
      </w:tblGrid>
      <w:tr>
        <w:trPr>
          <w:trHeight w:val="586" w:hRule="exact"/>
        </w:trPr>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88" w:lineRule="exact"/>
              <w:ind w:left="0" w:right="0" w:firstLine="0"/>
              <w:jc w:val="center"/>
            </w:pPr>
            <w:r>
              <w:rPr>
                <w:color w:val="000000"/>
                <w:spacing w:val="0"/>
                <w:w w:val="100"/>
                <w:position w:val="0"/>
              </w:rPr>
              <w:t>法人股东 名称</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88" w:lineRule="exact"/>
              <w:ind w:left="0" w:right="0" w:firstLine="0"/>
              <w:jc w:val="center"/>
            </w:pPr>
            <w:r>
              <w:rPr>
                <w:color w:val="000000"/>
                <w:spacing w:val="0"/>
                <w:w w:val="100"/>
                <w:position w:val="0"/>
              </w:rPr>
              <w:t>法定代 表人</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180"/>
              <w:jc w:val="left"/>
            </w:pPr>
            <w:r>
              <w:rPr>
                <w:color w:val="000000"/>
                <w:spacing w:val="0"/>
                <w:w w:val="100"/>
                <w:position w:val="0"/>
              </w:rPr>
              <w:t>成立日期</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主要经营业务或管理活动</w:t>
            </w:r>
          </w:p>
        </w:tc>
      </w:tr>
      <w:tr>
        <w:trPr>
          <w:trHeight w:val="1435"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90" w:lineRule="exact"/>
              <w:ind w:left="0" w:right="0" w:firstLine="0"/>
              <w:jc w:val="both"/>
            </w:pPr>
            <w:r>
              <w:rPr>
                <w:color w:val="000000"/>
                <w:spacing w:val="0"/>
                <w:w w:val="100"/>
                <w:position w:val="0"/>
              </w:rPr>
              <w:t>淘宝（中 国）软件 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张勇</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2004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37,500</w:t>
            </w:r>
            <w:r>
              <w:rPr>
                <w:color w:val="000000"/>
                <w:spacing w:val="0"/>
                <w:w w:val="100"/>
                <w:position w:val="0"/>
              </w:rPr>
              <w:t>万美元</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86" w:lineRule="exact"/>
              <w:ind w:left="0" w:right="0" w:firstLine="0"/>
              <w:jc w:val="both"/>
            </w:pPr>
            <w:r>
              <w:rPr>
                <w:color w:val="000000"/>
                <w:spacing w:val="0"/>
                <w:w w:val="100"/>
                <w:position w:val="0"/>
              </w:rPr>
              <w:t>研究、开发计算机软、硬件，网络技术产品，多媒体 产品；系统集成的设计、调试及维护；销售自身开发 的产品；并提供计算机技术咨询、服务，电子商务平 台支持；经济信息咨询（含商品中介）（国家禁止和 限制的除外，凡涉及许可证制度的凭证经营）</w:t>
            </w:r>
          </w:p>
        </w:tc>
      </w:tr>
      <w:tr>
        <w:trPr>
          <w:trHeight w:val="2880"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76" w:lineRule="exact"/>
              <w:ind w:left="0" w:right="0" w:firstLine="0"/>
              <w:jc w:val="both"/>
            </w:pPr>
            <w:r>
              <w:rPr>
                <w:color w:val="000000"/>
                <w:spacing w:val="0"/>
                <w:w w:val="100"/>
                <w:position w:val="0"/>
              </w:rPr>
              <w:t>苏宁电器 集团有限 公司</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卜扬</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1999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11</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302" w:lineRule="exact"/>
              <w:ind w:left="0" w:right="0" w:firstLine="0"/>
              <w:jc w:val="left"/>
            </w:pPr>
            <w:r>
              <w:rPr>
                <w:rFonts w:ascii="Times New Roman" w:eastAsia="Times New Roman" w:hAnsi="Times New Roman" w:cs="Times New Roman"/>
                <w:color w:val="000000"/>
                <w:spacing w:val="0"/>
                <w:w w:val="100"/>
                <w:position w:val="0"/>
              </w:rPr>
              <w:t xml:space="preserve">171,429 </w:t>
            </w:r>
            <w:r>
              <w:rPr>
                <w:color w:val="000000"/>
                <w:spacing w:val="0"/>
                <w:w w:val="100"/>
                <w:position w:val="0"/>
              </w:rPr>
              <w:t>万元 人民币</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86" w:lineRule="exact"/>
              <w:ind w:left="0" w:right="0" w:firstLine="0"/>
              <w:jc w:val="both"/>
            </w:pPr>
            <w:r>
              <w:rPr>
                <w:color w:val="000000"/>
                <w:spacing w:val="0"/>
                <w:w w:val="100"/>
                <w:position w:val="0"/>
              </w:rPr>
              <w:t>家用电器及配件的制造、销售及售后服务，汽车专用 照明电器、电子元件、电工器材和电气信号设备加工 制造，房屋租赁、维修，物业管理，室内装饰，园林 绿化，经济信息咨询，实业投资，酒店管理，汽车出 租，健身服务，票务服务，停车场服务，百货、黄 金、珠宝玉器、工艺美术品、鲜花、国产及进口化妆 品、电梯、机电产品、建筑工程设备、计算机设备、 办公设备的销售，洗衣服务，柜台、场地租赁，国内 商品展示服务，企业形象策划，人才培训，自营和代 理各类商品及技术的进出口业务，计算机的软件开</w:t>
            </w:r>
          </w:p>
        </w:tc>
      </w:tr>
    </w:tbl>
    <w:p>
      <w:pPr>
        <w:spacing w:lineRule="exact" w:line="1"/>
        <w:rPr>
          <w:sz w:val="2"/>
          <w:szCs w:val="2"/>
        </w:rPr>
      </w:pPr>
      <w:r>
        <w:br w:type="page"/>
      </w:r>
    </w:p>
    <w:tbl>
      <w:tblPr>
        <w:tblOverlap w:val="never"/>
        <w:jc w:val="center"/>
        <w:tblLayout w:type="fixed"/>
      </w:tblPr>
      <w:tblGrid>
        <w:gridCol w:w="998"/>
        <w:gridCol w:w="850"/>
        <w:gridCol w:w="1277"/>
        <w:gridCol w:w="1416"/>
        <w:gridCol w:w="5136"/>
      </w:tblGrid>
      <w:tr>
        <w:trPr>
          <w:trHeight w:val="173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85" w:lineRule="exact"/>
              <w:ind w:left="0" w:right="0" w:firstLine="0"/>
              <w:jc w:val="left"/>
            </w:pPr>
            <w:r>
              <w:rPr>
                <w:color w:val="000000"/>
                <w:spacing w:val="0"/>
                <w:w w:val="100"/>
                <w:position w:val="0"/>
              </w:rPr>
              <w:t>发、销售、系统集成，企业管理服务，会务服务， 中、西餐制售，音像制品零售茶座，卷烟、烟丝、雪 茄烟零售，国内版图书、期刊零售，预包装食品兼散 装食品的批发与零售，住宿，酒吧，洗浴，游泳，电 讯服务。（依法须经批准的项目，经相关部门批准后 方可开展经营活动）</w:t>
            </w:r>
          </w:p>
        </w:tc>
      </w:tr>
    </w:tbl>
    <w:p>
      <w:pPr>
        <w:widowControl w:val="0"/>
        <w:spacing w:after="299" w:line="1" w:lineRule="exact"/>
      </w:pPr>
    </w:p>
    <w:p>
      <w:pPr>
        <w:pStyle w:val="Style38"/>
        <w:keepNext/>
        <w:keepLines/>
        <w:widowControl w:val="0"/>
        <w:shd w:val="clear" w:color="auto" w:fill="auto"/>
        <w:bidi w:val="0"/>
        <w:spacing w:before="0" w:after="400" w:line="240" w:lineRule="auto"/>
        <w:ind w:left="0" w:right="0" w:firstLine="0"/>
        <w:jc w:val="left"/>
      </w:pPr>
      <w:bookmarkStart w:id="426" w:name="bookmark426"/>
      <w:bookmarkStart w:id="427" w:name="bookmark427"/>
      <w:bookmarkStart w:id="428" w:name="bookmark428"/>
      <w:bookmarkStart w:id="429" w:name="bookmark429"/>
      <w:r>
        <w:rPr>
          <w:rFonts w:ascii="Times New Roman" w:eastAsia="Times New Roman" w:hAnsi="Times New Roman" w:cs="Times New Roman"/>
          <w:color w:val="000000"/>
          <w:spacing w:val="0"/>
          <w:w w:val="100"/>
          <w:position w:val="0"/>
        </w:rPr>
        <w:t>5</w:t>
      </w:r>
      <w:bookmarkEnd w:id="428"/>
      <w:r>
        <w:rPr>
          <w:color w:val="000000"/>
          <w:spacing w:val="0"/>
          <w:w w:val="100"/>
          <w:position w:val="0"/>
        </w:rPr>
        <w:t>、控股股东、实际控制人、重组方及其他承诺主体股份限制减持情况</w:t>
      </w:r>
      <w:bookmarkEnd w:id="426"/>
      <w:bookmarkEnd w:id="427"/>
      <w:bookmarkEnd w:id="429"/>
    </w:p>
    <w:p>
      <w:pPr>
        <w:pStyle w:val="Style32"/>
        <w:keepNext w:val="0"/>
        <w:keepLines w:val="0"/>
        <w:widowControl w:val="0"/>
        <w:shd w:val="clear" w:color="auto" w:fill="auto"/>
        <w:bidi w:val="0"/>
        <w:spacing w:before="0" w:after="360" w:line="240" w:lineRule="auto"/>
        <w:ind w:left="0" w:right="0" w:firstLine="460"/>
        <w:jc w:val="left"/>
        <w:sectPr>
          <w:footnotePr>
            <w:pos w:val="pageBottom"/>
            <w:numFmt w:val="decimal"/>
            <w:numRestart w:val="continuous"/>
          </w:footnotePr>
          <w:pgSz w:w="11900" w:h="16840"/>
          <w:pgMar w:top="1166" w:right="953" w:bottom="1418" w:left="996" w:header="0" w:footer="3" w:gutter="0"/>
          <w:cols w:space="720"/>
          <w:noEndnote/>
          <w:rtlGutter w:val="0"/>
          <w:docGrid w:linePitch="360"/>
        </w:sectPr>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8"/>
        <w:keepNext/>
        <w:keepLines/>
        <w:widowControl w:val="0"/>
        <w:shd w:val="clear" w:color="auto" w:fill="auto"/>
        <w:bidi w:val="0"/>
        <w:spacing w:before="640" w:after="600" w:line="240" w:lineRule="auto"/>
        <w:ind w:left="0" w:right="0" w:firstLine="0"/>
        <w:jc w:val="center"/>
      </w:pPr>
      <w:bookmarkStart w:id="430" w:name="bookmark430"/>
      <w:bookmarkStart w:id="431" w:name="bookmark431"/>
      <w:bookmarkStart w:id="432" w:name="bookmark432"/>
      <w:bookmarkStart w:id="433" w:name="bookmark433"/>
      <w:r>
        <w:rPr>
          <w:color w:val="000000"/>
          <w:spacing w:val="0"/>
          <w:w w:val="100"/>
          <w:position w:val="0"/>
        </w:rPr>
        <w:t>第七节优先股相关情况</w:t>
      </w:r>
      <w:bookmarkEnd w:id="431"/>
      <w:bookmarkEnd w:id="432"/>
      <w:bookmarkEnd w:id="433"/>
      <w:bookmarkEnd w:id="430"/>
    </w:p>
    <w:p>
      <w:pPr>
        <w:pStyle w:val="Style32"/>
        <w:keepNext w:val="0"/>
        <w:keepLines w:val="0"/>
        <w:widowControl w:val="0"/>
        <w:shd w:val="clear" w:color="auto" w:fill="auto"/>
        <w:bidi w:val="0"/>
        <w:spacing w:before="0" w:after="180" w:line="240" w:lineRule="auto"/>
        <w:ind w:left="0" w:right="0" w:firstLine="46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2"/>
        <w:keepNext w:val="0"/>
        <w:keepLines w:val="0"/>
        <w:widowControl w:val="0"/>
        <w:shd w:val="clear" w:color="auto" w:fill="auto"/>
        <w:bidi w:val="0"/>
        <w:spacing w:before="0" w:after="400" w:line="240" w:lineRule="auto"/>
        <w:ind w:left="0" w:right="0" w:firstLine="460"/>
        <w:jc w:val="left"/>
      </w:pPr>
      <w:r>
        <w:rPr>
          <w:color w:val="000000"/>
          <w:spacing w:val="0"/>
          <w:w w:val="100"/>
          <w:position w:val="0"/>
        </w:rPr>
        <w:t>报告期公司不存在优先股。</w:t>
      </w:r>
      <w:r>
        <w:br w:type="page"/>
      </w:r>
    </w:p>
    <w:p>
      <w:pPr>
        <w:pStyle w:val="Style18"/>
        <w:keepNext/>
        <w:keepLines/>
        <w:widowControl w:val="0"/>
        <w:shd w:val="clear" w:color="auto" w:fill="auto"/>
        <w:bidi w:val="0"/>
        <w:spacing w:before="0" w:after="520" w:line="240" w:lineRule="auto"/>
        <w:ind w:left="0" w:right="0" w:firstLine="0"/>
        <w:jc w:val="center"/>
      </w:pPr>
      <w:bookmarkStart w:id="434" w:name="bookmark434"/>
      <w:bookmarkStart w:id="435" w:name="bookmark435"/>
      <w:bookmarkStart w:id="436" w:name="bookmark436"/>
      <w:bookmarkStart w:id="437" w:name="bookmark437"/>
      <w:r>
        <w:rPr>
          <w:color w:val="000000"/>
          <w:spacing w:val="0"/>
          <w:w w:val="100"/>
          <w:position w:val="0"/>
        </w:rPr>
        <w:t>第八节董事、监事、高级管理人员和员工情况</w:t>
      </w:r>
      <w:bookmarkEnd w:id="435"/>
      <w:bookmarkEnd w:id="436"/>
      <w:bookmarkEnd w:id="437"/>
      <w:bookmarkEnd w:id="434"/>
    </w:p>
    <w:p>
      <w:pPr>
        <w:pStyle w:val="Style32"/>
        <w:keepNext w:val="0"/>
        <w:keepLines w:val="0"/>
        <w:widowControl w:val="0"/>
        <w:shd w:val="clear" w:color="auto" w:fill="auto"/>
        <w:bidi w:val="0"/>
        <w:spacing w:before="0" w:after="320" w:line="240" w:lineRule="auto"/>
        <w:ind w:left="0" w:right="0" w:firstLine="260"/>
        <w:jc w:val="left"/>
        <w:rPr>
          <w:sz w:val="24"/>
          <w:szCs w:val="24"/>
        </w:rPr>
      </w:pPr>
      <w:r>
        <w:rPr>
          <w:b/>
          <w:bCs/>
          <w:color w:val="000000"/>
          <w:spacing w:val="0"/>
          <w:w w:val="100"/>
          <w:position w:val="0"/>
          <w:sz w:val="24"/>
          <w:szCs w:val="24"/>
        </w:rPr>
        <w:t>、董事、监事和高级管理人员持股变动</w:t>
      </w:r>
    </w:p>
    <w:tbl>
      <w:tblPr>
        <w:tblOverlap w:val="never"/>
        <w:jc w:val="center"/>
        <w:tblLayout w:type="fixed"/>
      </w:tblPr>
      <w:tblGrid>
        <w:gridCol w:w="672"/>
        <w:gridCol w:w="830"/>
        <w:gridCol w:w="499"/>
        <w:gridCol w:w="528"/>
        <w:gridCol w:w="662"/>
        <w:gridCol w:w="931"/>
        <w:gridCol w:w="931"/>
        <w:gridCol w:w="1330"/>
        <w:gridCol w:w="662"/>
        <w:gridCol w:w="667"/>
        <w:gridCol w:w="662"/>
        <w:gridCol w:w="1330"/>
      </w:tblGrid>
      <w:tr>
        <w:trPr>
          <w:trHeight w:val="1051"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姓名</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职务</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40" w:line="274" w:lineRule="exact"/>
              <w:ind w:left="0" w:right="0" w:firstLine="0"/>
              <w:jc w:val="left"/>
              <w:rPr>
                <w:sz w:val="20"/>
                <w:szCs w:val="20"/>
              </w:rPr>
            </w:pPr>
            <w:r>
              <w:rPr>
                <w:color w:val="000000"/>
                <w:spacing w:val="0"/>
                <w:w w:val="100"/>
                <w:position w:val="0"/>
                <w:sz w:val="20"/>
                <w:szCs w:val="20"/>
              </w:rPr>
              <w:t>任职 状态</w:t>
            </w:r>
          </w:p>
          <w:p>
            <w:pPr>
              <w:pStyle w:val="Style28"/>
              <w:keepNext w:val="0"/>
              <w:keepLines w:val="0"/>
              <w:widowControl w:val="0"/>
              <w:shd w:val="clear" w:color="auto" w:fill="auto"/>
              <w:bidi w:val="0"/>
              <w:spacing w:before="0" w:after="40" w:line="274" w:lineRule="exact"/>
              <w:ind w:left="0" w:right="0" w:firstLine="0"/>
              <w:jc w:val="left"/>
              <w:rPr>
                <w:sz w:val="20"/>
                <w:szCs w:val="20"/>
              </w:rPr>
            </w:pPr>
            <w:r>
              <w:rPr>
                <w:color w:val="000000"/>
                <w:spacing w:val="0"/>
                <w:w w:val="100"/>
                <w:position w:val="0"/>
                <w:sz w:val="20"/>
                <w:szCs w:val="20"/>
              </w:rPr>
              <w:t>（注</w:t>
            </w:r>
          </w:p>
          <w:p>
            <w:pPr>
              <w:pStyle w:val="Style28"/>
              <w:keepNext w:val="0"/>
              <w:keepLines w:val="0"/>
              <w:widowControl w:val="0"/>
              <w:shd w:val="clear" w:color="auto" w:fill="auto"/>
              <w:bidi w:val="0"/>
              <w:spacing w:before="0" w:after="40" w:line="286"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性别</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年龄</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64" w:lineRule="exact"/>
              <w:ind w:left="0" w:right="0" w:firstLine="0"/>
              <w:jc w:val="center"/>
              <w:rPr>
                <w:sz w:val="20"/>
                <w:szCs w:val="20"/>
              </w:rPr>
            </w:pPr>
            <w:r>
              <w:rPr>
                <w:color w:val="000000"/>
                <w:spacing w:val="0"/>
                <w:w w:val="100"/>
                <w:position w:val="0"/>
                <w:sz w:val="20"/>
                <w:szCs w:val="20"/>
              </w:rPr>
              <w:t>任期起始 日期</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5" w:lineRule="exact"/>
              <w:ind w:left="0" w:right="0" w:firstLine="0"/>
              <w:jc w:val="left"/>
              <w:rPr>
                <w:sz w:val="20"/>
                <w:szCs w:val="20"/>
              </w:rPr>
            </w:pPr>
            <w:r>
              <w:rPr>
                <w:color w:val="000000"/>
                <w:spacing w:val="0"/>
                <w:w w:val="100"/>
                <w:position w:val="0"/>
                <w:sz w:val="20"/>
                <w:szCs w:val="20"/>
              </w:rPr>
              <w:t>任期终止 日期（注</w:t>
            </w:r>
          </w:p>
          <w:p>
            <w:pPr>
              <w:pStyle w:val="Style28"/>
              <w:keepNext w:val="0"/>
              <w:keepLines w:val="0"/>
              <w:widowControl w:val="0"/>
              <w:shd w:val="clear" w:color="auto" w:fill="auto"/>
              <w:bidi w:val="0"/>
              <w:spacing w:before="0" w:after="0" w:line="257"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59" w:lineRule="exact"/>
              <w:ind w:left="0" w:right="0" w:firstLine="0"/>
              <w:jc w:val="center"/>
              <w:rPr>
                <w:sz w:val="20"/>
                <w:szCs w:val="20"/>
              </w:rPr>
            </w:pPr>
            <w:r>
              <w:rPr>
                <w:color w:val="000000"/>
                <w:spacing w:val="0"/>
                <w:w w:val="100"/>
                <w:position w:val="0"/>
                <w:sz w:val="20"/>
                <w:szCs w:val="20"/>
              </w:rPr>
              <w:t>期初持股数 （股）</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59" w:lineRule="exact"/>
              <w:ind w:left="0" w:right="0" w:firstLine="0"/>
              <w:jc w:val="center"/>
              <w:rPr>
                <w:sz w:val="20"/>
                <w:szCs w:val="20"/>
              </w:rPr>
            </w:pPr>
            <w:r>
              <w:rPr>
                <w:color w:val="000000"/>
                <w:spacing w:val="0"/>
                <w:w w:val="100"/>
                <w:position w:val="0"/>
                <w:sz w:val="20"/>
                <w:szCs w:val="20"/>
              </w:rPr>
              <w:t>本期增 持股份 数量 （股）</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59" w:lineRule="exact"/>
              <w:ind w:left="0" w:right="0" w:firstLine="0"/>
              <w:jc w:val="center"/>
              <w:rPr>
                <w:sz w:val="20"/>
                <w:szCs w:val="20"/>
              </w:rPr>
            </w:pPr>
            <w:r>
              <w:rPr>
                <w:color w:val="000000"/>
                <w:spacing w:val="0"/>
                <w:w w:val="100"/>
                <w:position w:val="0"/>
                <w:sz w:val="20"/>
                <w:szCs w:val="20"/>
              </w:rPr>
              <w:t>本期减 持股份 数量 （股）</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40" w:line="259" w:lineRule="exact"/>
              <w:ind w:left="0" w:right="0" w:firstLine="0"/>
              <w:jc w:val="left"/>
              <w:rPr>
                <w:sz w:val="20"/>
                <w:szCs w:val="20"/>
              </w:rPr>
            </w:pPr>
            <w:r>
              <w:rPr>
                <w:color w:val="000000"/>
                <w:spacing w:val="0"/>
                <w:w w:val="100"/>
                <w:position w:val="0"/>
                <w:sz w:val="20"/>
                <w:szCs w:val="20"/>
              </w:rPr>
              <w:t>其他增 减变动</w:t>
            </w:r>
          </w:p>
          <w:p>
            <w:pPr>
              <w:pStyle w:val="Style28"/>
              <w:keepNext w:val="0"/>
              <w:keepLines w:val="0"/>
              <w:widowControl w:val="0"/>
              <w:shd w:val="clear" w:color="auto" w:fill="auto"/>
              <w:bidi w:val="0"/>
              <w:spacing w:before="0" w:after="0" w:line="259" w:lineRule="exact"/>
              <w:ind w:left="0" w:right="0" w:firstLine="0"/>
              <w:jc w:val="left"/>
              <w:rPr>
                <w:sz w:val="20"/>
                <w:szCs w:val="20"/>
              </w:rPr>
            </w:pPr>
            <w:r>
              <w:rPr>
                <w:color w:val="000000"/>
                <w:spacing w:val="0"/>
                <w:w w:val="100"/>
                <w:position w:val="0"/>
                <w:sz w:val="20"/>
                <w:szCs w:val="20"/>
              </w:rPr>
              <w:t>（股）</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40" w:line="240" w:lineRule="auto"/>
              <w:ind w:left="0" w:right="0" w:firstLine="140"/>
              <w:jc w:val="left"/>
              <w:rPr>
                <w:sz w:val="20"/>
                <w:szCs w:val="20"/>
              </w:rPr>
            </w:pPr>
            <w:r>
              <w:rPr>
                <w:color w:val="000000"/>
                <w:spacing w:val="0"/>
                <w:w w:val="100"/>
                <w:position w:val="0"/>
                <w:sz w:val="20"/>
                <w:szCs w:val="20"/>
              </w:rPr>
              <w:t>期末持股数</w:t>
            </w:r>
          </w:p>
          <w:p>
            <w:pPr>
              <w:pStyle w:val="Style28"/>
              <w:keepNext w:val="0"/>
              <w:keepLines w:val="0"/>
              <w:widowControl w:val="0"/>
              <w:shd w:val="clear" w:color="auto" w:fill="auto"/>
              <w:bidi w:val="0"/>
              <w:spacing w:before="0" w:after="0" w:line="240" w:lineRule="auto"/>
              <w:ind w:left="0" w:right="360" w:firstLine="0"/>
              <w:jc w:val="right"/>
              <w:rPr>
                <w:sz w:val="20"/>
                <w:szCs w:val="20"/>
              </w:rPr>
            </w:pPr>
            <w:r>
              <w:rPr>
                <w:color w:val="000000"/>
                <w:spacing w:val="0"/>
                <w:w w:val="100"/>
                <w:position w:val="0"/>
                <w:sz w:val="20"/>
                <w:szCs w:val="20"/>
              </w:rPr>
              <w:t>（股）</w:t>
            </w:r>
          </w:p>
        </w:tc>
      </w:tr>
      <w:tr>
        <w:trPr>
          <w:trHeight w:val="78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张近东</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董事长</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现任</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54</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2013 </w:t>
            </w:r>
            <w:r>
              <w:rPr>
                <w:color w:val="000000"/>
                <w:spacing w:val="0"/>
                <w:w w:val="100"/>
                <w:position w:val="0"/>
                <w:sz w:val="20"/>
                <w:szCs w:val="20"/>
              </w:rPr>
              <w:t>年</w:t>
            </w:r>
          </w:p>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12 </w:t>
            </w:r>
            <w:r>
              <w:rPr>
                <w:color w:val="000000"/>
                <w:spacing w:val="0"/>
                <w:w w:val="100"/>
                <w:position w:val="0"/>
                <w:sz w:val="20"/>
                <w:szCs w:val="20"/>
              </w:rPr>
              <w:t xml:space="preserve">月 </w:t>
            </w:r>
            <w:r>
              <w:rPr>
                <w:rFonts w:ascii="Times New Roman" w:eastAsia="Times New Roman" w:hAnsi="Times New Roman" w:cs="Times New Roman"/>
                <w:color w:val="000000"/>
                <w:spacing w:val="0"/>
                <w:w w:val="100"/>
                <w:position w:val="0"/>
                <w:sz w:val="20"/>
                <w:szCs w:val="20"/>
              </w:rPr>
              <w:t>16</w:t>
            </w:r>
          </w:p>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2016 </w:t>
            </w:r>
            <w:r>
              <w:rPr>
                <w:color w:val="000000"/>
                <w:spacing w:val="0"/>
                <w:w w:val="100"/>
                <w:position w:val="0"/>
                <w:sz w:val="20"/>
                <w:szCs w:val="20"/>
              </w:rPr>
              <w:t>年</w:t>
            </w:r>
          </w:p>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12 </w:t>
            </w:r>
            <w:r>
              <w:rPr>
                <w:color w:val="000000"/>
                <w:spacing w:val="0"/>
                <w:w w:val="100"/>
                <w:position w:val="0"/>
                <w:sz w:val="20"/>
                <w:szCs w:val="20"/>
              </w:rPr>
              <w:t xml:space="preserve">月 </w:t>
            </w:r>
            <w:r>
              <w:rPr>
                <w:rFonts w:ascii="Times New Roman" w:eastAsia="Times New Roman" w:hAnsi="Times New Roman" w:cs="Times New Roman"/>
                <w:color w:val="000000"/>
                <w:spacing w:val="0"/>
                <w:w w:val="100"/>
                <w:position w:val="0"/>
                <w:sz w:val="20"/>
                <w:szCs w:val="20"/>
              </w:rPr>
              <w:t>15</w:t>
            </w:r>
          </w:p>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日</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1,951,811,430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1,951,811,430</w:t>
            </w:r>
          </w:p>
        </w:tc>
      </w:tr>
      <w:tr>
        <w:trPr>
          <w:trHeight w:val="78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孙为民</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副董事</w:t>
            </w:r>
          </w:p>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长</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现任</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54</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2013 </w:t>
            </w:r>
            <w:r>
              <w:rPr>
                <w:color w:val="000000"/>
                <w:spacing w:val="0"/>
                <w:w w:val="100"/>
                <w:position w:val="0"/>
                <w:sz w:val="20"/>
                <w:szCs w:val="20"/>
              </w:rPr>
              <w:t>年</w:t>
            </w:r>
          </w:p>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12 </w:t>
            </w:r>
            <w:r>
              <w:rPr>
                <w:color w:val="000000"/>
                <w:spacing w:val="0"/>
                <w:w w:val="100"/>
                <w:position w:val="0"/>
                <w:sz w:val="20"/>
                <w:szCs w:val="20"/>
              </w:rPr>
              <w:t xml:space="preserve">月 </w:t>
            </w:r>
            <w:r>
              <w:rPr>
                <w:rFonts w:ascii="Times New Roman" w:eastAsia="Times New Roman" w:hAnsi="Times New Roman" w:cs="Times New Roman"/>
                <w:color w:val="000000"/>
                <w:spacing w:val="0"/>
                <w:w w:val="100"/>
                <w:position w:val="0"/>
                <w:sz w:val="20"/>
                <w:szCs w:val="20"/>
              </w:rPr>
              <w:t>16</w:t>
            </w:r>
          </w:p>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2016 </w:t>
            </w:r>
            <w:r>
              <w:rPr>
                <w:color w:val="000000"/>
                <w:spacing w:val="0"/>
                <w:w w:val="100"/>
                <w:position w:val="0"/>
                <w:sz w:val="20"/>
                <w:szCs w:val="20"/>
              </w:rPr>
              <w:t>年</w:t>
            </w:r>
          </w:p>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12 </w:t>
            </w:r>
            <w:r>
              <w:rPr>
                <w:color w:val="000000"/>
                <w:spacing w:val="0"/>
                <w:w w:val="100"/>
                <w:position w:val="0"/>
                <w:sz w:val="20"/>
                <w:szCs w:val="20"/>
              </w:rPr>
              <w:t xml:space="preserve">月 </w:t>
            </w:r>
            <w:r>
              <w:rPr>
                <w:rFonts w:ascii="Times New Roman" w:eastAsia="Times New Roman" w:hAnsi="Times New Roman" w:cs="Times New Roman"/>
                <w:color w:val="000000"/>
                <w:spacing w:val="0"/>
                <w:w w:val="100"/>
                <w:position w:val="0"/>
                <w:sz w:val="20"/>
                <w:szCs w:val="20"/>
              </w:rPr>
              <w:t>15</w:t>
            </w:r>
          </w:p>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日</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4,603,003</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4,603,003</w:t>
            </w:r>
          </w:p>
        </w:tc>
      </w:tr>
      <w:tr>
        <w:trPr>
          <w:trHeight w:val="78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金明</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54" w:lineRule="exact"/>
              <w:ind w:left="0" w:right="0" w:firstLine="0"/>
              <w:jc w:val="both"/>
              <w:rPr>
                <w:sz w:val="20"/>
                <w:szCs w:val="20"/>
              </w:rPr>
            </w:pPr>
            <w:r>
              <w:rPr>
                <w:color w:val="000000"/>
                <w:spacing w:val="0"/>
                <w:w w:val="100"/>
                <w:position w:val="0"/>
                <w:sz w:val="20"/>
                <w:szCs w:val="20"/>
              </w:rPr>
              <w:t>董事、 总裁</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现任</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46</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2013 </w:t>
            </w:r>
            <w:r>
              <w:rPr>
                <w:color w:val="000000"/>
                <w:spacing w:val="0"/>
                <w:w w:val="100"/>
                <w:position w:val="0"/>
                <w:sz w:val="20"/>
                <w:szCs w:val="20"/>
              </w:rPr>
              <w:t>年</w:t>
            </w:r>
          </w:p>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12 </w:t>
            </w:r>
            <w:r>
              <w:rPr>
                <w:color w:val="000000"/>
                <w:spacing w:val="0"/>
                <w:w w:val="100"/>
                <w:position w:val="0"/>
                <w:sz w:val="20"/>
                <w:szCs w:val="20"/>
              </w:rPr>
              <w:t xml:space="preserve">月 </w:t>
            </w:r>
            <w:r>
              <w:rPr>
                <w:rFonts w:ascii="Times New Roman" w:eastAsia="Times New Roman" w:hAnsi="Times New Roman" w:cs="Times New Roman"/>
                <w:color w:val="000000"/>
                <w:spacing w:val="0"/>
                <w:w w:val="100"/>
                <w:position w:val="0"/>
                <w:sz w:val="20"/>
                <w:szCs w:val="20"/>
              </w:rPr>
              <w:t>16</w:t>
            </w:r>
          </w:p>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2016 </w:t>
            </w:r>
            <w:r>
              <w:rPr>
                <w:color w:val="000000"/>
                <w:spacing w:val="0"/>
                <w:w w:val="100"/>
                <w:position w:val="0"/>
                <w:sz w:val="20"/>
                <w:szCs w:val="20"/>
              </w:rPr>
              <w:t>年</w:t>
            </w:r>
          </w:p>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12 </w:t>
            </w:r>
            <w:r>
              <w:rPr>
                <w:color w:val="000000"/>
                <w:spacing w:val="0"/>
                <w:w w:val="100"/>
                <w:position w:val="0"/>
                <w:sz w:val="20"/>
                <w:szCs w:val="20"/>
              </w:rPr>
              <w:t xml:space="preserve">月 </w:t>
            </w:r>
            <w:r>
              <w:rPr>
                <w:rFonts w:ascii="Times New Roman" w:eastAsia="Times New Roman" w:hAnsi="Times New Roman" w:cs="Times New Roman"/>
                <w:color w:val="000000"/>
                <w:spacing w:val="0"/>
                <w:w w:val="100"/>
                <w:position w:val="0"/>
                <w:sz w:val="20"/>
                <w:szCs w:val="20"/>
              </w:rPr>
              <w:t>15</w:t>
            </w:r>
          </w:p>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日</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125,001,165</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125,001,165</w:t>
            </w:r>
          </w:p>
        </w:tc>
      </w:tr>
      <w:tr>
        <w:trPr>
          <w:trHeight w:val="79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孟祥胜</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5" w:lineRule="exact"/>
              <w:ind w:left="0" w:right="0" w:firstLine="0"/>
              <w:jc w:val="both"/>
              <w:rPr>
                <w:sz w:val="20"/>
                <w:szCs w:val="20"/>
              </w:rPr>
            </w:pPr>
            <w:r>
              <w:rPr>
                <w:color w:val="000000"/>
                <w:spacing w:val="0"/>
                <w:w w:val="100"/>
                <w:position w:val="0"/>
                <w:sz w:val="20"/>
                <w:szCs w:val="20"/>
              </w:rPr>
              <w:t>董事、 副总裁</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现任</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45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2013 </w:t>
            </w:r>
            <w:r>
              <w:rPr>
                <w:color w:val="000000"/>
                <w:spacing w:val="0"/>
                <w:w w:val="100"/>
                <w:position w:val="0"/>
                <w:sz w:val="20"/>
                <w:szCs w:val="20"/>
              </w:rPr>
              <w:t>年</w:t>
            </w:r>
          </w:p>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12 </w:t>
            </w:r>
            <w:r>
              <w:rPr>
                <w:color w:val="000000"/>
                <w:spacing w:val="0"/>
                <w:w w:val="100"/>
                <w:position w:val="0"/>
                <w:sz w:val="20"/>
                <w:szCs w:val="20"/>
              </w:rPr>
              <w:t xml:space="preserve">月 </w:t>
            </w:r>
            <w:r>
              <w:rPr>
                <w:rFonts w:ascii="Times New Roman" w:eastAsia="Times New Roman" w:hAnsi="Times New Roman" w:cs="Times New Roman"/>
                <w:color w:val="000000"/>
                <w:spacing w:val="0"/>
                <w:w w:val="100"/>
                <w:position w:val="0"/>
                <w:sz w:val="20"/>
                <w:szCs w:val="20"/>
              </w:rPr>
              <w:t>16</w:t>
            </w:r>
          </w:p>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2016 </w:t>
            </w:r>
            <w:r>
              <w:rPr>
                <w:color w:val="000000"/>
                <w:spacing w:val="0"/>
                <w:w w:val="100"/>
                <w:position w:val="0"/>
                <w:sz w:val="20"/>
                <w:szCs w:val="20"/>
              </w:rPr>
              <w:t>年</w:t>
            </w:r>
          </w:p>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12 </w:t>
            </w:r>
            <w:r>
              <w:rPr>
                <w:color w:val="000000"/>
                <w:spacing w:val="0"/>
                <w:w w:val="100"/>
                <w:position w:val="0"/>
                <w:sz w:val="20"/>
                <w:szCs w:val="20"/>
              </w:rPr>
              <w:t xml:space="preserve">月 </w:t>
            </w:r>
            <w:r>
              <w:rPr>
                <w:rFonts w:ascii="Times New Roman" w:eastAsia="Times New Roman" w:hAnsi="Times New Roman" w:cs="Times New Roman"/>
                <w:color w:val="000000"/>
                <w:spacing w:val="0"/>
                <w:w w:val="100"/>
                <w:position w:val="0"/>
                <w:sz w:val="20"/>
                <w:szCs w:val="20"/>
              </w:rPr>
              <w:t>15</w:t>
            </w:r>
          </w:p>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日</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4,047,949</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4,047,949</w:t>
            </w:r>
          </w:p>
        </w:tc>
      </w:tr>
      <w:tr>
        <w:trPr>
          <w:trHeight w:val="104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任峻</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59" w:lineRule="exact"/>
              <w:ind w:left="0" w:right="0" w:firstLine="0"/>
              <w:jc w:val="both"/>
              <w:rPr>
                <w:sz w:val="20"/>
                <w:szCs w:val="20"/>
              </w:rPr>
            </w:pPr>
            <w:r>
              <w:rPr>
                <w:color w:val="000000"/>
                <w:spacing w:val="0"/>
                <w:w w:val="100"/>
                <w:position w:val="0"/>
                <w:sz w:val="20"/>
                <w:szCs w:val="20"/>
              </w:rPr>
              <w:t>董事、 副总 裁、董 秘</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现任</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40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2013 </w:t>
            </w:r>
            <w:r>
              <w:rPr>
                <w:color w:val="000000"/>
                <w:spacing w:val="0"/>
                <w:w w:val="100"/>
                <w:position w:val="0"/>
                <w:sz w:val="20"/>
                <w:szCs w:val="20"/>
              </w:rPr>
              <w:t>年</w:t>
            </w:r>
          </w:p>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12 </w:t>
            </w:r>
            <w:r>
              <w:rPr>
                <w:color w:val="000000"/>
                <w:spacing w:val="0"/>
                <w:w w:val="100"/>
                <w:position w:val="0"/>
                <w:sz w:val="20"/>
                <w:szCs w:val="20"/>
              </w:rPr>
              <w:t xml:space="preserve">月 </w:t>
            </w:r>
            <w:r>
              <w:rPr>
                <w:rFonts w:ascii="Times New Roman" w:eastAsia="Times New Roman" w:hAnsi="Times New Roman" w:cs="Times New Roman"/>
                <w:color w:val="000000"/>
                <w:spacing w:val="0"/>
                <w:w w:val="100"/>
                <w:position w:val="0"/>
                <w:sz w:val="20"/>
                <w:szCs w:val="20"/>
              </w:rPr>
              <w:t>16</w:t>
            </w:r>
          </w:p>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日</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2016 </w:t>
            </w:r>
            <w:r>
              <w:rPr>
                <w:color w:val="000000"/>
                <w:spacing w:val="0"/>
                <w:w w:val="100"/>
                <w:position w:val="0"/>
                <w:sz w:val="20"/>
                <w:szCs w:val="20"/>
              </w:rPr>
              <w:t>年</w:t>
            </w:r>
          </w:p>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12 </w:t>
            </w:r>
            <w:r>
              <w:rPr>
                <w:color w:val="000000"/>
                <w:spacing w:val="0"/>
                <w:w w:val="100"/>
                <w:position w:val="0"/>
                <w:sz w:val="20"/>
                <w:szCs w:val="20"/>
              </w:rPr>
              <w:t xml:space="preserve">月 </w:t>
            </w:r>
            <w:r>
              <w:rPr>
                <w:rFonts w:ascii="Times New Roman" w:eastAsia="Times New Roman" w:hAnsi="Times New Roman" w:cs="Times New Roman"/>
                <w:color w:val="000000"/>
                <w:spacing w:val="0"/>
                <w:w w:val="100"/>
                <w:position w:val="0"/>
                <w:sz w:val="20"/>
                <w:szCs w:val="20"/>
              </w:rPr>
              <w:t>15</w:t>
            </w:r>
          </w:p>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日</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4,596,297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4,596,297</w:t>
            </w:r>
          </w:p>
        </w:tc>
      </w:tr>
      <w:tr>
        <w:trPr>
          <w:trHeight w:val="78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陈俊杰</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现任</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58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2013 </w:t>
            </w:r>
            <w:r>
              <w:rPr>
                <w:color w:val="000000"/>
                <w:spacing w:val="0"/>
                <w:w w:val="100"/>
                <w:position w:val="0"/>
                <w:sz w:val="20"/>
                <w:szCs w:val="20"/>
              </w:rPr>
              <w:t>年</w:t>
            </w:r>
          </w:p>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12 </w:t>
            </w:r>
            <w:r>
              <w:rPr>
                <w:color w:val="000000"/>
                <w:spacing w:val="0"/>
                <w:w w:val="100"/>
                <w:position w:val="0"/>
                <w:sz w:val="20"/>
                <w:szCs w:val="20"/>
              </w:rPr>
              <w:t xml:space="preserve">月 </w:t>
            </w:r>
            <w:r>
              <w:rPr>
                <w:rFonts w:ascii="Times New Roman" w:eastAsia="Times New Roman" w:hAnsi="Times New Roman" w:cs="Times New Roman"/>
                <w:color w:val="000000"/>
                <w:spacing w:val="0"/>
                <w:w w:val="100"/>
                <w:position w:val="0"/>
                <w:sz w:val="20"/>
                <w:szCs w:val="20"/>
              </w:rPr>
              <w:t>16</w:t>
            </w:r>
          </w:p>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2016 </w:t>
            </w:r>
            <w:r>
              <w:rPr>
                <w:color w:val="000000"/>
                <w:spacing w:val="0"/>
                <w:w w:val="100"/>
                <w:position w:val="0"/>
                <w:sz w:val="20"/>
                <w:szCs w:val="20"/>
              </w:rPr>
              <w:t>年</w:t>
            </w:r>
          </w:p>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12 </w:t>
            </w:r>
            <w:r>
              <w:rPr>
                <w:color w:val="000000"/>
                <w:spacing w:val="0"/>
                <w:w w:val="100"/>
                <w:position w:val="0"/>
                <w:sz w:val="20"/>
                <w:szCs w:val="20"/>
              </w:rPr>
              <w:t xml:space="preserve">月 </w:t>
            </w:r>
            <w:r>
              <w:rPr>
                <w:rFonts w:ascii="Times New Roman" w:eastAsia="Times New Roman" w:hAnsi="Times New Roman" w:cs="Times New Roman"/>
                <w:color w:val="000000"/>
                <w:spacing w:val="0"/>
                <w:w w:val="100"/>
                <w:position w:val="0"/>
                <w:sz w:val="20"/>
                <w:szCs w:val="20"/>
              </w:rPr>
              <w:t>15</w:t>
            </w:r>
          </w:p>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日</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r>
      <w:tr>
        <w:trPr>
          <w:trHeight w:val="78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徐光华</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独立董 事</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现任</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53</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2013 </w:t>
            </w:r>
            <w:r>
              <w:rPr>
                <w:color w:val="000000"/>
                <w:spacing w:val="0"/>
                <w:w w:val="100"/>
                <w:position w:val="0"/>
                <w:sz w:val="20"/>
                <w:szCs w:val="20"/>
              </w:rPr>
              <w:t>年</w:t>
            </w:r>
          </w:p>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12 </w:t>
            </w:r>
            <w:r>
              <w:rPr>
                <w:color w:val="000000"/>
                <w:spacing w:val="0"/>
                <w:w w:val="100"/>
                <w:position w:val="0"/>
                <w:sz w:val="20"/>
                <w:szCs w:val="20"/>
              </w:rPr>
              <w:t xml:space="preserve">月 </w:t>
            </w:r>
            <w:r>
              <w:rPr>
                <w:rFonts w:ascii="Times New Roman" w:eastAsia="Times New Roman" w:hAnsi="Times New Roman" w:cs="Times New Roman"/>
                <w:color w:val="000000"/>
                <w:spacing w:val="0"/>
                <w:w w:val="100"/>
                <w:position w:val="0"/>
                <w:sz w:val="20"/>
                <w:szCs w:val="20"/>
              </w:rPr>
              <w:t>16</w:t>
            </w:r>
          </w:p>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2016 </w:t>
            </w:r>
            <w:r>
              <w:rPr>
                <w:color w:val="000000"/>
                <w:spacing w:val="0"/>
                <w:w w:val="100"/>
                <w:position w:val="0"/>
                <w:sz w:val="20"/>
                <w:szCs w:val="20"/>
              </w:rPr>
              <w:t>年</w:t>
            </w:r>
          </w:p>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12 </w:t>
            </w:r>
            <w:r>
              <w:rPr>
                <w:color w:val="000000"/>
                <w:spacing w:val="0"/>
                <w:w w:val="100"/>
                <w:position w:val="0"/>
                <w:sz w:val="20"/>
                <w:szCs w:val="20"/>
              </w:rPr>
              <w:t xml:space="preserve">月 </w:t>
            </w:r>
            <w:r>
              <w:rPr>
                <w:rFonts w:ascii="Times New Roman" w:eastAsia="Times New Roman" w:hAnsi="Times New Roman" w:cs="Times New Roman"/>
                <w:color w:val="000000"/>
                <w:spacing w:val="0"/>
                <w:w w:val="100"/>
                <w:position w:val="0"/>
                <w:sz w:val="20"/>
                <w:szCs w:val="20"/>
              </w:rPr>
              <w:t>15</w:t>
            </w:r>
          </w:p>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日</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r>
      <w:tr>
        <w:trPr>
          <w:trHeight w:val="78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沈厚才</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独立董 事</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现任</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52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2013 </w:t>
            </w:r>
            <w:r>
              <w:rPr>
                <w:color w:val="000000"/>
                <w:spacing w:val="0"/>
                <w:w w:val="100"/>
                <w:position w:val="0"/>
                <w:sz w:val="20"/>
                <w:szCs w:val="20"/>
              </w:rPr>
              <w:t>年</w:t>
            </w:r>
          </w:p>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12 </w:t>
            </w:r>
            <w:r>
              <w:rPr>
                <w:color w:val="000000"/>
                <w:spacing w:val="0"/>
                <w:w w:val="100"/>
                <w:position w:val="0"/>
                <w:sz w:val="20"/>
                <w:szCs w:val="20"/>
              </w:rPr>
              <w:t xml:space="preserve">月 </w:t>
            </w:r>
            <w:r>
              <w:rPr>
                <w:rFonts w:ascii="Times New Roman" w:eastAsia="Times New Roman" w:hAnsi="Times New Roman" w:cs="Times New Roman"/>
                <w:color w:val="000000"/>
                <w:spacing w:val="0"/>
                <w:w w:val="100"/>
                <w:position w:val="0"/>
                <w:sz w:val="20"/>
                <w:szCs w:val="20"/>
              </w:rPr>
              <w:t>16</w:t>
            </w:r>
          </w:p>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2016 </w:t>
            </w:r>
            <w:r>
              <w:rPr>
                <w:color w:val="000000"/>
                <w:spacing w:val="0"/>
                <w:w w:val="100"/>
                <w:position w:val="0"/>
                <w:sz w:val="20"/>
                <w:szCs w:val="20"/>
              </w:rPr>
              <w:t>年</w:t>
            </w:r>
          </w:p>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12 </w:t>
            </w:r>
            <w:r>
              <w:rPr>
                <w:color w:val="000000"/>
                <w:spacing w:val="0"/>
                <w:w w:val="100"/>
                <w:position w:val="0"/>
                <w:sz w:val="20"/>
                <w:szCs w:val="20"/>
              </w:rPr>
              <w:t xml:space="preserve">月 </w:t>
            </w:r>
            <w:r>
              <w:rPr>
                <w:rFonts w:ascii="Times New Roman" w:eastAsia="Times New Roman" w:hAnsi="Times New Roman" w:cs="Times New Roman"/>
                <w:color w:val="000000"/>
                <w:spacing w:val="0"/>
                <w:w w:val="100"/>
                <w:position w:val="0"/>
                <w:sz w:val="20"/>
                <w:szCs w:val="20"/>
              </w:rPr>
              <w:t>15</w:t>
            </w:r>
          </w:p>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日</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r>
      <w:tr>
        <w:trPr>
          <w:trHeight w:val="79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王全胜</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独立董 事</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现任</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48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2013 </w:t>
            </w:r>
            <w:r>
              <w:rPr>
                <w:color w:val="000000"/>
                <w:spacing w:val="0"/>
                <w:w w:val="100"/>
                <w:position w:val="0"/>
                <w:sz w:val="20"/>
                <w:szCs w:val="20"/>
              </w:rPr>
              <w:t>年</w:t>
            </w:r>
          </w:p>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12 </w:t>
            </w:r>
            <w:r>
              <w:rPr>
                <w:color w:val="000000"/>
                <w:spacing w:val="0"/>
                <w:w w:val="100"/>
                <w:position w:val="0"/>
                <w:sz w:val="20"/>
                <w:szCs w:val="20"/>
              </w:rPr>
              <w:t xml:space="preserve">月 </w:t>
            </w:r>
            <w:r>
              <w:rPr>
                <w:rFonts w:ascii="Times New Roman" w:eastAsia="Times New Roman" w:hAnsi="Times New Roman" w:cs="Times New Roman"/>
                <w:color w:val="000000"/>
                <w:spacing w:val="0"/>
                <w:w w:val="100"/>
                <w:position w:val="0"/>
                <w:sz w:val="20"/>
                <w:szCs w:val="20"/>
              </w:rPr>
              <w:t>16</w:t>
            </w:r>
          </w:p>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2016 </w:t>
            </w:r>
            <w:r>
              <w:rPr>
                <w:color w:val="000000"/>
                <w:spacing w:val="0"/>
                <w:w w:val="100"/>
                <w:position w:val="0"/>
                <w:sz w:val="20"/>
                <w:szCs w:val="20"/>
              </w:rPr>
              <w:t>年</w:t>
            </w:r>
          </w:p>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12 </w:t>
            </w:r>
            <w:r>
              <w:rPr>
                <w:color w:val="000000"/>
                <w:spacing w:val="0"/>
                <w:w w:val="100"/>
                <w:position w:val="0"/>
                <w:sz w:val="20"/>
                <w:szCs w:val="20"/>
              </w:rPr>
              <w:t xml:space="preserve">月 </w:t>
            </w:r>
            <w:r>
              <w:rPr>
                <w:rFonts w:ascii="Times New Roman" w:eastAsia="Times New Roman" w:hAnsi="Times New Roman" w:cs="Times New Roman"/>
                <w:color w:val="000000"/>
                <w:spacing w:val="0"/>
                <w:w w:val="100"/>
                <w:position w:val="0"/>
                <w:sz w:val="20"/>
                <w:szCs w:val="20"/>
              </w:rPr>
              <w:t>15</w:t>
            </w:r>
          </w:p>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日</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r>
      <w:tr>
        <w:trPr>
          <w:trHeight w:val="78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李建颖</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监事会</w:t>
            </w:r>
          </w:p>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主席</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现任</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女</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48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2013 </w:t>
            </w:r>
            <w:r>
              <w:rPr>
                <w:color w:val="000000"/>
                <w:spacing w:val="0"/>
                <w:w w:val="100"/>
                <w:position w:val="0"/>
                <w:sz w:val="20"/>
                <w:szCs w:val="20"/>
              </w:rPr>
              <w:t>年</w:t>
            </w:r>
          </w:p>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12 </w:t>
            </w:r>
            <w:r>
              <w:rPr>
                <w:color w:val="000000"/>
                <w:spacing w:val="0"/>
                <w:w w:val="100"/>
                <w:position w:val="0"/>
                <w:sz w:val="20"/>
                <w:szCs w:val="20"/>
              </w:rPr>
              <w:t xml:space="preserve">月 </w:t>
            </w:r>
            <w:r>
              <w:rPr>
                <w:rFonts w:ascii="Times New Roman" w:eastAsia="Times New Roman" w:hAnsi="Times New Roman" w:cs="Times New Roman"/>
                <w:color w:val="000000"/>
                <w:spacing w:val="0"/>
                <w:w w:val="100"/>
                <w:position w:val="0"/>
                <w:sz w:val="20"/>
                <w:szCs w:val="20"/>
              </w:rPr>
              <w:t>16</w:t>
            </w:r>
          </w:p>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2016 </w:t>
            </w:r>
            <w:r>
              <w:rPr>
                <w:color w:val="000000"/>
                <w:spacing w:val="0"/>
                <w:w w:val="100"/>
                <w:position w:val="0"/>
                <w:sz w:val="20"/>
                <w:szCs w:val="20"/>
              </w:rPr>
              <w:t>年</w:t>
            </w:r>
          </w:p>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12 </w:t>
            </w:r>
            <w:r>
              <w:rPr>
                <w:color w:val="000000"/>
                <w:spacing w:val="0"/>
                <w:w w:val="100"/>
                <w:position w:val="0"/>
                <w:sz w:val="20"/>
                <w:szCs w:val="20"/>
              </w:rPr>
              <w:t xml:space="preserve">月 </w:t>
            </w:r>
            <w:r>
              <w:rPr>
                <w:rFonts w:ascii="Times New Roman" w:eastAsia="Times New Roman" w:hAnsi="Times New Roman" w:cs="Times New Roman"/>
                <w:color w:val="000000"/>
                <w:spacing w:val="0"/>
                <w:w w:val="100"/>
                <w:position w:val="0"/>
                <w:sz w:val="20"/>
                <w:szCs w:val="20"/>
              </w:rPr>
              <w:t>15</w:t>
            </w:r>
          </w:p>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日</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r>
      <w:tr>
        <w:trPr>
          <w:trHeight w:val="78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汪晓玲</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现任</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女</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44</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2013 </w:t>
            </w:r>
            <w:r>
              <w:rPr>
                <w:color w:val="000000"/>
                <w:spacing w:val="0"/>
                <w:w w:val="100"/>
                <w:position w:val="0"/>
                <w:sz w:val="20"/>
                <w:szCs w:val="20"/>
              </w:rPr>
              <w:t>年</w:t>
            </w:r>
          </w:p>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12 </w:t>
            </w:r>
            <w:r>
              <w:rPr>
                <w:color w:val="000000"/>
                <w:spacing w:val="0"/>
                <w:w w:val="100"/>
                <w:position w:val="0"/>
                <w:sz w:val="20"/>
                <w:szCs w:val="20"/>
              </w:rPr>
              <w:t xml:space="preserve">月 </w:t>
            </w:r>
            <w:r>
              <w:rPr>
                <w:rFonts w:ascii="Times New Roman" w:eastAsia="Times New Roman" w:hAnsi="Times New Roman" w:cs="Times New Roman"/>
                <w:color w:val="000000"/>
                <w:spacing w:val="0"/>
                <w:w w:val="100"/>
                <w:position w:val="0"/>
                <w:sz w:val="20"/>
                <w:szCs w:val="20"/>
              </w:rPr>
              <w:t>16</w:t>
            </w:r>
          </w:p>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2016 </w:t>
            </w:r>
            <w:r>
              <w:rPr>
                <w:color w:val="000000"/>
                <w:spacing w:val="0"/>
                <w:w w:val="100"/>
                <w:position w:val="0"/>
                <w:sz w:val="20"/>
                <w:szCs w:val="20"/>
              </w:rPr>
              <w:t>年</w:t>
            </w:r>
          </w:p>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12 </w:t>
            </w:r>
            <w:r>
              <w:rPr>
                <w:color w:val="000000"/>
                <w:spacing w:val="0"/>
                <w:w w:val="100"/>
                <w:position w:val="0"/>
                <w:sz w:val="20"/>
                <w:szCs w:val="20"/>
              </w:rPr>
              <w:t xml:space="preserve">月 </w:t>
            </w:r>
            <w:r>
              <w:rPr>
                <w:rFonts w:ascii="Times New Roman" w:eastAsia="Times New Roman" w:hAnsi="Times New Roman" w:cs="Times New Roman"/>
                <w:color w:val="000000"/>
                <w:spacing w:val="0"/>
                <w:w w:val="100"/>
                <w:position w:val="0"/>
                <w:sz w:val="20"/>
                <w:szCs w:val="20"/>
              </w:rPr>
              <w:t>15</w:t>
            </w:r>
          </w:p>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日</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r>
      <w:tr>
        <w:trPr>
          <w:trHeight w:val="78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华志松</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现任</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35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2013 </w:t>
            </w:r>
            <w:r>
              <w:rPr>
                <w:color w:val="000000"/>
                <w:spacing w:val="0"/>
                <w:w w:val="100"/>
                <w:position w:val="0"/>
                <w:sz w:val="20"/>
                <w:szCs w:val="20"/>
              </w:rPr>
              <w:t>年</w:t>
            </w:r>
          </w:p>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12 </w:t>
            </w:r>
            <w:r>
              <w:rPr>
                <w:color w:val="000000"/>
                <w:spacing w:val="0"/>
                <w:w w:val="100"/>
                <w:position w:val="0"/>
                <w:sz w:val="20"/>
                <w:szCs w:val="20"/>
              </w:rPr>
              <w:t xml:space="preserve">月 </w:t>
            </w:r>
            <w:r>
              <w:rPr>
                <w:rFonts w:ascii="Times New Roman" w:eastAsia="Times New Roman" w:hAnsi="Times New Roman" w:cs="Times New Roman"/>
                <w:color w:val="000000"/>
                <w:spacing w:val="0"/>
                <w:w w:val="100"/>
                <w:position w:val="0"/>
                <w:sz w:val="20"/>
                <w:szCs w:val="20"/>
              </w:rPr>
              <w:t>16</w:t>
            </w:r>
          </w:p>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2016 </w:t>
            </w:r>
            <w:r>
              <w:rPr>
                <w:color w:val="000000"/>
                <w:spacing w:val="0"/>
                <w:w w:val="100"/>
                <w:position w:val="0"/>
                <w:sz w:val="20"/>
                <w:szCs w:val="20"/>
              </w:rPr>
              <w:t>年</w:t>
            </w:r>
          </w:p>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12 </w:t>
            </w:r>
            <w:r>
              <w:rPr>
                <w:color w:val="000000"/>
                <w:spacing w:val="0"/>
                <w:w w:val="100"/>
                <w:position w:val="0"/>
                <w:sz w:val="20"/>
                <w:szCs w:val="20"/>
              </w:rPr>
              <w:t xml:space="preserve">月 </w:t>
            </w:r>
            <w:r>
              <w:rPr>
                <w:rFonts w:ascii="Times New Roman" w:eastAsia="Times New Roman" w:hAnsi="Times New Roman" w:cs="Times New Roman"/>
                <w:color w:val="000000"/>
                <w:spacing w:val="0"/>
                <w:w w:val="100"/>
                <w:position w:val="0"/>
                <w:sz w:val="20"/>
                <w:szCs w:val="20"/>
              </w:rPr>
              <w:t>15</w:t>
            </w:r>
          </w:p>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日</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r>
      <w:tr>
        <w:trPr>
          <w:trHeight w:val="78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肖忠祥</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财务负</w:t>
            </w:r>
          </w:p>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责人</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现任</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46</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2013 </w:t>
            </w:r>
            <w:r>
              <w:rPr>
                <w:color w:val="000000"/>
                <w:spacing w:val="0"/>
                <w:w w:val="100"/>
                <w:position w:val="0"/>
                <w:sz w:val="20"/>
                <w:szCs w:val="20"/>
              </w:rPr>
              <w:t>年</w:t>
            </w:r>
          </w:p>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12 </w:t>
            </w:r>
            <w:r>
              <w:rPr>
                <w:color w:val="000000"/>
                <w:spacing w:val="0"/>
                <w:w w:val="100"/>
                <w:position w:val="0"/>
                <w:sz w:val="20"/>
                <w:szCs w:val="20"/>
              </w:rPr>
              <w:t xml:space="preserve">月 </w:t>
            </w:r>
            <w:r>
              <w:rPr>
                <w:rFonts w:ascii="Times New Roman" w:eastAsia="Times New Roman" w:hAnsi="Times New Roman" w:cs="Times New Roman"/>
                <w:color w:val="000000"/>
                <w:spacing w:val="0"/>
                <w:w w:val="100"/>
                <w:position w:val="0"/>
                <w:sz w:val="20"/>
                <w:szCs w:val="20"/>
              </w:rPr>
              <w:t>16</w:t>
            </w:r>
          </w:p>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2016 </w:t>
            </w:r>
            <w:r>
              <w:rPr>
                <w:color w:val="000000"/>
                <w:spacing w:val="0"/>
                <w:w w:val="100"/>
                <w:position w:val="0"/>
                <w:sz w:val="20"/>
                <w:szCs w:val="20"/>
              </w:rPr>
              <w:t>年</w:t>
            </w:r>
          </w:p>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12 </w:t>
            </w:r>
            <w:r>
              <w:rPr>
                <w:color w:val="000000"/>
                <w:spacing w:val="0"/>
                <w:w w:val="100"/>
                <w:position w:val="0"/>
                <w:sz w:val="20"/>
                <w:szCs w:val="20"/>
              </w:rPr>
              <w:t xml:space="preserve">月 </w:t>
            </w:r>
            <w:r>
              <w:rPr>
                <w:rFonts w:ascii="Times New Roman" w:eastAsia="Times New Roman" w:hAnsi="Times New Roman" w:cs="Times New Roman"/>
                <w:color w:val="000000"/>
                <w:spacing w:val="0"/>
                <w:w w:val="100"/>
                <w:position w:val="0"/>
                <w:sz w:val="20"/>
                <w:szCs w:val="20"/>
              </w:rPr>
              <w:t>15</w:t>
            </w:r>
          </w:p>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日</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r>
      <w:tr>
        <w:trPr>
          <w:trHeight w:val="274"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2,090,059,844</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2,090,059,844</w:t>
            </w:r>
          </w:p>
        </w:tc>
      </w:tr>
    </w:tbl>
    <w:p>
      <w:pPr>
        <w:pStyle w:val="Style32"/>
        <w:keepNext w:val="0"/>
        <w:keepLines w:val="0"/>
        <w:widowControl w:val="0"/>
        <w:shd w:val="clear" w:color="auto" w:fill="auto"/>
        <w:bidi w:val="0"/>
        <w:spacing w:before="0" w:after="0" w:line="470" w:lineRule="exact"/>
        <w:ind w:left="0" w:right="0" w:firstLine="460"/>
        <w:jc w:val="left"/>
        <w:rPr>
          <w:sz w:val="20"/>
          <w:szCs w:val="20"/>
        </w:rPr>
      </w:pPr>
      <w:r>
        <w:rPr>
          <w:color w:val="000000"/>
          <w:spacing w:val="0"/>
          <w:w w:val="100"/>
          <w:position w:val="0"/>
          <w:sz w:val="20"/>
          <w:szCs w:val="20"/>
        </w:rPr>
        <w:t>注</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r>
      <w:r>
        <w:rPr>
          <w:color w:val="000000"/>
          <w:spacing w:val="0"/>
          <w:w w:val="100"/>
          <w:position w:val="0"/>
          <w:sz w:val="20"/>
          <w:szCs w:val="20"/>
        </w:rPr>
        <w:t>'</w:t>
      </w:r>
      <w:r>
        <w:rPr>
          <w:color w:val="000000"/>
          <w:spacing w:val="0"/>
          <w:w w:val="100"/>
          <w:position w:val="0"/>
          <w:sz w:val="20"/>
          <w:szCs w:val="20"/>
        </w:rPr>
        <w:t>观任</w:t>
      </w:r>
      <w:r>
        <w:rPr>
          <w:color w:val="000000"/>
          <w:spacing w:val="0"/>
          <w:w w:val="100"/>
          <w:position w:val="0"/>
          <w:sz w:val="20"/>
          <w:szCs w:val="20"/>
        </w:rPr>
        <w:t>''</w:t>
      </w:r>
      <w:r>
        <w:rPr>
          <w:color w:val="000000"/>
          <w:spacing w:val="0"/>
          <w:w w:val="100"/>
          <w:position w:val="0"/>
          <w:sz w:val="20"/>
          <w:szCs w:val="20"/>
        </w:rPr>
        <w:t>指截至报告期末任职状态，下同。公司于</w:t>
      </w:r>
      <w:r>
        <w:rPr>
          <w:rFonts w:ascii="Times New Roman" w:eastAsia="Times New Roman" w:hAnsi="Times New Roman" w:cs="Times New Roman"/>
          <w:color w:val="000000"/>
          <w:spacing w:val="0"/>
          <w:w w:val="100"/>
          <w:position w:val="0"/>
          <w:sz w:val="20"/>
          <w:szCs w:val="20"/>
        </w:rPr>
        <w:t>2017</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日完成第五届董事会、第五届监事 会换届选举工作（具体内容详见公司</w:t>
      </w:r>
      <w:r>
        <w:rPr>
          <w:rFonts w:ascii="Times New Roman" w:eastAsia="Times New Roman" w:hAnsi="Times New Roman" w:cs="Times New Roman"/>
          <w:color w:val="000000"/>
          <w:spacing w:val="0"/>
          <w:w w:val="100"/>
          <w:position w:val="0"/>
          <w:sz w:val="20"/>
          <w:szCs w:val="20"/>
        </w:rPr>
        <w:t>2017-02</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号公告）；</w:t>
      </w:r>
    </w:p>
    <w:p>
      <w:pPr>
        <w:pStyle w:val="Style32"/>
        <w:keepNext w:val="0"/>
        <w:keepLines w:val="0"/>
        <w:widowControl w:val="0"/>
        <w:shd w:val="clear" w:color="auto" w:fill="auto"/>
        <w:bidi w:val="0"/>
        <w:spacing w:before="0" w:after="420" w:line="470" w:lineRule="exact"/>
        <w:ind w:left="0" w:right="0" w:firstLine="460"/>
        <w:jc w:val="left"/>
        <w:rPr>
          <w:sz w:val="20"/>
          <w:szCs w:val="20"/>
        </w:rPr>
      </w:pPr>
      <w:r>
        <w:rPr>
          <w:color w:val="000000"/>
          <w:spacing w:val="0"/>
          <w:w w:val="100"/>
          <w:position w:val="0"/>
          <w:sz w:val="20"/>
          <w:szCs w:val="20"/>
        </w:rPr>
        <w:t>注</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：公司第五届董事会于</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15</w:t>
      </w:r>
      <w:r>
        <w:rPr>
          <w:color w:val="000000"/>
          <w:spacing w:val="0"/>
          <w:w w:val="100"/>
          <w:position w:val="0"/>
          <w:sz w:val="20"/>
          <w:szCs w:val="20"/>
        </w:rPr>
        <w:t>日届满，根据法规要求，独立董事候选人应当取得深圳证券 交易所认可的独立董事资格证书。公司董事会提名的部分独立董事候选人需参加独立董事任职培训并获 得任职资格证书，公司第五届董事会任期届满之后有所延期，在换届前公司第五届董事会、监事会全体 成员及公司高级管理人员按照法律、法规、公司《章程》及相关规定继续履行董事、监事及高级管理人 员勤勉尽责的义务和职责。公司于</w:t>
      </w:r>
      <w:r>
        <w:rPr>
          <w:rFonts w:ascii="Times New Roman" w:eastAsia="Times New Roman" w:hAnsi="Times New Roman" w:cs="Times New Roman"/>
          <w:color w:val="000000"/>
          <w:spacing w:val="0"/>
          <w:w w:val="100"/>
          <w:position w:val="0"/>
          <w:sz w:val="20"/>
          <w:szCs w:val="20"/>
        </w:rPr>
        <w:t>2017</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日完成第五届董事会、第五届监事会换届选举工作（具体 内容详见公司</w:t>
      </w:r>
      <w:r>
        <w:rPr>
          <w:rFonts w:ascii="Times New Roman" w:eastAsia="Times New Roman" w:hAnsi="Times New Roman" w:cs="Times New Roman"/>
          <w:color w:val="000000"/>
          <w:spacing w:val="0"/>
          <w:w w:val="100"/>
          <w:position w:val="0"/>
          <w:sz w:val="20"/>
          <w:szCs w:val="20"/>
        </w:rPr>
        <w:t>2017-021</w:t>
      </w:r>
      <w:r>
        <w:rPr>
          <w:color w:val="000000"/>
          <w:spacing w:val="0"/>
          <w:w w:val="100"/>
          <w:position w:val="0"/>
          <w:sz w:val="20"/>
          <w:szCs w:val="20"/>
        </w:rPr>
        <w:t>号公告）。</w:t>
      </w:r>
    </w:p>
    <w:p>
      <w:pPr>
        <w:pStyle w:val="Style32"/>
        <w:keepNext w:val="0"/>
        <w:keepLines w:val="0"/>
        <w:widowControl w:val="0"/>
        <w:shd w:val="clear" w:color="auto" w:fill="auto"/>
        <w:tabs>
          <w:tab w:pos="500" w:val="left"/>
        </w:tabs>
        <w:bidi w:val="0"/>
        <w:spacing w:before="0" w:after="180" w:line="240" w:lineRule="auto"/>
        <w:ind w:left="0" w:right="0" w:firstLine="0"/>
        <w:jc w:val="left"/>
        <w:rPr>
          <w:sz w:val="24"/>
          <w:szCs w:val="24"/>
        </w:rPr>
      </w:pPr>
      <w:bookmarkStart w:id="438" w:name="bookmark438"/>
      <w:r>
        <w:rPr>
          <w:b/>
          <w:bCs/>
          <w:color w:val="000000"/>
          <w:spacing w:val="0"/>
          <w:w w:val="100"/>
          <w:position w:val="0"/>
          <w:sz w:val="24"/>
          <w:szCs w:val="24"/>
        </w:rPr>
        <w:t>二</w:t>
      </w:r>
      <w:bookmarkEnd w:id="438"/>
      <w:r>
        <w:rPr>
          <w:b/>
          <w:bCs/>
          <w:color w:val="000000"/>
          <w:spacing w:val="0"/>
          <w:w w:val="100"/>
          <w:position w:val="0"/>
          <w:sz w:val="24"/>
          <w:szCs w:val="24"/>
        </w:rPr>
        <w:t>、</w:t>
        <w:tab/>
        <w:t>公司董事、监事、高级管理人员变动情况</w:t>
      </w:r>
    </w:p>
    <w:p>
      <w:pPr>
        <w:pStyle w:val="Style32"/>
        <w:keepNext w:val="0"/>
        <w:keepLines w:val="0"/>
        <w:widowControl w:val="0"/>
        <w:shd w:val="clear" w:color="auto" w:fill="auto"/>
        <w:bidi w:val="0"/>
        <w:spacing w:before="0" w:after="420" w:line="470" w:lineRule="exact"/>
        <w:ind w:left="0" w:right="0" w:firstLine="440"/>
        <w:jc w:val="left"/>
      </w:pPr>
      <w:r>
        <w:rPr>
          <w:color w:val="000000"/>
          <w:spacing w:val="0"/>
          <w:w w:val="100"/>
          <w:position w:val="0"/>
        </w:rPr>
        <w:t>报告期内，公司董事、监事、高级管理人员未发生变动。</w:t>
      </w:r>
    </w:p>
    <w:p>
      <w:pPr>
        <w:pStyle w:val="Style32"/>
        <w:keepNext w:val="0"/>
        <w:keepLines w:val="0"/>
        <w:widowControl w:val="0"/>
        <w:shd w:val="clear" w:color="auto" w:fill="auto"/>
        <w:tabs>
          <w:tab w:pos="504" w:val="left"/>
        </w:tabs>
        <w:bidi w:val="0"/>
        <w:spacing w:before="0" w:after="420" w:line="240" w:lineRule="auto"/>
        <w:ind w:left="0" w:right="0" w:firstLine="0"/>
        <w:jc w:val="left"/>
        <w:rPr>
          <w:sz w:val="24"/>
          <w:szCs w:val="24"/>
        </w:rPr>
      </w:pPr>
      <w:bookmarkStart w:id="439" w:name="bookmark439"/>
      <w:r>
        <w:rPr>
          <w:b/>
          <w:bCs/>
          <w:color w:val="000000"/>
          <w:spacing w:val="0"/>
          <w:w w:val="100"/>
          <w:position w:val="0"/>
          <w:sz w:val="24"/>
          <w:szCs w:val="24"/>
        </w:rPr>
        <w:t>三</w:t>
      </w:r>
      <w:bookmarkEnd w:id="439"/>
      <w:r>
        <w:rPr>
          <w:b/>
          <w:bCs/>
          <w:color w:val="000000"/>
          <w:spacing w:val="0"/>
          <w:w w:val="100"/>
          <w:position w:val="0"/>
          <w:sz w:val="24"/>
          <w:szCs w:val="24"/>
        </w:rPr>
        <w:t>、</w:t>
        <w:tab/>
        <w:t>任职情况</w:t>
      </w:r>
    </w:p>
    <w:p>
      <w:pPr>
        <w:pStyle w:val="Style32"/>
        <w:keepNext w:val="0"/>
        <w:keepLines w:val="0"/>
        <w:widowControl w:val="0"/>
        <w:shd w:val="clear" w:color="auto" w:fill="auto"/>
        <w:bidi w:val="0"/>
        <w:spacing w:before="0" w:after="120" w:line="240" w:lineRule="auto"/>
        <w:ind w:left="0" w:right="0" w:firstLine="440"/>
        <w:jc w:val="left"/>
      </w:pPr>
      <w:r>
        <w:rPr>
          <w:color w:val="000000"/>
          <w:spacing w:val="0"/>
          <w:w w:val="100"/>
          <w:position w:val="0"/>
        </w:rPr>
        <w:t>报告期内，公司董事、监事、高级管理人员专业背景、主要工作经历以及在公司的主要职责</w:t>
      </w:r>
    </w:p>
    <w:p>
      <w:pPr>
        <w:pStyle w:val="Style38"/>
        <w:keepNext/>
        <w:keepLines/>
        <w:widowControl w:val="0"/>
        <w:shd w:val="clear" w:color="auto" w:fill="auto"/>
        <w:bidi w:val="0"/>
        <w:spacing w:before="0" w:after="0" w:line="240" w:lineRule="auto"/>
        <w:ind w:left="0" w:right="0" w:firstLine="440"/>
        <w:jc w:val="left"/>
      </w:pPr>
      <w:bookmarkStart w:id="440" w:name="bookmark440"/>
      <w:bookmarkStart w:id="441" w:name="bookmark441"/>
      <w:bookmarkStart w:id="442" w:name="bookmark442"/>
      <w:bookmarkStart w:id="443" w:name="bookmark443"/>
      <w:r>
        <w:rPr>
          <w:rFonts w:ascii="Times New Roman" w:eastAsia="Times New Roman" w:hAnsi="Times New Roman" w:cs="Times New Roman"/>
          <w:color w:val="000000"/>
          <w:spacing w:val="0"/>
          <w:w w:val="100"/>
          <w:position w:val="0"/>
        </w:rPr>
        <w:t>1</w:t>
      </w:r>
      <w:bookmarkEnd w:id="442"/>
      <w:r>
        <w:rPr>
          <w:color w:val="000000"/>
          <w:spacing w:val="0"/>
          <w:w w:val="100"/>
          <w:position w:val="0"/>
        </w:rPr>
        <w:t>、董事</w:t>
      </w:r>
      <w:bookmarkEnd w:id="440"/>
      <w:bookmarkEnd w:id="441"/>
      <w:bookmarkEnd w:id="443"/>
    </w:p>
    <w:p>
      <w:pPr>
        <w:pStyle w:val="Style32"/>
        <w:keepNext w:val="0"/>
        <w:keepLines w:val="0"/>
        <w:widowControl w:val="0"/>
        <w:shd w:val="clear" w:color="auto" w:fill="auto"/>
        <w:bidi w:val="0"/>
        <w:spacing w:before="0" w:after="0" w:line="473" w:lineRule="exact"/>
        <w:ind w:left="0" w:right="0" w:firstLine="460"/>
        <w:jc w:val="both"/>
      </w:pPr>
      <w:r>
        <w:rPr>
          <w:color w:val="000000"/>
          <w:spacing w:val="0"/>
          <w:w w:val="100"/>
          <w:position w:val="0"/>
        </w:rPr>
        <w:t>张近东先生：中国国籍，</w:t>
      </w:r>
      <w:r>
        <w:rPr>
          <w:rFonts w:ascii="Times New Roman" w:eastAsia="Times New Roman" w:hAnsi="Times New Roman" w:cs="Times New Roman"/>
          <w:color w:val="000000"/>
          <w:spacing w:val="0"/>
          <w:w w:val="100"/>
          <w:position w:val="0"/>
        </w:rPr>
        <w:t>1963</w:t>
      </w:r>
      <w:r>
        <w:rPr>
          <w:color w:val="000000"/>
          <w:spacing w:val="0"/>
          <w:w w:val="100"/>
          <w:position w:val="0"/>
        </w:rPr>
        <w:t>年出生，汉族，本科学历，高级经济师，公司控股股东、实际控 制人。曾任江苏苏宁交家电有限公司董事长兼总经理、中国人民政治协商会议第十、十一届全国委 员会委员、中华全国工商业联合会常委、中华全国工商业联合会副主席，现任公司董事长、中国人 民政治协商会议第十二届全国委员会委员、中国民间商会副会长、中国上市公司协会副会长。</w:t>
      </w:r>
    </w:p>
    <w:p>
      <w:pPr>
        <w:pStyle w:val="Style32"/>
        <w:keepNext w:val="0"/>
        <w:keepLines w:val="0"/>
        <w:widowControl w:val="0"/>
        <w:shd w:val="clear" w:color="auto" w:fill="auto"/>
        <w:bidi w:val="0"/>
        <w:spacing w:before="0" w:after="0" w:line="473" w:lineRule="exact"/>
        <w:ind w:left="0" w:right="0" w:firstLine="460"/>
        <w:jc w:val="both"/>
      </w:pPr>
      <w:r>
        <w:rPr>
          <w:color w:val="000000"/>
          <w:spacing w:val="0"/>
          <w:w w:val="100"/>
          <w:position w:val="0"/>
        </w:rPr>
        <w:t>孙为民先生：中国国籍，</w:t>
      </w:r>
      <w:r>
        <w:rPr>
          <w:rFonts w:ascii="Times New Roman" w:eastAsia="Times New Roman" w:hAnsi="Times New Roman" w:cs="Times New Roman"/>
          <w:color w:val="000000"/>
          <w:spacing w:val="0"/>
          <w:w w:val="100"/>
          <w:position w:val="0"/>
        </w:rPr>
        <w:t>1963</w:t>
      </w:r>
      <w:r>
        <w:rPr>
          <w:color w:val="000000"/>
          <w:spacing w:val="0"/>
          <w:w w:val="100"/>
          <w:position w:val="0"/>
        </w:rPr>
        <w:t>年出生，汉族，硕士学历。曾在南京理工大学执教，曾任公司副 总裁、总裁，现任公司副董事长、中国连锁经营协会副会长、清华大学中国零售研究院专家委员、 江苏省工商联副主席，并担任公司子公司陕西苏宁云商销售有限公司、西安苏宁云商贸易有限公司、 江苏苏宁商业投资有限公司法定代表人。</w:t>
      </w:r>
    </w:p>
    <w:p>
      <w:pPr>
        <w:pStyle w:val="Style32"/>
        <w:keepNext w:val="0"/>
        <w:keepLines w:val="0"/>
        <w:widowControl w:val="0"/>
        <w:shd w:val="clear" w:color="auto" w:fill="auto"/>
        <w:bidi w:val="0"/>
        <w:spacing w:before="0" w:after="0" w:line="470" w:lineRule="exact"/>
        <w:ind w:left="0" w:right="0" w:firstLine="460"/>
        <w:jc w:val="both"/>
      </w:pPr>
      <w:r>
        <w:rPr>
          <w:color w:val="000000"/>
          <w:spacing w:val="0"/>
          <w:w w:val="100"/>
          <w:position w:val="0"/>
        </w:rPr>
        <w:t>金明先生：中国国籍，</w:t>
      </w:r>
      <w:r>
        <w:rPr>
          <w:rFonts w:ascii="Times New Roman" w:eastAsia="Times New Roman" w:hAnsi="Times New Roman" w:cs="Times New Roman"/>
          <w:color w:val="000000"/>
          <w:spacing w:val="0"/>
          <w:w w:val="100"/>
          <w:position w:val="0"/>
        </w:rPr>
        <w:t>1971</w:t>
      </w:r>
      <w:r>
        <w:rPr>
          <w:color w:val="000000"/>
          <w:spacing w:val="0"/>
          <w:w w:val="100"/>
          <w:position w:val="0"/>
        </w:rPr>
        <w:t>年出生，汉族，本科学历。曾任苏宁交家电（集团）有限公司营销 管理中心总监，苏宁电器股份有限公司副总裁，现任苏宁云商集团股份有限公司董事、总裁。金明 先生还担任公司下属子公司</w:t>
      </w:r>
      <w:r>
        <w:rPr>
          <w:color w:val="000000"/>
          <w:spacing w:val="0"/>
          <w:w w:val="100"/>
          <w:position w:val="0"/>
        </w:rPr>
        <w:t>一</w:t>
      </w:r>
      <w:r>
        <w:rPr>
          <w:rFonts w:ascii="Times New Roman" w:eastAsia="Times New Roman" w:hAnsi="Times New Roman" w:cs="Times New Roman"/>
          <w:color w:val="000000"/>
          <w:spacing w:val="0"/>
          <w:w w:val="100"/>
          <w:position w:val="0"/>
        </w:rPr>
        <w:t>Granda Magic Limited</w:t>
      </w:r>
      <w:r>
        <w:rPr>
          <w:color w:val="000000"/>
          <w:spacing w:val="0"/>
          <w:w w:val="100"/>
          <w:position w:val="0"/>
        </w:rPr>
        <w:t xml:space="preserve">&gt; </w:t>
      </w:r>
      <w:r>
        <w:rPr>
          <w:rFonts w:ascii="Times New Roman" w:eastAsia="Times New Roman" w:hAnsi="Times New Roman" w:cs="Times New Roman"/>
          <w:color w:val="000000"/>
          <w:spacing w:val="0"/>
          <w:w w:val="100"/>
          <w:position w:val="0"/>
        </w:rPr>
        <w:t>Great Elite Limited</w:t>
      </w:r>
      <w:r>
        <w:rPr>
          <w:color w:val="000000"/>
          <w:spacing w:val="0"/>
          <w:w w:val="100"/>
          <w:position w:val="0"/>
        </w:rPr>
        <w:t>等海外子公司董事。</w:t>
      </w:r>
    </w:p>
    <w:p>
      <w:pPr>
        <w:pStyle w:val="Style32"/>
        <w:keepNext w:val="0"/>
        <w:keepLines w:val="0"/>
        <w:widowControl w:val="0"/>
        <w:shd w:val="clear" w:color="auto" w:fill="auto"/>
        <w:bidi w:val="0"/>
        <w:spacing w:before="0" w:after="300" w:line="470" w:lineRule="exact"/>
        <w:ind w:left="0" w:right="0" w:firstLine="460"/>
        <w:jc w:val="both"/>
      </w:pPr>
      <w:r>
        <w:rPr>
          <w:color w:val="000000"/>
          <w:spacing w:val="0"/>
          <w:w w:val="100"/>
          <w:position w:val="0"/>
        </w:rPr>
        <w:t>孟祥胜先生：中国国籍，</w:t>
      </w:r>
      <w:r>
        <w:rPr>
          <w:rFonts w:ascii="Times New Roman" w:eastAsia="Times New Roman" w:hAnsi="Times New Roman" w:cs="Times New Roman"/>
          <w:color w:val="000000"/>
          <w:spacing w:val="0"/>
          <w:w w:val="100"/>
          <w:position w:val="0"/>
        </w:rPr>
        <w:t>1972</w:t>
      </w:r>
      <w:r>
        <w:rPr>
          <w:color w:val="000000"/>
          <w:spacing w:val="0"/>
          <w:w w:val="100"/>
          <w:position w:val="0"/>
        </w:rPr>
        <w:t>年出生，汉族，本科学历。曾任海尔药业浙江市场部经理、南京 东方智业管理咨询顾问，现任公司董事、副总裁。</w:t>
      </w:r>
    </w:p>
    <w:p>
      <w:pPr>
        <w:pStyle w:val="Style32"/>
        <w:keepNext w:val="0"/>
        <w:keepLines w:val="0"/>
        <w:widowControl w:val="0"/>
        <w:shd w:val="clear" w:color="auto" w:fill="auto"/>
        <w:bidi w:val="0"/>
        <w:spacing w:before="0" w:after="0" w:line="470" w:lineRule="exact"/>
        <w:ind w:left="0" w:right="0" w:firstLine="460"/>
        <w:jc w:val="both"/>
      </w:pPr>
      <w:r>
        <w:rPr>
          <w:color w:val="000000"/>
          <w:spacing w:val="0"/>
          <w:w w:val="100"/>
          <w:position w:val="0"/>
        </w:rPr>
        <w:t>任峻先生：中国国籍，</w:t>
      </w:r>
      <w:r>
        <w:rPr>
          <w:rFonts w:ascii="Times New Roman" w:eastAsia="Times New Roman" w:hAnsi="Times New Roman" w:cs="Times New Roman"/>
          <w:color w:val="000000"/>
          <w:spacing w:val="0"/>
          <w:w w:val="100"/>
          <w:position w:val="0"/>
        </w:rPr>
        <w:t>1977</w:t>
      </w:r>
      <w:r>
        <w:rPr>
          <w:color w:val="000000"/>
          <w:spacing w:val="0"/>
          <w:w w:val="100"/>
          <w:position w:val="0"/>
        </w:rPr>
        <w:t>年出生，汉族，本科学历。现任公司董事、副总裁、董事会秘书。 兼任苏宁消费金融有限公司董事，苏宁金石（天津）基金管理有限公司董事、法定代表人，国际米 兰足球俱乐部有限公司董事。</w:t>
      </w:r>
    </w:p>
    <w:p>
      <w:pPr>
        <w:pStyle w:val="Style32"/>
        <w:keepNext w:val="0"/>
        <w:keepLines w:val="0"/>
        <w:widowControl w:val="0"/>
        <w:shd w:val="clear" w:color="auto" w:fill="auto"/>
        <w:bidi w:val="0"/>
        <w:spacing w:before="0" w:after="0" w:line="470" w:lineRule="exact"/>
        <w:ind w:left="0" w:right="0" w:firstLine="460"/>
        <w:jc w:val="both"/>
      </w:pPr>
      <w:r>
        <w:rPr>
          <w:color w:val="000000"/>
          <w:spacing w:val="0"/>
          <w:w w:val="100"/>
          <w:position w:val="0"/>
        </w:rPr>
        <w:t>陈俊杰先生：中国国籍，</w:t>
      </w:r>
      <w:r>
        <w:rPr>
          <w:rFonts w:ascii="Times New Roman" w:eastAsia="Times New Roman" w:hAnsi="Times New Roman" w:cs="Times New Roman"/>
          <w:color w:val="000000"/>
          <w:spacing w:val="0"/>
          <w:w w:val="100"/>
          <w:position w:val="0"/>
        </w:rPr>
        <w:t>1958</w:t>
      </w:r>
      <w:r>
        <w:rPr>
          <w:color w:val="000000"/>
          <w:spacing w:val="0"/>
          <w:w w:val="100"/>
          <w:position w:val="0"/>
        </w:rPr>
        <w:t>年出生，汉族，博士学历。东南大学智能网络与测控系统研究所 所长兼东南大学智能信息与虚拟测控系统研究所所长、教授、博士生导师。现兼任国内外多个学术 机构和团体的骨干职务，并且是国家科学技术奖励评审委员会评审专家、国家</w:t>
      </w:r>
      <w:r>
        <w:rPr>
          <w:rFonts w:ascii="Times New Roman" w:eastAsia="Times New Roman" w:hAnsi="Times New Roman" w:cs="Times New Roman"/>
          <w:color w:val="000000"/>
          <w:spacing w:val="0"/>
          <w:w w:val="100"/>
          <w:position w:val="0"/>
        </w:rPr>
        <w:t>863</w:t>
      </w:r>
      <w:r>
        <w:rPr>
          <w:color w:val="000000"/>
          <w:spacing w:val="0"/>
          <w:w w:val="100"/>
          <w:position w:val="0"/>
        </w:rPr>
        <w:t>高技术项目评审专 家、江苏省科技咨询专家等以及国际国内</w:t>
      </w:r>
      <w:r>
        <w:rPr>
          <w:rFonts w:ascii="Times New Roman" w:eastAsia="Times New Roman" w:hAnsi="Times New Roman" w:cs="Times New Roman"/>
          <w:color w:val="000000"/>
          <w:spacing w:val="0"/>
          <w:w w:val="100"/>
          <w:position w:val="0"/>
        </w:rPr>
        <w:t>20</w:t>
      </w:r>
      <w:r>
        <w:rPr>
          <w:color w:val="000000"/>
          <w:spacing w:val="0"/>
          <w:w w:val="100"/>
          <w:position w:val="0"/>
        </w:rPr>
        <w:t>多个学术刊物编委及特约审稿专家。拥有无线传感器网 络和物联网领域的国家专利</w:t>
      </w:r>
      <w:r>
        <w:rPr>
          <w:rFonts w:ascii="Times New Roman" w:eastAsia="Times New Roman" w:hAnsi="Times New Roman" w:cs="Times New Roman"/>
          <w:color w:val="000000"/>
          <w:spacing w:val="0"/>
          <w:w w:val="100"/>
          <w:position w:val="0"/>
        </w:rPr>
        <w:t>60</w:t>
      </w:r>
      <w:r>
        <w:rPr>
          <w:color w:val="000000"/>
          <w:spacing w:val="0"/>
          <w:w w:val="100"/>
          <w:position w:val="0"/>
        </w:rPr>
        <w:t>多项，其中国家发明专利</w:t>
      </w:r>
      <w:r>
        <w:rPr>
          <w:rFonts w:ascii="Times New Roman" w:eastAsia="Times New Roman" w:hAnsi="Times New Roman" w:cs="Times New Roman"/>
          <w:color w:val="000000"/>
          <w:spacing w:val="0"/>
          <w:w w:val="100"/>
          <w:position w:val="0"/>
        </w:rPr>
        <w:t>28</w:t>
      </w:r>
      <w:r>
        <w:rPr>
          <w:color w:val="000000"/>
          <w:spacing w:val="0"/>
          <w:w w:val="100"/>
          <w:position w:val="0"/>
        </w:rPr>
        <w:t>项，并获多项省部级科技进步奖，是中国 无线传感器网络和物联网领域的资深专家。本公司董事，无在其他上市公司兼任董事情形。</w:t>
      </w:r>
    </w:p>
    <w:p>
      <w:pPr>
        <w:pStyle w:val="Style32"/>
        <w:keepNext w:val="0"/>
        <w:keepLines w:val="0"/>
        <w:widowControl w:val="0"/>
        <w:shd w:val="clear" w:color="auto" w:fill="auto"/>
        <w:bidi w:val="0"/>
        <w:spacing w:before="0" w:after="0" w:line="470" w:lineRule="exact"/>
        <w:ind w:left="0" w:right="0" w:firstLine="460"/>
        <w:jc w:val="both"/>
      </w:pPr>
      <w:r>
        <w:rPr>
          <w:color w:val="000000"/>
          <w:spacing w:val="0"/>
          <w:w w:val="100"/>
          <w:position w:val="0"/>
        </w:rPr>
        <w:t>徐光华先生：中国国籍，</w:t>
      </w:r>
      <w:r>
        <w:rPr>
          <w:rFonts w:ascii="Times New Roman" w:eastAsia="Times New Roman" w:hAnsi="Times New Roman" w:cs="Times New Roman"/>
          <w:color w:val="000000"/>
          <w:spacing w:val="0"/>
          <w:w w:val="100"/>
          <w:position w:val="0"/>
        </w:rPr>
        <w:t>1963</w:t>
      </w:r>
      <w:r>
        <w:rPr>
          <w:color w:val="000000"/>
          <w:spacing w:val="0"/>
          <w:w w:val="100"/>
          <w:position w:val="0"/>
        </w:rPr>
        <w:t>年出生，汉族，博士学历。南京理工大学经济管理学院会计学系 主任、会计学教授、博士生导师，经管学院教授委员会常务委员，南京理工大学会计学学科带头人, 九三学社南京理工大学委员，南京市玄武区政协委员。现兼任中国会计学会高等工科院校分会副会 长、江苏省审计学会常务理事、江苏省总会计师协会理事，国家自科基金、国家社科基金和霍英东 教育基金等同行评审专家。本公司独立董事，同时报告期内兼任江苏舜天船舶股份有限公司独立董 事。</w:t>
      </w:r>
    </w:p>
    <w:p>
      <w:pPr>
        <w:pStyle w:val="Style32"/>
        <w:keepNext w:val="0"/>
        <w:keepLines w:val="0"/>
        <w:widowControl w:val="0"/>
        <w:shd w:val="clear" w:color="auto" w:fill="auto"/>
        <w:bidi w:val="0"/>
        <w:spacing w:before="0" w:after="0" w:line="470" w:lineRule="exact"/>
        <w:ind w:left="0" w:right="0" w:firstLine="460"/>
        <w:jc w:val="both"/>
      </w:pPr>
      <w:r>
        <w:rPr>
          <w:color w:val="000000"/>
          <w:spacing w:val="0"/>
          <w:w w:val="100"/>
          <w:position w:val="0"/>
        </w:rPr>
        <w:t>沈厚才先生：中国国籍，</w:t>
      </w:r>
      <w:r>
        <w:rPr>
          <w:rFonts w:ascii="Times New Roman" w:eastAsia="Times New Roman" w:hAnsi="Times New Roman" w:cs="Times New Roman"/>
          <w:color w:val="000000"/>
          <w:spacing w:val="0"/>
          <w:w w:val="100"/>
          <w:position w:val="0"/>
        </w:rPr>
        <w:t>1964</w:t>
      </w:r>
      <w:r>
        <w:rPr>
          <w:color w:val="000000"/>
          <w:spacing w:val="0"/>
          <w:w w:val="100"/>
          <w:position w:val="0"/>
        </w:rPr>
        <w:t>年出生，汉族，博士学历。南京大学工程管理学院教授、管理科 学与工程专业博士生导师、管理科学与工程系系主任，同时还兼数学系运筹学与控制论专业硕士生 导师，目前为</w:t>
      </w:r>
      <w:r>
        <w:rPr>
          <w:rFonts w:ascii="Times New Roman" w:eastAsia="Times New Roman" w:hAnsi="Times New Roman" w:cs="Times New Roman"/>
          <w:color w:val="000000"/>
          <w:spacing w:val="0"/>
          <w:w w:val="100"/>
          <w:position w:val="0"/>
        </w:rPr>
        <w:t>Production and Operations Management Society</w:t>
      </w:r>
      <w:r>
        <w:rPr>
          <w:color w:val="000000"/>
          <w:spacing w:val="0"/>
          <w:w w:val="100"/>
          <w:position w:val="0"/>
        </w:rPr>
        <w:t>会员，中国运筹学学会会员，并兼任中国 管理学会生产与运作管理分委会委员、中国运筹学会随机服务与运作管理分会常务理事、《运筹与 管理》杂志编委。本公司独立董事，无在其他上市公司兼任董事情形。</w:t>
      </w:r>
    </w:p>
    <w:p>
      <w:pPr>
        <w:pStyle w:val="Style32"/>
        <w:keepNext w:val="0"/>
        <w:keepLines w:val="0"/>
        <w:widowControl w:val="0"/>
        <w:shd w:val="clear" w:color="auto" w:fill="auto"/>
        <w:bidi w:val="0"/>
        <w:spacing w:before="0" w:after="120" w:line="470" w:lineRule="exact"/>
        <w:ind w:left="0" w:right="0" w:firstLine="460"/>
        <w:jc w:val="both"/>
      </w:pPr>
      <w:r>
        <w:rPr>
          <w:color w:val="000000"/>
          <w:spacing w:val="0"/>
          <w:w w:val="100"/>
          <w:position w:val="0"/>
        </w:rPr>
        <w:t>王全胜先生：中国国籍，</w:t>
      </w:r>
      <w:r>
        <w:rPr>
          <w:rFonts w:ascii="Times New Roman" w:eastAsia="Times New Roman" w:hAnsi="Times New Roman" w:cs="Times New Roman"/>
          <w:color w:val="000000"/>
          <w:spacing w:val="0"/>
          <w:w w:val="100"/>
          <w:position w:val="0"/>
        </w:rPr>
        <w:t>1968</w:t>
      </w:r>
      <w:r>
        <w:rPr>
          <w:color w:val="000000"/>
          <w:spacing w:val="0"/>
          <w:w w:val="100"/>
          <w:position w:val="0"/>
        </w:rPr>
        <w:t>年出生，汉族，博士学历。南京大学管理学院副院长、教授、博 士生导师。本公司独立董事，同时兼任深圳广田集团股份有限公司、天泽信息产业股份有限公司独 立董事。</w:t>
      </w:r>
    </w:p>
    <w:p>
      <w:pPr>
        <w:pStyle w:val="Style38"/>
        <w:keepNext/>
        <w:keepLines/>
        <w:widowControl w:val="0"/>
        <w:shd w:val="clear" w:color="auto" w:fill="auto"/>
        <w:bidi w:val="0"/>
        <w:spacing w:before="0" w:after="0" w:line="240" w:lineRule="auto"/>
        <w:ind w:left="0" w:right="0" w:firstLine="460"/>
        <w:jc w:val="both"/>
      </w:pPr>
      <w:bookmarkStart w:id="444" w:name="bookmark444"/>
      <w:bookmarkStart w:id="445" w:name="bookmark445"/>
      <w:bookmarkStart w:id="446" w:name="bookmark446"/>
      <w:bookmarkStart w:id="447" w:name="bookmark447"/>
      <w:r>
        <w:rPr>
          <w:rFonts w:ascii="Times New Roman" w:eastAsia="Times New Roman" w:hAnsi="Times New Roman" w:cs="Times New Roman"/>
          <w:color w:val="000000"/>
          <w:spacing w:val="0"/>
          <w:w w:val="100"/>
          <w:position w:val="0"/>
        </w:rPr>
        <w:t>2</w:t>
      </w:r>
      <w:bookmarkEnd w:id="446"/>
      <w:r>
        <w:rPr>
          <w:color w:val="000000"/>
          <w:spacing w:val="0"/>
          <w:w w:val="100"/>
          <w:position w:val="0"/>
        </w:rPr>
        <w:t>、监事</w:t>
      </w:r>
      <w:bookmarkEnd w:id="444"/>
      <w:bookmarkEnd w:id="445"/>
      <w:bookmarkEnd w:id="447"/>
    </w:p>
    <w:p>
      <w:pPr>
        <w:pStyle w:val="Style32"/>
        <w:keepNext w:val="0"/>
        <w:keepLines w:val="0"/>
        <w:widowControl w:val="0"/>
        <w:shd w:val="clear" w:color="auto" w:fill="auto"/>
        <w:bidi w:val="0"/>
        <w:spacing w:before="0" w:after="0" w:line="473" w:lineRule="exact"/>
        <w:ind w:left="0" w:right="0" w:firstLine="460"/>
        <w:jc w:val="both"/>
      </w:pPr>
      <w:r>
        <w:rPr>
          <w:color w:val="000000"/>
          <w:spacing w:val="0"/>
          <w:w w:val="100"/>
          <w:position w:val="0"/>
        </w:rPr>
        <w:t>李建颖女士：中国国籍，</w:t>
      </w:r>
      <w:r>
        <w:rPr>
          <w:rFonts w:ascii="Times New Roman" w:eastAsia="Times New Roman" w:hAnsi="Times New Roman" w:cs="Times New Roman"/>
          <w:color w:val="000000"/>
          <w:spacing w:val="0"/>
          <w:w w:val="100"/>
          <w:position w:val="0"/>
        </w:rPr>
        <w:t>1968</w:t>
      </w:r>
      <w:r>
        <w:rPr>
          <w:color w:val="000000"/>
          <w:spacing w:val="0"/>
          <w:w w:val="100"/>
          <w:position w:val="0"/>
        </w:rPr>
        <w:t>年出生，汉族，本科学历。曾在南京市紫金无线电厂任职，曾任 苏宁电器股份有限公司结算管理中心总监、第四届监事会主席，现任物流集团财务管理中心总监、 第五届监事会主席。</w:t>
      </w:r>
    </w:p>
    <w:p>
      <w:pPr>
        <w:pStyle w:val="Style32"/>
        <w:keepNext w:val="0"/>
        <w:keepLines w:val="0"/>
        <w:widowControl w:val="0"/>
        <w:shd w:val="clear" w:color="auto" w:fill="auto"/>
        <w:bidi w:val="0"/>
        <w:spacing w:before="0" w:after="0" w:line="473" w:lineRule="exact"/>
        <w:ind w:left="0" w:right="0" w:firstLine="460"/>
        <w:jc w:val="both"/>
      </w:pPr>
      <w:r>
        <w:rPr>
          <w:color w:val="000000"/>
          <w:spacing w:val="0"/>
          <w:w w:val="100"/>
          <w:position w:val="0"/>
        </w:rPr>
        <w:t>汪晓玲女士：中国国籍，</w:t>
      </w:r>
      <w:r>
        <w:rPr>
          <w:rFonts w:ascii="Times New Roman" w:eastAsia="Times New Roman" w:hAnsi="Times New Roman" w:cs="Times New Roman"/>
          <w:color w:val="000000"/>
          <w:spacing w:val="0"/>
          <w:w w:val="100"/>
          <w:position w:val="0"/>
        </w:rPr>
        <w:t>1973</w:t>
      </w:r>
      <w:r>
        <w:rPr>
          <w:color w:val="000000"/>
          <w:spacing w:val="0"/>
          <w:w w:val="100"/>
          <w:position w:val="0"/>
        </w:rPr>
        <w:t xml:space="preserve">年出生，汉族，本科学历。曾任南京新闻发展公司办公室主任、 </w:t>
      </w:r>
      <w:r>
        <w:rPr>
          <w:color w:val="000000"/>
          <w:spacing w:val="0"/>
          <w:w w:val="100"/>
          <w:position w:val="0"/>
        </w:rPr>
        <w:t>苏宁电器股份有限公司财务管理中心预算中心总监、第四届监事会监事，现任公司财务管理总部执 行总裁助理、第五届监事会监事。</w:t>
      </w:r>
    </w:p>
    <w:p>
      <w:pPr>
        <w:pStyle w:val="Style32"/>
        <w:keepNext w:val="0"/>
        <w:keepLines w:val="0"/>
        <w:widowControl w:val="0"/>
        <w:shd w:val="clear" w:color="auto" w:fill="auto"/>
        <w:bidi w:val="0"/>
        <w:spacing w:before="0" w:after="100" w:line="480" w:lineRule="exact"/>
        <w:ind w:left="0" w:right="0" w:firstLine="460"/>
        <w:jc w:val="left"/>
      </w:pPr>
      <w:r>
        <w:rPr>
          <w:color w:val="000000"/>
          <w:spacing w:val="0"/>
          <w:w w:val="100"/>
          <w:position w:val="0"/>
        </w:rPr>
        <w:t>华志松先生：中国国籍，</w:t>
      </w:r>
      <w:r>
        <w:rPr>
          <w:rFonts w:ascii="Times New Roman" w:eastAsia="Times New Roman" w:hAnsi="Times New Roman" w:cs="Times New Roman"/>
          <w:color w:val="000000"/>
          <w:spacing w:val="0"/>
          <w:w w:val="100"/>
          <w:position w:val="0"/>
        </w:rPr>
        <w:t>1981</w:t>
      </w:r>
      <w:r>
        <w:rPr>
          <w:color w:val="000000"/>
          <w:spacing w:val="0"/>
          <w:w w:val="100"/>
          <w:position w:val="0"/>
        </w:rPr>
        <w:t>年出生，本科学历，</w:t>
      </w:r>
      <w:r>
        <w:rPr>
          <w:rFonts w:ascii="Times New Roman" w:eastAsia="Times New Roman" w:hAnsi="Times New Roman" w:cs="Times New Roman"/>
          <w:color w:val="000000"/>
          <w:spacing w:val="0"/>
          <w:w w:val="100"/>
          <w:position w:val="0"/>
        </w:rPr>
        <w:t>2004</w:t>
      </w:r>
      <w:r>
        <w:rPr>
          <w:color w:val="000000"/>
          <w:spacing w:val="0"/>
          <w:w w:val="100"/>
          <w:position w:val="0"/>
        </w:rPr>
        <w:t>年进入公司，先后担任公司总裁办计划 专员、财务总部办主任、财务会计部经理，现任公司财务管理总部财务规划中心总监。</w:t>
      </w:r>
    </w:p>
    <w:p>
      <w:pPr>
        <w:pStyle w:val="Style38"/>
        <w:keepNext/>
        <w:keepLines/>
        <w:widowControl w:val="0"/>
        <w:shd w:val="clear" w:color="auto" w:fill="auto"/>
        <w:bidi w:val="0"/>
        <w:spacing w:before="0" w:after="0" w:line="240" w:lineRule="auto"/>
        <w:ind w:left="0" w:right="0" w:firstLine="460"/>
        <w:jc w:val="both"/>
      </w:pPr>
      <w:bookmarkStart w:id="448" w:name="bookmark448"/>
      <w:bookmarkStart w:id="449" w:name="bookmark449"/>
      <w:bookmarkStart w:id="450" w:name="bookmark450"/>
      <w:bookmarkStart w:id="451" w:name="bookmark451"/>
      <w:r>
        <w:rPr>
          <w:rFonts w:ascii="Times New Roman" w:eastAsia="Times New Roman" w:hAnsi="Times New Roman" w:cs="Times New Roman"/>
          <w:color w:val="000000"/>
          <w:spacing w:val="0"/>
          <w:w w:val="100"/>
          <w:position w:val="0"/>
        </w:rPr>
        <w:t>3</w:t>
      </w:r>
      <w:bookmarkEnd w:id="450"/>
      <w:r>
        <w:rPr>
          <w:color w:val="000000"/>
          <w:spacing w:val="0"/>
          <w:w w:val="100"/>
          <w:position w:val="0"/>
        </w:rPr>
        <w:t>、高级管理人员</w:t>
      </w:r>
      <w:bookmarkEnd w:id="448"/>
      <w:bookmarkEnd w:id="449"/>
      <w:bookmarkEnd w:id="451"/>
    </w:p>
    <w:p>
      <w:pPr>
        <w:pStyle w:val="Style32"/>
        <w:keepNext w:val="0"/>
        <w:keepLines w:val="0"/>
        <w:widowControl w:val="0"/>
        <w:shd w:val="clear" w:color="auto" w:fill="auto"/>
        <w:bidi w:val="0"/>
        <w:spacing w:before="0" w:after="0" w:line="470" w:lineRule="exact"/>
        <w:ind w:left="0" w:right="0" w:firstLine="460"/>
        <w:jc w:val="left"/>
      </w:pPr>
      <w:r>
        <w:rPr>
          <w:color w:val="000000"/>
          <w:spacing w:val="0"/>
          <w:w w:val="100"/>
          <w:position w:val="0"/>
        </w:rPr>
        <w:t>公司总裁金明先生，副总裁孟祥胜先生，副总裁、董秘任峻先生简历见前述董事介绍。</w:t>
      </w:r>
    </w:p>
    <w:p>
      <w:pPr>
        <w:pStyle w:val="Style32"/>
        <w:keepNext w:val="0"/>
        <w:keepLines w:val="0"/>
        <w:widowControl w:val="0"/>
        <w:shd w:val="clear" w:color="auto" w:fill="auto"/>
        <w:bidi w:val="0"/>
        <w:spacing w:before="0" w:after="100" w:line="470" w:lineRule="exact"/>
        <w:ind w:left="0" w:right="0" w:firstLine="460"/>
        <w:jc w:val="left"/>
      </w:pPr>
      <w:r>
        <w:rPr>
          <w:color w:val="000000"/>
          <w:spacing w:val="0"/>
          <w:w w:val="100"/>
          <w:position w:val="0"/>
        </w:rPr>
        <w:t>财务负责人肖忠祥先生：中国国籍，</w:t>
      </w:r>
      <w:r>
        <w:rPr>
          <w:rFonts w:ascii="Times New Roman" w:eastAsia="Times New Roman" w:hAnsi="Times New Roman" w:cs="Times New Roman"/>
          <w:color w:val="000000"/>
          <w:spacing w:val="0"/>
          <w:w w:val="100"/>
          <w:position w:val="0"/>
        </w:rPr>
        <w:t>1971</w:t>
      </w:r>
      <w:r>
        <w:rPr>
          <w:color w:val="000000"/>
          <w:spacing w:val="0"/>
          <w:w w:val="100"/>
          <w:position w:val="0"/>
        </w:rPr>
        <w:t>年出生，汉族，本科学历。曾任南京无线电八厂会计、 公司财务部经理、财务服务中心总监、第四届监事会职工代表监事。现任公司财务负责人。</w:t>
      </w:r>
    </w:p>
    <w:p>
      <w:pPr>
        <w:pStyle w:val="Style32"/>
        <w:keepNext w:val="0"/>
        <w:keepLines w:val="0"/>
        <w:widowControl w:val="0"/>
        <w:shd w:val="clear" w:color="auto" w:fill="auto"/>
        <w:bidi w:val="0"/>
        <w:spacing w:before="0" w:after="200" w:line="475" w:lineRule="exact"/>
        <w:ind w:left="0" w:right="0" w:firstLine="460"/>
        <w:jc w:val="left"/>
      </w:pPr>
      <w:r>
        <w:rPr>
          <w:color w:val="000000"/>
          <w:spacing w:val="0"/>
          <w:w w:val="100"/>
          <w:position w:val="0"/>
        </w:rPr>
        <w:t>在股东单位任职情况</w:t>
      </w:r>
    </w:p>
    <w:p>
      <w:pPr>
        <w:pStyle w:val="Style32"/>
        <w:keepNext w:val="0"/>
        <w:keepLines w:val="0"/>
        <w:widowControl w:val="0"/>
        <w:shd w:val="clear" w:color="auto" w:fill="auto"/>
        <w:bidi w:val="0"/>
        <w:spacing w:before="0" w:after="440" w:line="451" w:lineRule="auto"/>
        <w:ind w:left="0" w:right="0" w:firstLine="46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5"/>
        <w:keepNext w:val="0"/>
        <w:keepLines w:val="0"/>
        <w:widowControl w:val="0"/>
        <w:shd w:val="clear" w:color="auto" w:fill="auto"/>
        <w:bidi w:val="0"/>
        <w:spacing w:before="0" w:after="0" w:line="240" w:lineRule="auto"/>
        <w:ind w:left="14" w:right="0" w:firstLine="0"/>
        <w:jc w:val="left"/>
      </w:pPr>
      <w:r>
        <w:rPr>
          <w:color w:val="000000"/>
          <w:spacing w:val="0"/>
          <w:w w:val="100"/>
          <w:position w:val="0"/>
        </w:rPr>
        <w:t>在其他单位任职情况</w:t>
      </w:r>
    </w:p>
    <w:tbl>
      <w:tblPr>
        <w:tblOverlap w:val="never"/>
        <w:jc w:val="center"/>
        <w:tblLayout w:type="fixed"/>
      </w:tblPr>
      <w:tblGrid>
        <w:gridCol w:w="1454"/>
        <w:gridCol w:w="2006"/>
        <w:gridCol w:w="1195"/>
        <w:gridCol w:w="1728"/>
        <w:gridCol w:w="1723"/>
        <w:gridCol w:w="1598"/>
      </w:tblGrid>
      <w:tr>
        <w:trPr>
          <w:trHeight w:val="869"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64" w:lineRule="exact"/>
              <w:ind w:left="0" w:right="0" w:firstLine="0"/>
              <w:jc w:val="left"/>
            </w:pPr>
            <w:r>
              <w:rPr>
                <w:color w:val="000000"/>
                <w:spacing w:val="0"/>
                <w:w w:val="100"/>
                <w:position w:val="0"/>
              </w:rPr>
              <w:t>在其他单位 担任的职务</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00"/>
              <w:jc w:val="left"/>
            </w:pPr>
            <w:r>
              <w:rPr>
                <w:color w:val="000000"/>
                <w:spacing w:val="0"/>
                <w:w w:val="100"/>
                <w:position w:val="0"/>
              </w:rPr>
              <w:t>任期起始日期</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00"/>
              <w:jc w:val="left"/>
            </w:pPr>
            <w:r>
              <w:rPr>
                <w:color w:val="000000"/>
                <w:spacing w:val="0"/>
                <w:w w:val="100"/>
                <w:position w:val="0"/>
              </w:rPr>
              <w:t>任期终止日期</w:t>
            </w:r>
          </w:p>
        </w:tc>
        <w:tc>
          <w:tcPr>
            <w:tcBorders>
              <w:top w:val="single" w:sz="4"/>
              <w:left w:val="single" w:sz="4"/>
              <w:right w:val="single" w:sz="4"/>
            </w:tcBorders>
            <w:shd w:val="clear" w:color="auto" w:fill="D3D3D3"/>
            <w:vAlign w:val="top"/>
          </w:tcPr>
          <w:p>
            <w:pPr>
              <w:pStyle w:val="Style28"/>
              <w:keepNext w:val="0"/>
              <w:keepLines w:val="0"/>
              <w:widowControl w:val="0"/>
              <w:shd w:val="clear" w:color="auto" w:fill="auto"/>
              <w:bidi w:val="0"/>
              <w:spacing w:before="0" w:after="0" w:line="283" w:lineRule="exact"/>
              <w:ind w:left="0" w:right="0" w:firstLine="0"/>
              <w:jc w:val="center"/>
            </w:pPr>
            <w:r>
              <w:rPr>
                <w:color w:val="000000"/>
                <w:spacing w:val="0"/>
                <w:w w:val="100"/>
                <w:position w:val="0"/>
              </w:rPr>
              <w:t>在其他单位是 否领取报酬津 贴</w:t>
            </w:r>
          </w:p>
        </w:tc>
      </w:tr>
      <w:tr>
        <w:trPr>
          <w:trHeight w:val="58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王全胜</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83" w:lineRule="exact"/>
              <w:ind w:left="0" w:right="0" w:firstLine="0"/>
              <w:jc w:val="left"/>
            </w:pPr>
            <w:r>
              <w:rPr>
                <w:color w:val="000000"/>
                <w:spacing w:val="0"/>
                <w:w w:val="100"/>
                <w:position w:val="0"/>
              </w:rPr>
              <w:t>深圳广田集团股份 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16</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40" w:line="240" w:lineRule="auto"/>
              <w:ind w:left="0" w:right="0" w:firstLine="0"/>
              <w:jc w:val="both"/>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15</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58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王全胜</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88" w:lineRule="exact"/>
              <w:ind w:left="0" w:right="0" w:firstLine="0"/>
              <w:jc w:val="left"/>
            </w:pPr>
            <w:r>
              <w:rPr>
                <w:color w:val="000000"/>
                <w:spacing w:val="0"/>
                <w:w w:val="100"/>
                <w:position w:val="0"/>
              </w:rPr>
              <w:t>天泽信息产业股份 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17</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40" w:line="240" w:lineRule="auto"/>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16</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58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徐光华</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83" w:lineRule="exact"/>
              <w:ind w:left="0" w:right="0" w:firstLine="0"/>
              <w:jc w:val="left"/>
            </w:pPr>
            <w:r>
              <w:rPr>
                <w:color w:val="000000"/>
                <w:spacing w:val="0"/>
                <w:w w:val="100"/>
                <w:position w:val="0"/>
              </w:rPr>
              <w:t>江苏舜天船舶股份 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10</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4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20</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58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任峻</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88" w:lineRule="exact"/>
              <w:ind w:left="0" w:right="0" w:firstLine="0"/>
              <w:jc w:val="left"/>
            </w:pPr>
            <w:r>
              <w:rPr>
                <w:color w:val="000000"/>
                <w:spacing w:val="0"/>
                <w:w w:val="100"/>
                <w:position w:val="0"/>
              </w:rPr>
              <w:t>苏宁消费金融有限 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11</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40" w:line="240" w:lineRule="auto"/>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10</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58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任峻</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83" w:lineRule="exact"/>
              <w:ind w:left="0" w:right="0" w:firstLine="0"/>
              <w:jc w:val="left"/>
            </w:pPr>
            <w:r>
              <w:rPr>
                <w:color w:val="000000"/>
                <w:spacing w:val="0"/>
                <w:w w:val="100"/>
                <w:position w:val="0"/>
              </w:rPr>
              <w:t>苏宁金石（天津） 基金管理有限公司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董事、法定</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代表人</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40" w:line="240" w:lineRule="auto"/>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30</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58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任峻</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88" w:lineRule="exact"/>
              <w:ind w:left="0" w:right="0" w:firstLine="0"/>
              <w:jc w:val="left"/>
            </w:pPr>
            <w:r>
              <w:rPr>
                <w:color w:val="000000"/>
                <w:spacing w:val="0"/>
                <w:w w:val="100"/>
                <w:position w:val="0"/>
              </w:rPr>
              <w:t>国际米兰足球俱乐 部有限公司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28</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40" w:line="240" w:lineRule="auto"/>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27</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586" w:hRule="exact"/>
        </w:trPr>
        <w:tc>
          <w:tcPr>
            <w:tcBorders>
              <w:top w:val="single" w:sz="4"/>
              <w:left w:val="single" w:sz="4"/>
              <w:bottom w:val="single" w:sz="4"/>
            </w:tcBorders>
            <w:shd w:val="clear" w:color="auto" w:fill="D3D3D3"/>
            <w:vAlign w:val="top"/>
          </w:tcPr>
          <w:p>
            <w:pPr>
              <w:pStyle w:val="Style28"/>
              <w:keepNext w:val="0"/>
              <w:keepLines w:val="0"/>
              <w:widowControl w:val="0"/>
              <w:shd w:val="clear" w:color="auto" w:fill="auto"/>
              <w:bidi w:val="0"/>
              <w:spacing w:before="0" w:after="0" w:line="288" w:lineRule="exact"/>
              <w:ind w:left="0" w:right="0" w:firstLine="0"/>
              <w:jc w:val="left"/>
            </w:pPr>
            <w:r>
              <w:rPr>
                <w:color w:val="000000"/>
                <w:spacing w:val="0"/>
                <w:w w:val="100"/>
                <w:position w:val="0"/>
              </w:rPr>
              <w:t>在其他单位任 职情况的说明</w:t>
            </w:r>
          </w:p>
        </w:tc>
        <w:tc>
          <w:tcPr>
            <w:gridSpan w:val="5"/>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注：国际米兰足球俱乐部有限公司章程规定，董事每一任期为三年，具体到其任期内最后一个</w:t>
      </w:r>
    </w:p>
    <w:p>
      <w:pPr>
        <w:pStyle w:val="Style32"/>
        <w:keepNext w:val="0"/>
        <w:keepLines w:val="0"/>
        <w:widowControl w:val="0"/>
        <w:shd w:val="clear" w:color="auto" w:fill="auto"/>
        <w:bidi w:val="0"/>
        <w:spacing w:before="0" w:after="0" w:line="466" w:lineRule="exact"/>
        <w:ind w:left="0" w:right="0" w:firstLine="0"/>
        <w:jc w:val="left"/>
      </w:pPr>
      <w:r>
        <w:rPr>
          <w:color w:val="000000"/>
          <w:spacing w:val="0"/>
          <w:w w:val="100"/>
          <w:position w:val="0"/>
        </w:rPr>
        <w:t>财年报表经过股东大会审批之日届满。</w:t>
      </w:r>
    </w:p>
    <w:p>
      <w:pPr>
        <w:pStyle w:val="Style32"/>
        <w:keepNext w:val="0"/>
        <w:keepLines w:val="0"/>
        <w:widowControl w:val="0"/>
        <w:shd w:val="clear" w:color="auto" w:fill="auto"/>
        <w:bidi w:val="0"/>
        <w:spacing w:before="0" w:after="200" w:line="466" w:lineRule="exact"/>
        <w:ind w:left="0" w:right="0" w:firstLine="460"/>
        <w:jc w:val="left"/>
      </w:pPr>
      <w:r>
        <w:rPr>
          <w:color w:val="000000"/>
          <w:spacing w:val="0"/>
          <w:w w:val="100"/>
          <w:position w:val="0"/>
        </w:rPr>
        <w:t>公司现任及报告期内离任董事、监事和高级管理人员近三年证券监管机构处罚的情况</w:t>
      </w:r>
    </w:p>
    <w:p>
      <w:pPr>
        <w:pStyle w:val="Style32"/>
        <w:keepNext w:val="0"/>
        <w:keepLines w:val="0"/>
        <w:widowControl w:val="0"/>
        <w:shd w:val="clear" w:color="auto" w:fill="auto"/>
        <w:bidi w:val="0"/>
        <w:spacing w:before="0" w:after="0" w:line="442" w:lineRule="auto"/>
        <w:ind w:left="0" w:right="0" w:firstLine="46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2"/>
        <w:keepNext w:val="0"/>
        <w:keepLines w:val="0"/>
        <w:widowControl w:val="0"/>
        <w:shd w:val="clear" w:color="auto" w:fill="auto"/>
        <w:bidi w:val="0"/>
        <w:spacing w:before="0" w:after="200" w:line="466" w:lineRule="exact"/>
        <w:ind w:left="0" w:right="0" w:firstLine="0"/>
        <w:jc w:val="left"/>
        <w:rPr>
          <w:sz w:val="24"/>
          <w:szCs w:val="24"/>
        </w:rPr>
      </w:pPr>
      <w:bookmarkStart w:id="452" w:name="bookmark452"/>
      <w:r>
        <w:rPr>
          <w:b/>
          <w:bCs/>
          <w:color w:val="000000"/>
          <w:spacing w:val="0"/>
          <w:w w:val="100"/>
          <w:position w:val="0"/>
          <w:sz w:val="24"/>
          <w:szCs w:val="24"/>
        </w:rPr>
        <w:t>四</w:t>
      </w:r>
      <w:bookmarkEnd w:id="452"/>
      <w:r>
        <w:rPr>
          <w:b/>
          <w:bCs/>
          <w:color w:val="000000"/>
          <w:spacing w:val="0"/>
          <w:w w:val="100"/>
          <w:position w:val="0"/>
          <w:sz w:val="24"/>
          <w:szCs w:val="24"/>
        </w:rPr>
        <w:t>、董事、监事、高级管理人员报酬情况</w:t>
      </w:r>
    </w:p>
    <w:p>
      <w:pPr>
        <w:pStyle w:val="Style32"/>
        <w:keepNext w:val="0"/>
        <w:keepLines w:val="0"/>
        <w:widowControl w:val="0"/>
        <w:shd w:val="clear" w:color="auto" w:fill="auto"/>
        <w:bidi w:val="0"/>
        <w:spacing w:before="0" w:after="0" w:line="466" w:lineRule="exact"/>
        <w:ind w:left="0" w:right="0" w:firstLine="460"/>
        <w:jc w:val="left"/>
      </w:pPr>
      <w:r>
        <w:rPr>
          <w:color w:val="000000"/>
          <w:spacing w:val="0"/>
          <w:w w:val="100"/>
          <w:position w:val="0"/>
        </w:rPr>
        <w:t>董事、监事、高级管理人员报酬的决策程序、确定依据、实际支付情况：</w:t>
      </w:r>
    </w:p>
    <w:p>
      <w:pPr>
        <w:pStyle w:val="Style32"/>
        <w:keepNext w:val="0"/>
        <w:keepLines w:val="0"/>
        <w:widowControl w:val="0"/>
        <w:shd w:val="clear" w:color="auto" w:fill="auto"/>
        <w:bidi w:val="0"/>
        <w:spacing w:before="0" w:after="160" w:line="466" w:lineRule="exact"/>
        <w:ind w:left="0" w:right="0" w:firstLine="460"/>
        <w:jc w:val="left"/>
      </w:pPr>
      <w:r>
        <w:rPr>
          <w:color w:val="000000"/>
          <w:spacing w:val="0"/>
          <w:w w:val="100"/>
          <w:position w:val="0"/>
        </w:rPr>
        <w:t>公司第五届董事会第五次会议审议通过《关于调整公司财务负责人薪酬的议案》，同意自</w:t>
      </w:r>
      <w:r>
        <w:rPr>
          <w:rFonts w:ascii="Times New Roman" w:eastAsia="Times New Roman" w:hAnsi="Times New Roman" w:cs="Times New Roman"/>
          <w:color w:val="000000"/>
          <w:spacing w:val="0"/>
          <w:w w:val="100"/>
          <w:position w:val="0"/>
        </w:rPr>
        <w:t xml:space="preserve">2014 </w:t>
      </w:r>
      <w:r>
        <w:rPr>
          <w:color w:val="000000"/>
          <w:spacing w:val="0"/>
          <w:w w:val="100"/>
          <w:position w:val="0"/>
        </w:rPr>
        <w:t>年起肖忠祥先生年薪调整为</w:t>
      </w:r>
      <w:r>
        <w:rPr>
          <w:rFonts w:ascii="Times New Roman" w:eastAsia="Times New Roman" w:hAnsi="Times New Roman" w:cs="Times New Roman"/>
          <w:color w:val="000000"/>
          <w:spacing w:val="0"/>
          <w:w w:val="100"/>
          <w:position w:val="0"/>
        </w:rPr>
        <w:t>40</w:t>
      </w:r>
      <w:r>
        <w:rPr>
          <w:color w:val="000000"/>
          <w:spacing w:val="0"/>
          <w:w w:val="100"/>
          <w:position w:val="0"/>
        </w:rPr>
        <w:t>万元</w:t>
      </w:r>
      <w:r>
        <w:rPr>
          <w:rFonts w:ascii="Times New Roman" w:eastAsia="Times New Roman" w:hAnsi="Times New Roman" w:cs="Times New Roman"/>
          <w:color w:val="000000"/>
          <w:spacing w:val="0"/>
          <w:w w:val="100"/>
          <w:position w:val="0"/>
        </w:rPr>
        <w:t>/</w:t>
      </w:r>
      <w:r>
        <w:rPr>
          <w:color w:val="000000"/>
          <w:spacing w:val="0"/>
          <w:w w:val="100"/>
          <w:position w:val="0"/>
        </w:rPr>
        <w:t>年（含税）。</w:t>
      </w:r>
      <w:r>
        <w:br w:type="page"/>
      </w:r>
    </w:p>
    <w:p>
      <w:pPr>
        <w:pStyle w:val="Style32"/>
        <w:keepNext w:val="0"/>
        <w:keepLines w:val="0"/>
        <w:widowControl w:val="0"/>
        <w:shd w:val="clear" w:color="auto" w:fill="auto"/>
        <w:bidi w:val="0"/>
        <w:spacing w:before="0" w:after="0" w:line="468" w:lineRule="exact"/>
        <w:ind w:left="0" w:right="0" w:firstLine="540"/>
        <w:jc w:val="left"/>
      </w:pPr>
      <w:r>
        <w:rPr>
          <w:color w:val="000000"/>
          <w:spacing w:val="0"/>
          <w:w w:val="100"/>
          <w:position w:val="0"/>
        </w:rPr>
        <w:t>公司第五届监事会第四次会议审议、</w:t>
      </w:r>
      <w:r>
        <w:rPr>
          <w:rFonts w:ascii="Times New Roman" w:eastAsia="Times New Roman" w:hAnsi="Times New Roman" w:cs="Times New Roman"/>
          <w:color w:val="000000"/>
          <w:spacing w:val="0"/>
          <w:w w:val="100"/>
          <w:position w:val="0"/>
        </w:rPr>
        <w:t>2013</w:t>
      </w:r>
      <w:r>
        <w:rPr>
          <w:color w:val="000000"/>
          <w:spacing w:val="0"/>
          <w:w w:val="100"/>
          <w:position w:val="0"/>
        </w:rPr>
        <w:t>年年度股东大会决议通过《关于调整公司部分监事薪 酬的议案》，同意公司监事汪晓玲女士自</w:t>
      </w:r>
      <w:r>
        <w:rPr>
          <w:rFonts w:ascii="Times New Roman" w:eastAsia="Times New Roman" w:hAnsi="Times New Roman" w:cs="Times New Roman"/>
          <w:color w:val="000000"/>
          <w:spacing w:val="0"/>
          <w:w w:val="100"/>
          <w:position w:val="0"/>
        </w:rPr>
        <w:t>2014</w:t>
      </w:r>
      <w:r>
        <w:rPr>
          <w:color w:val="000000"/>
          <w:spacing w:val="0"/>
          <w:w w:val="100"/>
          <w:position w:val="0"/>
        </w:rPr>
        <w:t>年起年薪调整为</w:t>
      </w:r>
      <w:r>
        <w:rPr>
          <w:rFonts w:ascii="Times New Roman" w:eastAsia="Times New Roman" w:hAnsi="Times New Roman" w:cs="Times New Roman"/>
          <w:color w:val="000000"/>
          <w:spacing w:val="0"/>
          <w:w w:val="100"/>
          <w:position w:val="0"/>
        </w:rPr>
        <w:t>30</w:t>
      </w:r>
      <w:r>
        <w:rPr>
          <w:color w:val="000000"/>
          <w:spacing w:val="0"/>
          <w:w w:val="100"/>
          <w:position w:val="0"/>
        </w:rPr>
        <w:t>万元</w:t>
      </w:r>
      <w:r>
        <w:rPr>
          <w:rFonts w:ascii="Times New Roman" w:eastAsia="Times New Roman" w:hAnsi="Times New Roman" w:cs="Times New Roman"/>
          <w:color w:val="000000"/>
          <w:spacing w:val="0"/>
          <w:w w:val="100"/>
          <w:position w:val="0"/>
        </w:rPr>
        <w:t>/</w:t>
      </w:r>
      <w:r>
        <w:rPr>
          <w:color w:val="000000"/>
          <w:spacing w:val="0"/>
          <w:w w:val="100"/>
          <w:position w:val="0"/>
        </w:rPr>
        <w:t>年（含税）。</w:t>
      </w:r>
    </w:p>
    <w:p>
      <w:pPr>
        <w:pStyle w:val="Style32"/>
        <w:keepNext w:val="0"/>
        <w:keepLines w:val="0"/>
        <w:widowControl w:val="0"/>
        <w:shd w:val="clear" w:color="auto" w:fill="auto"/>
        <w:bidi w:val="0"/>
        <w:spacing w:before="0" w:after="0" w:line="468" w:lineRule="exact"/>
        <w:ind w:left="0" w:right="0" w:firstLine="540"/>
        <w:jc w:val="left"/>
      </w:pPr>
      <w:r>
        <w:rPr>
          <w:color w:val="000000"/>
          <w:spacing w:val="0"/>
          <w:w w:val="100"/>
          <w:position w:val="0"/>
        </w:rPr>
        <w:t>公司董事、监事及高级管理人员按其职责根据相关考核指标领取报酬。公司独立董事年度津贴 为</w:t>
      </w:r>
      <w:r>
        <w:rPr>
          <w:rFonts w:ascii="Times New Roman" w:eastAsia="Times New Roman" w:hAnsi="Times New Roman" w:cs="Times New Roman"/>
          <w:color w:val="000000"/>
          <w:spacing w:val="0"/>
          <w:w w:val="100"/>
          <w:position w:val="0"/>
        </w:rPr>
        <w:t>10</w:t>
      </w:r>
      <w:r>
        <w:rPr>
          <w:color w:val="000000"/>
          <w:spacing w:val="0"/>
          <w:w w:val="100"/>
          <w:position w:val="0"/>
        </w:rPr>
        <w:t>万元</w:t>
      </w:r>
      <w:r>
        <w:rPr>
          <w:rFonts w:ascii="Times New Roman" w:eastAsia="Times New Roman" w:hAnsi="Times New Roman" w:cs="Times New Roman"/>
          <w:color w:val="000000"/>
          <w:spacing w:val="0"/>
          <w:w w:val="100"/>
          <w:position w:val="0"/>
        </w:rPr>
        <w:t>/</w:t>
      </w:r>
      <w:r>
        <w:rPr>
          <w:color w:val="000000"/>
          <w:spacing w:val="0"/>
          <w:w w:val="100"/>
          <w:position w:val="0"/>
        </w:rPr>
        <w:t>年（含税）。</w:t>
      </w:r>
    </w:p>
    <w:p>
      <w:pPr>
        <w:pStyle w:val="Style32"/>
        <w:keepNext w:val="0"/>
        <w:keepLines w:val="0"/>
        <w:widowControl w:val="0"/>
        <w:shd w:val="clear" w:color="auto" w:fill="auto"/>
        <w:bidi w:val="0"/>
        <w:spacing w:before="0" w:after="0" w:line="468" w:lineRule="exact"/>
        <w:ind w:left="0" w:right="0" w:firstLine="540"/>
        <w:jc w:val="left"/>
      </w:pPr>
      <w:r>
        <w:rPr>
          <w:rFonts w:ascii="Times New Roman" w:eastAsia="Times New Roman" w:hAnsi="Times New Roman" w:cs="Times New Roman"/>
          <w:color w:val="000000"/>
          <w:spacing w:val="0"/>
          <w:w w:val="100"/>
          <w:position w:val="0"/>
        </w:rPr>
        <w:t>2016</w:t>
      </w:r>
      <w:r>
        <w:rPr>
          <w:color w:val="000000"/>
          <w:spacing w:val="0"/>
          <w:w w:val="100"/>
          <w:position w:val="0"/>
        </w:rPr>
        <w:t>年度，公司实际支付董事、监事及高级管理人员税前报酬共计</w:t>
      </w:r>
      <w:r>
        <w:rPr>
          <w:rFonts w:ascii="Times New Roman" w:eastAsia="Times New Roman" w:hAnsi="Times New Roman" w:cs="Times New Roman"/>
          <w:color w:val="000000"/>
          <w:spacing w:val="0"/>
          <w:w w:val="100"/>
          <w:position w:val="0"/>
        </w:rPr>
        <w:t>855</w:t>
      </w:r>
      <w:r>
        <w:rPr>
          <w:color w:val="000000"/>
          <w:spacing w:val="0"/>
          <w:w w:val="100"/>
          <w:position w:val="0"/>
        </w:rPr>
        <w:t>万元。</w:t>
      </w:r>
    </w:p>
    <w:p>
      <w:pPr>
        <w:pStyle w:val="Style32"/>
        <w:keepNext w:val="0"/>
        <w:keepLines w:val="0"/>
        <w:widowControl w:val="0"/>
        <w:shd w:val="clear" w:color="auto" w:fill="auto"/>
        <w:bidi w:val="0"/>
        <w:spacing w:before="0" w:after="120" w:line="468" w:lineRule="exact"/>
        <w:ind w:left="0" w:right="0" w:firstLine="540"/>
        <w:jc w:val="left"/>
      </w:pPr>
      <w:r>
        <w:rPr>
          <w:color w:val="000000"/>
          <w:spacing w:val="0"/>
          <w:w w:val="100"/>
          <w:position w:val="0"/>
        </w:rPr>
        <w:t>报告期内，公司董事、监事和高级管理人员报酬情况</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291"/>
        <w:gridCol w:w="2035"/>
        <w:gridCol w:w="533"/>
        <w:gridCol w:w="528"/>
        <w:gridCol w:w="1459"/>
        <w:gridCol w:w="2126"/>
        <w:gridCol w:w="1733"/>
      </w:tblGrid>
      <w:tr>
        <w:trPr>
          <w:trHeight w:val="586"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rPr>
              <w:t>姓名</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性别</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任职状态</w:t>
            </w:r>
          </w:p>
        </w:tc>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88" w:lineRule="exact"/>
              <w:ind w:left="0" w:right="0" w:firstLine="0"/>
              <w:jc w:val="center"/>
            </w:pPr>
            <w:r>
              <w:rPr>
                <w:color w:val="000000"/>
                <w:spacing w:val="0"/>
                <w:w w:val="100"/>
                <w:position w:val="0"/>
              </w:rPr>
              <w:t>从公司获得的税前报 酬总额</w:t>
            </w:r>
          </w:p>
        </w:tc>
        <w:tc>
          <w:tcPr>
            <w:tcBorders>
              <w:top w:val="single" w:sz="4"/>
              <w:left w:val="single" w:sz="4"/>
              <w:right w:val="single" w:sz="4"/>
            </w:tcBorders>
            <w:shd w:val="clear" w:color="auto" w:fill="D3D3D3"/>
            <w:vAlign w:val="bottom"/>
          </w:tcPr>
          <w:p>
            <w:pPr>
              <w:pStyle w:val="Style28"/>
              <w:keepNext w:val="0"/>
              <w:keepLines w:val="0"/>
              <w:widowControl w:val="0"/>
              <w:shd w:val="clear" w:color="auto" w:fill="auto"/>
              <w:bidi w:val="0"/>
              <w:spacing w:before="0" w:after="0" w:line="288" w:lineRule="exact"/>
              <w:ind w:left="0" w:right="0" w:firstLine="0"/>
              <w:jc w:val="center"/>
            </w:pPr>
            <w:r>
              <w:rPr>
                <w:color w:val="000000"/>
                <w:spacing w:val="0"/>
                <w:w w:val="100"/>
                <w:position w:val="0"/>
              </w:rPr>
              <w:t>是否在公司美联 方获取报酬</w:t>
            </w:r>
          </w:p>
        </w:tc>
      </w:tr>
      <w:tr>
        <w:trPr>
          <w:trHeight w:val="29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张近东</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男</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54</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180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9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孙为民</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男</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54</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9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金明</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董事、总裁</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男</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46</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9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孟祥胜</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董事、副总裁</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男</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45</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9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任峻</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董事、副总裁、董秘</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男</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9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陈俊杰</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男</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58</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9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徐光华</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男</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53</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9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沈厚才</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男</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52</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9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王全胜</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男</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48</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9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李建颖</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女</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48</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9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汪晓玲</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女</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44</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9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华志松</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男</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35</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25</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9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肖忠祥</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财务负责人</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男</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46</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98"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855</w:t>
            </w:r>
          </w:p>
        </w:tc>
        <w:tc>
          <w:tcPr>
            <w:tcBorders>
              <w:top w:val="single" w:sz="4"/>
              <w:left w:val="single" w:sz="4"/>
              <w:bottom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219" w:line="1" w:lineRule="exact"/>
      </w:pPr>
    </w:p>
    <w:p>
      <w:pPr>
        <w:pStyle w:val="Style32"/>
        <w:keepNext w:val="0"/>
        <w:keepLines w:val="0"/>
        <w:widowControl w:val="0"/>
        <w:shd w:val="clear" w:color="auto" w:fill="auto"/>
        <w:bidi w:val="0"/>
        <w:spacing w:before="0" w:after="220" w:line="240" w:lineRule="auto"/>
        <w:ind w:left="0" w:right="0" w:firstLine="540"/>
        <w:jc w:val="left"/>
      </w:pPr>
      <w:r>
        <w:rPr>
          <w:color w:val="000000"/>
          <w:spacing w:val="0"/>
          <w:w w:val="100"/>
          <w:position w:val="0"/>
        </w:rPr>
        <w:t>公司董事、高级管理人员报告期内被授予的股权激励情况</w:t>
      </w:r>
    </w:p>
    <w:p>
      <w:pPr>
        <w:pStyle w:val="Style32"/>
        <w:keepNext w:val="0"/>
        <w:keepLines w:val="0"/>
        <w:widowControl w:val="0"/>
        <w:shd w:val="clear" w:color="auto" w:fill="auto"/>
        <w:bidi w:val="0"/>
        <w:spacing w:before="0" w:after="400" w:line="240" w:lineRule="auto"/>
        <w:ind w:left="0" w:right="0" w:firstLine="54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2"/>
        <w:keepNext w:val="0"/>
        <w:keepLines w:val="0"/>
        <w:widowControl w:val="0"/>
        <w:shd w:val="clear" w:color="auto" w:fill="auto"/>
        <w:bidi w:val="0"/>
        <w:spacing w:before="0" w:after="320" w:line="240" w:lineRule="auto"/>
        <w:ind w:left="0" w:right="0" w:firstLine="0"/>
        <w:jc w:val="left"/>
        <w:rPr>
          <w:sz w:val="24"/>
          <w:szCs w:val="24"/>
        </w:rPr>
      </w:pPr>
      <w:bookmarkStart w:id="453" w:name="bookmark453"/>
      <w:r>
        <w:rPr>
          <w:b/>
          <w:bCs/>
          <w:color w:val="000000"/>
          <w:spacing w:val="0"/>
          <w:w w:val="100"/>
          <w:position w:val="0"/>
          <w:sz w:val="24"/>
          <w:szCs w:val="24"/>
        </w:rPr>
        <w:t>五</w:t>
      </w:r>
      <w:bookmarkEnd w:id="453"/>
      <w:r>
        <w:rPr>
          <w:b/>
          <w:bCs/>
          <w:color w:val="000000"/>
          <w:spacing w:val="0"/>
          <w:w w:val="100"/>
          <w:position w:val="0"/>
          <w:sz w:val="24"/>
          <w:szCs w:val="24"/>
        </w:rPr>
        <w:t>、公司员工情况</w:t>
      </w:r>
    </w:p>
    <w:p>
      <w:pPr>
        <w:pStyle w:val="Style25"/>
        <w:keepNext w:val="0"/>
        <w:keepLines w:val="0"/>
        <w:widowControl w:val="0"/>
        <w:shd w:val="clear" w:color="auto" w:fill="auto"/>
        <w:bidi w:val="0"/>
        <w:spacing w:before="0" w:after="0" w:line="240" w:lineRule="auto"/>
        <w:ind w:left="96" w:right="0" w:firstLine="0"/>
        <w:jc w:val="left"/>
      </w:pPr>
      <w:r>
        <w:rPr>
          <w:rFonts w:ascii="Times New Roman" w:eastAsia="Times New Roman" w:hAnsi="Times New Roman" w:cs="Times New Roman"/>
          <w:b/>
          <w:bCs/>
          <w:color w:val="000000"/>
          <w:spacing w:val="0"/>
          <w:w w:val="100"/>
          <w:position w:val="0"/>
        </w:rPr>
        <w:t>1</w:t>
      </w:r>
      <w:r>
        <w:rPr>
          <w:b/>
          <w:bCs/>
          <w:color w:val="000000"/>
          <w:spacing w:val="0"/>
          <w:w w:val="100"/>
          <w:position w:val="0"/>
        </w:rPr>
        <w:t>、员工数量、专业构成及教育程度</w:t>
      </w:r>
    </w:p>
    <w:tbl>
      <w:tblPr>
        <w:tblOverlap w:val="never"/>
        <w:jc w:val="center"/>
        <w:tblLayout w:type="fixed"/>
      </w:tblPr>
      <w:tblGrid>
        <w:gridCol w:w="6331"/>
        <w:gridCol w:w="3533"/>
      </w:tblGrid>
      <w:tr>
        <w:trPr>
          <w:trHeight w:val="302"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母公司在职员工的数量（人）</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11,562</w:t>
            </w:r>
          </w:p>
        </w:tc>
      </w:tr>
      <w:tr>
        <w:trPr>
          <w:trHeight w:val="298"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主要子公司在职员工的数量（人）</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11,540</w:t>
            </w:r>
          </w:p>
        </w:tc>
      </w:tr>
      <w:tr>
        <w:trPr>
          <w:trHeight w:val="298"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在职员工的数量合计（人）</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23,102</w:t>
            </w:r>
          </w:p>
        </w:tc>
      </w:tr>
      <w:tr>
        <w:trPr>
          <w:trHeight w:val="298"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31,282</w:t>
            </w:r>
          </w:p>
        </w:tc>
      </w:tr>
      <w:tr>
        <w:trPr>
          <w:trHeight w:val="298"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298" w:hRule="exact"/>
        </w:trPr>
        <w:tc>
          <w:tcPr>
            <w:gridSpan w:val="2"/>
            <w:tcBorders>
              <w:top w:val="single" w:sz="4"/>
              <w:left w:val="single" w:sz="4"/>
              <w:righ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298"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专业构成类别</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专业构成人数（人）</w:t>
            </w:r>
          </w:p>
        </w:tc>
      </w:tr>
      <w:tr>
        <w:trPr>
          <w:trHeight w:val="298"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运营体系人员</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4,222</w:t>
            </w:r>
          </w:p>
        </w:tc>
      </w:tr>
      <w:tr>
        <w:trPr>
          <w:trHeight w:val="298"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信息体系人员</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3,439</w:t>
            </w:r>
          </w:p>
        </w:tc>
      </w:tr>
      <w:tr>
        <w:trPr>
          <w:trHeight w:val="298"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采销体系人员</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2,793</w:t>
            </w:r>
          </w:p>
        </w:tc>
      </w:tr>
      <w:tr>
        <w:trPr>
          <w:trHeight w:val="302" w:hRule="exact"/>
        </w:trPr>
        <w:tc>
          <w:tcPr>
            <w:tcBorders>
              <w:top w:val="single" w:sz="4"/>
              <w:left w:val="single" w:sz="4"/>
              <w:bottom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财务体系人员</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1,456</w:t>
            </w:r>
          </w:p>
        </w:tc>
      </w:tr>
    </w:tbl>
    <w:tbl>
      <w:tblPr>
        <w:tblOverlap w:val="never"/>
        <w:jc w:val="center"/>
        <w:tblLayout w:type="fixed"/>
      </w:tblPr>
      <w:tblGrid>
        <w:gridCol w:w="6331"/>
        <w:gridCol w:w="3533"/>
      </w:tblGrid>
      <w:tr>
        <w:trPr>
          <w:trHeight w:val="302"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服务体系人员</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1,231</w:t>
            </w:r>
          </w:p>
        </w:tc>
      </w:tr>
      <w:tr>
        <w:trPr>
          <w:trHeight w:val="298"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职能体系人员</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802</w:t>
            </w:r>
          </w:p>
        </w:tc>
      </w:tr>
      <w:tr>
        <w:trPr>
          <w:trHeight w:val="298"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终端作业人员</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9,159</w:t>
            </w:r>
          </w:p>
        </w:tc>
      </w:tr>
      <w:tr>
        <w:trPr>
          <w:trHeight w:val="298"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23,102</w:t>
            </w:r>
          </w:p>
        </w:tc>
      </w:tr>
      <w:tr>
        <w:trPr>
          <w:trHeight w:val="298" w:hRule="exact"/>
        </w:trPr>
        <w:tc>
          <w:tcPr>
            <w:gridSpan w:val="2"/>
            <w:tcBorders>
              <w:top w:val="single" w:sz="4"/>
              <w:left w:val="single" w:sz="4"/>
              <w:righ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302"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数量（人）</w:t>
            </w:r>
          </w:p>
        </w:tc>
      </w:tr>
      <w:tr>
        <w:trPr>
          <w:trHeight w:val="298"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本科及以上</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8,147</w:t>
            </w:r>
          </w:p>
        </w:tc>
      </w:tr>
      <w:tr>
        <w:trPr>
          <w:trHeight w:val="298"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8,086</w:t>
            </w:r>
          </w:p>
        </w:tc>
      </w:tr>
      <w:tr>
        <w:trPr>
          <w:trHeight w:val="298"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中专</w:t>
            </w:r>
            <w:r>
              <w:rPr>
                <w:rFonts w:ascii="Times New Roman" w:eastAsia="Times New Roman" w:hAnsi="Times New Roman" w:cs="Times New Roman"/>
                <w:color w:val="000000"/>
                <w:spacing w:val="0"/>
                <w:w w:val="100"/>
                <w:position w:val="0"/>
              </w:rPr>
              <w:t>/</w:t>
            </w:r>
            <w:r>
              <w:rPr>
                <w:color w:val="000000"/>
                <w:spacing w:val="0"/>
                <w:w w:val="100"/>
                <w:position w:val="0"/>
              </w:rPr>
              <w:t>高中</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6,343</w:t>
            </w:r>
          </w:p>
        </w:tc>
      </w:tr>
      <w:tr>
        <w:trPr>
          <w:trHeight w:val="298" w:hRule="exact"/>
        </w:trPr>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其它</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526</w:t>
            </w:r>
          </w:p>
        </w:tc>
      </w:tr>
      <w:tr>
        <w:trPr>
          <w:trHeight w:val="302" w:hRule="exact"/>
        </w:trPr>
        <w:tc>
          <w:tcPr>
            <w:tcBorders>
              <w:top w:val="single" w:sz="4"/>
              <w:left w:val="single" w:sz="4"/>
              <w:bottom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23,102</w:t>
            </w:r>
          </w:p>
        </w:tc>
      </w:tr>
    </w:tbl>
    <w:p>
      <w:pPr>
        <w:pStyle w:val="Style25"/>
        <w:keepNext w:val="0"/>
        <w:keepLines w:val="0"/>
        <w:widowControl w:val="0"/>
        <w:shd w:val="clear" w:color="auto" w:fill="auto"/>
        <w:bidi w:val="0"/>
        <w:spacing w:before="0" w:after="0" w:line="240" w:lineRule="auto"/>
        <w:ind w:left="533"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:母公司在职员工的数量按照公司总部加南京地区统计列示;</w:t>
      </w:r>
    </w:p>
    <w:p>
      <w:pPr>
        <w:pStyle w:val="Style32"/>
        <w:keepNext w:val="0"/>
        <w:keepLines w:val="0"/>
        <w:widowControl w:val="0"/>
        <w:shd w:val="clear" w:color="auto" w:fill="auto"/>
        <w:bidi w:val="0"/>
        <w:spacing w:before="0" w:after="200" w:line="468" w:lineRule="exact"/>
        <w:ind w:left="0" w:right="0" w:firstLine="540"/>
        <w:jc w:val="left"/>
      </w:pP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：主要子公司为报告期内中国大陆地区销售前</w:t>
      </w:r>
      <w:r>
        <w:rPr>
          <w:rFonts w:ascii="Times New Roman" w:eastAsia="Times New Roman" w:hAnsi="Times New Roman" w:cs="Times New Roman"/>
          <w:color w:val="000000"/>
          <w:spacing w:val="0"/>
          <w:w w:val="100"/>
          <w:position w:val="0"/>
        </w:rPr>
        <w:t>5</w:t>
      </w:r>
      <w:r>
        <w:rPr>
          <w:color w:val="000000"/>
          <w:spacing w:val="0"/>
          <w:w w:val="100"/>
          <w:position w:val="0"/>
        </w:rPr>
        <w:t>名地区总部在职员工数量。</w:t>
      </w:r>
    </w:p>
    <w:p>
      <w:pPr>
        <w:pStyle w:val="Style38"/>
        <w:keepNext/>
        <w:keepLines/>
        <w:widowControl w:val="0"/>
        <w:shd w:val="clear" w:color="auto" w:fill="auto"/>
        <w:tabs>
          <w:tab w:pos="387" w:val="left"/>
        </w:tabs>
        <w:bidi w:val="0"/>
        <w:spacing w:before="0" w:after="200" w:line="468" w:lineRule="exact"/>
        <w:ind w:left="0" w:right="0" w:firstLine="0"/>
        <w:jc w:val="left"/>
      </w:pPr>
      <w:bookmarkStart w:id="454" w:name="bookmark454"/>
      <w:bookmarkStart w:id="455" w:name="bookmark455"/>
      <w:bookmarkStart w:id="456" w:name="bookmark456"/>
      <w:bookmarkStart w:id="457" w:name="bookmark457"/>
      <w:r>
        <w:rPr>
          <w:rFonts w:ascii="Times New Roman" w:eastAsia="Times New Roman" w:hAnsi="Times New Roman" w:cs="Times New Roman"/>
          <w:color w:val="000000"/>
          <w:spacing w:val="0"/>
          <w:w w:val="100"/>
          <w:position w:val="0"/>
        </w:rPr>
        <w:t>2</w:t>
      </w:r>
      <w:bookmarkEnd w:id="456"/>
      <w:r>
        <w:rPr>
          <w:color w:val="000000"/>
          <w:spacing w:val="0"/>
          <w:w w:val="100"/>
          <w:position w:val="0"/>
        </w:rPr>
        <w:t>、</w:t>
        <w:tab/>
        <w:t>薪酬政策</w:t>
      </w:r>
      <w:bookmarkEnd w:id="454"/>
      <w:bookmarkEnd w:id="455"/>
      <w:bookmarkEnd w:id="457"/>
    </w:p>
    <w:p>
      <w:pPr>
        <w:pStyle w:val="Style32"/>
        <w:keepNext w:val="0"/>
        <w:keepLines w:val="0"/>
        <w:widowControl w:val="0"/>
        <w:shd w:val="clear" w:color="auto" w:fill="auto"/>
        <w:bidi w:val="0"/>
        <w:spacing w:before="0" w:after="200" w:line="462" w:lineRule="exact"/>
        <w:ind w:left="0" w:right="0" w:firstLine="540"/>
        <w:jc w:val="both"/>
      </w:pPr>
      <w:r>
        <w:rPr>
          <w:color w:val="000000"/>
          <w:spacing w:val="0"/>
          <w:w w:val="100"/>
          <w:position w:val="0"/>
        </w:rPr>
        <w:t>公司为在职员工提供薪酬包括工资、奖金、津贴和补贴、职工福利费、医疗保险费、工伤保险 费、生育保险费、住房公积金、工会和教育经费、短期带薪缺勤等。公司不断优化薪酬管理机制， 按时足额支付员工劳工报酬，以更公平、科学的薪酬福利制度，激励为公司发展做出贡献的优秀员 工。</w:t>
      </w:r>
    </w:p>
    <w:p>
      <w:pPr>
        <w:pStyle w:val="Style38"/>
        <w:keepNext/>
        <w:keepLines/>
        <w:widowControl w:val="0"/>
        <w:shd w:val="clear" w:color="auto" w:fill="auto"/>
        <w:tabs>
          <w:tab w:pos="387" w:val="left"/>
        </w:tabs>
        <w:bidi w:val="0"/>
        <w:spacing w:before="0" w:after="200" w:line="468" w:lineRule="exact"/>
        <w:ind w:left="0" w:right="0" w:firstLine="0"/>
        <w:jc w:val="left"/>
      </w:pPr>
      <w:bookmarkStart w:id="458" w:name="bookmark458"/>
      <w:bookmarkStart w:id="459" w:name="bookmark459"/>
      <w:bookmarkStart w:id="460" w:name="bookmark460"/>
      <w:bookmarkStart w:id="461" w:name="bookmark461"/>
      <w:r>
        <w:rPr>
          <w:rFonts w:ascii="Times New Roman" w:eastAsia="Times New Roman" w:hAnsi="Times New Roman" w:cs="Times New Roman"/>
          <w:color w:val="000000"/>
          <w:spacing w:val="0"/>
          <w:w w:val="100"/>
          <w:position w:val="0"/>
        </w:rPr>
        <w:t>3</w:t>
      </w:r>
      <w:bookmarkEnd w:id="460"/>
      <w:r>
        <w:rPr>
          <w:color w:val="000000"/>
          <w:spacing w:val="0"/>
          <w:w w:val="100"/>
          <w:position w:val="0"/>
        </w:rPr>
        <w:t>、</w:t>
        <w:tab/>
        <w:t>培训计划</w:t>
      </w:r>
      <w:bookmarkEnd w:id="458"/>
      <w:bookmarkEnd w:id="459"/>
      <w:bookmarkEnd w:id="461"/>
    </w:p>
    <w:p>
      <w:pPr>
        <w:pStyle w:val="Style32"/>
        <w:keepNext w:val="0"/>
        <w:keepLines w:val="0"/>
        <w:widowControl w:val="0"/>
        <w:shd w:val="clear" w:color="auto" w:fill="auto"/>
        <w:bidi w:val="0"/>
        <w:spacing w:before="0" w:after="0" w:line="468" w:lineRule="exact"/>
        <w:ind w:left="0" w:right="0" w:firstLine="540"/>
        <w:jc w:val="both"/>
      </w:pPr>
      <w:r>
        <w:rPr>
          <w:color w:val="000000"/>
          <w:spacing w:val="0"/>
          <w:w w:val="100"/>
          <w:position w:val="0"/>
        </w:rPr>
        <w:t>公司积极打造系列标准的人才培养计划，围绕塑造文化、提升业绩、培养干部三大职能，建立 了新员工、企业文化、业务绩效、人才梯队、领导力五大培训领域，覆盖员工在企业发展中的每个 阶段。通过大数据、云计算等先进的互联网技术，持续优化学习数据及资源整合，为员工提供</w:t>
      </w:r>
      <w:r>
        <w:rPr>
          <w:rFonts w:ascii="Times New Roman" w:eastAsia="Times New Roman" w:hAnsi="Times New Roman" w:cs="Times New Roman"/>
          <w:color w:val="000000"/>
          <w:spacing w:val="0"/>
          <w:w w:val="100"/>
          <w:position w:val="0"/>
        </w:rPr>
        <w:t xml:space="preserve">7*24 </w:t>
      </w:r>
      <w:r>
        <w:rPr>
          <w:color w:val="000000"/>
          <w:spacing w:val="0"/>
          <w:w w:val="100"/>
          <w:position w:val="0"/>
        </w:rPr>
        <w:t>式的随时随地的学习成长环境，帮助员工快速成长。</w:t>
      </w:r>
    </w:p>
    <w:p>
      <w:pPr>
        <w:pStyle w:val="Style32"/>
        <w:keepNext w:val="0"/>
        <w:keepLines w:val="0"/>
        <w:widowControl w:val="0"/>
        <w:shd w:val="clear" w:color="auto" w:fill="auto"/>
        <w:bidi w:val="0"/>
        <w:spacing w:before="0" w:after="420" w:line="468" w:lineRule="exact"/>
        <w:ind w:left="0" w:right="0" w:firstLine="540"/>
        <w:jc w:val="both"/>
      </w:pPr>
      <w:r>
        <w:rPr>
          <w:color w:val="000000"/>
          <w:spacing w:val="0"/>
          <w:w w:val="100"/>
          <w:position w:val="0"/>
        </w:rPr>
        <w:t>公司持续拓展</w:t>
      </w:r>
      <w:r>
        <w:rPr>
          <w:rFonts w:ascii="Times New Roman" w:eastAsia="Times New Roman" w:hAnsi="Times New Roman" w:cs="Times New Roman"/>
          <w:color w:val="000000"/>
          <w:spacing w:val="0"/>
          <w:w w:val="100"/>
          <w:position w:val="0"/>
        </w:rPr>
        <w:t>E-learning</w:t>
      </w:r>
      <w:r>
        <w:rPr>
          <w:color w:val="000000"/>
          <w:spacing w:val="0"/>
          <w:w w:val="100"/>
          <w:position w:val="0"/>
        </w:rPr>
        <w:t>平台运行，根据实际操作情况，对知识库实时进行扩充和更新，对各岗 位每个阶段的能力要求进行细化，帮助每个岗位、每个阶段的员工提升知识、技能、态度、素养等 多方面的能力。</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4</w:t>
      </w:r>
      <w:r>
        <w:rPr>
          <w:b/>
          <w:bCs/>
          <w:color w:val="000000"/>
          <w:spacing w:val="0"/>
          <w:w w:val="100"/>
          <w:position w:val="0"/>
        </w:rPr>
        <w:t>、劳务外包情况</w:t>
      </w:r>
    </w:p>
    <w:tbl>
      <w:tblPr>
        <w:tblOverlap w:val="never"/>
        <w:jc w:val="center"/>
        <w:tblLayout w:type="fixed"/>
      </w:tblPr>
      <w:tblGrid>
        <w:gridCol w:w="4790"/>
        <w:gridCol w:w="4790"/>
      </w:tblGrid>
      <w:tr>
        <w:trPr>
          <w:trHeight w:val="302"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劳务外包的工时总数（小时）</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r>
      <w:tr>
        <w:trPr>
          <w:trHeight w:val="298" w:hRule="exact"/>
        </w:trPr>
        <w:tc>
          <w:tcPr>
            <w:tcBorders>
              <w:top w:val="single" w:sz="4"/>
              <w:left w:val="single" w:sz="4"/>
              <w:bottom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劳务外包支付的报酬总额（亿元）</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9.70</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注：公司劳务外包主要发生在物流、售后、客服体系，按照与劳务公司签订的作业模式结算报酬,</w:t>
      </w:r>
    </w:p>
    <w:p>
      <w:pPr>
        <w:widowControl w:val="0"/>
        <w:spacing w:after="199" w:line="1" w:lineRule="exact"/>
      </w:pPr>
    </w:p>
    <w:p>
      <w:pPr>
        <w:pStyle w:val="Style32"/>
        <w:keepNext w:val="0"/>
        <w:keepLines w:val="0"/>
        <w:widowControl w:val="0"/>
        <w:shd w:val="clear" w:color="auto" w:fill="auto"/>
        <w:bidi w:val="0"/>
        <w:spacing w:before="0" w:after="20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年公司劳务外包支付报酬总额为</w:t>
      </w:r>
      <w:r>
        <w:rPr>
          <w:rFonts w:ascii="Times New Roman" w:eastAsia="Times New Roman" w:hAnsi="Times New Roman" w:cs="Times New Roman"/>
          <w:color w:val="000000"/>
          <w:spacing w:val="0"/>
          <w:w w:val="100"/>
          <w:position w:val="0"/>
        </w:rPr>
        <w:t>9.70</w:t>
      </w:r>
      <w:r>
        <w:rPr>
          <w:color w:val="000000"/>
          <w:spacing w:val="0"/>
          <w:w w:val="100"/>
          <w:position w:val="0"/>
        </w:rPr>
        <w:t>亿元。</w:t>
      </w:r>
    </w:p>
    <w:p>
      <w:pPr>
        <w:pStyle w:val="Style18"/>
        <w:keepNext/>
        <w:keepLines/>
        <w:widowControl w:val="0"/>
        <w:shd w:val="clear" w:color="auto" w:fill="auto"/>
        <w:bidi w:val="0"/>
        <w:spacing w:before="0" w:after="340" w:line="240" w:lineRule="auto"/>
        <w:ind w:left="0" w:right="0" w:firstLine="0"/>
        <w:jc w:val="center"/>
      </w:pPr>
      <w:bookmarkStart w:id="462" w:name="bookmark462"/>
      <w:bookmarkStart w:id="463" w:name="bookmark463"/>
      <w:bookmarkStart w:id="464" w:name="bookmark464"/>
      <w:bookmarkStart w:id="465" w:name="bookmark465"/>
      <w:r>
        <w:rPr>
          <w:color w:val="000000"/>
          <w:spacing w:val="0"/>
          <w:w w:val="100"/>
          <w:position w:val="0"/>
        </w:rPr>
        <w:t>第九节公司治理</w:t>
      </w:r>
      <w:bookmarkEnd w:id="463"/>
      <w:bookmarkEnd w:id="464"/>
      <w:bookmarkEnd w:id="465"/>
      <w:bookmarkEnd w:id="462"/>
    </w:p>
    <w:p>
      <w:pPr>
        <w:pStyle w:val="Style32"/>
        <w:keepNext w:val="0"/>
        <w:keepLines w:val="0"/>
        <w:widowControl w:val="0"/>
        <w:shd w:val="clear" w:color="auto" w:fill="auto"/>
        <w:bidi w:val="0"/>
        <w:spacing w:before="0" w:after="200" w:line="467" w:lineRule="exact"/>
        <w:ind w:left="0" w:right="0" w:firstLine="0"/>
        <w:jc w:val="left"/>
        <w:rPr>
          <w:sz w:val="24"/>
          <w:szCs w:val="24"/>
        </w:rPr>
      </w:pPr>
      <w:bookmarkStart w:id="466" w:name="bookmark466"/>
      <w:r>
        <w:rPr>
          <w:b/>
          <w:bCs/>
          <w:color w:val="000000"/>
          <w:spacing w:val="0"/>
          <w:w w:val="100"/>
          <w:position w:val="0"/>
          <w:sz w:val="24"/>
          <w:szCs w:val="24"/>
        </w:rPr>
        <w:t>一</w:t>
      </w:r>
      <w:bookmarkEnd w:id="466"/>
      <w:r>
        <w:rPr>
          <w:b/>
          <w:bCs/>
          <w:color w:val="000000"/>
          <w:spacing w:val="0"/>
          <w:w w:val="100"/>
          <w:position w:val="0"/>
          <w:sz w:val="24"/>
          <w:szCs w:val="24"/>
        </w:rPr>
        <w:t>、公司治理的基本状况</w:t>
      </w:r>
    </w:p>
    <w:p>
      <w:pPr>
        <w:pStyle w:val="Style32"/>
        <w:keepNext w:val="0"/>
        <w:keepLines w:val="0"/>
        <w:widowControl w:val="0"/>
        <w:shd w:val="clear" w:color="auto" w:fill="auto"/>
        <w:bidi w:val="0"/>
        <w:spacing w:before="0" w:after="0" w:line="467" w:lineRule="exact"/>
        <w:ind w:left="0" w:right="0" w:firstLine="460"/>
        <w:jc w:val="both"/>
      </w:pPr>
      <w:r>
        <w:rPr>
          <w:color w:val="000000"/>
          <w:spacing w:val="0"/>
          <w:w w:val="100"/>
          <w:position w:val="0"/>
        </w:rPr>
        <w:t>公司治理的实际状况与中国证监会发布的有关上市公司治理的规范性文件不存在重大差异。 报告期内，公司按照法律法规要求健全公司治理结构，完善公司各项内部控制制度，提升公司 规范运作水平。</w:t>
      </w:r>
    </w:p>
    <w:p>
      <w:pPr>
        <w:pStyle w:val="Style38"/>
        <w:keepNext/>
        <w:keepLines/>
        <w:widowControl w:val="0"/>
        <w:shd w:val="clear" w:color="auto" w:fill="auto"/>
        <w:tabs>
          <w:tab w:pos="838" w:val="left"/>
        </w:tabs>
        <w:bidi w:val="0"/>
        <w:spacing w:before="0" w:after="0" w:line="467" w:lineRule="exact"/>
        <w:ind w:left="0" w:right="0" w:firstLine="460"/>
        <w:jc w:val="both"/>
      </w:pPr>
      <w:bookmarkStart w:id="467" w:name="bookmark467"/>
      <w:bookmarkStart w:id="468" w:name="bookmark468"/>
      <w:bookmarkStart w:id="469" w:name="bookmark469"/>
      <w:bookmarkStart w:id="470" w:name="bookmark470"/>
      <w:r>
        <w:rPr>
          <w:rFonts w:ascii="Times New Roman" w:eastAsia="Times New Roman" w:hAnsi="Times New Roman" w:cs="Times New Roman"/>
          <w:color w:val="000000"/>
          <w:spacing w:val="0"/>
          <w:w w:val="100"/>
          <w:position w:val="0"/>
        </w:rPr>
        <w:t>1</w:t>
      </w:r>
      <w:bookmarkEnd w:id="469"/>
      <w:r>
        <w:rPr>
          <w:color w:val="000000"/>
          <w:spacing w:val="0"/>
          <w:w w:val="100"/>
          <w:position w:val="0"/>
        </w:rPr>
        <w:t>、</w:t>
        <w:tab/>
        <w:t>关于股东及股东大会</w:t>
      </w:r>
      <w:bookmarkEnd w:id="467"/>
      <w:bookmarkEnd w:id="468"/>
      <w:bookmarkEnd w:id="470"/>
    </w:p>
    <w:p>
      <w:pPr>
        <w:pStyle w:val="Style32"/>
        <w:keepNext w:val="0"/>
        <w:keepLines w:val="0"/>
        <w:widowControl w:val="0"/>
        <w:shd w:val="clear" w:color="auto" w:fill="auto"/>
        <w:bidi w:val="0"/>
        <w:spacing w:before="0" w:after="0" w:line="467" w:lineRule="exact"/>
        <w:ind w:left="0" w:right="0" w:firstLine="460"/>
        <w:jc w:val="both"/>
      </w:pPr>
      <w:r>
        <w:rPr>
          <w:color w:val="000000"/>
          <w:spacing w:val="0"/>
          <w:w w:val="100"/>
          <w:position w:val="0"/>
        </w:rPr>
        <w:t>公司通过路演、深交所互动易、电子邮件、投资者交流会等多种方式建立与股东间的互动，报 告期内公司举办年度报告网上说明会、股东大会等，搭建公司与股东之间的沟通渠道；年度内公司 召开四次股东大会，审议通过了全部议案内容，按照公司《章程》、《股东大会议事规则》等制度 规范股东大会召集、召开、表决程序。</w:t>
      </w:r>
    </w:p>
    <w:p>
      <w:pPr>
        <w:pStyle w:val="Style38"/>
        <w:keepNext/>
        <w:keepLines/>
        <w:widowControl w:val="0"/>
        <w:shd w:val="clear" w:color="auto" w:fill="auto"/>
        <w:tabs>
          <w:tab w:pos="847" w:val="left"/>
        </w:tabs>
        <w:bidi w:val="0"/>
        <w:spacing w:before="0" w:after="0" w:line="467" w:lineRule="exact"/>
        <w:ind w:left="0" w:right="0" w:firstLine="460"/>
        <w:jc w:val="both"/>
      </w:pPr>
      <w:bookmarkStart w:id="471" w:name="bookmark471"/>
      <w:bookmarkStart w:id="472" w:name="bookmark472"/>
      <w:bookmarkStart w:id="473" w:name="bookmark473"/>
      <w:bookmarkStart w:id="474" w:name="bookmark474"/>
      <w:r>
        <w:rPr>
          <w:rFonts w:ascii="Times New Roman" w:eastAsia="Times New Roman" w:hAnsi="Times New Roman" w:cs="Times New Roman"/>
          <w:color w:val="000000"/>
          <w:spacing w:val="0"/>
          <w:w w:val="100"/>
          <w:position w:val="0"/>
        </w:rPr>
        <w:t>2</w:t>
      </w:r>
      <w:bookmarkEnd w:id="473"/>
      <w:r>
        <w:rPr>
          <w:color w:val="000000"/>
          <w:spacing w:val="0"/>
          <w:w w:val="100"/>
          <w:position w:val="0"/>
        </w:rPr>
        <w:t>、</w:t>
        <w:tab/>
        <w:t>关于董事及董事会</w:t>
      </w:r>
      <w:bookmarkEnd w:id="471"/>
      <w:bookmarkEnd w:id="472"/>
      <w:bookmarkEnd w:id="474"/>
    </w:p>
    <w:p>
      <w:pPr>
        <w:pStyle w:val="Style32"/>
        <w:keepNext w:val="0"/>
        <w:keepLines w:val="0"/>
        <w:widowControl w:val="0"/>
        <w:shd w:val="clear" w:color="auto" w:fill="auto"/>
        <w:bidi w:val="0"/>
        <w:spacing w:before="0" w:after="0" w:line="467" w:lineRule="exact"/>
        <w:ind w:left="0" w:right="0" w:firstLine="460"/>
        <w:jc w:val="both"/>
      </w:pPr>
      <w:r>
        <w:rPr>
          <w:color w:val="000000"/>
          <w:spacing w:val="0"/>
          <w:w w:val="100"/>
          <w:position w:val="0"/>
        </w:rPr>
        <w:t>报告期内，公司全体董事勤勉尽责，董事会及各专门委员会高效运作，审议通过各项议案，确 保了公司规范运作。</w:t>
      </w:r>
    </w:p>
    <w:p>
      <w:pPr>
        <w:pStyle w:val="Style38"/>
        <w:keepNext/>
        <w:keepLines/>
        <w:widowControl w:val="0"/>
        <w:shd w:val="clear" w:color="auto" w:fill="auto"/>
        <w:tabs>
          <w:tab w:pos="847" w:val="left"/>
        </w:tabs>
        <w:bidi w:val="0"/>
        <w:spacing w:before="0" w:after="0" w:line="467" w:lineRule="exact"/>
        <w:ind w:left="0" w:right="0" w:firstLine="460"/>
        <w:jc w:val="left"/>
      </w:pPr>
      <w:bookmarkStart w:id="475" w:name="bookmark475"/>
      <w:bookmarkStart w:id="476" w:name="bookmark476"/>
      <w:bookmarkStart w:id="477" w:name="bookmark477"/>
      <w:bookmarkStart w:id="478" w:name="bookmark478"/>
      <w:r>
        <w:rPr>
          <w:rFonts w:ascii="Times New Roman" w:eastAsia="Times New Roman" w:hAnsi="Times New Roman" w:cs="Times New Roman"/>
          <w:color w:val="000000"/>
          <w:spacing w:val="0"/>
          <w:w w:val="100"/>
          <w:position w:val="0"/>
        </w:rPr>
        <w:t>3</w:t>
      </w:r>
      <w:bookmarkEnd w:id="477"/>
      <w:r>
        <w:rPr>
          <w:color w:val="000000"/>
          <w:spacing w:val="0"/>
          <w:w w:val="100"/>
          <w:position w:val="0"/>
        </w:rPr>
        <w:t>、</w:t>
        <w:tab/>
        <w:t>关于监事及监事会</w:t>
      </w:r>
      <w:bookmarkEnd w:id="475"/>
      <w:bookmarkEnd w:id="476"/>
      <w:bookmarkEnd w:id="478"/>
    </w:p>
    <w:p>
      <w:pPr>
        <w:pStyle w:val="Style32"/>
        <w:keepNext w:val="0"/>
        <w:keepLines w:val="0"/>
        <w:widowControl w:val="0"/>
        <w:shd w:val="clear" w:color="auto" w:fill="auto"/>
        <w:bidi w:val="0"/>
        <w:spacing w:before="0" w:after="0" w:line="467" w:lineRule="exact"/>
        <w:ind w:left="0" w:right="0" w:firstLine="460"/>
        <w:jc w:val="both"/>
      </w:pPr>
      <w:r>
        <w:rPr>
          <w:color w:val="000000"/>
          <w:spacing w:val="0"/>
          <w:w w:val="100"/>
          <w:position w:val="0"/>
        </w:rPr>
        <w:t>全体监事勤勉尽责，充分发挥监事会职责，对公司财务以及董事、高级管理人员履行职责的合 法合规性进行监督，维护公司及股东的合法权益。</w:t>
      </w:r>
    </w:p>
    <w:p>
      <w:pPr>
        <w:pStyle w:val="Style32"/>
        <w:keepNext w:val="0"/>
        <w:keepLines w:val="0"/>
        <w:widowControl w:val="0"/>
        <w:shd w:val="clear" w:color="auto" w:fill="auto"/>
        <w:bidi w:val="0"/>
        <w:spacing w:before="0" w:after="0" w:line="467" w:lineRule="exact"/>
        <w:ind w:left="0" w:right="0" w:firstLine="460"/>
        <w:jc w:val="both"/>
      </w:pPr>
      <w:r>
        <w:rPr>
          <w:color w:val="000000"/>
          <w:spacing w:val="0"/>
          <w:w w:val="100"/>
          <w:position w:val="0"/>
        </w:rPr>
        <w:t>报告期内，公司监事列席董事会会议，听取公司管理层、财务负责人关于公司</w:t>
      </w:r>
      <w:r>
        <w:rPr>
          <w:rFonts w:ascii="Times New Roman" w:eastAsia="Times New Roman" w:hAnsi="Times New Roman" w:cs="Times New Roman"/>
          <w:color w:val="000000"/>
          <w:spacing w:val="0"/>
          <w:w w:val="100"/>
          <w:position w:val="0"/>
        </w:rPr>
        <w:t>2015</w:t>
      </w:r>
      <w:r>
        <w:rPr>
          <w:color w:val="000000"/>
          <w:spacing w:val="0"/>
          <w:w w:val="100"/>
          <w:position w:val="0"/>
        </w:rPr>
        <w:t xml:space="preserve">年年度报告、 </w:t>
      </w:r>
      <w:r>
        <w:rPr>
          <w:rFonts w:ascii="Times New Roman" w:eastAsia="Times New Roman" w:hAnsi="Times New Roman" w:cs="Times New Roman"/>
          <w:color w:val="000000"/>
          <w:spacing w:val="0"/>
          <w:w w:val="100"/>
          <w:position w:val="0"/>
        </w:rPr>
        <w:t>2016</w:t>
      </w:r>
      <w:r>
        <w:rPr>
          <w:color w:val="000000"/>
          <w:spacing w:val="0"/>
          <w:w w:val="100"/>
          <w:position w:val="0"/>
        </w:rPr>
        <w:t>年半年度报告内容汇报，并对公司投资理财、关联交易、募集资金等重要事项发表合规意见。</w:t>
      </w:r>
    </w:p>
    <w:p>
      <w:pPr>
        <w:pStyle w:val="Style38"/>
        <w:keepNext/>
        <w:keepLines/>
        <w:widowControl w:val="0"/>
        <w:shd w:val="clear" w:color="auto" w:fill="auto"/>
        <w:tabs>
          <w:tab w:pos="847" w:val="left"/>
        </w:tabs>
        <w:bidi w:val="0"/>
        <w:spacing w:before="0" w:after="0" w:line="467" w:lineRule="exact"/>
        <w:ind w:left="0" w:right="0" w:firstLine="460"/>
        <w:jc w:val="left"/>
      </w:pPr>
      <w:bookmarkStart w:id="479" w:name="bookmark479"/>
      <w:bookmarkStart w:id="480" w:name="bookmark480"/>
      <w:bookmarkStart w:id="481" w:name="bookmark481"/>
      <w:bookmarkStart w:id="482" w:name="bookmark482"/>
      <w:r>
        <w:rPr>
          <w:rFonts w:ascii="Times New Roman" w:eastAsia="Times New Roman" w:hAnsi="Times New Roman" w:cs="Times New Roman"/>
          <w:color w:val="000000"/>
          <w:spacing w:val="0"/>
          <w:w w:val="100"/>
          <w:position w:val="0"/>
        </w:rPr>
        <w:t>4</w:t>
      </w:r>
      <w:bookmarkEnd w:id="481"/>
      <w:r>
        <w:rPr>
          <w:color w:val="000000"/>
          <w:spacing w:val="0"/>
          <w:w w:val="100"/>
          <w:position w:val="0"/>
        </w:rPr>
        <w:t>、</w:t>
        <w:tab/>
        <w:t>关于绩效评价与激励约束机制</w:t>
      </w:r>
      <w:bookmarkEnd w:id="479"/>
      <w:bookmarkEnd w:id="480"/>
      <w:bookmarkEnd w:id="482"/>
    </w:p>
    <w:p>
      <w:pPr>
        <w:pStyle w:val="Style32"/>
        <w:keepNext w:val="0"/>
        <w:keepLines w:val="0"/>
        <w:widowControl w:val="0"/>
        <w:shd w:val="clear" w:color="auto" w:fill="auto"/>
        <w:bidi w:val="0"/>
        <w:spacing w:before="0" w:after="0" w:line="467" w:lineRule="exact"/>
        <w:ind w:left="0" w:right="0" w:firstLine="460"/>
        <w:jc w:val="both"/>
      </w:pPr>
      <w:r>
        <w:rPr>
          <w:color w:val="000000"/>
          <w:spacing w:val="0"/>
          <w:w w:val="100"/>
          <w:position w:val="0"/>
        </w:rPr>
        <w:t>公司通过建立公正透明的董事、监事、高级管理人员的绩效评价标准和激励约束机制，设立具 有竞争性的岗位绩效考核机制，促进管理绩效的提升。公司董事会薪酬与考核委员会负责组织实施 对公司董事、高级管理人员的绩效评价，对于公司监事结合所任公司岗位，依据公司内部管理绩效 进行考核。</w:t>
      </w:r>
    </w:p>
    <w:p>
      <w:pPr>
        <w:pStyle w:val="Style38"/>
        <w:keepNext/>
        <w:keepLines/>
        <w:widowControl w:val="0"/>
        <w:shd w:val="clear" w:color="auto" w:fill="auto"/>
        <w:tabs>
          <w:tab w:pos="847" w:val="left"/>
        </w:tabs>
        <w:bidi w:val="0"/>
        <w:spacing w:before="0" w:after="0" w:line="467" w:lineRule="exact"/>
        <w:ind w:left="0" w:right="0" w:firstLine="460"/>
        <w:jc w:val="both"/>
      </w:pPr>
      <w:bookmarkStart w:id="483" w:name="bookmark483"/>
      <w:bookmarkStart w:id="484" w:name="bookmark484"/>
      <w:bookmarkStart w:id="485" w:name="bookmark485"/>
      <w:bookmarkStart w:id="486" w:name="bookmark486"/>
      <w:r>
        <w:rPr>
          <w:rFonts w:ascii="Times New Roman" w:eastAsia="Times New Roman" w:hAnsi="Times New Roman" w:cs="Times New Roman"/>
          <w:color w:val="000000"/>
          <w:spacing w:val="0"/>
          <w:w w:val="100"/>
          <w:position w:val="0"/>
        </w:rPr>
        <w:t>5</w:t>
      </w:r>
      <w:bookmarkEnd w:id="485"/>
      <w:r>
        <w:rPr>
          <w:color w:val="000000"/>
          <w:spacing w:val="0"/>
          <w:w w:val="100"/>
          <w:position w:val="0"/>
        </w:rPr>
        <w:t>、</w:t>
        <w:tab/>
        <w:t>关于相关利益者</w:t>
      </w:r>
      <w:bookmarkEnd w:id="483"/>
      <w:bookmarkEnd w:id="484"/>
      <w:bookmarkEnd w:id="486"/>
    </w:p>
    <w:p>
      <w:pPr>
        <w:pStyle w:val="Style32"/>
        <w:keepNext w:val="0"/>
        <w:keepLines w:val="0"/>
        <w:widowControl w:val="0"/>
        <w:shd w:val="clear" w:color="auto" w:fill="auto"/>
        <w:bidi w:val="0"/>
        <w:spacing w:before="0" w:after="0" w:line="467" w:lineRule="exact"/>
        <w:ind w:left="0" w:right="0" w:firstLine="460"/>
        <w:jc w:val="both"/>
      </w:pPr>
      <w:r>
        <w:rPr>
          <w:color w:val="000000"/>
          <w:spacing w:val="0"/>
          <w:w w:val="100"/>
          <w:position w:val="0"/>
        </w:rPr>
        <w:t>公司能够充分尊重和维护相关利益者的合法权益，积极与相关利益者合作，加强与各方的沟通 和交流，实现股东、员工、社会等各方利益的均衡，以推动公司持续、稳定、健康地发展。</w:t>
      </w:r>
    </w:p>
    <w:p>
      <w:pPr>
        <w:pStyle w:val="Style38"/>
        <w:keepNext/>
        <w:keepLines/>
        <w:widowControl w:val="0"/>
        <w:shd w:val="clear" w:color="auto" w:fill="auto"/>
        <w:bidi w:val="0"/>
        <w:spacing w:before="0" w:after="0" w:line="468" w:lineRule="exact"/>
        <w:ind w:left="0" w:right="0" w:firstLine="460"/>
        <w:jc w:val="left"/>
      </w:pPr>
      <w:bookmarkStart w:id="487" w:name="bookmark487"/>
      <w:bookmarkStart w:id="488" w:name="bookmark488"/>
      <w:bookmarkStart w:id="489" w:name="bookmark489"/>
      <w:bookmarkStart w:id="490" w:name="bookmark490"/>
      <w:r>
        <w:rPr>
          <w:rFonts w:ascii="Times New Roman" w:eastAsia="Times New Roman" w:hAnsi="Times New Roman" w:cs="Times New Roman"/>
          <w:color w:val="000000"/>
          <w:spacing w:val="0"/>
          <w:w w:val="100"/>
          <w:position w:val="0"/>
        </w:rPr>
        <w:t>6</w:t>
      </w:r>
      <w:bookmarkEnd w:id="489"/>
      <w:r>
        <w:rPr>
          <w:color w:val="000000"/>
          <w:spacing w:val="0"/>
          <w:w w:val="100"/>
          <w:position w:val="0"/>
        </w:rPr>
        <w:t>、关于信息披露与透明度</w:t>
      </w:r>
      <w:bookmarkEnd w:id="487"/>
      <w:bookmarkEnd w:id="488"/>
      <w:bookmarkEnd w:id="490"/>
    </w:p>
    <w:p>
      <w:pPr>
        <w:pStyle w:val="Style32"/>
        <w:keepNext w:val="0"/>
        <w:keepLines w:val="0"/>
        <w:widowControl w:val="0"/>
        <w:shd w:val="clear" w:color="auto" w:fill="auto"/>
        <w:bidi w:val="0"/>
        <w:spacing w:before="0" w:after="220" w:line="468" w:lineRule="exact"/>
        <w:ind w:left="0" w:right="0" w:firstLine="460"/>
        <w:jc w:val="left"/>
      </w:pPr>
      <w:r>
        <w:rPr>
          <w:color w:val="000000"/>
          <w:spacing w:val="0"/>
          <w:w w:val="100"/>
          <w:position w:val="0"/>
        </w:rPr>
        <w:t>公司严格按照《信息披露管理制度》、《投资者关系管理制度》的要求，加强公司信息披露的 规范性，由公司董事会秘书负责信息披露工作、接待投资者来访和咨询。公司严格按照有关规定， 真实、准确、完整、及时地披露有关信息，确保公司所有股东能够以平等的机会获得信息。</w:t>
      </w:r>
    </w:p>
    <w:p>
      <w:pPr>
        <w:pStyle w:val="Style32"/>
        <w:keepNext w:val="0"/>
        <w:keepLines w:val="0"/>
        <w:widowControl w:val="0"/>
        <w:shd w:val="clear" w:color="auto" w:fill="auto"/>
        <w:tabs>
          <w:tab w:pos="517" w:val="left"/>
        </w:tabs>
        <w:bidi w:val="0"/>
        <w:spacing w:before="0" w:after="220" w:line="468" w:lineRule="exact"/>
        <w:ind w:left="0" w:right="0" w:firstLine="0"/>
        <w:jc w:val="left"/>
        <w:rPr>
          <w:sz w:val="24"/>
          <w:szCs w:val="24"/>
        </w:rPr>
      </w:pPr>
      <w:bookmarkStart w:id="491" w:name="bookmark491"/>
      <w:r>
        <w:rPr>
          <w:b/>
          <w:bCs/>
          <w:color w:val="000000"/>
          <w:spacing w:val="0"/>
          <w:w w:val="100"/>
          <w:position w:val="0"/>
          <w:sz w:val="24"/>
          <w:szCs w:val="24"/>
        </w:rPr>
        <w:t>二</w:t>
      </w:r>
      <w:bookmarkEnd w:id="491"/>
      <w:r>
        <w:rPr>
          <w:b/>
          <w:bCs/>
          <w:color w:val="000000"/>
          <w:spacing w:val="0"/>
          <w:w w:val="100"/>
          <w:position w:val="0"/>
          <w:sz w:val="24"/>
          <w:szCs w:val="24"/>
        </w:rPr>
        <w:t>、</w:t>
        <w:tab/>
        <w:t>公司相对于控股股东在业务、人员、资产、机构、财务等方面的独立情况</w:t>
      </w:r>
    </w:p>
    <w:p>
      <w:pPr>
        <w:pStyle w:val="Style32"/>
        <w:keepNext w:val="0"/>
        <w:keepLines w:val="0"/>
        <w:widowControl w:val="0"/>
        <w:shd w:val="clear" w:color="auto" w:fill="auto"/>
        <w:bidi w:val="0"/>
        <w:spacing w:before="0" w:after="220" w:line="468" w:lineRule="exact"/>
        <w:ind w:left="0" w:right="0" w:firstLine="460"/>
        <w:jc w:val="left"/>
      </w:pPr>
      <w:r>
        <w:rPr>
          <w:color w:val="000000"/>
          <w:spacing w:val="0"/>
          <w:w w:val="100"/>
          <w:position w:val="0"/>
        </w:rPr>
        <w:t>因公司控股股东为自然人，故不存在公司与控股股东在业务、人员、资产、机构等方面的问题, 同时公司的控股股东及其关联公司未以任何非经营性形式占用公司的货币资金或其他资产，公司与 控股股东及其关联公司在业务、人员、资产、机构、财务等方面完全分开，具有独立完整的业务及 自主经营能力。公司与控股股东关联法人之间发生的关联交易，定价公平合理，审批程序符合相关 法律、法规及公司《章程》的规定。</w:t>
      </w:r>
    </w:p>
    <w:p>
      <w:pPr>
        <w:pStyle w:val="Style32"/>
        <w:keepNext w:val="0"/>
        <w:keepLines w:val="0"/>
        <w:widowControl w:val="0"/>
        <w:shd w:val="clear" w:color="auto" w:fill="auto"/>
        <w:tabs>
          <w:tab w:pos="522" w:val="left"/>
        </w:tabs>
        <w:bidi w:val="0"/>
        <w:spacing w:before="0" w:after="220" w:line="468" w:lineRule="exact"/>
        <w:ind w:left="0" w:right="0" w:firstLine="0"/>
        <w:jc w:val="left"/>
        <w:rPr>
          <w:sz w:val="24"/>
          <w:szCs w:val="24"/>
        </w:rPr>
      </w:pPr>
      <w:bookmarkStart w:id="492" w:name="bookmark492"/>
      <w:r>
        <w:rPr>
          <w:b/>
          <w:bCs/>
          <w:color w:val="000000"/>
          <w:spacing w:val="0"/>
          <w:w w:val="100"/>
          <w:position w:val="0"/>
          <w:sz w:val="24"/>
          <w:szCs w:val="24"/>
        </w:rPr>
        <w:t>三</w:t>
      </w:r>
      <w:bookmarkEnd w:id="492"/>
      <w:r>
        <w:rPr>
          <w:b/>
          <w:bCs/>
          <w:color w:val="000000"/>
          <w:spacing w:val="0"/>
          <w:w w:val="100"/>
          <w:position w:val="0"/>
          <w:sz w:val="24"/>
          <w:szCs w:val="24"/>
        </w:rPr>
        <w:t>、</w:t>
        <w:tab/>
        <w:t>同业竞争情况</w:t>
      </w:r>
    </w:p>
    <w:p>
      <w:pPr>
        <w:pStyle w:val="Style32"/>
        <w:keepNext w:val="0"/>
        <w:keepLines w:val="0"/>
        <w:widowControl w:val="0"/>
        <w:shd w:val="clear" w:color="auto" w:fill="auto"/>
        <w:bidi w:val="0"/>
        <w:spacing w:before="0" w:after="0" w:line="463" w:lineRule="exact"/>
        <w:ind w:left="0" w:right="0" w:firstLine="46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2"/>
        <w:keepNext w:val="0"/>
        <w:keepLines w:val="0"/>
        <w:widowControl w:val="0"/>
        <w:shd w:val="clear" w:color="auto" w:fill="auto"/>
        <w:bidi w:val="0"/>
        <w:spacing w:before="0" w:after="220" w:line="463" w:lineRule="exact"/>
        <w:ind w:left="0" w:right="0" w:firstLine="460"/>
        <w:jc w:val="left"/>
      </w:pPr>
      <w:r>
        <w:rPr>
          <w:color w:val="000000"/>
          <w:spacing w:val="0"/>
          <w:w w:val="100"/>
          <w:position w:val="0"/>
        </w:rPr>
        <w:t>为避免同业竞争损害本公司及其他股东的利益，公司股东张近东先生、苏宁电器集团有限公司、 陈金凤女士、赵蓓女士已于</w:t>
      </w:r>
      <w:r>
        <w:rPr>
          <w:rFonts w:ascii="Times New Roman" w:eastAsia="Times New Roman" w:hAnsi="Times New Roman" w:cs="Times New Roman"/>
          <w:color w:val="000000"/>
          <w:spacing w:val="0"/>
          <w:w w:val="100"/>
          <w:position w:val="0"/>
        </w:rPr>
        <w:t>2002</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日分别向公司出具《不竞争承诺函》；苏宁电器集团有限 公司</w:t>
      </w:r>
      <w:r>
        <w:rPr>
          <w:rFonts w:ascii="Times New Roman" w:eastAsia="Times New Roman" w:hAnsi="Times New Roman" w:cs="Times New Roman"/>
          <w:color w:val="000000"/>
          <w:spacing w:val="0"/>
          <w:w w:val="100"/>
          <w:position w:val="0"/>
        </w:rPr>
        <w:t>2003</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日出具承诺函，保证今后避免发生除正常业务外的一切资金往来。</w:t>
      </w:r>
    </w:p>
    <w:p>
      <w:pPr>
        <w:pStyle w:val="Style32"/>
        <w:keepNext w:val="0"/>
        <w:keepLines w:val="0"/>
        <w:widowControl w:val="0"/>
        <w:shd w:val="clear" w:color="auto" w:fill="auto"/>
        <w:tabs>
          <w:tab w:pos="522" w:val="left"/>
        </w:tabs>
        <w:bidi w:val="0"/>
        <w:spacing w:before="0" w:after="320" w:line="468" w:lineRule="exact"/>
        <w:ind w:left="0" w:right="0" w:firstLine="0"/>
        <w:jc w:val="left"/>
        <w:rPr>
          <w:sz w:val="24"/>
          <w:szCs w:val="24"/>
        </w:rPr>
      </w:pPr>
      <w:bookmarkStart w:id="493" w:name="bookmark493"/>
      <w:r>
        <w:rPr>
          <w:b/>
          <w:bCs/>
          <w:color w:val="000000"/>
          <w:spacing w:val="0"/>
          <w:w w:val="100"/>
          <w:position w:val="0"/>
          <w:sz w:val="24"/>
          <w:szCs w:val="24"/>
        </w:rPr>
        <w:t>四</w:t>
      </w:r>
      <w:bookmarkEnd w:id="493"/>
      <w:r>
        <w:rPr>
          <w:b/>
          <w:bCs/>
          <w:color w:val="000000"/>
          <w:spacing w:val="0"/>
          <w:w w:val="100"/>
          <w:position w:val="0"/>
          <w:sz w:val="24"/>
          <w:szCs w:val="24"/>
        </w:rPr>
        <w:t>、</w:t>
        <w:tab/>
        <w:t>报告期内召开的年度股东大会和临时股东大会的有关情况</w:t>
      </w:r>
    </w:p>
    <w:p>
      <w:pPr>
        <w:pStyle w:val="Style25"/>
        <w:keepNext w:val="0"/>
        <w:keepLines w:val="0"/>
        <w:widowControl w:val="0"/>
        <w:shd w:val="clear" w:color="auto" w:fill="auto"/>
        <w:bidi w:val="0"/>
        <w:spacing w:before="0" w:after="0" w:line="240" w:lineRule="auto"/>
        <w:ind w:left="19" w:right="0" w:firstLine="0"/>
        <w:jc w:val="left"/>
      </w:pPr>
      <w:r>
        <w:rPr>
          <w:rFonts w:ascii="Times New Roman" w:eastAsia="Times New Roman" w:hAnsi="Times New Roman" w:cs="Times New Roman"/>
          <w:b/>
          <w:bCs/>
          <w:color w:val="000000"/>
          <w:spacing w:val="0"/>
          <w:w w:val="100"/>
          <w:position w:val="0"/>
        </w:rPr>
        <w:t>1</w:t>
      </w:r>
      <w:r>
        <w:rPr>
          <w:b/>
          <w:bCs/>
          <w:color w:val="000000"/>
          <w:spacing w:val="0"/>
          <w:w w:val="100"/>
          <w:position w:val="0"/>
        </w:rPr>
        <w:t>、本报告期股东大会情况</w:t>
      </w:r>
    </w:p>
    <w:tbl>
      <w:tblPr>
        <w:tblOverlap w:val="never"/>
        <w:jc w:val="center"/>
        <w:tblLayout w:type="fixed"/>
      </w:tblPr>
      <w:tblGrid>
        <w:gridCol w:w="1325"/>
        <w:gridCol w:w="917"/>
        <w:gridCol w:w="1195"/>
        <w:gridCol w:w="1277"/>
        <w:gridCol w:w="1416"/>
        <w:gridCol w:w="3576"/>
      </w:tblGrid>
      <w:tr>
        <w:trPr>
          <w:trHeight w:val="586" w:hRule="exact"/>
        </w:trPr>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会议届次</w:t>
            </w:r>
          </w:p>
        </w:tc>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69" w:lineRule="exact"/>
              <w:ind w:left="0" w:right="0" w:firstLine="0"/>
              <w:jc w:val="center"/>
            </w:pPr>
            <w:r>
              <w:rPr>
                <w:color w:val="000000"/>
                <w:spacing w:val="0"/>
                <w:w w:val="100"/>
                <w:position w:val="0"/>
              </w:rPr>
              <w:t>会议类 型</w:t>
            </w:r>
          </w:p>
        </w:tc>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74" w:lineRule="exact"/>
              <w:ind w:left="0" w:right="0" w:firstLine="0"/>
              <w:jc w:val="left"/>
            </w:pPr>
            <w:r>
              <w:rPr>
                <w:color w:val="000000"/>
                <w:spacing w:val="0"/>
                <w:w w:val="100"/>
                <w:position w:val="0"/>
              </w:rPr>
              <w:t>投资者参与 比例（注）</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180"/>
              <w:jc w:val="left"/>
            </w:pPr>
            <w:r>
              <w:rPr>
                <w:color w:val="000000"/>
                <w:spacing w:val="0"/>
                <w:w w:val="100"/>
                <w:position w:val="0"/>
              </w:rPr>
              <w:t>召开日期</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58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年年度</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股东大会</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88" w:lineRule="exact"/>
              <w:ind w:left="0" w:right="0" w:firstLine="0"/>
              <w:jc w:val="left"/>
            </w:pPr>
            <w:r>
              <w:rPr>
                <w:color w:val="000000"/>
                <w:spacing w:val="0"/>
                <w:w w:val="100"/>
                <w:position w:val="0"/>
              </w:rPr>
              <w:t>年度股 东大会</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0.009%</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307" w:lineRule="exact"/>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rPr>
              <w:t>2016-033</w:t>
            </w:r>
            <w:r>
              <w:rPr>
                <w:color w:val="000000"/>
                <w:spacing w:val="0"/>
                <w:w w:val="100"/>
                <w:position w:val="0"/>
              </w:rPr>
              <w:t>号《</w:t>
            </w:r>
            <w:r>
              <w:rPr>
                <w:rFonts w:ascii="Times New Roman" w:eastAsia="Times New Roman" w:hAnsi="Times New Roman" w:cs="Times New Roman"/>
                <w:color w:val="000000"/>
                <w:spacing w:val="0"/>
                <w:w w:val="100"/>
                <w:position w:val="0"/>
              </w:rPr>
              <w:t>2015</w:t>
            </w:r>
            <w:r>
              <w:rPr>
                <w:color w:val="000000"/>
                <w:spacing w:val="0"/>
                <w:w w:val="100"/>
                <w:position w:val="0"/>
              </w:rPr>
              <w:t>年 年度股东大会决议公告》</w:t>
            </w:r>
          </w:p>
        </w:tc>
      </w:tr>
      <w:tr>
        <w:trPr>
          <w:trHeight w:val="864"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98" w:lineRule="exact"/>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年第一 次临时股东 大会</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307" w:lineRule="exact"/>
              <w:ind w:left="0" w:right="0" w:firstLine="0"/>
              <w:jc w:val="left"/>
            </w:pPr>
            <w:r>
              <w:rPr>
                <w:color w:val="000000"/>
                <w:spacing w:val="0"/>
                <w:w w:val="100"/>
                <w:position w:val="0"/>
              </w:rPr>
              <w:t>临时股 东大会</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0.005%</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日</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4</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307" w:lineRule="exact"/>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rPr>
              <w:t>2016-045</w:t>
            </w:r>
            <w:r>
              <w:rPr>
                <w:color w:val="000000"/>
                <w:spacing w:val="0"/>
                <w:w w:val="100"/>
                <w:position w:val="0"/>
              </w:rPr>
              <w:t>号《</w:t>
            </w:r>
            <w:r>
              <w:rPr>
                <w:rFonts w:ascii="Times New Roman" w:eastAsia="Times New Roman" w:hAnsi="Times New Roman" w:cs="Times New Roman"/>
                <w:color w:val="000000"/>
                <w:spacing w:val="0"/>
                <w:w w:val="100"/>
                <w:position w:val="0"/>
              </w:rPr>
              <w:t>2016</w:t>
            </w:r>
            <w:r>
              <w:rPr>
                <w:color w:val="000000"/>
                <w:spacing w:val="0"/>
                <w:w w:val="100"/>
                <w:position w:val="0"/>
              </w:rPr>
              <w:t>年 第一次临时股东大会决议公告》</w:t>
            </w:r>
          </w:p>
        </w:tc>
      </w:tr>
      <w:tr>
        <w:trPr>
          <w:trHeight w:val="869"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98" w:lineRule="exact"/>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年第二 次临时股东 大会</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302" w:lineRule="exact"/>
              <w:ind w:left="0" w:right="0" w:firstLine="0"/>
              <w:jc w:val="left"/>
            </w:pPr>
            <w:r>
              <w:rPr>
                <w:color w:val="000000"/>
                <w:spacing w:val="0"/>
                <w:w w:val="100"/>
                <w:position w:val="0"/>
              </w:rPr>
              <w:t>临时股 东大会</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0.007%</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302" w:lineRule="exact"/>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rPr>
              <w:t>2016-046</w:t>
            </w:r>
            <w:r>
              <w:rPr>
                <w:color w:val="000000"/>
                <w:spacing w:val="0"/>
                <w:w w:val="100"/>
                <w:position w:val="0"/>
              </w:rPr>
              <w:t>号《</w:t>
            </w:r>
            <w:r>
              <w:rPr>
                <w:rFonts w:ascii="Times New Roman" w:eastAsia="Times New Roman" w:hAnsi="Times New Roman" w:cs="Times New Roman"/>
                <w:color w:val="000000"/>
                <w:spacing w:val="0"/>
                <w:w w:val="100"/>
                <w:position w:val="0"/>
              </w:rPr>
              <w:t>2016</w:t>
            </w:r>
            <w:r>
              <w:rPr>
                <w:color w:val="000000"/>
                <w:spacing w:val="0"/>
                <w:w w:val="100"/>
                <w:position w:val="0"/>
              </w:rPr>
              <w:t>年 第二次临时股东大会决议公告》</w:t>
            </w:r>
          </w:p>
        </w:tc>
      </w:tr>
      <w:tr>
        <w:trPr>
          <w:trHeight w:val="869"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98" w:lineRule="exact"/>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年第三 次临时股东 大会</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307" w:lineRule="exact"/>
              <w:ind w:left="0" w:right="0" w:firstLine="0"/>
              <w:jc w:val="left"/>
            </w:pPr>
            <w:r>
              <w:rPr>
                <w:color w:val="000000"/>
                <w:spacing w:val="0"/>
                <w:w w:val="100"/>
                <w:position w:val="0"/>
              </w:rPr>
              <w:t>临时股 东大会</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0.008%</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11</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307" w:lineRule="exact"/>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rPr>
              <w:t>2016-087</w:t>
            </w:r>
            <w:r>
              <w:rPr>
                <w:color w:val="000000"/>
                <w:spacing w:val="0"/>
                <w:w w:val="100"/>
                <w:position w:val="0"/>
              </w:rPr>
              <w:t>号《</w:t>
            </w:r>
            <w:r>
              <w:rPr>
                <w:rFonts w:ascii="Times New Roman" w:eastAsia="Times New Roman" w:hAnsi="Times New Roman" w:cs="Times New Roman"/>
                <w:color w:val="000000"/>
                <w:spacing w:val="0"/>
                <w:w w:val="100"/>
                <w:position w:val="0"/>
              </w:rPr>
              <w:t>2016</w:t>
            </w:r>
            <w:r>
              <w:rPr>
                <w:color w:val="000000"/>
                <w:spacing w:val="0"/>
                <w:w w:val="100"/>
                <w:position w:val="0"/>
              </w:rPr>
              <w:t>年 第三次临时股东大会决议公告》</w:t>
            </w:r>
          </w:p>
        </w:tc>
      </w:tr>
    </w:tbl>
    <w:p>
      <w:pPr>
        <w:pStyle w:val="Style25"/>
        <w:keepNext w:val="0"/>
        <w:keepLines w:val="0"/>
        <w:widowControl w:val="0"/>
        <w:shd w:val="clear" w:color="auto" w:fill="auto"/>
        <w:bidi w:val="0"/>
        <w:spacing w:before="0" w:after="0" w:line="240" w:lineRule="auto"/>
        <w:ind w:left="14" w:right="0" w:firstLine="0"/>
        <w:jc w:val="left"/>
        <w:rPr>
          <w:sz w:val="20"/>
          <w:szCs w:val="20"/>
        </w:rPr>
      </w:pPr>
      <w:r>
        <w:rPr>
          <w:color w:val="000000"/>
          <w:spacing w:val="0"/>
          <w:w w:val="100"/>
          <w:position w:val="0"/>
          <w:sz w:val="20"/>
          <w:szCs w:val="20"/>
        </w:rPr>
        <w:t>注：投资者参与比例是指参会的投资者占总股东人数比例，投资者指未担任公司职位的自然人。</w:t>
      </w:r>
    </w:p>
    <w:p>
      <w:pPr>
        <w:pStyle w:val="Style38"/>
        <w:keepNext/>
        <w:keepLines/>
        <w:widowControl w:val="0"/>
        <w:shd w:val="clear" w:color="auto" w:fill="auto"/>
        <w:bidi w:val="0"/>
        <w:spacing w:before="0" w:after="400" w:line="240" w:lineRule="auto"/>
        <w:ind w:left="0" w:right="0" w:firstLine="0"/>
        <w:jc w:val="left"/>
      </w:pPr>
      <w:bookmarkStart w:id="494" w:name="bookmark494"/>
      <w:bookmarkStart w:id="495" w:name="bookmark495"/>
      <w:bookmarkStart w:id="496" w:name="bookmark496"/>
      <w:r>
        <w:rPr>
          <w:rFonts w:ascii="Times New Roman" w:eastAsia="Times New Roman" w:hAnsi="Times New Roman" w:cs="Times New Roman"/>
          <w:color w:val="000000"/>
          <w:spacing w:val="0"/>
          <w:w w:val="100"/>
          <w:position w:val="0"/>
        </w:rPr>
        <w:t>2</w:t>
      </w:r>
      <w:r>
        <w:rPr>
          <w:color w:val="000000"/>
          <w:spacing w:val="0"/>
          <w:w w:val="100"/>
          <w:position w:val="0"/>
        </w:rPr>
        <w:t>、表决权恢复的优先股股东请求召开临时股东大会</w:t>
      </w:r>
      <w:bookmarkEnd w:id="494"/>
      <w:bookmarkEnd w:id="495"/>
      <w:bookmarkEnd w:id="496"/>
    </w:p>
    <w:p>
      <w:pPr>
        <w:pStyle w:val="Style32"/>
        <w:keepNext w:val="0"/>
        <w:keepLines w:val="0"/>
        <w:widowControl w:val="0"/>
        <w:shd w:val="clear" w:color="auto" w:fill="auto"/>
        <w:bidi w:val="0"/>
        <w:spacing w:before="0" w:after="400" w:line="240" w:lineRule="auto"/>
        <w:ind w:left="0" w:right="0" w:firstLine="46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2"/>
        <w:keepNext w:val="0"/>
        <w:keepLines w:val="0"/>
        <w:widowControl w:val="0"/>
        <w:shd w:val="clear" w:color="auto" w:fill="auto"/>
        <w:bidi w:val="0"/>
        <w:spacing w:before="0" w:after="320" w:line="240" w:lineRule="auto"/>
        <w:ind w:left="0" w:right="0" w:firstLine="0"/>
        <w:jc w:val="left"/>
        <w:rPr>
          <w:sz w:val="24"/>
          <w:szCs w:val="24"/>
        </w:rPr>
      </w:pPr>
      <w:bookmarkStart w:id="497" w:name="bookmark497"/>
      <w:r>
        <w:rPr>
          <w:b/>
          <w:bCs/>
          <w:color w:val="000000"/>
          <w:spacing w:val="0"/>
          <w:w w:val="100"/>
          <w:position w:val="0"/>
          <w:sz w:val="24"/>
          <w:szCs w:val="24"/>
        </w:rPr>
        <w:t>五</w:t>
      </w:r>
      <w:bookmarkEnd w:id="497"/>
      <w:r>
        <w:rPr>
          <w:b/>
          <w:bCs/>
          <w:color w:val="000000"/>
          <w:spacing w:val="0"/>
          <w:w w:val="100"/>
          <w:position w:val="0"/>
          <w:sz w:val="24"/>
          <w:szCs w:val="24"/>
        </w:rPr>
        <w:t>、报告期内独立董事履行职责的情况</w:t>
      </w:r>
    </w:p>
    <w:p>
      <w:pPr>
        <w:pStyle w:val="Style38"/>
        <w:keepNext/>
        <w:keepLines/>
        <w:widowControl w:val="0"/>
        <w:shd w:val="clear" w:color="auto" w:fill="auto"/>
        <w:bidi w:val="0"/>
        <w:spacing w:before="0" w:after="320" w:line="240" w:lineRule="auto"/>
        <w:ind w:left="0" w:right="0" w:firstLine="0"/>
        <w:jc w:val="left"/>
      </w:pPr>
      <w:bookmarkStart w:id="498" w:name="bookmark498"/>
      <w:bookmarkStart w:id="499" w:name="bookmark499"/>
      <w:bookmarkStart w:id="500" w:name="bookmark500"/>
      <w:r>
        <w:rPr>
          <w:rFonts w:ascii="Times New Roman" w:eastAsia="Times New Roman" w:hAnsi="Times New Roman" w:cs="Times New Roman"/>
          <w:color w:val="000000"/>
          <w:spacing w:val="0"/>
          <w:w w:val="100"/>
          <w:position w:val="0"/>
        </w:rPr>
        <w:t>1</w:t>
      </w:r>
      <w:r>
        <w:rPr>
          <w:color w:val="000000"/>
          <w:spacing w:val="0"/>
          <w:w w:val="100"/>
          <w:position w:val="0"/>
        </w:rPr>
        <w:t>、独立董事出席董事会及股东大会的情况</w:t>
      </w:r>
      <w:bookmarkEnd w:id="498"/>
      <w:bookmarkEnd w:id="499"/>
      <w:bookmarkEnd w:id="500"/>
    </w:p>
    <w:tbl>
      <w:tblPr>
        <w:tblOverlap w:val="never"/>
        <w:jc w:val="center"/>
        <w:tblLayout w:type="fixed"/>
      </w:tblPr>
      <w:tblGrid>
        <w:gridCol w:w="950"/>
        <w:gridCol w:w="1747"/>
        <w:gridCol w:w="1133"/>
        <w:gridCol w:w="1622"/>
        <w:gridCol w:w="1138"/>
        <w:gridCol w:w="792"/>
        <w:gridCol w:w="2294"/>
      </w:tblGrid>
      <w:tr>
        <w:trPr>
          <w:trHeight w:val="302" w:hRule="exact"/>
        </w:trPr>
        <w:tc>
          <w:tcPr>
            <w:gridSpan w:val="7"/>
            <w:tcBorders>
              <w:top w:val="single" w:sz="4"/>
              <w:left w:val="single" w:sz="4"/>
              <w:righ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独立董事出席董事会情况</w:t>
            </w:r>
          </w:p>
        </w:tc>
      </w:tr>
      <w:tr>
        <w:trPr>
          <w:trHeight w:val="581" w:hRule="exact"/>
        </w:trPr>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93" w:lineRule="exact"/>
              <w:ind w:left="0" w:right="0" w:firstLine="0"/>
              <w:jc w:val="center"/>
            </w:pPr>
            <w:r>
              <w:rPr>
                <w:color w:val="000000"/>
                <w:spacing w:val="0"/>
                <w:w w:val="100"/>
                <w:position w:val="0"/>
              </w:rPr>
              <w:t>独立董事 姓名</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本报告期应参加 董事会次数</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83" w:lineRule="exact"/>
              <w:ind w:left="0" w:right="0" w:firstLine="0"/>
              <w:jc w:val="center"/>
            </w:pPr>
            <w:r>
              <w:rPr>
                <w:color w:val="000000"/>
                <w:spacing w:val="0"/>
                <w:w w:val="100"/>
                <w:position w:val="0"/>
              </w:rPr>
              <w:t>现场出席 次数</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83" w:lineRule="exact"/>
              <w:ind w:left="0" w:right="0" w:firstLine="0"/>
              <w:jc w:val="center"/>
            </w:pPr>
            <w:r>
              <w:rPr>
                <w:color w:val="000000"/>
                <w:spacing w:val="0"/>
                <w:w w:val="100"/>
                <w:position w:val="0"/>
              </w:rPr>
              <w:t>以通讯方式参加 次数</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委托出席 次数</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83" w:lineRule="exact"/>
              <w:ind w:left="0" w:right="0" w:firstLine="0"/>
              <w:jc w:val="center"/>
            </w:pPr>
            <w:r>
              <w:rPr>
                <w:color w:val="000000"/>
                <w:spacing w:val="0"/>
                <w:w w:val="100"/>
                <w:position w:val="0"/>
              </w:rPr>
              <w:t>缺席次 数</w:t>
            </w:r>
          </w:p>
        </w:tc>
        <w:tc>
          <w:tcPr>
            <w:tcBorders>
              <w:top w:val="single" w:sz="4"/>
              <w:left w:val="single" w:sz="4"/>
              <w:right w:val="single" w:sz="4"/>
            </w:tcBorders>
            <w:shd w:val="clear" w:color="auto" w:fill="D3D3D3"/>
            <w:vAlign w:val="top"/>
          </w:tcPr>
          <w:p>
            <w:pPr>
              <w:pStyle w:val="Style28"/>
              <w:keepNext w:val="0"/>
              <w:keepLines w:val="0"/>
              <w:widowControl w:val="0"/>
              <w:shd w:val="clear" w:color="auto" w:fill="auto"/>
              <w:bidi w:val="0"/>
              <w:spacing w:before="0" w:after="0" w:line="283" w:lineRule="exact"/>
              <w:ind w:left="0" w:right="0" w:firstLine="0"/>
              <w:jc w:val="center"/>
            </w:pPr>
            <w:r>
              <w:rPr>
                <w:color w:val="000000"/>
                <w:spacing w:val="0"/>
                <w:w w:val="100"/>
                <w:position w:val="0"/>
              </w:rPr>
              <w:t>是否连续两次未亲自参 加会议</w:t>
            </w:r>
          </w:p>
        </w:tc>
      </w:tr>
      <w:tr>
        <w:trPr>
          <w:trHeight w:val="29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徐光华</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18</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18</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9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沈厚才</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18</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9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王全胜</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18</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16</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586" w:hRule="exact"/>
        </w:trPr>
        <w:tc>
          <w:tcPr>
            <w:gridSpan w:val="2"/>
            <w:tcBorders>
              <w:top w:val="single" w:sz="4"/>
              <w:left w:val="single" w:sz="4"/>
              <w:bottom w:val="single" w:sz="4"/>
            </w:tcBorders>
            <w:shd w:val="clear" w:color="auto" w:fill="D3D3D3"/>
            <w:vAlign w:val="top"/>
          </w:tcPr>
          <w:p>
            <w:pPr>
              <w:pStyle w:val="Style28"/>
              <w:keepNext w:val="0"/>
              <w:keepLines w:val="0"/>
              <w:widowControl w:val="0"/>
              <w:shd w:val="clear" w:color="auto" w:fill="auto"/>
              <w:bidi w:val="0"/>
              <w:spacing w:before="0" w:after="0" w:line="298" w:lineRule="exact"/>
              <w:ind w:left="0" w:right="0" w:firstLine="0"/>
              <w:jc w:val="left"/>
            </w:pPr>
            <w:r>
              <w:rPr>
                <w:color w:val="000000"/>
                <w:spacing w:val="0"/>
                <w:w w:val="100"/>
                <w:position w:val="0"/>
              </w:rPr>
              <w:t>独立董事列席股东大会次 数</w:t>
            </w:r>
          </w:p>
        </w:tc>
        <w:tc>
          <w:tcPr>
            <w:gridSpan w:val="4"/>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93" w:lineRule="exact"/>
              <w:ind w:left="0" w:right="0" w:firstLine="0"/>
              <w:jc w:val="left"/>
            </w:pPr>
            <w:r>
              <w:rPr>
                <w:color w:val="000000"/>
                <w:spacing w:val="0"/>
                <w:w w:val="100"/>
                <w:position w:val="0"/>
              </w:rPr>
              <w:t>独立董事徐光华列席股东大会</w:t>
            </w:r>
            <w:r>
              <w:rPr>
                <w:rFonts w:ascii="Times New Roman" w:eastAsia="Times New Roman" w:hAnsi="Times New Roman" w:cs="Times New Roman"/>
                <w:color w:val="000000"/>
                <w:spacing w:val="0"/>
                <w:w w:val="100"/>
                <w:position w:val="0"/>
              </w:rPr>
              <w:t>2</w:t>
            </w:r>
            <w:r>
              <w:rPr>
                <w:color w:val="000000"/>
                <w:spacing w:val="0"/>
                <w:w w:val="100"/>
                <w:position w:val="0"/>
              </w:rPr>
              <w:t>次，独立董事沈</w:t>
            </w:r>
            <w:r>
              <w:rPr>
                <w:rFonts w:ascii="Times New Roman" w:eastAsia="Times New Roman" w:hAnsi="Times New Roman" w:cs="Times New Roman"/>
                <w:color w:val="000000"/>
                <w:spacing w:val="0"/>
                <w:w w:val="100"/>
                <w:position w:val="0"/>
              </w:rPr>
              <w:t xml:space="preserve">J </w:t>
            </w:r>
            <w:r>
              <w:rPr>
                <w:color w:val="000000"/>
                <w:spacing w:val="0"/>
                <w:w w:val="100"/>
                <w:position w:val="0"/>
              </w:rPr>
              <w:t>次，独立董事王全胜列席股东大会</w:t>
            </w:r>
            <w:r>
              <w:rPr>
                <w:rFonts w:ascii="Times New Roman" w:eastAsia="Times New Roman" w:hAnsi="Times New Roman" w:cs="Times New Roman"/>
                <w:color w:val="000000"/>
                <w:spacing w:val="0"/>
                <w:w w:val="100"/>
                <w:position w:val="0"/>
              </w:rPr>
              <w:t>3</w:t>
            </w:r>
            <w:r>
              <w:rPr>
                <w:color w:val="000000"/>
                <w:spacing w:val="0"/>
                <w:w w:val="100"/>
                <w:position w:val="0"/>
              </w:rPr>
              <w:t>次。</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60" w:right="0" w:firstLine="0"/>
              <w:jc w:val="center"/>
            </w:pPr>
            <w:r>
              <w:rPr>
                <w:color w:val="000000"/>
                <w:spacing w:val="0"/>
                <w:w w:val="100"/>
                <w:position w:val="0"/>
              </w:rPr>
              <w:t>厚才列席股东大会</w:t>
            </w:r>
            <w:r>
              <w:rPr>
                <w:rFonts w:ascii="Times New Roman" w:eastAsia="Times New Roman" w:hAnsi="Times New Roman" w:cs="Times New Roman"/>
                <w:color w:val="000000"/>
                <w:spacing w:val="0"/>
                <w:w w:val="100"/>
                <w:position w:val="0"/>
              </w:rPr>
              <w:t>3</w:t>
            </w:r>
          </w:p>
        </w:tc>
      </w:tr>
    </w:tbl>
    <w:p>
      <w:pPr>
        <w:pStyle w:val="Style25"/>
        <w:keepNext w:val="0"/>
        <w:keepLines w:val="0"/>
        <w:widowControl w:val="0"/>
        <w:shd w:val="clear" w:color="auto" w:fill="auto"/>
        <w:bidi w:val="0"/>
        <w:spacing w:before="0" w:after="0" w:line="240" w:lineRule="auto"/>
        <w:ind w:left="427" w:right="0" w:firstLine="0"/>
        <w:jc w:val="left"/>
      </w:pPr>
      <w:r>
        <w:rPr>
          <w:color w:val="000000"/>
          <w:spacing w:val="0"/>
          <w:w w:val="100"/>
          <w:position w:val="0"/>
        </w:rPr>
        <w:t>报告期内，公司独立董事均亲自出席本公司董事会。</w:t>
      </w:r>
    </w:p>
    <w:p>
      <w:pPr>
        <w:widowControl w:val="0"/>
        <w:spacing w:after="199" w:line="1" w:lineRule="exact"/>
      </w:pPr>
    </w:p>
    <w:p>
      <w:pPr>
        <w:pStyle w:val="Style38"/>
        <w:keepNext/>
        <w:keepLines/>
        <w:widowControl w:val="0"/>
        <w:shd w:val="clear" w:color="auto" w:fill="auto"/>
        <w:tabs>
          <w:tab w:pos="387" w:val="left"/>
        </w:tabs>
        <w:bidi w:val="0"/>
        <w:spacing w:before="0" w:after="200" w:line="467" w:lineRule="exact"/>
        <w:ind w:left="0" w:right="0" w:firstLine="0"/>
        <w:jc w:val="left"/>
      </w:pPr>
      <w:bookmarkStart w:id="501" w:name="bookmark501"/>
      <w:bookmarkStart w:id="502" w:name="bookmark502"/>
      <w:bookmarkStart w:id="503" w:name="bookmark503"/>
      <w:bookmarkStart w:id="504" w:name="bookmark504"/>
      <w:r>
        <w:rPr>
          <w:rFonts w:ascii="Times New Roman" w:eastAsia="Times New Roman" w:hAnsi="Times New Roman" w:cs="Times New Roman"/>
          <w:color w:val="000000"/>
          <w:spacing w:val="0"/>
          <w:w w:val="100"/>
          <w:position w:val="0"/>
        </w:rPr>
        <w:t>2</w:t>
      </w:r>
      <w:bookmarkEnd w:id="503"/>
      <w:r>
        <w:rPr>
          <w:color w:val="000000"/>
          <w:spacing w:val="0"/>
          <w:w w:val="100"/>
          <w:position w:val="0"/>
        </w:rPr>
        <w:t>、</w:t>
        <w:tab/>
        <w:t>独立董事对公司有关事项提出异议的情况</w:t>
      </w:r>
      <w:bookmarkEnd w:id="501"/>
      <w:bookmarkEnd w:id="502"/>
      <w:bookmarkEnd w:id="504"/>
    </w:p>
    <w:p>
      <w:pPr>
        <w:pStyle w:val="Style32"/>
        <w:keepNext w:val="0"/>
        <w:keepLines w:val="0"/>
        <w:widowControl w:val="0"/>
        <w:shd w:val="clear" w:color="auto" w:fill="auto"/>
        <w:bidi w:val="0"/>
        <w:spacing w:before="0" w:after="0" w:line="467" w:lineRule="exact"/>
        <w:ind w:left="0" w:right="0" w:firstLine="460"/>
        <w:jc w:val="left"/>
      </w:pPr>
      <w:r>
        <w:rPr>
          <w:color w:val="000000"/>
          <w:spacing w:val="0"/>
          <w:w w:val="100"/>
          <w:position w:val="0"/>
        </w:rPr>
        <w:t>独立董事对公司有关事项是否提出异议</w:t>
      </w:r>
    </w:p>
    <w:p>
      <w:pPr>
        <w:pStyle w:val="Style32"/>
        <w:keepNext w:val="0"/>
        <w:keepLines w:val="0"/>
        <w:widowControl w:val="0"/>
        <w:shd w:val="clear" w:color="auto" w:fill="auto"/>
        <w:bidi w:val="0"/>
        <w:spacing w:before="0" w:after="0" w:line="467" w:lineRule="exact"/>
        <w:ind w:left="0" w:right="0" w:firstLine="46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i/>
          <w:iCs/>
          <w:color w:val="000000"/>
          <w:spacing w:val="0"/>
          <w:w w:val="100"/>
          <w:position w:val="0"/>
        </w:rPr>
        <w:t>寸</w:t>
      </w:r>
      <w:r>
        <w:rPr>
          <w:color w:val="000000"/>
          <w:spacing w:val="0"/>
          <w:w w:val="100"/>
          <w:position w:val="0"/>
        </w:rPr>
        <w:t>否</w:t>
      </w:r>
    </w:p>
    <w:p>
      <w:pPr>
        <w:pStyle w:val="Style32"/>
        <w:keepNext w:val="0"/>
        <w:keepLines w:val="0"/>
        <w:widowControl w:val="0"/>
        <w:shd w:val="clear" w:color="auto" w:fill="auto"/>
        <w:bidi w:val="0"/>
        <w:spacing w:before="0" w:after="200" w:line="467" w:lineRule="exact"/>
        <w:ind w:left="0" w:right="0" w:firstLine="460"/>
        <w:jc w:val="left"/>
      </w:pPr>
      <w:r>
        <w:rPr>
          <w:color w:val="000000"/>
          <w:spacing w:val="0"/>
          <w:w w:val="100"/>
          <w:position w:val="0"/>
        </w:rPr>
        <w:t>报告期内独立董事对公司有关事项未提出异议。</w:t>
      </w:r>
    </w:p>
    <w:p>
      <w:pPr>
        <w:pStyle w:val="Style38"/>
        <w:keepNext/>
        <w:keepLines/>
        <w:widowControl w:val="0"/>
        <w:shd w:val="clear" w:color="auto" w:fill="auto"/>
        <w:tabs>
          <w:tab w:pos="387" w:val="left"/>
        </w:tabs>
        <w:bidi w:val="0"/>
        <w:spacing w:before="0" w:after="200" w:line="467" w:lineRule="exact"/>
        <w:ind w:left="0" w:right="0" w:firstLine="0"/>
        <w:jc w:val="left"/>
      </w:pPr>
      <w:bookmarkStart w:id="505" w:name="bookmark505"/>
      <w:bookmarkStart w:id="506" w:name="bookmark506"/>
      <w:bookmarkStart w:id="507" w:name="bookmark507"/>
      <w:bookmarkStart w:id="508" w:name="bookmark508"/>
      <w:r>
        <w:rPr>
          <w:rFonts w:ascii="Times New Roman" w:eastAsia="Times New Roman" w:hAnsi="Times New Roman" w:cs="Times New Roman"/>
          <w:color w:val="000000"/>
          <w:spacing w:val="0"/>
          <w:w w:val="100"/>
          <w:position w:val="0"/>
        </w:rPr>
        <w:t>3</w:t>
      </w:r>
      <w:bookmarkEnd w:id="507"/>
      <w:r>
        <w:rPr>
          <w:color w:val="000000"/>
          <w:spacing w:val="0"/>
          <w:w w:val="100"/>
          <w:position w:val="0"/>
        </w:rPr>
        <w:t>、</w:t>
        <w:tab/>
        <w:t>独立董事履行职责的其他说明</w:t>
      </w:r>
      <w:bookmarkEnd w:id="505"/>
      <w:bookmarkEnd w:id="506"/>
      <w:bookmarkEnd w:id="508"/>
    </w:p>
    <w:p>
      <w:pPr>
        <w:pStyle w:val="Style32"/>
        <w:keepNext w:val="0"/>
        <w:keepLines w:val="0"/>
        <w:widowControl w:val="0"/>
        <w:shd w:val="clear" w:color="auto" w:fill="auto"/>
        <w:bidi w:val="0"/>
        <w:spacing w:before="0" w:after="0" w:line="467" w:lineRule="exact"/>
        <w:ind w:left="0" w:right="0" w:firstLine="460"/>
        <w:jc w:val="left"/>
      </w:pPr>
      <w:r>
        <w:rPr>
          <w:color w:val="000000"/>
          <w:spacing w:val="0"/>
          <w:w w:val="100"/>
          <w:position w:val="0"/>
        </w:rPr>
        <w:t>独立董事对公司有关建议是否被采纳</w:t>
      </w:r>
    </w:p>
    <w:p>
      <w:pPr>
        <w:pStyle w:val="Style32"/>
        <w:keepNext w:val="0"/>
        <w:keepLines w:val="0"/>
        <w:widowControl w:val="0"/>
        <w:shd w:val="clear" w:color="auto" w:fill="auto"/>
        <w:bidi w:val="0"/>
        <w:spacing w:before="0" w:after="0" w:line="467" w:lineRule="exact"/>
        <w:ind w:left="0" w:right="0" w:firstLine="460"/>
        <w:jc w:val="both"/>
      </w:pPr>
      <w:r>
        <w:rPr>
          <w:i/>
          <w:iCs/>
          <w:color w:val="000000"/>
          <w:spacing w:val="0"/>
          <w:w w:val="100"/>
          <w:position w:val="0"/>
        </w:rPr>
        <w:t>寸</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p>
    <w:p>
      <w:pPr>
        <w:pStyle w:val="Style32"/>
        <w:keepNext w:val="0"/>
        <w:keepLines w:val="0"/>
        <w:widowControl w:val="0"/>
        <w:shd w:val="clear" w:color="auto" w:fill="auto"/>
        <w:bidi w:val="0"/>
        <w:spacing w:before="0" w:after="0" w:line="467" w:lineRule="exact"/>
        <w:ind w:left="0" w:right="0" w:firstLine="460"/>
        <w:jc w:val="left"/>
      </w:pPr>
      <w:r>
        <w:rPr>
          <w:color w:val="000000"/>
          <w:spacing w:val="0"/>
          <w:w w:val="100"/>
          <w:position w:val="0"/>
        </w:rPr>
        <w:t>独立董事对公司有关建议被采纳或未被采纳的说明：</w:t>
      </w:r>
    </w:p>
    <w:p>
      <w:pPr>
        <w:pStyle w:val="Style32"/>
        <w:keepNext w:val="0"/>
        <w:keepLines w:val="0"/>
        <w:widowControl w:val="0"/>
        <w:shd w:val="clear" w:color="auto" w:fill="auto"/>
        <w:bidi w:val="0"/>
        <w:spacing w:before="0" w:after="200" w:line="467" w:lineRule="exact"/>
        <w:ind w:left="0" w:right="0" w:firstLine="460"/>
        <w:jc w:val="both"/>
      </w:pPr>
      <w:r>
        <w:rPr>
          <w:color w:val="000000"/>
          <w:spacing w:val="0"/>
          <w:w w:val="100"/>
          <w:position w:val="0"/>
        </w:rPr>
        <w:t>报告期内，公司独立董事按照《独立董事工作制度》及有关法律法规要求，积极履行职责，审 阅公司管理层提交的募集资金、股票期权激励计划终止及注销、部分商标转让及使用许可、关联交 易、利润分配预案、续聘会计师事务所、内部控制评价报告、投资理财、投资设立产业基金、对外 担保、子公司引入战略投资者和员工持股合伙企业、创新资产运作模式、出售子公司股权、财务资 助等议案内容，并就前述议案内容与公司管理层充分沟通交流，对相关事项的合法合规性发表独立 意见，切实维护了中小股东的利益。</w:t>
      </w:r>
      <w:r>
        <w:br w:type="page"/>
      </w:r>
    </w:p>
    <w:tbl>
      <w:tblPr>
        <w:tblOverlap w:val="never"/>
        <w:jc w:val="center"/>
        <w:tblLayout w:type="fixed"/>
      </w:tblPr>
      <w:tblGrid>
        <w:gridCol w:w="2424"/>
        <w:gridCol w:w="7248"/>
      </w:tblGrid>
      <w:tr>
        <w:trPr>
          <w:trHeight w:val="326"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独立董事意见发表时间</w:t>
            </w:r>
          </w:p>
        </w:tc>
        <w:tc>
          <w:tcPr>
            <w:tcBorders>
              <w:top w:val="single" w:sz="4"/>
              <w:left w:val="single" w:sz="4"/>
              <w:righ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独立董事意见</w:t>
            </w:r>
          </w:p>
        </w:tc>
      </w:tr>
      <w:tr>
        <w:trPr>
          <w:trHeight w:val="32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10</w:t>
            </w:r>
            <w:r>
              <w:rPr>
                <w:color w:val="000000"/>
                <w:spacing w:val="0"/>
                <w:w w:val="100"/>
                <w:position w:val="0"/>
                <w:sz w:val="22"/>
                <w:szCs w:val="22"/>
              </w:rPr>
              <w:t>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独立董事关于使用闲置募集资金购买银行理财产品的独立意见</w:t>
            </w:r>
          </w:p>
        </w:tc>
      </w:tr>
      <w:tr>
        <w:trPr>
          <w:trHeight w:val="31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10</w:t>
            </w:r>
            <w:r>
              <w:rPr>
                <w:color w:val="000000"/>
                <w:spacing w:val="0"/>
                <w:w w:val="100"/>
                <w:position w:val="0"/>
                <w:sz w:val="22"/>
                <w:szCs w:val="22"/>
              </w:rPr>
              <w:t>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独立董事关于</w:t>
            </w:r>
            <w:r>
              <w:rPr>
                <w:rFonts w:ascii="Times New Roman" w:eastAsia="Times New Roman" w:hAnsi="Times New Roman" w:cs="Times New Roman"/>
                <w:color w:val="000000"/>
                <w:spacing w:val="0"/>
                <w:w w:val="100"/>
                <w:position w:val="0"/>
              </w:rPr>
              <w:t>2010</w:t>
            </w:r>
            <w:r>
              <w:rPr>
                <w:color w:val="000000"/>
                <w:spacing w:val="0"/>
                <w:w w:val="100"/>
                <w:position w:val="0"/>
              </w:rPr>
              <w:t>年股票期权激励计划终止及注销事项的独立意见</w:t>
            </w:r>
          </w:p>
        </w:tc>
      </w:tr>
      <w:tr>
        <w:trPr>
          <w:trHeight w:val="32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独立董事关于部分商标转让及使用许可的关联交易的事前意见</w:t>
            </w:r>
          </w:p>
        </w:tc>
      </w:tr>
      <w:tr>
        <w:trPr>
          <w:trHeight w:val="32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独立董事关于公司与</w:t>
            </w:r>
            <w:r>
              <w:rPr>
                <w:rFonts w:ascii="Times New Roman" w:eastAsia="Times New Roman" w:hAnsi="Times New Roman" w:cs="Times New Roman"/>
                <w:color w:val="000000"/>
                <w:spacing w:val="0"/>
                <w:w w:val="100"/>
                <w:position w:val="0"/>
              </w:rPr>
              <w:t>PPTV2016</w:t>
            </w:r>
            <w:r>
              <w:rPr>
                <w:color w:val="000000"/>
                <w:spacing w:val="0"/>
                <w:w w:val="100"/>
                <w:position w:val="0"/>
              </w:rPr>
              <w:t>年度日常关联交易预计的事前意见</w:t>
            </w:r>
          </w:p>
        </w:tc>
      </w:tr>
      <w:tr>
        <w:trPr>
          <w:trHeight w:val="31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独立董事关于公司</w:t>
            </w:r>
            <w:r>
              <w:rPr>
                <w:rFonts w:ascii="Times New Roman" w:eastAsia="Times New Roman" w:hAnsi="Times New Roman" w:cs="Times New Roman"/>
                <w:color w:val="000000"/>
                <w:spacing w:val="0"/>
                <w:w w:val="100"/>
                <w:position w:val="0"/>
              </w:rPr>
              <w:t>2015</w:t>
            </w:r>
            <w:r>
              <w:rPr>
                <w:color w:val="000000"/>
                <w:spacing w:val="0"/>
                <w:w w:val="100"/>
                <w:position w:val="0"/>
              </w:rPr>
              <w:t>年度利润分配预案的独立意见</w:t>
            </w:r>
          </w:p>
        </w:tc>
      </w:tr>
      <w:tr>
        <w:trPr>
          <w:trHeight w:val="32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独立董事关于公司</w:t>
            </w:r>
            <w:r>
              <w:rPr>
                <w:rFonts w:ascii="Times New Roman" w:eastAsia="Times New Roman" w:hAnsi="Times New Roman" w:cs="Times New Roman"/>
                <w:color w:val="000000"/>
                <w:spacing w:val="0"/>
                <w:w w:val="100"/>
                <w:position w:val="0"/>
              </w:rPr>
              <w:t>2015</w:t>
            </w:r>
            <w:r>
              <w:rPr>
                <w:color w:val="000000"/>
                <w:spacing w:val="0"/>
                <w:w w:val="100"/>
                <w:position w:val="0"/>
              </w:rPr>
              <w:t>年度募集资金存放与实际使用情况的独立意见</w:t>
            </w:r>
          </w:p>
        </w:tc>
      </w:tr>
      <w:tr>
        <w:trPr>
          <w:trHeight w:val="32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独立董事关于公司</w:t>
            </w:r>
            <w:r>
              <w:rPr>
                <w:rFonts w:ascii="Times New Roman" w:eastAsia="Times New Roman" w:hAnsi="Times New Roman" w:cs="Times New Roman"/>
                <w:color w:val="000000"/>
                <w:spacing w:val="0"/>
                <w:w w:val="100"/>
                <w:position w:val="0"/>
              </w:rPr>
              <w:t>2015</w:t>
            </w:r>
            <w:r>
              <w:rPr>
                <w:color w:val="000000"/>
                <w:spacing w:val="0"/>
                <w:w w:val="100"/>
                <w:position w:val="0"/>
              </w:rPr>
              <w:t>年度关联交易的独立意见</w:t>
            </w:r>
          </w:p>
        </w:tc>
      </w:tr>
      <w:tr>
        <w:trPr>
          <w:trHeight w:val="32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独立董事关于续聘会计师事务所的独立意见</w:t>
            </w:r>
          </w:p>
        </w:tc>
      </w:tr>
      <w:tr>
        <w:trPr>
          <w:trHeight w:val="31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独立董事对控股股东及其他关联方占用上市公司资金的独立意见</w:t>
            </w:r>
          </w:p>
        </w:tc>
      </w:tr>
      <w:tr>
        <w:trPr>
          <w:trHeight w:val="32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独立董事关于公司内部控制评价报告的独立意见</w:t>
            </w:r>
          </w:p>
        </w:tc>
      </w:tr>
      <w:tr>
        <w:trPr>
          <w:trHeight w:val="32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独立董事关于使用自有资金进行投资理财的独立意见</w:t>
            </w:r>
          </w:p>
        </w:tc>
      </w:tr>
      <w:tr>
        <w:trPr>
          <w:trHeight w:val="32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独立董事关于日常关联交易预计的独立意见</w:t>
            </w:r>
          </w:p>
        </w:tc>
      </w:tr>
      <w:tr>
        <w:trPr>
          <w:trHeight w:val="31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独立董事关于公司与</w:t>
            </w:r>
            <w:r>
              <w:rPr>
                <w:rFonts w:ascii="Times New Roman" w:eastAsia="Times New Roman" w:hAnsi="Times New Roman" w:cs="Times New Roman"/>
                <w:color w:val="000000"/>
                <w:spacing w:val="0"/>
                <w:w w:val="100"/>
                <w:position w:val="0"/>
              </w:rPr>
              <w:t>PPTV2016</w:t>
            </w:r>
            <w:r>
              <w:rPr>
                <w:color w:val="000000"/>
                <w:spacing w:val="0"/>
                <w:w w:val="100"/>
                <w:position w:val="0"/>
              </w:rPr>
              <w:t>年度日常关联交易预计的独立意见</w:t>
            </w:r>
          </w:p>
        </w:tc>
      </w:tr>
      <w:tr>
        <w:trPr>
          <w:trHeight w:val="32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独立董事关于部分商标转让及使用许可的关联交易的独立意见</w:t>
            </w:r>
          </w:p>
        </w:tc>
      </w:tr>
      <w:tr>
        <w:trPr>
          <w:trHeight w:val="32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独立董事关于与关联方共同投资设立产业基金的独立意见</w:t>
            </w:r>
          </w:p>
        </w:tc>
      </w:tr>
      <w:tr>
        <w:trPr>
          <w:trHeight w:val="31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独立董事对上市公司累计和当期对外担保情况的独立意见</w:t>
            </w:r>
          </w:p>
        </w:tc>
      </w:tr>
      <w:tr>
        <w:trPr>
          <w:trHeight w:val="32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独立董事关于使用闲置募集资金购买理财产品的独立意见</w:t>
            </w:r>
          </w:p>
        </w:tc>
      </w:tr>
      <w:tr>
        <w:trPr>
          <w:trHeight w:val="605"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64" w:lineRule="exact"/>
              <w:ind w:left="0" w:right="0" w:firstLine="0"/>
              <w:jc w:val="left"/>
            </w:pPr>
            <w:r>
              <w:rPr>
                <w:color w:val="000000"/>
                <w:spacing w:val="0"/>
                <w:w w:val="100"/>
                <w:position w:val="0"/>
              </w:rPr>
              <w:t>独立董事关于公司子公司引入战略投资者和员工持股合伙企业暨关联交易 的事前意见</w:t>
            </w:r>
          </w:p>
        </w:tc>
      </w:tr>
      <w:tr>
        <w:trPr>
          <w:trHeight w:val="61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64" w:lineRule="exact"/>
              <w:ind w:left="0" w:right="0" w:firstLine="0"/>
              <w:jc w:val="left"/>
            </w:pPr>
            <w:r>
              <w:rPr>
                <w:color w:val="000000"/>
                <w:spacing w:val="0"/>
                <w:w w:val="100"/>
                <w:position w:val="0"/>
              </w:rPr>
              <w:t>独立董事关于公司子公司引入战略投资者和员工持股合伙企业暨关联交易 的独立意见</w:t>
            </w:r>
          </w:p>
        </w:tc>
      </w:tr>
      <w:tr>
        <w:trPr>
          <w:trHeight w:val="31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独立董事关于受让股权的关联交易的独立意见</w:t>
            </w:r>
          </w:p>
        </w:tc>
      </w:tr>
      <w:tr>
        <w:trPr>
          <w:trHeight w:val="605"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left"/>
            </w:pPr>
            <w:r>
              <w:rPr>
                <w:color w:val="000000"/>
                <w:spacing w:val="0"/>
                <w:w w:val="100"/>
                <w:position w:val="0"/>
              </w:rPr>
              <w:t>独立董事关于公司以部分供应链仓储物业为标的资产开展创新型资产运作 模式的独立意见</w:t>
            </w:r>
          </w:p>
        </w:tc>
      </w:tr>
      <w:tr>
        <w:trPr>
          <w:trHeight w:val="61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93" w:lineRule="exact"/>
              <w:ind w:left="0" w:right="0" w:firstLine="0"/>
              <w:jc w:val="left"/>
            </w:pPr>
            <w:r>
              <w:rPr>
                <w:color w:val="000000"/>
                <w:spacing w:val="0"/>
                <w:w w:val="100"/>
                <w:position w:val="0"/>
              </w:rPr>
              <w:t>独立董事关于以募集资金置换预先已投入部分募投项目自筹资金的独立意 见</w:t>
            </w:r>
          </w:p>
        </w:tc>
      </w:tr>
      <w:tr>
        <w:trPr>
          <w:trHeight w:val="605"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93" w:lineRule="exact"/>
              <w:ind w:left="0" w:right="0" w:firstLine="0"/>
              <w:jc w:val="left"/>
            </w:pPr>
            <w:r>
              <w:rPr>
                <w:color w:val="000000"/>
                <w:spacing w:val="0"/>
                <w:w w:val="100"/>
                <w:position w:val="0"/>
              </w:rPr>
              <w:t>独立董事关于以募集资金置换预先已投入部分募投项目自筹资金的独立意 见</w:t>
            </w:r>
          </w:p>
        </w:tc>
      </w:tr>
      <w:tr>
        <w:trPr>
          <w:trHeight w:val="605"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302" w:lineRule="exact"/>
              <w:ind w:left="0" w:right="0" w:firstLine="0"/>
              <w:jc w:val="left"/>
            </w:pPr>
            <w:r>
              <w:rPr>
                <w:color w:val="000000"/>
                <w:spacing w:val="0"/>
                <w:w w:val="100"/>
                <w:position w:val="0"/>
              </w:rPr>
              <w:t>独立董事关于公司</w:t>
            </w:r>
            <w:r>
              <w:rPr>
                <w:rFonts w:ascii="Times New Roman" w:eastAsia="Times New Roman" w:hAnsi="Times New Roman" w:cs="Times New Roman"/>
                <w:color w:val="000000"/>
                <w:spacing w:val="0"/>
                <w:w w:val="100"/>
                <w:position w:val="0"/>
              </w:rPr>
              <w:t>2016</w:t>
            </w:r>
            <w:r>
              <w:rPr>
                <w:color w:val="000000"/>
                <w:spacing w:val="0"/>
                <w:w w:val="100"/>
                <w:position w:val="0"/>
              </w:rPr>
              <w:t>年上半年度募集资金存放与实际使用情况的独立意 见</w:t>
            </w:r>
          </w:p>
        </w:tc>
      </w:tr>
      <w:tr>
        <w:trPr>
          <w:trHeight w:val="32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独立董事关于使用自有资金投资货币市场基金的独立意见</w:t>
            </w:r>
          </w:p>
        </w:tc>
      </w:tr>
      <w:tr>
        <w:trPr>
          <w:trHeight w:val="605"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88" w:lineRule="exact"/>
              <w:ind w:left="0" w:right="0" w:firstLine="0"/>
              <w:jc w:val="left"/>
            </w:pPr>
            <w:r>
              <w:rPr>
                <w:color w:val="000000"/>
                <w:spacing w:val="0"/>
                <w:w w:val="100"/>
                <w:position w:val="0"/>
              </w:rPr>
              <w:t>独立董事对公司与关联方资金往来、公司累计和当期对外担保情况的专项 说明和独立意见</w:t>
            </w:r>
          </w:p>
        </w:tc>
      </w:tr>
      <w:tr>
        <w:trPr>
          <w:trHeight w:val="32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独立董事关于向苏宁消费金融有限公司增资暨关联交易的独立意见</w:t>
            </w:r>
          </w:p>
        </w:tc>
      </w:tr>
      <w:tr>
        <w:trPr>
          <w:trHeight w:val="31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独立董事关于公司与关联方共同投资设立子公司的独立意见</w:t>
            </w:r>
          </w:p>
        </w:tc>
      </w:tr>
      <w:tr>
        <w:trPr>
          <w:trHeight w:val="32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独立董事关于拟出售子公司股权暨关联交易议案的事前审核意见</w:t>
            </w:r>
          </w:p>
        </w:tc>
      </w:tr>
      <w:tr>
        <w:trPr>
          <w:trHeight w:val="32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独立董事关于拟出售子公司股权暨关联交易的独立意见</w:t>
            </w:r>
          </w:p>
        </w:tc>
      </w:tr>
      <w:tr>
        <w:trPr>
          <w:trHeight w:val="31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独立董事关于为子公司提供财务资助的独立意见</w:t>
            </w:r>
          </w:p>
        </w:tc>
      </w:tr>
      <w:tr>
        <w:trPr>
          <w:trHeight w:val="32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独立董事关于收购天天快递有限公司股权的独立意见</w:t>
            </w:r>
          </w:p>
        </w:tc>
      </w:tr>
      <w:tr>
        <w:trPr>
          <w:trHeight w:val="32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独立董事关于变更部分募集资金投资项目用于收购公司股权的独立意见</w:t>
            </w:r>
          </w:p>
        </w:tc>
      </w:tr>
      <w:tr>
        <w:trPr>
          <w:trHeight w:val="331"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独立董事关于公司开展套期保值业务的独立意见</w:t>
            </w:r>
          </w:p>
        </w:tc>
      </w:tr>
    </w:tbl>
    <w:p>
      <w:pPr>
        <w:pStyle w:val="Style32"/>
        <w:keepNext w:val="0"/>
        <w:keepLines w:val="0"/>
        <w:widowControl w:val="0"/>
        <w:shd w:val="clear" w:color="auto" w:fill="auto"/>
        <w:tabs>
          <w:tab w:pos="517" w:val="left"/>
        </w:tabs>
        <w:bidi w:val="0"/>
        <w:spacing w:before="0" w:after="400" w:line="466" w:lineRule="exact"/>
        <w:ind w:left="0" w:right="0" w:firstLine="0"/>
        <w:jc w:val="left"/>
        <w:rPr>
          <w:sz w:val="24"/>
          <w:szCs w:val="24"/>
        </w:rPr>
      </w:pPr>
      <w:bookmarkStart w:id="509" w:name="bookmark509"/>
      <w:r>
        <w:rPr>
          <w:b/>
          <w:bCs/>
          <w:color w:val="000000"/>
          <w:spacing w:val="0"/>
          <w:w w:val="100"/>
          <w:position w:val="0"/>
          <w:sz w:val="24"/>
          <w:szCs w:val="24"/>
        </w:rPr>
        <w:t>六</w:t>
      </w:r>
      <w:bookmarkEnd w:id="509"/>
      <w:r>
        <w:rPr>
          <w:b/>
          <w:bCs/>
          <w:color w:val="000000"/>
          <w:spacing w:val="0"/>
          <w:w w:val="100"/>
          <w:position w:val="0"/>
          <w:sz w:val="24"/>
          <w:szCs w:val="24"/>
        </w:rPr>
        <w:t>、</w:t>
        <w:tab/>
        <w:t>董事会下设专门委员会在报告期内履行职责情况</w:t>
      </w:r>
    </w:p>
    <w:p>
      <w:pPr>
        <w:pStyle w:val="Style38"/>
        <w:keepNext/>
        <w:keepLines/>
        <w:widowControl w:val="0"/>
        <w:shd w:val="clear" w:color="auto" w:fill="auto"/>
        <w:tabs>
          <w:tab w:pos="383" w:val="left"/>
        </w:tabs>
        <w:bidi w:val="0"/>
        <w:spacing w:before="0" w:after="0" w:line="444" w:lineRule="auto"/>
        <w:ind w:left="0" w:right="0" w:firstLine="0"/>
        <w:jc w:val="left"/>
      </w:pPr>
      <w:bookmarkStart w:id="510" w:name="bookmark510"/>
      <w:bookmarkStart w:id="511" w:name="bookmark511"/>
      <w:bookmarkStart w:id="512" w:name="bookmark512"/>
      <w:bookmarkStart w:id="513" w:name="bookmark513"/>
      <w:r>
        <w:rPr>
          <w:rFonts w:ascii="Times New Roman" w:eastAsia="Times New Roman" w:hAnsi="Times New Roman" w:cs="Times New Roman"/>
          <w:color w:val="000000"/>
          <w:spacing w:val="0"/>
          <w:w w:val="100"/>
          <w:position w:val="0"/>
        </w:rPr>
        <w:t>1</w:t>
      </w:r>
      <w:bookmarkEnd w:id="512"/>
      <w:r>
        <w:rPr>
          <w:color w:val="000000"/>
          <w:spacing w:val="0"/>
          <w:w w:val="100"/>
          <w:position w:val="0"/>
        </w:rPr>
        <w:t>、</w:t>
        <w:tab/>
        <w:t>董事会战略委员会</w:t>
      </w:r>
      <w:bookmarkEnd w:id="510"/>
      <w:bookmarkEnd w:id="511"/>
      <w:bookmarkEnd w:id="513"/>
    </w:p>
    <w:p>
      <w:pPr>
        <w:pStyle w:val="Style32"/>
        <w:keepNext w:val="0"/>
        <w:keepLines w:val="0"/>
        <w:widowControl w:val="0"/>
        <w:shd w:val="clear" w:color="auto" w:fill="auto"/>
        <w:bidi w:val="0"/>
        <w:spacing w:before="0" w:after="200" w:line="466" w:lineRule="exact"/>
        <w:ind w:left="0" w:right="0" w:firstLine="460"/>
        <w:jc w:val="left"/>
      </w:pPr>
      <w:r>
        <w:rPr>
          <w:color w:val="000000"/>
          <w:spacing w:val="0"/>
          <w:w w:val="100"/>
          <w:position w:val="0"/>
        </w:rPr>
        <w:t>报告期内，公司董事会战略委员会按照工作细则履行职责，关注公司战略发展方向和重大投资 事项。</w:t>
      </w:r>
    </w:p>
    <w:p>
      <w:pPr>
        <w:pStyle w:val="Style38"/>
        <w:keepNext/>
        <w:keepLines/>
        <w:widowControl w:val="0"/>
        <w:shd w:val="clear" w:color="auto" w:fill="auto"/>
        <w:tabs>
          <w:tab w:pos="387" w:val="left"/>
        </w:tabs>
        <w:bidi w:val="0"/>
        <w:spacing w:before="0" w:after="0" w:line="444" w:lineRule="auto"/>
        <w:ind w:left="0" w:right="0" w:firstLine="0"/>
        <w:jc w:val="left"/>
      </w:pPr>
      <w:bookmarkStart w:id="514" w:name="bookmark514"/>
      <w:bookmarkStart w:id="515" w:name="bookmark515"/>
      <w:bookmarkStart w:id="516" w:name="bookmark516"/>
      <w:bookmarkStart w:id="517" w:name="bookmark517"/>
      <w:r>
        <w:rPr>
          <w:rFonts w:ascii="Times New Roman" w:eastAsia="Times New Roman" w:hAnsi="Times New Roman" w:cs="Times New Roman"/>
          <w:color w:val="000000"/>
          <w:spacing w:val="0"/>
          <w:w w:val="100"/>
          <w:position w:val="0"/>
        </w:rPr>
        <w:t>2</w:t>
      </w:r>
      <w:bookmarkEnd w:id="516"/>
      <w:r>
        <w:rPr>
          <w:color w:val="000000"/>
          <w:spacing w:val="0"/>
          <w:w w:val="100"/>
          <w:position w:val="0"/>
        </w:rPr>
        <w:t>、</w:t>
        <w:tab/>
        <w:t>董事会提名委员会</w:t>
      </w:r>
      <w:bookmarkEnd w:id="514"/>
      <w:bookmarkEnd w:id="515"/>
      <w:bookmarkEnd w:id="517"/>
    </w:p>
    <w:p>
      <w:pPr>
        <w:pStyle w:val="Style32"/>
        <w:keepNext w:val="0"/>
        <w:keepLines w:val="0"/>
        <w:widowControl w:val="0"/>
        <w:shd w:val="clear" w:color="auto" w:fill="auto"/>
        <w:bidi w:val="0"/>
        <w:spacing w:before="0" w:after="0" w:line="466" w:lineRule="exact"/>
        <w:ind w:left="0" w:right="0" w:firstLine="460"/>
        <w:jc w:val="left"/>
      </w:pPr>
      <w:r>
        <w:rPr>
          <w:color w:val="000000"/>
          <w:spacing w:val="0"/>
          <w:w w:val="100"/>
          <w:position w:val="0"/>
        </w:rPr>
        <w:t>报告期内，公司董事、高级管理人员未发生变动，未召开董事会提名委员会会议。</w:t>
      </w:r>
    </w:p>
    <w:p>
      <w:pPr>
        <w:pStyle w:val="Style38"/>
        <w:keepNext/>
        <w:keepLines/>
        <w:widowControl w:val="0"/>
        <w:shd w:val="clear" w:color="auto" w:fill="auto"/>
        <w:tabs>
          <w:tab w:pos="387" w:val="left"/>
        </w:tabs>
        <w:bidi w:val="0"/>
        <w:spacing w:before="0" w:after="0" w:line="466" w:lineRule="exact"/>
        <w:ind w:left="0" w:right="0" w:firstLine="0"/>
        <w:jc w:val="left"/>
      </w:pPr>
      <w:bookmarkStart w:id="518" w:name="bookmark518"/>
      <w:bookmarkStart w:id="519" w:name="bookmark519"/>
      <w:bookmarkStart w:id="520" w:name="bookmark520"/>
      <w:bookmarkStart w:id="521" w:name="bookmark521"/>
      <w:r>
        <w:rPr>
          <w:rFonts w:ascii="Times New Roman" w:eastAsia="Times New Roman" w:hAnsi="Times New Roman" w:cs="Times New Roman"/>
          <w:color w:val="000000"/>
          <w:spacing w:val="0"/>
          <w:w w:val="100"/>
          <w:position w:val="0"/>
        </w:rPr>
        <w:t>3</w:t>
      </w:r>
      <w:bookmarkEnd w:id="520"/>
      <w:r>
        <w:rPr>
          <w:color w:val="000000"/>
          <w:spacing w:val="0"/>
          <w:w w:val="100"/>
          <w:position w:val="0"/>
        </w:rPr>
        <w:t>、</w:t>
        <w:tab/>
        <w:t>董事会薪酬与考核委员会</w:t>
      </w:r>
      <w:bookmarkEnd w:id="518"/>
      <w:bookmarkEnd w:id="519"/>
      <w:bookmarkEnd w:id="521"/>
    </w:p>
    <w:p>
      <w:pPr>
        <w:pStyle w:val="Style32"/>
        <w:keepNext w:val="0"/>
        <w:keepLines w:val="0"/>
        <w:widowControl w:val="0"/>
        <w:shd w:val="clear" w:color="auto" w:fill="auto"/>
        <w:bidi w:val="0"/>
        <w:spacing w:before="0" w:after="200" w:line="466" w:lineRule="exact"/>
        <w:ind w:left="0" w:right="0" w:firstLine="460"/>
        <w:jc w:val="left"/>
      </w:pPr>
      <w:r>
        <w:rPr>
          <w:color w:val="000000"/>
          <w:spacing w:val="0"/>
          <w:w w:val="100"/>
          <w:position w:val="0"/>
        </w:rPr>
        <w:t>公司第五届董事会薪酬与考核委员会第三次会议审议通过了《关于审核</w:t>
      </w:r>
      <w:r>
        <w:rPr>
          <w:rFonts w:ascii="Times New Roman" w:eastAsia="Times New Roman" w:hAnsi="Times New Roman" w:cs="Times New Roman"/>
          <w:color w:val="000000"/>
          <w:spacing w:val="0"/>
          <w:w w:val="100"/>
          <w:position w:val="0"/>
        </w:rPr>
        <w:t>2015</w:t>
      </w:r>
      <w:r>
        <w:rPr>
          <w:color w:val="000000"/>
          <w:spacing w:val="0"/>
          <w:w w:val="100"/>
          <w:position w:val="0"/>
        </w:rPr>
        <w:t>年度公司董事、高 级管理人员薪酬及津贴的议案》。</w:t>
      </w:r>
    </w:p>
    <w:p>
      <w:pPr>
        <w:pStyle w:val="Style38"/>
        <w:keepNext/>
        <w:keepLines/>
        <w:widowControl w:val="0"/>
        <w:shd w:val="clear" w:color="auto" w:fill="auto"/>
        <w:tabs>
          <w:tab w:pos="387" w:val="left"/>
        </w:tabs>
        <w:bidi w:val="0"/>
        <w:spacing w:before="0" w:after="0" w:line="444" w:lineRule="auto"/>
        <w:ind w:left="0" w:right="0" w:firstLine="0"/>
        <w:jc w:val="left"/>
      </w:pPr>
      <w:bookmarkStart w:id="522" w:name="bookmark522"/>
      <w:bookmarkStart w:id="523" w:name="bookmark523"/>
      <w:bookmarkStart w:id="524" w:name="bookmark524"/>
      <w:bookmarkStart w:id="525" w:name="bookmark525"/>
      <w:r>
        <w:rPr>
          <w:rFonts w:ascii="Times New Roman" w:eastAsia="Times New Roman" w:hAnsi="Times New Roman" w:cs="Times New Roman"/>
          <w:color w:val="000000"/>
          <w:spacing w:val="0"/>
          <w:w w:val="100"/>
          <w:position w:val="0"/>
        </w:rPr>
        <w:t>4</w:t>
      </w:r>
      <w:bookmarkEnd w:id="524"/>
      <w:r>
        <w:rPr>
          <w:color w:val="000000"/>
          <w:spacing w:val="0"/>
          <w:w w:val="100"/>
          <w:position w:val="0"/>
        </w:rPr>
        <w:t>、</w:t>
        <w:tab/>
        <w:t>董事会审计委员会</w:t>
      </w:r>
      <w:bookmarkEnd w:id="522"/>
      <w:bookmarkEnd w:id="523"/>
      <w:bookmarkEnd w:id="525"/>
    </w:p>
    <w:p>
      <w:pPr>
        <w:pStyle w:val="Style32"/>
        <w:keepNext w:val="0"/>
        <w:keepLines w:val="0"/>
        <w:widowControl w:val="0"/>
        <w:shd w:val="clear" w:color="auto" w:fill="auto"/>
        <w:bidi w:val="0"/>
        <w:spacing w:before="0" w:after="0" w:line="466" w:lineRule="exact"/>
        <w:ind w:left="0" w:right="0" w:firstLine="460"/>
        <w:jc w:val="left"/>
      </w:pPr>
      <w:r>
        <w:rPr>
          <w:color w:val="000000"/>
          <w:spacing w:val="0"/>
          <w:w w:val="100"/>
          <w:position w:val="0"/>
        </w:rPr>
        <w:t>报告期内公司董事会审计委员会履职情况如下：</w:t>
      </w:r>
    </w:p>
    <w:p>
      <w:pPr>
        <w:pStyle w:val="Style32"/>
        <w:keepNext w:val="0"/>
        <w:keepLines w:val="0"/>
        <w:widowControl w:val="0"/>
        <w:shd w:val="clear" w:color="auto" w:fill="auto"/>
        <w:bidi w:val="0"/>
        <w:spacing w:before="0" w:after="0" w:line="466" w:lineRule="exact"/>
        <w:ind w:left="0" w:right="0" w:firstLine="460"/>
        <w:jc w:val="left"/>
      </w:pPr>
      <w:r>
        <w:rPr>
          <w:color w:val="000000"/>
          <w:spacing w:val="0"/>
          <w:w w:val="100"/>
          <w:position w:val="0"/>
        </w:rPr>
        <w:t>第五届董事会审计委员会第十五次会议审议通过了《</w:t>
      </w:r>
      <w:r>
        <w:rPr>
          <w:rFonts w:ascii="Times New Roman" w:eastAsia="Times New Roman" w:hAnsi="Times New Roman" w:cs="Times New Roman"/>
          <w:color w:val="000000"/>
          <w:spacing w:val="0"/>
          <w:w w:val="100"/>
          <w:position w:val="0"/>
        </w:rPr>
        <w:t>2015</w:t>
      </w:r>
      <w:r>
        <w:rPr>
          <w:color w:val="000000"/>
          <w:spacing w:val="0"/>
          <w:w w:val="100"/>
          <w:position w:val="0"/>
        </w:rPr>
        <w:t>年度内部审计工作总结》和《</w:t>
      </w:r>
      <w:r>
        <w:rPr>
          <w:rFonts w:ascii="Times New Roman" w:eastAsia="Times New Roman" w:hAnsi="Times New Roman" w:cs="Times New Roman"/>
          <w:color w:val="000000"/>
          <w:spacing w:val="0"/>
          <w:w w:val="100"/>
          <w:position w:val="0"/>
        </w:rPr>
        <w:t>2016</w:t>
      </w:r>
      <w:r>
        <w:rPr>
          <w:color w:val="000000"/>
          <w:spacing w:val="0"/>
          <w:w w:val="100"/>
          <w:position w:val="0"/>
        </w:rPr>
        <w:t>年 度内部审计工作计划》；</w:t>
      </w:r>
    </w:p>
    <w:p>
      <w:pPr>
        <w:pStyle w:val="Style32"/>
        <w:keepNext w:val="0"/>
        <w:keepLines w:val="0"/>
        <w:widowControl w:val="0"/>
        <w:shd w:val="clear" w:color="auto" w:fill="auto"/>
        <w:bidi w:val="0"/>
        <w:spacing w:before="0" w:after="0" w:line="466" w:lineRule="exact"/>
        <w:ind w:left="0" w:right="0" w:firstLine="460"/>
        <w:jc w:val="left"/>
      </w:pPr>
      <w:r>
        <w:rPr>
          <w:color w:val="000000"/>
          <w:spacing w:val="0"/>
          <w:w w:val="100"/>
          <w:position w:val="0"/>
        </w:rPr>
        <w:t>第五届董事会审计委员会第十六次会议审议通过了《关于审核财务会计报表和财务报告的议 案》、《关于会计师事务所从事</w:t>
      </w:r>
      <w:r>
        <w:rPr>
          <w:rFonts w:ascii="Times New Roman" w:eastAsia="Times New Roman" w:hAnsi="Times New Roman" w:cs="Times New Roman"/>
          <w:color w:val="000000"/>
          <w:spacing w:val="0"/>
          <w:w w:val="100"/>
          <w:position w:val="0"/>
        </w:rPr>
        <w:t>2015</w:t>
      </w:r>
      <w:r>
        <w:rPr>
          <w:color w:val="000000"/>
          <w:spacing w:val="0"/>
          <w:w w:val="100"/>
          <w:position w:val="0"/>
        </w:rPr>
        <w:t>年度公司审计工作的总结报告》、《关于续聘会计师事务所的 议案》、《</w:t>
      </w:r>
      <w:r>
        <w:rPr>
          <w:rFonts w:ascii="Times New Roman" w:eastAsia="Times New Roman" w:hAnsi="Times New Roman" w:cs="Times New Roman"/>
          <w:color w:val="000000"/>
          <w:spacing w:val="0"/>
          <w:w w:val="100"/>
          <w:position w:val="0"/>
        </w:rPr>
        <w:t>2015</w:t>
      </w:r>
      <w:r>
        <w:rPr>
          <w:color w:val="000000"/>
          <w:spacing w:val="0"/>
          <w:w w:val="100"/>
          <w:position w:val="0"/>
        </w:rPr>
        <w:t>年度内部控制评价报告》；</w:t>
      </w:r>
    </w:p>
    <w:p>
      <w:pPr>
        <w:pStyle w:val="Style32"/>
        <w:keepNext w:val="0"/>
        <w:keepLines w:val="0"/>
        <w:widowControl w:val="0"/>
        <w:shd w:val="clear" w:color="auto" w:fill="auto"/>
        <w:bidi w:val="0"/>
        <w:spacing w:before="0" w:after="0" w:line="466" w:lineRule="exact"/>
        <w:ind w:left="0" w:right="0" w:firstLine="460"/>
        <w:jc w:val="left"/>
      </w:pPr>
      <w:r>
        <w:rPr>
          <w:color w:val="000000"/>
          <w:spacing w:val="0"/>
          <w:w w:val="100"/>
          <w:position w:val="0"/>
        </w:rPr>
        <w:t>第五届董事会审计委员会第十七次会议审议通过了《苏宁云商集团股份有限公司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年第一季 度报告》、《苏宁云商集团股份有限公司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年第一季度审计工作总结》；</w:t>
      </w:r>
    </w:p>
    <w:p>
      <w:pPr>
        <w:pStyle w:val="Style32"/>
        <w:keepNext w:val="0"/>
        <w:keepLines w:val="0"/>
        <w:widowControl w:val="0"/>
        <w:shd w:val="clear" w:color="auto" w:fill="auto"/>
        <w:bidi w:val="0"/>
        <w:spacing w:before="0" w:after="0" w:line="466" w:lineRule="exact"/>
        <w:ind w:left="0" w:right="0" w:firstLine="460"/>
        <w:jc w:val="left"/>
      </w:pPr>
      <w:r>
        <w:rPr>
          <w:color w:val="000000"/>
          <w:spacing w:val="0"/>
          <w:w w:val="100"/>
          <w:position w:val="0"/>
        </w:rPr>
        <w:t>第五届董事会审计委员会第十八次会议审议通过了《苏宁云商集团股份有限公司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年半年度 报告》及《苏宁云商集团股份有限公司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 xml:space="preserve">年半年度报告摘要》、《苏宁云商集团股份有限公司 </w:t>
      </w:r>
      <w:r>
        <w:rPr>
          <w:rFonts w:ascii="Times New Roman" w:eastAsia="Times New Roman" w:hAnsi="Times New Roman" w:cs="Times New Roman"/>
          <w:color w:val="000000"/>
          <w:spacing w:val="0"/>
          <w:w w:val="100"/>
          <w:position w:val="0"/>
        </w:rPr>
        <w:t>2016</w:t>
      </w:r>
      <w:r>
        <w:rPr>
          <w:color w:val="000000"/>
          <w:spacing w:val="0"/>
          <w:w w:val="100"/>
          <w:position w:val="0"/>
        </w:rPr>
        <w:t>年第二季度审计工作总结》；</w:t>
      </w:r>
    </w:p>
    <w:p>
      <w:pPr>
        <w:pStyle w:val="Style32"/>
        <w:keepNext w:val="0"/>
        <w:keepLines w:val="0"/>
        <w:widowControl w:val="0"/>
        <w:shd w:val="clear" w:color="auto" w:fill="auto"/>
        <w:bidi w:val="0"/>
        <w:spacing w:before="0" w:after="0" w:line="458" w:lineRule="exact"/>
        <w:ind w:left="0" w:right="0" w:firstLine="460"/>
        <w:jc w:val="left"/>
      </w:pPr>
      <w:r>
        <w:rPr>
          <w:color w:val="000000"/>
          <w:spacing w:val="0"/>
          <w:w w:val="100"/>
          <w:position w:val="0"/>
        </w:rPr>
        <w:t>第五届董事会审计委员会第十九次会议审议通过了《苏宁云商集团股份有限公司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年第三季 度报告》、《苏宁云商集团股份有限公司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年第三季度审计工作总结》；</w:t>
      </w:r>
    </w:p>
    <w:p>
      <w:pPr>
        <w:pStyle w:val="Style32"/>
        <w:keepNext w:val="0"/>
        <w:keepLines w:val="0"/>
        <w:widowControl w:val="0"/>
        <w:shd w:val="clear" w:color="auto" w:fill="auto"/>
        <w:bidi w:val="0"/>
        <w:spacing w:before="0" w:after="240" w:line="458" w:lineRule="exact"/>
        <w:ind w:left="0" w:right="0" w:firstLine="460"/>
        <w:jc w:val="left"/>
      </w:pPr>
      <w:r>
        <w:rPr>
          <w:color w:val="000000"/>
          <w:spacing w:val="0"/>
          <w:w w:val="100"/>
          <w:position w:val="0"/>
        </w:rPr>
        <w:t>第五届董事会审计委员会第二十次会议，审计委员会委员与负责公司年度审计工作的会计师事 务所协商确定</w:t>
      </w:r>
      <w:r>
        <w:rPr>
          <w:rFonts w:ascii="Times New Roman" w:eastAsia="Times New Roman" w:hAnsi="Times New Roman" w:cs="Times New Roman"/>
          <w:color w:val="000000"/>
          <w:spacing w:val="0"/>
          <w:w w:val="100"/>
          <w:position w:val="0"/>
        </w:rPr>
        <w:t>2016</w:t>
      </w:r>
      <w:r>
        <w:rPr>
          <w:color w:val="000000"/>
          <w:spacing w:val="0"/>
          <w:w w:val="100"/>
          <w:position w:val="0"/>
        </w:rPr>
        <w:t>年度财务报告审计工作的计划和相应时间安排。</w:t>
      </w:r>
    </w:p>
    <w:p>
      <w:pPr>
        <w:pStyle w:val="Style32"/>
        <w:keepNext w:val="0"/>
        <w:keepLines w:val="0"/>
        <w:widowControl w:val="0"/>
        <w:shd w:val="clear" w:color="auto" w:fill="auto"/>
        <w:tabs>
          <w:tab w:pos="522" w:val="left"/>
        </w:tabs>
        <w:bidi w:val="0"/>
        <w:spacing w:before="0" w:after="400" w:line="466" w:lineRule="exact"/>
        <w:ind w:left="0" w:right="0" w:firstLine="0"/>
        <w:jc w:val="left"/>
        <w:rPr>
          <w:sz w:val="24"/>
          <w:szCs w:val="24"/>
        </w:rPr>
      </w:pPr>
      <w:bookmarkStart w:id="526" w:name="bookmark526"/>
      <w:r>
        <w:rPr>
          <w:b/>
          <w:bCs/>
          <w:color w:val="000000"/>
          <w:spacing w:val="0"/>
          <w:w w:val="100"/>
          <w:position w:val="0"/>
          <w:sz w:val="24"/>
          <w:szCs w:val="24"/>
        </w:rPr>
        <w:t>七</w:t>
      </w:r>
      <w:bookmarkEnd w:id="526"/>
      <w:r>
        <w:rPr>
          <w:b/>
          <w:bCs/>
          <w:color w:val="000000"/>
          <w:spacing w:val="0"/>
          <w:w w:val="100"/>
          <w:position w:val="0"/>
          <w:sz w:val="24"/>
          <w:szCs w:val="24"/>
        </w:rPr>
        <w:t>、</w:t>
        <w:tab/>
        <w:t>监事会工作情况</w:t>
      </w:r>
    </w:p>
    <w:p>
      <w:pPr>
        <w:pStyle w:val="Style32"/>
        <w:keepNext w:val="0"/>
        <w:keepLines w:val="0"/>
        <w:widowControl w:val="0"/>
        <w:shd w:val="clear" w:color="auto" w:fill="auto"/>
        <w:bidi w:val="0"/>
        <w:spacing w:before="0" w:after="200" w:line="240" w:lineRule="auto"/>
        <w:ind w:left="0" w:right="0" w:firstLine="460"/>
        <w:jc w:val="left"/>
      </w:pPr>
      <w:r>
        <w:rPr>
          <w:color w:val="000000"/>
          <w:spacing w:val="0"/>
          <w:w w:val="100"/>
          <w:position w:val="0"/>
        </w:rPr>
        <w:t>监事会在报告期内的监督活动中发现公司是否存在风险</w:t>
      </w:r>
    </w:p>
    <w:p>
      <w:pPr>
        <w:pStyle w:val="Style32"/>
        <w:keepNext w:val="0"/>
        <w:keepLines w:val="0"/>
        <w:widowControl w:val="0"/>
        <w:shd w:val="clear" w:color="auto" w:fill="auto"/>
        <w:bidi w:val="0"/>
        <w:spacing w:before="0" w:after="100" w:line="240" w:lineRule="auto"/>
        <w:ind w:left="0" w:right="0" w:firstLine="46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color w:val="000000"/>
          <w:spacing w:val="0"/>
          <w:w w:val="100"/>
          <w:position w:val="0"/>
        </w:rPr>
        <w:t>寸</w:t>
      </w:r>
      <w:r>
        <w:rPr>
          <w:color w:val="000000"/>
          <w:spacing w:val="0"/>
          <w:w w:val="100"/>
          <w:position w:val="0"/>
        </w:rPr>
        <w:t>否</w:t>
      </w:r>
    </w:p>
    <w:p>
      <w:pPr>
        <w:pStyle w:val="Style32"/>
        <w:keepNext w:val="0"/>
        <w:keepLines w:val="0"/>
        <w:widowControl w:val="0"/>
        <w:shd w:val="clear" w:color="auto" w:fill="auto"/>
        <w:bidi w:val="0"/>
        <w:spacing w:before="0" w:after="0" w:line="472" w:lineRule="exact"/>
        <w:ind w:left="0" w:right="0" w:firstLine="460"/>
        <w:jc w:val="left"/>
      </w:pPr>
      <w:r>
        <w:rPr>
          <w:color w:val="000000"/>
          <w:spacing w:val="0"/>
          <w:w w:val="100"/>
          <w:position w:val="0"/>
        </w:rPr>
        <w:t>监事会对报告期内的监督事项无异议。</w:t>
      </w:r>
    </w:p>
    <w:p>
      <w:pPr>
        <w:pStyle w:val="Style32"/>
        <w:keepNext w:val="0"/>
        <w:keepLines w:val="0"/>
        <w:widowControl w:val="0"/>
        <w:shd w:val="clear" w:color="auto" w:fill="auto"/>
        <w:bidi w:val="0"/>
        <w:spacing w:before="0" w:after="0" w:line="472" w:lineRule="exact"/>
        <w:ind w:left="0" w:right="0" w:firstLine="460"/>
        <w:jc w:val="both"/>
      </w:pPr>
      <w:r>
        <w:rPr>
          <w:color w:val="000000"/>
          <w:spacing w:val="0"/>
          <w:w w:val="100"/>
          <w:position w:val="0"/>
        </w:rPr>
        <w:t>报告期内，公司监事会严格按照公司《章程》、《监事会议事规则》等制度要求，依法独立行 使职权，对公司财务以及公司董事、高级管理人员履行职责的合法合规性进行监督，维护公司及股 东的合法权益。</w:t>
      </w:r>
    </w:p>
    <w:p>
      <w:pPr>
        <w:pStyle w:val="Style38"/>
        <w:keepNext/>
        <w:keepLines/>
        <w:widowControl w:val="0"/>
        <w:shd w:val="clear" w:color="auto" w:fill="auto"/>
        <w:tabs>
          <w:tab w:pos="1073" w:val="left"/>
        </w:tabs>
        <w:bidi w:val="0"/>
        <w:spacing w:before="0" w:after="0" w:line="472" w:lineRule="exact"/>
        <w:ind w:left="0" w:right="0" w:firstLine="460"/>
        <w:jc w:val="both"/>
      </w:pPr>
      <w:bookmarkStart w:id="527" w:name="bookmark527"/>
      <w:bookmarkStart w:id="528" w:name="bookmark528"/>
      <w:bookmarkStart w:id="529" w:name="bookmark529"/>
      <w:bookmarkStart w:id="530" w:name="bookmark530"/>
      <w:r>
        <w:rPr>
          <w:color w:val="000000"/>
          <w:spacing w:val="0"/>
          <w:w w:val="100"/>
          <w:position w:val="0"/>
        </w:rPr>
        <w:t>（</w:t>
      </w:r>
      <w:bookmarkEnd w:id="529"/>
      <w:r>
        <w:rPr>
          <w:color w:val="000000"/>
          <w:spacing w:val="0"/>
          <w:w w:val="100"/>
          <w:position w:val="0"/>
        </w:rPr>
        <w:t>一）</w:t>
        <w:tab/>
        <w:t>报告期内，监事会会议召开情况</w:t>
      </w:r>
      <w:bookmarkEnd w:id="527"/>
      <w:bookmarkEnd w:id="528"/>
      <w:bookmarkEnd w:id="530"/>
    </w:p>
    <w:p>
      <w:pPr>
        <w:pStyle w:val="Style32"/>
        <w:keepNext w:val="0"/>
        <w:keepLines w:val="0"/>
        <w:widowControl w:val="0"/>
        <w:shd w:val="clear" w:color="auto" w:fill="auto"/>
        <w:tabs>
          <w:tab w:pos="814" w:val="left"/>
        </w:tabs>
        <w:bidi w:val="0"/>
        <w:spacing w:before="0" w:after="200" w:line="472" w:lineRule="exact"/>
        <w:ind w:left="0" w:right="0" w:firstLine="460"/>
        <w:jc w:val="both"/>
      </w:pPr>
      <w:bookmarkStart w:id="531" w:name="bookmark531"/>
      <w:r>
        <w:rPr>
          <w:rFonts w:ascii="Times New Roman" w:eastAsia="Times New Roman" w:hAnsi="Times New Roman" w:cs="Times New Roman"/>
          <w:color w:val="000000"/>
          <w:spacing w:val="0"/>
          <w:w w:val="100"/>
          <w:position w:val="0"/>
        </w:rPr>
        <w:t>1</w:t>
      </w:r>
      <w:bookmarkEnd w:id="531"/>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日召开第五届监事会第十七次会议，审议通过《关于使用闲置募集资金购买银 行理财产品的议案》、《关于</w:t>
      </w:r>
      <w:r>
        <w:rPr>
          <w:rFonts w:ascii="Times New Roman" w:eastAsia="Times New Roman" w:hAnsi="Times New Roman" w:cs="Times New Roman"/>
          <w:color w:val="000000"/>
          <w:spacing w:val="0"/>
          <w:w w:val="100"/>
          <w:position w:val="0"/>
        </w:rPr>
        <w:t>2010</w:t>
      </w:r>
      <w:r>
        <w:rPr>
          <w:color w:val="000000"/>
          <w:spacing w:val="0"/>
          <w:w w:val="100"/>
          <w:position w:val="0"/>
        </w:rPr>
        <w:t>年股票期权激励计划终止及注销事项的议案》；</w:t>
      </w:r>
    </w:p>
    <w:p>
      <w:pPr>
        <w:pStyle w:val="Style32"/>
        <w:keepNext w:val="0"/>
        <w:keepLines w:val="0"/>
        <w:widowControl w:val="0"/>
        <w:shd w:val="clear" w:color="auto" w:fill="auto"/>
        <w:bidi w:val="0"/>
        <w:spacing w:before="0" w:after="0" w:line="449" w:lineRule="auto"/>
        <w:ind w:left="0" w:right="0" w:firstLine="460"/>
        <w:jc w:val="both"/>
      </w:pPr>
      <w:bookmarkStart w:id="532" w:name="bookmark532"/>
      <w:r>
        <w:rPr>
          <w:rFonts w:ascii="Times New Roman" w:eastAsia="Times New Roman" w:hAnsi="Times New Roman" w:cs="Times New Roman"/>
          <w:color w:val="000000"/>
          <w:spacing w:val="0"/>
          <w:w w:val="100"/>
          <w:position w:val="0"/>
        </w:rPr>
        <w:t>2</w:t>
      </w:r>
      <w:bookmarkEnd w:id="532"/>
      <w:r>
        <w:rPr>
          <w:color w:val="000000"/>
          <w:spacing w:val="0"/>
          <w:w w:val="100"/>
          <w:position w:val="0"/>
        </w:rPr>
        <w:t xml:space="preserve">、 </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日召开第五届监事会第十八次会议，审议通过《</w:t>
      </w:r>
      <w:r>
        <w:rPr>
          <w:rFonts w:ascii="Times New Roman" w:eastAsia="Times New Roman" w:hAnsi="Times New Roman" w:cs="Times New Roman"/>
          <w:color w:val="000000"/>
          <w:spacing w:val="0"/>
          <w:w w:val="100"/>
          <w:position w:val="0"/>
        </w:rPr>
        <w:t>2015</w:t>
      </w:r>
      <w:r>
        <w:rPr>
          <w:color w:val="000000"/>
          <w:spacing w:val="0"/>
          <w:w w:val="100"/>
          <w:position w:val="0"/>
        </w:rPr>
        <w:t>年度监事会工作报告》、</w:t>
      </w:r>
    </w:p>
    <w:p>
      <w:pPr>
        <w:pStyle w:val="Style32"/>
        <w:keepNext w:val="0"/>
        <w:keepLines w:val="0"/>
        <w:widowControl w:val="0"/>
        <w:shd w:val="clear" w:color="auto" w:fill="auto"/>
        <w:bidi w:val="0"/>
        <w:spacing w:before="0" w:after="0" w:line="47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2015</w:t>
      </w:r>
      <w:r>
        <w:rPr>
          <w:color w:val="000000"/>
          <w:spacing w:val="0"/>
          <w:w w:val="100"/>
          <w:position w:val="0"/>
        </w:rPr>
        <w:t>年度财务决算报告》、《</w:t>
      </w:r>
      <w:r>
        <w:rPr>
          <w:rFonts w:ascii="Times New Roman" w:eastAsia="Times New Roman" w:hAnsi="Times New Roman" w:cs="Times New Roman"/>
          <w:color w:val="000000"/>
          <w:spacing w:val="0"/>
          <w:w w:val="100"/>
          <w:position w:val="0"/>
        </w:rPr>
        <w:t>2015</w:t>
      </w:r>
      <w:r>
        <w:rPr>
          <w:color w:val="000000"/>
          <w:spacing w:val="0"/>
          <w:w w:val="100"/>
          <w:position w:val="0"/>
        </w:rPr>
        <w:t>年年度报告》及《</w:t>
      </w:r>
      <w:r>
        <w:rPr>
          <w:rFonts w:ascii="Times New Roman" w:eastAsia="Times New Roman" w:hAnsi="Times New Roman" w:cs="Times New Roman"/>
          <w:color w:val="000000"/>
          <w:spacing w:val="0"/>
          <w:w w:val="100"/>
          <w:position w:val="0"/>
        </w:rPr>
        <w:t>2015</w:t>
      </w:r>
      <w:r>
        <w:rPr>
          <w:color w:val="000000"/>
          <w:spacing w:val="0"/>
          <w:w w:val="100"/>
          <w:position w:val="0"/>
        </w:rPr>
        <w:t>年年度报告摘要》、《</w:t>
      </w:r>
      <w:r>
        <w:rPr>
          <w:rFonts w:ascii="Times New Roman" w:eastAsia="Times New Roman" w:hAnsi="Times New Roman" w:cs="Times New Roman"/>
          <w:color w:val="000000"/>
          <w:spacing w:val="0"/>
          <w:w w:val="100"/>
          <w:position w:val="0"/>
        </w:rPr>
        <w:t>2015</w:t>
      </w:r>
      <w:r>
        <w:rPr>
          <w:color w:val="000000"/>
          <w:spacing w:val="0"/>
          <w:w w:val="100"/>
          <w:position w:val="0"/>
        </w:rPr>
        <w:t>年度利润分 配预案》、《</w:t>
      </w:r>
      <w:r>
        <w:rPr>
          <w:rFonts w:ascii="Times New Roman" w:eastAsia="Times New Roman" w:hAnsi="Times New Roman" w:cs="Times New Roman"/>
          <w:color w:val="000000"/>
          <w:spacing w:val="0"/>
          <w:w w:val="100"/>
          <w:position w:val="0"/>
        </w:rPr>
        <w:t>2015</w:t>
      </w:r>
      <w:r>
        <w:rPr>
          <w:color w:val="000000"/>
          <w:spacing w:val="0"/>
          <w:w w:val="100"/>
          <w:position w:val="0"/>
        </w:rPr>
        <w:t>年度募集资金存放与实际使用情况的专项报告》、《关于公司</w:t>
      </w:r>
      <w:r>
        <w:rPr>
          <w:rFonts w:ascii="Times New Roman" w:eastAsia="Times New Roman" w:hAnsi="Times New Roman" w:cs="Times New Roman"/>
          <w:color w:val="000000"/>
          <w:spacing w:val="0"/>
          <w:w w:val="100"/>
          <w:position w:val="0"/>
        </w:rPr>
        <w:t>2015</w:t>
      </w:r>
      <w:r>
        <w:rPr>
          <w:color w:val="000000"/>
          <w:spacing w:val="0"/>
          <w:w w:val="100"/>
          <w:position w:val="0"/>
        </w:rPr>
        <w:t>年度关联交易 情况说明的议案》、《关于续聘会计师事务所的议案》、《</w:t>
      </w:r>
      <w:r>
        <w:rPr>
          <w:rFonts w:ascii="Times New Roman" w:eastAsia="Times New Roman" w:hAnsi="Times New Roman" w:cs="Times New Roman"/>
          <w:color w:val="000000"/>
          <w:spacing w:val="0"/>
          <w:w w:val="100"/>
          <w:position w:val="0"/>
        </w:rPr>
        <w:t>2015</w:t>
      </w:r>
      <w:r>
        <w:rPr>
          <w:color w:val="000000"/>
          <w:spacing w:val="0"/>
          <w:w w:val="100"/>
          <w:position w:val="0"/>
        </w:rPr>
        <w:t>年度内部控制评价报告》、《关于 公司使用自有资金进行投资理财的议案》；</w:t>
      </w:r>
    </w:p>
    <w:p>
      <w:pPr>
        <w:pStyle w:val="Style32"/>
        <w:keepNext w:val="0"/>
        <w:keepLines w:val="0"/>
        <w:widowControl w:val="0"/>
        <w:shd w:val="clear" w:color="auto" w:fill="auto"/>
        <w:tabs>
          <w:tab w:pos="824" w:val="left"/>
        </w:tabs>
        <w:bidi w:val="0"/>
        <w:spacing w:before="0" w:after="200" w:line="475" w:lineRule="exact"/>
        <w:ind w:left="0" w:right="0" w:firstLine="460"/>
        <w:jc w:val="both"/>
      </w:pPr>
      <w:bookmarkStart w:id="533" w:name="bookmark533"/>
      <w:r>
        <w:rPr>
          <w:rFonts w:ascii="Times New Roman" w:eastAsia="Times New Roman" w:hAnsi="Times New Roman" w:cs="Times New Roman"/>
          <w:color w:val="000000"/>
          <w:spacing w:val="0"/>
          <w:w w:val="100"/>
          <w:position w:val="0"/>
        </w:rPr>
        <w:t>3</w:t>
      </w:r>
      <w:bookmarkEnd w:id="533"/>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日召开第五届监事会第十九次会议，审议通过《关于使用闲置募集资金购买理 财产品的议案》；</w:t>
      </w:r>
    </w:p>
    <w:p>
      <w:pPr>
        <w:pStyle w:val="Style32"/>
        <w:keepNext w:val="0"/>
        <w:keepLines w:val="0"/>
        <w:widowControl w:val="0"/>
        <w:shd w:val="clear" w:color="auto" w:fill="auto"/>
        <w:tabs>
          <w:tab w:pos="824" w:val="left"/>
        </w:tabs>
        <w:bidi w:val="0"/>
        <w:spacing w:before="0" w:after="0" w:line="451" w:lineRule="auto"/>
        <w:ind w:left="0" w:right="0" w:firstLine="460"/>
        <w:jc w:val="both"/>
      </w:pPr>
      <w:bookmarkStart w:id="534" w:name="bookmark534"/>
      <w:r>
        <w:rPr>
          <w:rFonts w:ascii="Times New Roman" w:eastAsia="Times New Roman" w:hAnsi="Times New Roman" w:cs="Times New Roman"/>
          <w:color w:val="000000"/>
          <w:spacing w:val="0"/>
          <w:w w:val="100"/>
          <w:position w:val="0"/>
        </w:rPr>
        <w:t>4</w:t>
      </w:r>
      <w:bookmarkEnd w:id="534"/>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 xml:space="preserve">日召开第五届监事会第二十次会议，审议通过《苏宁云商集团股份有限公司 </w:t>
      </w:r>
      <w:r>
        <w:rPr>
          <w:rFonts w:ascii="Times New Roman" w:eastAsia="Times New Roman" w:hAnsi="Times New Roman" w:cs="Times New Roman"/>
          <w:color w:val="000000"/>
          <w:spacing w:val="0"/>
          <w:w w:val="100"/>
          <w:position w:val="0"/>
        </w:rPr>
        <w:t>2016</w:t>
      </w:r>
      <w:r>
        <w:rPr>
          <w:color w:val="000000"/>
          <w:spacing w:val="0"/>
          <w:w w:val="100"/>
          <w:position w:val="0"/>
        </w:rPr>
        <w:t>年第一季度报告》；</w:t>
      </w:r>
    </w:p>
    <w:p>
      <w:pPr>
        <w:pStyle w:val="Style32"/>
        <w:keepNext w:val="0"/>
        <w:keepLines w:val="0"/>
        <w:widowControl w:val="0"/>
        <w:shd w:val="clear" w:color="auto" w:fill="auto"/>
        <w:tabs>
          <w:tab w:pos="819" w:val="left"/>
        </w:tabs>
        <w:bidi w:val="0"/>
        <w:spacing w:before="0" w:after="0" w:line="475" w:lineRule="exact"/>
        <w:ind w:left="0" w:right="0" w:firstLine="460"/>
        <w:jc w:val="both"/>
      </w:pPr>
      <w:bookmarkStart w:id="535" w:name="bookmark535"/>
      <w:r>
        <w:rPr>
          <w:rFonts w:ascii="Times New Roman" w:eastAsia="Times New Roman" w:hAnsi="Times New Roman" w:cs="Times New Roman"/>
          <w:color w:val="000000"/>
          <w:spacing w:val="0"/>
          <w:w w:val="100"/>
          <w:position w:val="0"/>
        </w:rPr>
        <w:t>5</w:t>
      </w:r>
      <w:bookmarkEnd w:id="535"/>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日召开第五届监事会第二十一次会议，审议通过《关于以募集资金置换预先已 投入部分募投项目自筹资金的议案》；</w:t>
      </w:r>
    </w:p>
    <w:p>
      <w:pPr>
        <w:pStyle w:val="Style32"/>
        <w:keepNext w:val="0"/>
        <w:keepLines w:val="0"/>
        <w:widowControl w:val="0"/>
        <w:shd w:val="clear" w:color="auto" w:fill="auto"/>
        <w:bidi w:val="0"/>
        <w:spacing w:before="0" w:after="0" w:line="475" w:lineRule="exact"/>
        <w:ind w:left="0" w:right="0" w:firstLine="460"/>
        <w:jc w:val="both"/>
      </w:pPr>
      <w:bookmarkStart w:id="536" w:name="bookmark536"/>
      <w:r>
        <w:rPr>
          <w:rFonts w:ascii="Times New Roman" w:eastAsia="Times New Roman" w:hAnsi="Times New Roman" w:cs="Times New Roman"/>
          <w:color w:val="000000"/>
          <w:spacing w:val="0"/>
          <w:w w:val="100"/>
          <w:position w:val="0"/>
        </w:rPr>
        <w:t>6</w:t>
      </w:r>
      <w:bookmarkEnd w:id="536"/>
      <w:r>
        <w:rPr>
          <w:color w:val="000000"/>
          <w:spacing w:val="0"/>
          <w:w w:val="100"/>
          <w:position w:val="0"/>
        </w:rPr>
        <w:t xml:space="preserve">、 </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日召开第五届监事会第二十二次会议，审议通过《关于以募集资金置换预先已投 入部分募投项目自筹资金的议案》；</w:t>
      </w:r>
    </w:p>
    <w:p>
      <w:pPr>
        <w:pStyle w:val="Style32"/>
        <w:keepNext w:val="0"/>
        <w:keepLines w:val="0"/>
        <w:widowControl w:val="0"/>
        <w:shd w:val="clear" w:color="auto" w:fill="auto"/>
        <w:tabs>
          <w:tab w:pos="829" w:val="left"/>
        </w:tabs>
        <w:bidi w:val="0"/>
        <w:spacing w:before="0" w:after="200" w:line="475" w:lineRule="exact"/>
        <w:ind w:left="0" w:right="0" w:firstLine="460"/>
        <w:jc w:val="both"/>
      </w:pPr>
      <w:bookmarkStart w:id="537" w:name="bookmark537"/>
      <w:r>
        <w:rPr>
          <w:rFonts w:ascii="Times New Roman" w:eastAsia="Times New Roman" w:hAnsi="Times New Roman" w:cs="Times New Roman"/>
          <w:color w:val="000000"/>
          <w:spacing w:val="0"/>
          <w:w w:val="100"/>
          <w:position w:val="0"/>
        </w:rPr>
        <w:t>7</w:t>
      </w:r>
      <w:bookmarkEnd w:id="537"/>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sz w:val="22"/>
          <w:szCs w:val="22"/>
        </w:rPr>
        <w:t>0</w:t>
      </w:r>
      <w:r>
        <w:rPr>
          <w:color w:val="000000"/>
          <w:spacing w:val="0"/>
          <w:w w:val="100"/>
          <w:position w:val="0"/>
        </w:rPr>
        <w:t xml:space="preserve">召开第五届监事会第二十三次会议，审议通过《苏宁云商集团股份有限公司 </w:t>
      </w:r>
      <w:r>
        <w:rPr>
          <w:rFonts w:ascii="Times New Roman" w:eastAsia="Times New Roman" w:hAnsi="Times New Roman" w:cs="Times New Roman"/>
          <w:color w:val="000000"/>
          <w:spacing w:val="0"/>
          <w:w w:val="100"/>
          <w:position w:val="0"/>
        </w:rPr>
        <w:t>2016</w:t>
      </w:r>
      <w:r>
        <w:rPr>
          <w:color w:val="000000"/>
          <w:spacing w:val="0"/>
          <w:w w:val="100"/>
          <w:position w:val="0"/>
        </w:rPr>
        <w:t>年半年度报告》及《苏宁云商集团股份有限公司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年半年度报告摘要》、《关于</w:t>
      </w:r>
      <w:r>
        <w:rPr>
          <w:rFonts w:ascii="Times New Roman" w:eastAsia="Times New Roman" w:hAnsi="Times New Roman" w:cs="Times New Roman"/>
          <w:color w:val="000000"/>
          <w:spacing w:val="0"/>
          <w:w w:val="100"/>
          <w:position w:val="0"/>
        </w:rPr>
        <w:t>2016</w:t>
      </w:r>
      <w:r>
        <w:rPr>
          <w:color w:val="000000"/>
          <w:spacing w:val="0"/>
          <w:w w:val="100"/>
          <w:position w:val="0"/>
        </w:rPr>
        <w:t>年半年 度募集资金存放与实际使用情况的专项报告》、《关于使用自有资金投资货币市场基金的议案》；</w:t>
      </w:r>
    </w:p>
    <w:p>
      <w:pPr>
        <w:pStyle w:val="Style32"/>
        <w:keepNext w:val="0"/>
        <w:keepLines w:val="0"/>
        <w:widowControl w:val="0"/>
        <w:shd w:val="clear" w:color="auto" w:fill="auto"/>
        <w:tabs>
          <w:tab w:pos="834" w:val="left"/>
        </w:tabs>
        <w:bidi w:val="0"/>
        <w:spacing w:before="0" w:after="0" w:line="449" w:lineRule="auto"/>
        <w:ind w:left="0" w:right="0" w:firstLine="460"/>
        <w:jc w:val="both"/>
      </w:pPr>
      <w:bookmarkStart w:id="538" w:name="bookmark538"/>
      <w:r>
        <w:rPr>
          <w:rFonts w:ascii="Times New Roman" w:eastAsia="Times New Roman" w:hAnsi="Times New Roman" w:cs="Times New Roman"/>
          <w:color w:val="000000"/>
          <w:spacing w:val="0"/>
          <w:w w:val="100"/>
          <w:position w:val="0"/>
        </w:rPr>
        <w:t>8</w:t>
      </w:r>
      <w:bookmarkEnd w:id="538"/>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 xml:space="preserve">日召开第五届监事会第二十四次会议，审议通过《苏宁云商集团股份有限公司 </w:t>
      </w:r>
      <w:r>
        <w:rPr>
          <w:rFonts w:ascii="Times New Roman" w:eastAsia="Times New Roman" w:hAnsi="Times New Roman" w:cs="Times New Roman"/>
          <w:color w:val="000000"/>
          <w:spacing w:val="0"/>
          <w:w w:val="100"/>
          <w:position w:val="0"/>
        </w:rPr>
        <w:t>2016</w:t>
      </w:r>
      <w:r>
        <w:rPr>
          <w:color w:val="000000"/>
          <w:spacing w:val="0"/>
          <w:w w:val="100"/>
          <w:position w:val="0"/>
        </w:rPr>
        <w:t>年第三季度报告》；</w:t>
      </w:r>
    </w:p>
    <w:p>
      <w:pPr>
        <w:pStyle w:val="Style32"/>
        <w:keepNext w:val="0"/>
        <w:keepLines w:val="0"/>
        <w:widowControl w:val="0"/>
        <w:shd w:val="clear" w:color="auto" w:fill="auto"/>
        <w:tabs>
          <w:tab w:pos="819" w:val="left"/>
        </w:tabs>
        <w:bidi w:val="0"/>
        <w:spacing w:before="0" w:after="0" w:line="473" w:lineRule="exact"/>
        <w:ind w:left="0" w:right="0" w:firstLine="460"/>
        <w:jc w:val="both"/>
      </w:pPr>
      <w:bookmarkStart w:id="539" w:name="bookmark539"/>
      <w:r>
        <w:rPr>
          <w:rFonts w:ascii="Times New Roman" w:eastAsia="Times New Roman" w:hAnsi="Times New Roman" w:cs="Times New Roman"/>
          <w:color w:val="000000"/>
          <w:spacing w:val="0"/>
          <w:w w:val="100"/>
          <w:position w:val="0"/>
        </w:rPr>
        <w:t>9</w:t>
      </w:r>
      <w:bookmarkEnd w:id="539"/>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日召开第五届监事会第二十五次会议，审议通过《关于变更部分募集资金投资 项目用于收购公司股权的议案》。</w:t>
      </w:r>
    </w:p>
    <w:p>
      <w:pPr>
        <w:pStyle w:val="Style38"/>
        <w:keepNext/>
        <w:keepLines/>
        <w:widowControl w:val="0"/>
        <w:shd w:val="clear" w:color="auto" w:fill="auto"/>
        <w:tabs>
          <w:tab w:pos="1073" w:val="left"/>
        </w:tabs>
        <w:bidi w:val="0"/>
        <w:spacing w:before="0" w:after="200" w:line="473" w:lineRule="exact"/>
        <w:ind w:left="0" w:right="0" w:firstLine="460"/>
        <w:jc w:val="both"/>
      </w:pPr>
      <w:bookmarkStart w:id="540" w:name="bookmark540"/>
      <w:bookmarkStart w:id="541" w:name="bookmark541"/>
      <w:bookmarkStart w:id="542" w:name="bookmark542"/>
      <w:bookmarkStart w:id="543" w:name="bookmark543"/>
      <w:r>
        <w:rPr>
          <w:color w:val="000000"/>
          <w:spacing w:val="0"/>
          <w:w w:val="100"/>
          <w:position w:val="0"/>
        </w:rPr>
        <w:t>（</w:t>
      </w:r>
      <w:bookmarkEnd w:id="542"/>
      <w:r>
        <w:rPr>
          <w:color w:val="000000"/>
          <w:spacing w:val="0"/>
          <w:w w:val="100"/>
          <w:position w:val="0"/>
        </w:rPr>
        <w:t>二）</w:t>
        <w:tab/>
        <w:t>报告期内，监事会职责履行情况</w:t>
      </w:r>
      <w:bookmarkEnd w:id="540"/>
      <w:bookmarkEnd w:id="541"/>
      <w:bookmarkEnd w:id="543"/>
    </w:p>
    <w:p>
      <w:pPr>
        <w:pStyle w:val="Style32"/>
        <w:keepNext w:val="0"/>
        <w:keepLines w:val="0"/>
        <w:widowControl w:val="0"/>
        <w:shd w:val="clear" w:color="auto" w:fill="auto"/>
        <w:bidi w:val="0"/>
        <w:spacing w:before="0" w:after="200" w:line="449" w:lineRule="auto"/>
        <w:ind w:left="0" w:right="0" w:firstLine="460"/>
        <w:jc w:val="both"/>
      </w:pPr>
      <w:r>
        <w:rPr>
          <w:rFonts w:ascii="Times New Roman" w:eastAsia="Times New Roman" w:hAnsi="Times New Roman" w:cs="Times New Roman"/>
          <w:color w:val="000000"/>
          <w:spacing w:val="0"/>
          <w:w w:val="100"/>
          <w:position w:val="0"/>
        </w:rPr>
        <w:t>1</w:t>
      </w:r>
      <w:r>
        <w:rPr>
          <w:color w:val="000000"/>
          <w:spacing w:val="0"/>
          <w:w w:val="100"/>
          <w:position w:val="0"/>
        </w:rPr>
        <w:t>、监事会运作情况</w:t>
      </w:r>
    </w:p>
    <w:p>
      <w:pPr>
        <w:pStyle w:val="Style32"/>
        <w:keepNext w:val="0"/>
        <w:keepLines w:val="0"/>
        <w:widowControl w:val="0"/>
        <w:shd w:val="clear" w:color="auto" w:fill="auto"/>
        <w:bidi w:val="0"/>
        <w:spacing w:before="0" w:after="0" w:line="469" w:lineRule="exact"/>
        <w:ind w:left="0" w:right="0" w:firstLine="460"/>
        <w:jc w:val="both"/>
      </w:pPr>
      <w:r>
        <w:rPr>
          <w:color w:val="000000"/>
          <w:spacing w:val="0"/>
          <w:w w:val="100"/>
          <w:position w:val="0"/>
        </w:rPr>
        <w:t>报告期内公司共计召开</w:t>
      </w:r>
      <w:r>
        <w:rPr>
          <w:rFonts w:ascii="Times New Roman" w:eastAsia="Times New Roman" w:hAnsi="Times New Roman" w:cs="Times New Roman"/>
          <w:color w:val="000000"/>
          <w:spacing w:val="0"/>
          <w:w w:val="100"/>
          <w:position w:val="0"/>
        </w:rPr>
        <w:t>9</w:t>
      </w:r>
      <w:r>
        <w:rPr>
          <w:color w:val="000000"/>
          <w:spacing w:val="0"/>
          <w:w w:val="100"/>
          <w:position w:val="0"/>
        </w:rPr>
        <w:t>次监事会会议，监事会会议的召集、召开、表决程序符合公司《章程》 的相关规定，公司部分监事列席董事会会议，听取公司董事、财务负责人关于公司</w:t>
      </w:r>
      <w:r>
        <w:rPr>
          <w:rFonts w:ascii="Times New Roman" w:eastAsia="Times New Roman" w:hAnsi="Times New Roman" w:cs="Times New Roman"/>
          <w:color w:val="000000"/>
          <w:spacing w:val="0"/>
          <w:w w:val="100"/>
          <w:position w:val="0"/>
        </w:rPr>
        <w:t>2015</w:t>
      </w:r>
      <w:r>
        <w:rPr>
          <w:color w:val="000000"/>
          <w:spacing w:val="0"/>
          <w:w w:val="100"/>
          <w:position w:val="0"/>
        </w:rPr>
        <w:t xml:space="preserve">年年度报告、 </w:t>
      </w:r>
      <w:r>
        <w:rPr>
          <w:rFonts w:ascii="Times New Roman" w:eastAsia="Times New Roman" w:hAnsi="Times New Roman" w:cs="Times New Roman"/>
          <w:color w:val="000000"/>
          <w:spacing w:val="0"/>
          <w:w w:val="100"/>
          <w:position w:val="0"/>
        </w:rPr>
        <w:t>2016</w:t>
      </w:r>
      <w:r>
        <w:rPr>
          <w:color w:val="000000"/>
          <w:spacing w:val="0"/>
          <w:w w:val="100"/>
          <w:position w:val="0"/>
        </w:rPr>
        <w:t>年半年度报告相关汇报，全体监事均亲自出席公司在报告期内召开的四次股东大会。报告期内， 公司监事及监事会运作规范。</w:t>
      </w:r>
    </w:p>
    <w:p>
      <w:pPr>
        <w:pStyle w:val="Style32"/>
        <w:keepNext w:val="0"/>
        <w:keepLines w:val="0"/>
        <w:widowControl w:val="0"/>
        <w:shd w:val="clear" w:color="auto" w:fill="auto"/>
        <w:tabs>
          <w:tab w:pos="820" w:val="left"/>
        </w:tabs>
        <w:bidi w:val="0"/>
        <w:spacing w:before="0" w:after="0" w:line="469" w:lineRule="exact"/>
        <w:ind w:left="0" w:right="0" w:firstLine="460"/>
        <w:jc w:val="both"/>
      </w:pPr>
      <w:bookmarkStart w:id="544" w:name="bookmark544"/>
      <w:r>
        <w:rPr>
          <w:rFonts w:ascii="Times New Roman" w:eastAsia="Times New Roman" w:hAnsi="Times New Roman" w:cs="Times New Roman"/>
          <w:color w:val="000000"/>
          <w:spacing w:val="0"/>
          <w:w w:val="100"/>
          <w:position w:val="0"/>
        </w:rPr>
        <w:t>2</w:t>
      </w:r>
      <w:bookmarkEnd w:id="544"/>
      <w:r>
        <w:rPr>
          <w:color w:val="000000"/>
          <w:spacing w:val="0"/>
          <w:w w:val="100"/>
          <w:position w:val="0"/>
        </w:rPr>
        <w:t>、</w:t>
        <w:tab/>
        <w:t>核查公司财务状况</w:t>
      </w:r>
    </w:p>
    <w:p>
      <w:pPr>
        <w:pStyle w:val="Style32"/>
        <w:keepNext w:val="0"/>
        <w:keepLines w:val="0"/>
        <w:widowControl w:val="0"/>
        <w:shd w:val="clear" w:color="auto" w:fill="auto"/>
        <w:bidi w:val="0"/>
        <w:spacing w:before="0" w:after="0" w:line="469" w:lineRule="exact"/>
        <w:ind w:left="0" w:right="0" w:firstLine="460"/>
        <w:jc w:val="both"/>
      </w:pPr>
      <w:r>
        <w:rPr>
          <w:color w:val="000000"/>
          <w:spacing w:val="0"/>
          <w:w w:val="100"/>
          <w:position w:val="0"/>
        </w:rPr>
        <w:t>公司监事会持续关注公司财务制度建立，财务报告编制流程，以及对报告期内公司实施会计准 则情况进行审查，一致认为公司财务报告内容规范，报告期内公司披露的定期报告真实、准确、完 整地反映了公司的实际情况，不存在任何虚假记载、误导性陈述或者重大遗漏。</w:t>
      </w:r>
    </w:p>
    <w:p>
      <w:pPr>
        <w:pStyle w:val="Style32"/>
        <w:keepNext w:val="0"/>
        <w:keepLines w:val="0"/>
        <w:widowControl w:val="0"/>
        <w:shd w:val="clear" w:color="auto" w:fill="auto"/>
        <w:tabs>
          <w:tab w:pos="820" w:val="left"/>
        </w:tabs>
        <w:bidi w:val="0"/>
        <w:spacing w:before="0" w:after="0" w:line="469" w:lineRule="exact"/>
        <w:ind w:left="0" w:right="0" w:firstLine="460"/>
        <w:jc w:val="both"/>
      </w:pPr>
      <w:bookmarkStart w:id="545" w:name="bookmark545"/>
      <w:r>
        <w:rPr>
          <w:rFonts w:ascii="Times New Roman" w:eastAsia="Times New Roman" w:hAnsi="Times New Roman" w:cs="Times New Roman"/>
          <w:color w:val="000000"/>
          <w:spacing w:val="0"/>
          <w:w w:val="100"/>
          <w:position w:val="0"/>
        </w:rPr>
        <w:t>3</w:t>
      </w:r>
      <w:bookmarkEnd w:id="545"/>
      <w:r>
        <w:rPr>
          <w:color w:val="000000"/>
          <w:spacing w:val="0"/>
          <w:w w:val="100"/>
          <w:position w:val="0"/>
        </w:rPr>
        <w:t>、</w:t>
        <w:tab/>
        <w:t>股票期权激励计划终止及注销事项</w:t>
      </w:r>
    </w:p>
    <w:p>
      <w:pPr>
        <w:pStyle w:val="Style32"/>
        <w:keepNext w:val="0"/>
        <w:keepLines w:val="0"/>
        <w:widowControl w:val="0"/>
        <w:shd w:val="clear" w:color="auto" w:fill="auto"/>
        <w:bidi w:val="0"/>
        <w:spacing w:before="0" w:after="0" w:line="469" w:lineRule="exact"/>
        <w:ind w:left="0" w:right="0" w:firstLine="460"/>
        <w:jc w:val="both"/>
      </w:pPr>
      <w:r>
        <w:rPr>
          <w:color w:val="000000"/>
          <w:spacing w:val="0"/>
          <w:w w:val="100"/>
          <w:position w:val="0"/>
        </w:rPr>
        <w:t>公司</w:t>
      </w:r>
      <w:r>
        <w:rPr>
          <w:rFonts w:ascii="Times New Roman" w:eastAsia="Times New Roman" w:hAnsi="Times New Roman" w:cs="Times New Roman"/>
          <w:color w:val="000000"/>
          <w:spacing w:val="0"/>
          <w:w w:val="100"/>
          <w:position w:val="0"/>
        </w:rPr>
        <w:t>2010</w:t>
      </w:r>
      <w:r>
        <w:rPr>
          <w:color w:val="000000"/>
          <w:spacing w:val="0"/>
          <w:w w:val="100"/>
          <w:position w:val="0"/>
        </w:rPr>
        <w:t>年股票期权激励计划有效期届满，计划终止，尚未行权的股票期权注销相关事项符合 《苏宁电器股份有限公司</w:t>
      </w:r>
      <w:r>
        <w:rPr>
          <w:rFonts w:ascii="Times New Roman" w:eastAsia="Times New Roman" w:hAnsi="Times New Roman" w:cs="Times New Roman"/>
          <w:color w:val="000000"/>
          <w:spacing w:val="0"/>
          <w:w w:val="100"/>
          <w:position w:val="0"/>
        </w:rPr>
        <w:t>2010</w:t>
      </w:r>
      <w:r>
        <w:rPr>
          <w:color w:val="000000"/>
          <w:spacing w:val="0"/>
          <w:w w:val="100"/>
          <w:position w:val="0"/>
        </w:rPr>
        <w:t xml:space="preserve">年股票期权激励计划（草案）》规定，监事会同意对激励计划授予 </w:t>
      </w:r>
      <w:r>
        <w:rPr>
          <w:rFonts w:ascii="Times New Roman" w:eastAsia="Times New Roman" w:hAnsi="Times New Roman" w:cs="Times New Roman"/>
          <w:color w:val="000000"/>
          <w:spacing w:val="0"/>
          <w:w w:val="100"/>
          <w:position w:val="0"/>
        </w:rPr>
        <w:t>8,469</w:t>
      </w:r>
      <w:r>
        <w:rPr>
          <w:color w:val="000000"/>
          <w:spacing w:val="0"/>
          <w:w w:val="100"/>
          <w:position w:val="0"/>
        </w:rPr>
        <w:t>万份股票期权全部进行注销；本次股权激励注销不会对公司的经营业绩产生影响，也不会影响 公司管理团队勤勉尽职。</w:t>
      </w:r>
    </w:p>
    <w:p>
      <w:pPr>
        <w:pStyle w:val="Style32"/>
        <w:keepNext w:val="0"/>
        <w:keepLines w:val="0"/>
        <w:widowControl w:val="0"/>
        <w:shd w:val="clear" w:color="auto" w:fill="auto"/>
        <w:tabs>
          <w:tab w:pos="820" w:val="left"/>
        </w:tabs>
        <w:bidi w:val="0"/>
        <w:spacing w:before="0" w:after="0" w:line="469" w:lineRule="exact"/>
        <w:ind w:left="0" w:right="0" w:firstLine="460"/>
        <w:jc w:val="both"/>
      </w:pPr>
      <w:bookmarkStart w:id="546" w:name="bookmark546"/>
      <w:r>
        <w:rPr>
          <w:rFonts w:ascii="Times New Roman" w:eastAsia="Times New Roman" w:hAnsi="Times New Roman" w:cs="Times New Roman"/>
          <w:color w:val="000000"/>
          <w:spacing w:val="0"/>
          <w:w w:val="100"/>
          <w:position w:val="0"/>
        </w:rPr>
        <w:t>4</w:t>
      </w:r>
      <w:bookmarkEnd w:id="546"/>
      <w:r>
        <w:rPr>
          <w:color w:val="000000"/>
          <w:spacing w:val="0"/>
          <w:w w:val="100"/>
          <w:position w:val="0"/>
        </w:rPr>
        <w:t>、</w:t>
        <w:tab/>
        <w:t>募集资金使用情况</w:t>
      </w:r>
    </w:p>
    <w:p>
      <w:pPr>
        <w:pStyle w:val="Style32"/>
        <w:keepNext w:val="0"/>
        <w:keepLines w:val="0"/>
        <w:widowControl w:val="0"/>
        <w:shd w:val="clear" w:color="auto" w:fill="auto"/>
        <w:bidi w:val="0"/>
        <w:spacing w:before="0" w:after="0" w:line="469" w:lineRule="exact"/>
        <w:ind w:left="0" w:right="0" w:firstLine="460"/>
        <w:jc w:val="both"/>
      </w:pPr>
      <w:r>
        <w:rPr>
          <w:color w:val="000000"/>
          <w:spacing w:val="0"/>
          <w:w w:val="100"/>
          <w:position w:val="0"/>
        </w:rPr>
        <w:t>报告期内，公司依据《募集资金管理制度》要求存放及使用募集资金，同时公司为提高募集资 金使用效益，充分利用暂时闲置募集资金进行现金管理，获得了较好的财务收益。公司披露的募集 资金存放与实际使用情况的专项报告符合规范要求。</w:t>
      </w:r>
    </w:p>
    <w:p>
      <w:pPr>
        <w:pStyle w:val="Style32"/>
        <w:keepNext w:val="0"/>
        <w:keepLines w:val="0"/>
        <w:widowControl w:val="0"/>
        <w:shd w:val="clear" w:color="auto" w:fill="auto"/>
        <w:tabs>
          <w:tab w:pos="820" w:val="left"/>
        </w:tabs>
        <w:bidi w:val="0"/>
        <w:spacing w:before="0" w:after="0" w:line="469" w:lineRule="exact"/>
        <w:ind w:left="0" w:right="0" w:firstLine="460"/>
        <w:jc w:val="both"/>
      </w:pPr>
      <w:bookmarkStart w:id="547" w:name="bookmark547"/>
      <w:r>
        <w:rPr>
          <w:rFonts w:ascii="Times New Roman" w:eastAsia="Times New Roman" w:hAnsi="Times New Roman" w:cs="Times New Roman"/>
          <w:color w:val="000000"/>
          <w:spacing w:val="0"/>
          <w:w w:val="100"/>
          <w:position w:val="0"/>
        </w:rPr>
        <w:t>5</w:t>
      </w:r>
      <w:bookmarkEnd w:id="547"/>
      <w:r>
        <w:rPr>
          <w:color w:val="000000"/>
          <w:spacing w:val="0"/>
          <w:w w:val="100"/>
          <w:position w:val="0"/>
        </w:rPr>
        <w:t>、</w:t>
        <w:tab/>
        <w:t>募集资金置换事项</w:t>
      </w:r>
    </w:p>
    <w:p>
      <w:pPr>
        <w:pStyle w:val="Style32"/>
        <w:keepNext w:val="0"/>
        <w:keepLines w:val="0"/>
        <w:widowControl w:val="0"/>
        <w:shd w:val="clear" w:color="auto" w:fill="auto"/>
        <w:bidi w:val="0"/>
        <w:spacing w:before="0" w:after="0" w:line="469" w:lineRule="exact"/>
        <w:ind w:left="0" w:right="0" w:firstLine="460"/>
        <w:jc w:val="both"/>
      </w:pPr>
      <w:r>
        <w:rPr>
          <w:color w:val="000000"/>
          <w:spacing w:val="0"/>
          <w:w w:val="100"/>
          <w:position w:val="0"/>
        </w:rPr>
        <w:t>报告期内，公司以募集资金置换预先已投入物流平台建设项目、苏宁易购云店发展项目之购置 店项目、租赁店项目、改造店项目、苏宁易购云店品牌推广项目、互联网金融项目之补充金融公司 资本金项目及</w:t>
      </w:r>
      <w:r>
        <w:rPr>
          <w:rFonts w:ascii="Times New Roman" w:eastAsia="Times New Roman" w:hAnsi="Times New Roman" w:cs="Times New Roman"/>
          <w:color w:val="000000"/>
          <w:spacing w:val="0"/>
          <w:w w:val="100"/>
          <w:position w:val="0"/>
        </w:rPr>
        <w:t>IT</w:t>
      </w:r>
      <w:r>
        <w:rPr>
          <w:color w:val="000000"/>
          <w:spacing w:val="0"/>
          <w:w w:val="100"/>
          <w:position w:val="0"/>
        </w:rPr>
        <w:t xml:space="preserve">项目的自筹资金，公司以募集资金置换预先已投入部分募投项目的自筹资金，符合 《深圳证券交易所中小企业板上市公司规范运作指引》、《募集资金管理制度》的规定，符合公司 </w:t>
      </w:r>
      <w:r>
        <w:rPr>
          <w:rFonts w:ascii="Times New Roman" w:eastAsia="Times New Roman" w:hAnsi="Times New Roman" w:cs="Times New Roman"/>
          <w:color w:val="000000"/>
          <w:spacing w:val="0"/>
          <w:w w:val="100"/>
          <w:position w:val="0"/>
        </w:rPr>
        <w:t>2015</w:t>
      </w:r>
      <w:r>
        <w:rPr>
          <w:color w:val="000000"/>
          <w:spacing w:val="0"/>
          <w:w w:val="100"/>
          <w:position w:val="0"/>
        </w:rPr>
        <w:t>年第三次临时股东大会决议中的相关安排。</w:t>
      </w:r>
    </w:p>
    <w:p>
      <w:pPr>
        <w:pStyle w:val="Style32"/>
        <w:keepNext w:val="0"/>
        <w:keepLines w:val="0"/>
        <w:widowControl w:val="0"/>
        <w:shd w:val="clear" w:color="auto" w:fill="auto"/>
        <w:tabs>
          <w:tab w:pos="820" w:val="left"/>
        </w:tabs>
        <w:bidi w:val="0"/>
        <w:spacing w:before="0" w:after="0" w:line="469" w:lineRule="exact"/>
        <w:ind w:left="0" w:right="0" w:firstLine="460"/>
        <w:jc w:val="both"/>
      </w:pPr>
      <w:bookmarkStart w:id="548" w:name="bookmark548"/>
      <w:r>
        <w:rPr>
          <w:rFonts w:ascii="Times New Roman" w:eastAsia="Times New Roman" w:hAnsi="Times New Roman" w:cs="Times New Roman"/>
          <w:color w:val="000000"/>
          <w:spacing w:val="0"/>
          <w:w w:val="100"/>
          <w:position w:val="0"/>
        </w:rPr>
        <w:t>6</w:t>
      </w:r>
      <w:bookmarkEnd w:id="548"/>
      <w:r>
        <w:rPr>
          <w:color w:val="000000"/>
          <w:spacing w:val="0"/>
          <w:w w:val="100"/>
          <w:position w:val="0"/>
        </w:rPr>
        <w:t>、</w:t>
        <w:tab/>
        <w:t>变更部分募集资金投资项目事项</w:t>
      </w:r>
    </w:p>
    <w:p>
      <w:pPr>
        <w:pStyle w:val="Style32"/>
        <w:keepNext w:val="0"/>
        <w:keepLines w:val="0"/>
        <w:widowControl w:val="0"/>
        <w:shd w:val="clear" w:color="auto" w:fill="auto"/>
        <w:bidi w:val="0"/>
        <w:spacing w:before="0" w:after="0" w:line="469" w:lineRule="exact"/>
        <w:ind w:left="0" w:right="0" w:firstLine="460"/>
        <w:jc w:val="both"/>
      </w:pPr>
      <w:r>
        <w:rPr>
          <w:color w:val="000000"/>
          <w:spacing w:val="0"/>
          <w:w w:val="100"/>
          <w:position w:val="0"/>
        </w:rPr>
        <w:t>为提高募集资金使用效率，加快强化苏宁物流平台运营能力。报告期内，公司将购置店项目变 更用于物流运营发展项目</w:t>
      </w:r>
      <w:r>
        <w:rPr>
          <w:color w:val="000000"/>
          <w:spacing w:val="0"/>
          <w:w w:val="100"/>
          <w:position w:val="0"/>
        </w:rPr>
        <w:t>一一</w:t>
      </w:r>
      <w:r>
        <w:rPr>
          <w:color w:val="000000"/>
          <w:spacing w:val="0"/>
          <w:w w:val="100"/>
          <w:position w:val="0"/>
        </w:rPr>
        <w:t>收购天天快递有限公司股权项目。公司变更部分募集资金投资项目用 于收购天天快递有限公司股权，有助于提升物流服务能力、运营效率，满足公司主营业务发展的需 要，符合公司及全体股东的利益；本次变更募投项目没有违反中国证监会、深圳证券交易所及公司 关于上市公司募集资金使用的有关规定，没有损害公司和股东利益。</w:t>
      </w:r>
    </w:p>
    <w:p>
      <w:pPr>
        <w:pStyle w:val="Style32"/>
        <w:keepNext w:val="0"/>
        <w:keepLines w:val="0"/>
        <w:widowControl w:val="0"/>
        <w:shd w:val="clear" w:color="auto" w:fill="auto"/>
        <w:tabs>
          <w:tab w:pos="820" w:val="left"/>
        </w:tabs>
        <w:bidi w:val="0"/>
        <w:spacing w:before="0" w:after="0" w:line="469" w:lineRule="exact"/>
        <w:ind w:left="0" w:right="0" w:firstLine="460"/>
        <w:jc w:val="both"/>
      </w:pPr>
      <w:bookmarkStart w:id="549" w:name="bookmark549"/>
      <w:r>
        <w:rPr>
          <w:rFonts w:ascii="Times New Roman" w:eastAsia="Times New Roman" w:hAnsi="Times New Roman" w:cs="Times New Roman"/>
          <w:color w:val="000000"/>
          <w:spacing w:val="0"/>
          <w:w w:val="100"/>
          <w:position w:val="0"/>
        </w:rPr>
        <w:t>7</w:t>
      </w:r>
      <w:bookmarkEnd w:id="549"/>
      <w:r>
        <w:rPr>
          <w:color w:val="000000"/>
          <w:spacing w:val="0"/>
          <w:w w:val="100"/>
          <w:position w:val="0"/>
        </w:rPr>
        <w:t>、</w:t>
        <w:tab/>
        <w:t>公司投资理财事项</w:t>
      </w:r>
    </w:p>
    <w:p>
      <w:pPr>
        <w:pStyle w:val="Style32"/>
        <w:keepNext w:val="0"/>
        <w:keepLines w:val="0"/>
        <w:widowControl w:val="0"/>
        <w:shd w:val="clear" w:color="auto" w:fill="auto"/>
        <w:bidi w:val="0"/>
        <w:spacing w:before="0" w:after="200" w:line="469" w:lineRule="exact"/>
        <w:ind w:left="0" w:right="0" w:firstLine="460"/>
        <w:jc w:val="both"/>
      </w:pPr>
      <w:r>
        <w:rPr>
          <w:color w:val="000000"/>
          <w:spacing w:val="0"/>
          <w:w w:val="100"/>
          <w:position w:val="0"/>
        </w:rPr>
        <w:t>公司在充分保障日常资金运营、资本性开支等基础上，使用自有资金进行投资理财或购买货币 市场基金，一方面公司建立完善的风险防控机制和内部决策流程，相关投资事项风险可控；另一方 面可进一步加强公司现金管理能力，提高公司资金使用效益，且不涉及募集资金，不存在损害公司 及中小股东利益的情形。</w:t>
      </w:r>
    </w:p>
    <w:p>
      <w:pPr>
        <w:pStyle w:val="Style32"/>
        <w:keepNext w:val="0"/>
        <w:keepLines w:val="0"/>
        <w:widowControl w:val="0"/>
        <w:shd w:val="clear" w:color="auto" w:fill="auto"/>
        <w:tabs>
          <w:tab w:pos="833" w:val="left"/>
        </w:tabs>
        <w:bidi w:val="0"/>
        <w:spacing w:before="0" w:after="0"/>
        <w:ind w:left="0" w:right="0" w:firstLine="460"/>
        <w:jc w:val="both"/>
      </w:pPr>
      <w:bookmarkStart w:id="550" w:name="bookmark550"/>
      <w:r>
        <w:rPr>
          <w:rFonts w:ascii="Times New Roman" w:eastAsia="Times New Roman" w:hAnsi="Times New Roman" w:cs="Times New Roman"/>
          <w:color w:val="000000"/>
          <w:spacing w:val="0"/>
          <w:w w:val="100"/>
          <w:position w:val="0"/>
        </w:rPr>
        <w:t>8</w:t>
      </w:r>
      <w:bookmarkEnd w:id="550"/>
      <w:r>
        <w:rPr>
          <w:color w:val="000000"/>
          <w:spacing w:val="0"/>
          <w:w w:val="100"/>
          <w:position w:val="0"/>
        </w:rPr>
        <w:t>、</w:t>
        <w:tab/>
        <w:t>公司关联交易情况</w:t>
      </w:r>
    </w:p>
    <w:p>
      <w:pPr>
        <w:pStyle w:val="Style32"/>
        <w:keepNext w:val="0"/>
        <w:keepLines w:val="0"/>
        <w:widowControl w:val="0"/>
        <w:shd w:val="clear" w:color="auto" w:fill="auto"/>
        <w:bidi w:val="0"/>
        <w:spacing w:before="0" w:after="200" w:line="469" w:lineRule="exact"/>
        <w:ind w:left="0" w:right="0" w:firstLine="460"/>
        <w:jc w:val="both"/>
      </w:pPr>
      <w:r>
        <w:rPr>
          <w:color w:val="000000"/>
          <w:spacing w:val="0"/>
          <w:w w:val="100"/>
          <w:position w:val="0"/>
        </w:rPr>
        <w:t>公司监事会对公司</w:t>
      </w:r>
      <w:r>
        <w:rPr>
          <w:rFonts w:ascii="Times New Roman" w:eastAsia="Times New Roman" w:hAnsi="Times New Roman" w:cs="Times New Roman"/>
          <w:color w:val="000000"/>
          <w:spacing w:val="0"/>
          <w:w w:val="100"/>
          <w:position w:val="0"/>
        </w:rPr>
        <w:t>2016</w:t>
      </w:r>
      <w:r>
        <w:rPr>
          <w:color w:val="000000"/>
          <w:spacing w:val="0"/>
          <w:w w:val="100"/>
          <w:position w:val="0"/>
        </w:rPr>
        <w:t>年度关联交易进行了审核，公司</w:t>
      </w:r>
      <w:r>
        <w:rPr>
          <w:rFonts w:ascii="Times New Roman" w:eastAsia="Times New Roman" w:hAnsi="Times New Roman" w:cs="Times New Roman"/>
          <w:color w:val="000000"/>
          <w:spacing w:val="0"/>
          <w:w w:val="100"/>
          <w:position w:val="0"/>
        </w:rPr>
        <w:t>2016</w:t>
      </w:r>
      <w:r>
        <w:rPr>
          <w:color w:val="000000"/>
          <w:spacing w:val="0"/>
          <w:w w:val="100"/>
          <w:position w:val="0"/>
        </w:rPr>
        <w:t>年度关联交易事项遵循客观、公正、 公平的交易原则，定价公允，严格按照《股票上市规则》、《关联交易管理制度》等制度规范履行 审批程序，公司董事会在审议关联交易事项时，关联方均予以回避表决，不存在损害公司和其他非 关联方的利益情形。</w:t>
      </w:r>
    </w:p>
    <w:p>
      <w:pPr>
        <w:pStyle w:val="Style32"/>
        <w:keepNext w:val="0"/>
        <w:keepLines w:val="0"/>
        <w:widowControl w:val="0"/>
        <w:shd w:val="clear" w:color="auto" w:fill="auto"/>
        <w:tabs>
          <w:tab w:pos="838" w:val="left"/>
        </w:tabs>
        <w:bidi w:val="0"/>
        <w:spacing w:before="0" w:after="0"/>
        <w:ind w:left="0" w:right="0" w:firstLine="460"/>
        <w:jc w:val="left"/>
      </w:pPr>
      <w:bookmarkStart w:id="551" w:name="bookmark551"/>
      <w:r>
        <w:rPr>
          <w:rFonts w:ascii="Times New Roman" w:eastAsia="Times New Roman" w:hAnsi="Times New Roman" w:cs="Times New Roman"/>
          <w:color w:val="000000"/>
          <w:spacing w:val="0"/>
          <w:w w:val="100"/>
          <w:position w:val="0"/>
        </w:rPr>
        <w:t>9</w:t>
      </w:r>
      <w:bookmarkEnd w:id="551"/>
      <w:r>
        <w:rPr>
          <w:color w:val="000000"/>
          <w:spacing w:val="0"/>
          <w:w w:val="100"/>
          <w:position w:val="0"/>
        </w:rPr>
        <w:t>、</w:t>
        <w:tab/>
        <w:t>内部控制评价报告</w:t>
      </w:r>
    </w:p>
    <w:p>
      <w:pPr>
        <w:pStyle w:val="Style32"/>
        <w:keepNext w:val="0"/>
        <w:keepLines w:val="0"/>
        <w:widowControl w:val="0"/>
        <w:shd w:val="clear" w:color="auto" w:fill="auto"/>
        <w:bidi w:val="0"/>
        <w:spacing w:before="0" w:after="200" w:line="469" w:lineRule="exact"/>
        <w:ind w:left="0" w:right="0" w:firstLine="460"/>
        <w:jc w:val="left"/>
      </w:pPr>
      <w:r>
        <w:rPr>
          <w:color w:val="000000"/>
          <w:spacing w:val="0"/>
          <w:w w:val="100"/>
          <w:position w:val="0"/>
        </w:rPr>
        <w:t>公司建立了较为完善的内部控制制度体系，并能得到有效的执行。公司</w:t>
      </w:r>
      <w:r>
        <w:rPr>
          <w:rFonts w:ascii="Times New Roman" w:eastAsia="Times New Roman" w:hAnsi="Times New Roman" w:cs="Times New Roman"/>
          <w:color w:val="000000"/>
          <w:spacing w:val="0"/>
          <w:w w:val="100"/>
          <w:position w:val="0"/>
        </w:rPr>
        <w:t>2015</w:t>
      </w:r>
      <w:r>
        <w:rPr>
          <w:color w:val="000000"/>
          <w:spacing w:val="0"/>
          <w:w w:val="100"/>
          <w:position w:val="0"/>
        </w:rPr>
        <w:t>年度内部控制评价 报告真实、客观地反映了公司内部控制制度的建设及运行情况。</w:t>
      </w:r>
    </w:p>
    <w:p>
      <w:pPr>
        <w:pStyle w:val="Style32"/>
        <w:keepNext w:val="0"/>
        <w:keepLines w:val="0"/>
        <w:widowControl w:val="0"/>
        <w:shd w:val="clear" w:color="auto" w:fill="auto"/>
        <w:tabs>
          <w:tab w:pos="924" w:val="left"/>
        </w:tabs>
        <w:bidi w:val="0"/>
        <w:spacing w:before="0" w:after="0"/>
        <w:ind w:left="0" w:right="0" w:firstLine="460"/>
        <w:jc w:val="left"/>
      </w:pPr>
      <w:bookmarkStart w:id="552" w:name="bookmark552"/>
      <w:r>
        <w:rPr>
          <w:rFonts w:ascii="Times New Roman" w:eastAsia="Times New Roman" w:hAnsi="Times New Roman" w:cs="Times New Roman"/>
          <w:color w:val="000000"/>
          <w:spacing w:val="0"/>
          <w:w w:val="100"/>
          <w:position w:val="0"/>
        </w:rPr>
        <w:t>1</w:t>
      </w:r>
      <w:bookmarkEnd w:id="552"/>
      <w:r>
        <w:rPr>
          <w:rFonts w:ascii="Times New Roman" w:eastAsia="Times New Roman" w:hAnsi="Times New Roman" w:cs="Times New Roman"/>
          <w:color w:val="000000"/>
          <w:spacing w:val="0"/>
          <w:w w:val="100"/>
          <w:position w:val="0"/>
        </w:rPr>
        <w:t>0</w:t>
      </w:r>
      <w:r>
        <w:rPr>
          <w:color w:val="000000"/>
          <w:spacing w:val="0"/>
          <w:w w:val="100"/>
          <w:position w:val="0"/>
        </w:rPr>
        <w:t>、</w:t>
        <w:tab/>
        <w:t>利润分配政策制定及实施情况</w:t>
      </w:r>
    </w:p>
    <w:p>
      <w:pPr>
        <w:pStyle w:val="Style32"/>
        <w:keepNext w:val="0"/>
        <w:keepLines w:val="0"/>
        <w:widowControl w:val="0"/>
        <w:shd w:val="clear" w:color="auto" w:fill="auto"/>
        <w:bidi w:val="0"/>
        <w:spacing w:before="0" w:after="200" w:line="469" w:lineRule="exact"/>
        <w:ind w:left="0" w:right="0" w:firstLine="460"/>
        <w:jc w:val="left"/>
      </w:pPr>
      <w:r>
        <w:rPr>
          <w:color w:val="000000"/>
          <w:spacing w:val="0"/>
          <w:w w:val="100"/>
          <w:position w:val="0"/>
        </w:rPr>
        <w:t>公司严格按照中国证监会《上市公司监管指引第</w:t>
      </w:r>
      <w:r>
        <w:rPr>
          <w:rFonts w:ascii="Times New Roman" w:eastAsia="Times New Roman" w:hAnsi="Times New Roman" w:cs="Times New Roman"/>
          <w:color w:val="000000"/>
          <w:spacing w:val="0"/>
          <w:w w:val="100"/>
          <w:position w:val="0"/>
        </w:rPr>
        <w:t>3</w:t>
      </w:r>
      <w:r>
        <w:rPr>
          <w:color w:val="000000"/>
          <w:spacing w:val="0"/>
          <w:w w:val="100"/>
          <w:position w:val="0"/>
        </w:rPr>
        <w:t>号</w:t>
      </w:r>
      <w:r>
        <w:rPr>
          <w:color w:val="000000"/>
          <w:spacing w:val="0"/>
          <w:w w:val="100"/>
          <w:position w:val="0"/>
        </w:rPr>
        <w:t>一一</w:t>
      </w:r>
      <w:r>
        <w:rPr>
          <w:color w:val="000000"/>
          <w:spacing w:val="0"/>
          <w:w w:val="100"/>
          <w:position w:val="0"/>
        </w:rPr>
        <w:t>上市公司现金分红》、《苏宁云商集团 股份有限公司未来三年</w:t>
      </w:r>
      <w:r>
        <w:rPr>
          <w:color w:val="000000"/>
          <w:spacing w:val="0"/>
          <w:w w:val="100"/>
          <w:position w:val="0"/>
        </w:rPr>
        <w:t>（</w:t>
      </w:r>
      <w:r>
        <w:rPr>
          <w:rFonts w:ascii="Times New Roman" w:eastAsia="Times New Roman" w:hAnsi="Times New Roman" w:cs="Times New Roman"/>
          <w:color w:val="000000"/>
          <w:spacing w:val="0"/>
          <w:w w:val="100"/>
          <w:position w:val="0"/>
        </w:rPr>
        <w:t>2015</w:t>
      </w:r>
      <w:r>
        <w:rPr>
          <w:color w:val="000000"/>
          <w:spacing w:val="0"/>
          <w:w w:val="100"/>
          <w:position w:val="0"/>
        </w:rPr>
        <w:t>—</w:t>
      </w:r>
      <w:r>
        <w:rPr>
          <w:rFonts w:ascii="Times New Roman" w:eastAsia="Times New Roman" w:hAnsi="Times New Roman" w:cs="Times New Roman"/>
          <w:color w:val="000000"/>
          <w:spacing w:val="0"/>
          <w:w w:val="100"/>
          <w:position w:val="0"/>
        </w:rPr>
        <w:t>2017</w:t>
      </w:r>
      <w:r>
        <w:rPr>
          <w:color w:val="000000"/>
          <w:spacing w:val="0"/>
          <w:w w:val="100"/>
          <w:position w:val="0"/>
        </w:rPr>
        <w:t>年）股东回报规划》及公司《章程》等相关规定的要求执行分 红政策。</w:t>
      </w:r>
      <w:r>
        <w:rPr>
          <w:rFonts w:ascii="Times New Roman" w:eastAsia="Times New Roman" w:hAnsi="Times New Roman" w:cs="Times New Roman"/>
          <w:color w:val="000000"/>
          <w:spacing w:val="0"/>
          <w:w w:val="100"/>
          <w:position w:val="0"/>
        </w:rPr>
        <w:t>2015</w:t>
      </w:r>
      <w:r>
        <w:rPr>
          <w:color w:val="000000"/>
          <w:spacing w:val="0"/>
          <w:w w:val="100"/>
          <w:position w:val="0"/>
        </w:rPr>
        <w:t>年度利润分配预案是根据公司利润分配政策，并结合公司实际情况提出的，符合制度 规定，保障了公司分红政策的持续性和稳定性，也有利于维护广大投资者特别是中小投资者的长远 利益。</w:t>
      </w:r>
    </w:p>
    <w:p>
      <w:pPr>
        <w:pStyle w:val="Style32"/>
        <w:keepNext w:val="0"/>
        <w:keepLines w:val="0"/>
        <w:widowControl w:val="0"/>
        <w:shd w:val="clear" w:color="auto" w:fill="auto"/>
        <w:tabs>
          <w:tab w:pos="517" w:val="left"/>
        </w:tabs>
        <w:bidi w:val="0"/>
        <w:spacing w:before="0" w:after="200" w:line="469" w:lineRule="exact"/>
        <w:ind w:left="0" w:right="0" w:firstLine="0"/>
        <w:jc w:val="left"/>
        <w:rPr>
          <w:sz w:val="24"/>
          <w:szCs w:val="24"/>
        </w:rPr>
      </w:pPr>
      <w:bookmarkStart w:id="553" w:name="bookmark553"/>
      <w:r>
        <w:rPr>
          <w:b/>
          <w:bCs/>
          <w:color w:val="000000"/>
          <w:spacing w:val="0"/>
          <w:w w:val="100"/>
          <w:position w:val="0"/>
          <w:sz w:val="24"/>
          <w:szCs w:val="24"/>
        </w:rPr>
        <w:t>八</w:t>
      </w:r>
      <w:bookmarkEnd w:id="553"/>
      <w:r>
        <w:rPr>
          <w:b/>
          <w:bCs/>
          <w:color w:val="000000"/>
          <w:spacing w:val="0"/>
          <w:w w:val="100"/>
          <w:position w:val="0"/>
          <w:sz w:val="24"/>
          <w:szCs w:val="24"/>
        </w:rPr>
        <w:t>、</w:t>
        <w:tab/>
        <w:t>高级管理人员的考评及激励情况</w:t>
      </w:r>
    </w:p>
    <w:p>
      <w:pPr>
        <w:pStyle w:val="Style32"/>
        <w:keepNext w:val="0"/>
        <w:keepLines w:val="0"/>
        <w:widowControl w:val="0"/>
        <w:shd w:val="clear" w:color="auto" w:fill="auto"/>
        <w:bidi w:val="0"/>
        <w:spacing w:before="0" w:after="200" w:line="466" w:lineRule="exact"/>
        <w:ind w:left="0" w:right="0" w:firstLine="460"/>
        <w:jc w:val="both"/>
      </w:pPr>
      <w:r>
        <w:rPr>
          <w:color w:val="000000"/>
          <w:spacing w:val="0"/>
          <w:w w:val="100"/>
          <w:position w:val="0"/>
        </w:rPr>
        <w:t>公司已建立了较为健全的考评和激励机制，以公司规范化管理以及经营效益稳步提升为基础， 与公司管理人员签订岗位目标责任书，并以量化的考核指标定期对高级管理人员进行业绩考核。经 考评，</w:t>
      </w:r>
      <w:r>
        <w:rPr>
          <w:rFonts w:ascii="Times New Roman" w:eastAsia="Times New Roman" w:hAnsi="Times New Roman" w:cs="Times New Roman"/>
          <w:color w:val="000000"/>
          <w:spacing w:val="0"/>
          <w:w w:val="100"/>
          <w:position w:val="0"/>
        </w:rPr>
        <w:t>2016</w:t>
      </w:r>
      <w:r>
        <w:rPr>
          <w:color w:val="000000"/>
          <w:spacing w:val="0"/>
          <w:w w:val="100"/>
          <w:position w:val="0"/>
        </w:rPr>
        <w:t>年度公司高级管理人员均较好完成业绩考核目标。</w:t>
      </w:r>
    </w:p>
    <w:p>
      <w:pPr>
        <w:pStyle w:val="Style32"/>
        <w:keepNext w:val="0"/>
        <w:keepLines w:val="0"/>
        <w:widowControl w:val="0"/>
        <w:shd w:val="clear" w:color="auto" w:fill="auto"/>
        <w:tabs>
          <w:tab w:pos="517" w:val="left"/>
        </w:tabs>
        <w:bidi w:val="0"/>
        <w:spacing w:before="0" w:after="320" w:line="469" w:lineRule="exact"/>
        <w:ind w:left="0" w:right="0" w:firstLine="0"/>
        <w:jc w:val="left"/>
        <w:rPr>
          <w:sz w:val="24"/>
          <w:szCs w:val="24"/>
        </w:rPr>
      </w:pPr>
      <w:bookmarkStart w:id="554" w:name="bookmark554"/>
      <w:r>
        <w:rPr>
          <w:b/>
          <w:bCs/>
          <w:color w:val="000000"/>
          <w:spacing w:val="0"/>
          <w:w w:val="100"/>
          <w:position w:val="0"/>
          <w:sz w:val="24"/>
          <w:szCs w:val="24"/>
        </w:rPr>
        <w:t>九</w:t>
      </w:r>
      <w:bookmarkEnd w:id="554"/>
      <w:r>
        <w:rPr>
          <w:b/>
          <w:bCs/>
          <w:color w:val="000000"/>
          <w:spacing w:val="0"/>
          <w:w w:val="100"/>
          <w:position w:val="0"/>
          <w:sz w:val="24"/>
          <w:szCs w:val="24"/>
        </w:rPr>
        <w:t>、</w:t>
        <w:tab/>
        <w:t>内部控制评价报告</w:t>
      </w:r>
    </w:p>
    <w:p>
      <w:pPr>
        <w:pStyle w:val="Style38"/>
        <w:keepNext/>
        <w:keepLines/>
        <w:widowControl w:val="0"/>
        <w:shd w:val="clear" w:color="auto" w:fill="auto"/>
        <w:bidi w:val="0"/>
        <w:spacing w:before="0" w:after="200" w:line="446" w:lineRule="auto"/>
        <w:ind w:left="0" w:right="0" w:firstLine="0"/>
        <w:jc w:val="left"/>
      </w:pPr>
      <w:bookmarkStart w:id="555" w:name="bookmark555"/>
      <w:bookmarkStart w:id="556" w:name="bookmark556"/>
      <w:bookmarkStart w:id="557" w:name="bookmark557"/>
      <w:r>
        <w:rPr>
          <w:rFonts w:ascii="Times New Roman" w:eastAsia="Times New Roman" w:hAnsi="Times New Roman" w:cs="Times New Roman"/>
          <w:color w:val="000000"/>
          <w:spacing w:val="0"/>
          <w:w w:val="100"/>
          <w:position w:val="0"/>
        </w:rPr>
        <w:t>1</w:t>
      </w:r>
      <w:r>
        <w:rPr>
          <w:color w:val="000000"/>
          <w:spacing w:val="0"/>
          <w:w w:val="100"/>
          <w:position w:val="0"/>
        </w:rPr>
        <w:t>、报告期内发现的内部控制重大缺陷的具体情况</w:t>
      </w:r>
      <w:bookmarkEnd w:id="555"/>
      <w:bookmarkEnd w:id="556"/>
      <w:bookmarkEnd w:id="557"/>
    </w:p>
    <w:p>
      <w:pPr>
        <w:pStyle w:val="Style32"/>
        <w:keepNext w:val="0"/>
        <w:keepLines w:val="0"/>
        <w:widowControl w:val="0"/>
        <w:shd w:val="clear" w:color="auto" w:fill="auto"/>
        <w:bidi w:val="0"/>
        <w:spacing w:before="0" w:after="0"/>
        <w:ind w:left="0" w:right="0" w:firstLine="46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color w:val="000000"/>
          <w:spacing w:val="0"/>
          <w:w w:val="100"/>
          <w:position w:val="0"/>
        </w:rPr>
        <w:t>寸</w:t>
      </w:r>
      <w:r>
        <w:rPr>
          <w:color w:val="000000"/>
          <w:spacing w:val="0"/>
          <w:w w:val="100"/>
          <w:position w:val="0"/>
        </w:rPr>
        <w:t>否</w:t>
      </w:r>
    </w:p>
    <w:p>
      <w:pPr>
        <w:pStyle w:val="Style32"/>
        <w:keepNext w:val="0"/>
        <w:keepLines w:val="0"/>
        <w:widowControl w:val="0"/>
        <w:shd w:val="clear" w:color="auto" w:fill="auto"/>
        <w:bidi w:val="0"/>
        <w:spacing w:before="0" w:after="200" w:line="469" w:lineRule="exact"/>
        <w:ind w:left="0" w:right="0" w:firstLine="460"/>
        <w:jc w:val="left"/>
      </w:pPr>
      <w:r>
        <w:rPr>
          <w:color w:val="000000"/>
          <w:spacing w:val="0"/>
          <w:w w:val="100"/>
          <w:position w:val="0"/>
        </w:rPr>
        <w:t>报告期内未发现内部控制重大缺陷。</w:t>
      </w:r>
      <w:r>
        <w:br w:type="page"/>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2</w:t>
      </w:r>
      <w:r>
        <w:rPr>
          <w:b/>
          <w:bCs/>
          <w:color w:val="000000"/>
          <w:spacing w:val="0"/>
          <w:w w:val="100"/>
          <w:position w:val="0"/>
        </w:rPr>
        <w:t>、内控自我评价报告</w:t>
      </w:r>
    </w:p>
    <w:tbl>
      <w:tblPr>
        <w:tblOverlap w:val="never"/>
        <w:jc w:val="center"/>
        <w:tblLayout w:type="fixed"/>
      </w:tblPr>
      <w:tblGrid>
        <w:gridCol w:w="3202"/>
        <w:gridCol w:w="3322"/>
        <w:gridCol w:w="3058"/>
      </w:tblGrid>
      <w:tr>
        <w:trPr>
          <w:trHeight w:val="298"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gridSpan w:val="2"/>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r>
        <w:trPr>
          <w:trHeight w:val="298"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gridSpan w:val="2"/>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巨潮资讯网</w:t>
            </w:r>
          </w:p>
        </w:tc>
      </w:tr>
      <w:tr>
        <w:trPr>
          <w:trHeight w:val="581" w:hRule="exact"/>
        </w:trPr>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93" w:lineRule="exact"/>
              <w:ind w:left="0" w:right="0" w:firstLine="0"/>
              <w:jc w:val="left"/>
            </w:pPr>
            <w:r>
              <w:rPr>
                <w:color w:val="000000"/>
                <w:spacing w:val="0"/>
                <w:w w:val="100"/>
                <w:position w:val="0"/>
              </w:rPr>
              <w:t>纳入评价范围单位资产总额占公 司合并财务报表资产总额的比例</w:t>
            </w:r>
          </w:p>
        </w:tc>
        <w:tc>
          <w:tcPr>
            <w:gridSpan w:val="2"/>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w:t>
            </w:r>
          </w:p>
        </w:tc>
      </w:tr>
      <w:tr>
        <w:trPr>
          <w:trHeight w:val="581" w:hRule="exact"/>
        </w:trPr>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83" w:lineRule="exact"/>
              <w:ind w:left="0" w:right="0" w:firstLine="0"/>
              <w:jc w:val="left"/>
            </w:pPr>
            <w:r>
              <w:rPr>
                <w:color w:val="000000"/>
                <w:spacing w:val="0"/>
                <w:w w:val="100"/>
                <w:position w:val="0"/>
              </w:rPr>
              <w:t>纳入评价范围单位营业收入占公 司合并财务报表营业收入的比例</w:t>
            </w:r>
          </w:p>
        </w:tc>
        <w:tc>
          <w:tcPr>
            <w:gridSpan w:val="2"/>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w:t>
            </w:r>
          </w:p>
        </w:tc>
      </w:tr>
      <w:tr>
        <w:trPr>
          <w:trHeight w:val="293" w:hRule="exact"/>
        </w:trPr>
        <w:tc>
          <w:tcPr>
            <w:gridSpan w:val="3"/>
            <w:tcBorders>
              <w:top w:val="single" w:sz="4"/>
              <w:left w:val="single" w:sz="4"/>
              <w:righ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298"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7714" w:hRule="exact"/>
        </w:trPr>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定性标准</w:t>
            </w:r>
          </w:p>
        </w:tc>
        <w:tc>
          <w:tcPr>
            <w:tcBorders>
              <w:top w:val="single" w:sz="4"/>
              <w:left w:val="single" w:sz="4"/>
            </w:tcBorders>
            <w:shd w:val="clear" w:color="auto" w:fill="FFFFFF"/>
            <w:vAlign w:val="top"/>
          </w:tcPr>
          <w:p>
            <w:pPr>
              <w:pStyle w:val="Style28"/>
              <w:keepNext w:val="0"/>
              <w:keepLines w:val="0"/>
              <w:widowControl w:val="0"/>
              <w:shd w:val="clear" w:color="auto" w:fill="auto"/>
              <w:tabs>
                <w:tab w:pos="552" w:val="left"/>
              </w:tabs>
              <w:bidi w:val="0"/>
              <w:spacing w:before="0" w:after="0" w:line="287"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w:t>
              <w:tab/>
              <w:t>财务报告重大缺陷的迹象包 括：</w:t>
            </w:r>
          </w:p>
          <w:p>
            <w:pPr>
              <w:pStyle w:val="Style28"/>
              <w:keepNext w:val="0"/>
              <w:keepLines w:val="0"/>
              <w:widowControl w:val="0"/>
              <w:numPr>
                <w:ilvl w:val="0"/>
                <w:numId w:val="17"/>
              </w:numPr>
              <w:shd w:val="clear" w:color="auto" w:fill="auto"/>
              <w:tabs>
                <w:tab w:pos="130" w:val="left"/>
              </w:tabs>
              <w:bidi w:val="0"/>
              <w:spacing w:before="0" w:after="0" w:line="287" w:lineRule="exact"/>
              <w:ind w:left="0" w:right="0" w:firstLine="0"/>
              <w:jc w:val="both"/>
            </w:pPr>
            <w:r>
              <w:rPr>
                <w:color w:val="000000"/>
                <w:spacing w:val="0"/>
                <w:w w:val="100"/>
                <w:position w:val="0"/>
              </w:rPr>
              <w:t>公司董事、监事或高管人员的舞 弊行为；</w:t>
            </w:r>
          </w:p>
          <w:p>
            <w:pPr>
              <w:pStyle w:val="Style28"/>
              <w:keepNext w:val="0"/>
              <w:keepLines w:val="0"/>
              <w:widowControl w:val="0"/>
              <w:numPr>
                <w:ilvl w:val="0"/>
                <w:numId w:val="17"/>
              </w:numPr>
              <w:shd w:val="clear" w:color="auto" w:fill="auto"/>
              <w:tabs>
                <w:tab w:pos="187" w:val="left"/>
              </w:tabs>
              <w:bidi w:val="0"/>
              <w:spacing w:before="0" w:after="0" w:line="287" w:lineRule="exact"/>
              <w:ind w:left="0" w:right="0" w:firstLine="0"/>
              <w:jc w:val="both"/>
            </w:pPr>
            <w:r>
              <w:rPr>
                <w:color w:val="000000"/>
                <w:spacing w:val="0"/>
                <w:w w:val="100"/>
                <w:position w:val="0"/>
              </w:rPr>
              <w:t>发现当期财务报表的重大错报， 而管理层未能在内控运行过程中 发现；</w:t>
            </w:r>
          </w:p>
          <w:p>
            <w:pPr>
              <w:pStyle w:val="Style28"/>
              <w:keepNext w:val="0"/>
              <w:keepLines w:val="0"/>
              <w:widowControl w:val="0"/>
              <w:numPr>
                <w:ilvl w:val="0"/>
                <w:numId w:val="17"/>
              </w:numPr>
              <w:shd w:val="clear" w:color="auto" w:fill="auto"/>
              <w:tabs>
                <w:tab w:pos="269" w:val="left"/>
              </w:tabs>
              <w:bidi w:val="0"/>
              <w:spacing w:before="0" w:after="0" w:line="287" w:lineRule="exact"/>
              <w:ind w:left="0" w:right="0" w:firstLine="0"/>
              <w:jc w:val="both"/>
            </w:pPr>
            <w:r>
              <w:rPr>
                <w:color w:val="000000"/>
                <w:spacing w:val="0"/>
                <w:w w:val="100"/>
                <w:position w:val="0"/>
              </w:rPr>
              <w:t>内部控制评价的结果</w:t>
            </w:r>
            <w:r>
              <w:rPr>
                <w:color w:val="000000"/>
                <w:spacing w:val="0"/>
                <w:w w:val="100"/>
                <w:position w:val="0"/>
              </w:rPr>
              <w:t>，</w:t>
            </w:r>
            <w:r>
              <w:rPr>
                <w:color w:val="000000"/>
                <w:spacing w:val="0"/>
                <w:w w:val="100"/>
                <w:position w:val="0"/>
              </w:rPr>
              <w:t>重大缺陷 未得到整改；</w:t>
            </w:r>
          </w:p>
          <w:p>
            <w:pPr>
              <w:pStyle w:val="Style28"/>
              <w:keepNext w:val="0"/>
              <w:keepLines w:val="0"/>
              <w:widowControl w:val="0"/>
              <w:shd w:val="clear" w:color="auto" w:fill="auto"/>
              <w:bidi w:val="0"/>
              <w:spacing w:before="0" w:after="0" w:line="287" w:lineRule="exact"/>
              <w:ind w:left="0" w:right="0" w:firstLine="0"/>
              <w:jc w:val="both"/>
            </w:pPr>
            <w:r>
              <w:rPr>
                <w:rFonts w:ascii="Times New Roman" w:eastAsia="Times New Roman" w:hAnsi="Times New Roman" w:cs="Times New Roman"/>
                <w:color w:val="000000"/>
                <w:spacing w:val="0"/>
                <w:w w:val="100"/>
                <w:position w:val="0"/>
              </w:rPr>
              <w:t>iv.</w:t>
            </w:r>
            <w:r>
              <w:rPr>
                <w:color w:val="000000"/>
                <w:spacing w:val="0"/>
                <w:w w:val="100"/>
                <w:position w:val="0"/>
              </w:rPr>
              <w:t>审计委员会和内部审计机构对 内部控制的监督无效。</w:t>
            </w:r>
          </w:p>
          <w:p>
            <w:pPr>
              <w:pStyle w:val="Style28"/>
              <w:keepNext w:val="0"/>
              <w:keepLines w:val="0"/>
              <w:widowControl w:val="0"/>
              <w:shd w:val="clear" w:color="auto" w:fill="auto"/>
              <w:tabs>
                <w:tab w:pos="552" w:val="left"/>
              </w:tabs>
              <w:bidi w:val="0"/>
              <w:spacing w:before="0" w:after="0" w:line="287"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w:t>
              <w:tab/>
              <w:t>财务报告重要缺陷的迹象包 括：</w:t>
            </w:r>
          </w:p>
          <w:p>
            <w:pPr>
              <w:pStyle w:val="Style28"/>
              <w:keepNext w:val="0"/>
              <w:keepLines w:val="0"/>
              <w:widowControl w:val="0"/>
              <w:numPr>
                <w:ilvl w:val="0"/>
                <w:numId w:val="19"/>
              </w:numPr>
              <w:shd w:val="clear" w:color="auto" w:fill="auto"/>
              <w:tabs>
                <w:tab w:pos="125" w:val="left"/>
              </w:tabs>
              <w:bidi w:val="0"/>
              <w:spacing w:before="0" w:after="0" w:line="287" w:lineRule="exact"/>
              <w:ind w:left="0" w:right="0" w:firstLine="0"/>
              <w:jc w:val="both"/>
            </w:pPr>
            <w:r>
              <w:rPr>
                <w:color w:val="000000"/>
                <w:spacing w:val="0"/>
                <w:w w:val="100"/>
                <w:position w:val="0"/>
              </w:rPr>
              <w:t>未依照公认会计准则选择和应用 会计政策；</w:t>
            </w:r>
          </w:p>
          <w:p>
            <w:pPr>
              <w:pStyle w:val="Style28"/>
              <w:keepNext w:val="0"/>
              <w:keepLines w:val="0"/>
              <w:widowControl w:val="0"/>
              <w:numPr>
                <w:ilvl w:val="0"/>
                <w:numId w:val="19"/>
              </w:numPr>
              <w:shd w:val="clear" w:color="auto" w:fill="auto"/>
              <w:tabs>
                <w:tab w:pos="187" w:val="left"/>
              </w:tabs>
              <w:bidi w:val="0"/>
              <w:spacing w:before="0" w:after="0" w:line="276" w:lineRule="auto"/>
              <w:ind w:left="0" w:right="0" w:firstLine="0"/>
              <w:jc w:val="both"/>
            </w:pPr>
            <w:r>
              <w:rPr>
                <w:color w:val="000000"/>
                <w:spacing w:val="0"/>
                <w:w w:val="100"/>
                <w:position w:val="0"/>
              </w:rPr>
              <w:t>未建立反舞弊程序和控制措施；</w:t>
            </w:r>
          </w:p>
          <w:p>
            <w:pPr>
              <w:pStyle w:val="Style28"/>
              <w:keepNext w:val="0"/>
              <w:keepLines w:val="0"/>
              <w:widowControl w:val="0"/>
              <w:numPr>
                <w:ilvl w:val="0"/>
                <w:numId w:val="19"/>
              </w:numPr>
              <w:shd w:val="clear" w:color="auto" w:fill="auto"/>
              <w:tabs>
                <w:tab w:pos="245" w:val="left"/>
              </w:tabs>
              <w:bidi w:val="0"/>
              <w:spacing w:before="0" w:after="0" w:line="287" w:lineRule="exact"/>
              <w:ind w:left="0" w:right="0" w:firstLine="0"/>
              <w:jc w:val="both"/>
            </w:pPr>
            <w:r>
              <w:rPr>
                <w:color w:val="000000"/>
                <w:spacing w:val="0"/>
                <w:w w:val="100"/>
                <w:position w:val="0"/>
              </w:rPr>
              <w:t>对于非常规或特殊交易的账务 处理没有建立相应的控制机制或 没有实施且没有相应的补偿性控 制；</w:t>
            </w:r>
          </w:p>
          <w:p>
            <w:pPr>
              <w:pStyle w:val="Style28"/>
              <w:keepNext w:val="0"/>
              <w:keepLines w:val="0"/>
              <w:widowControl w:val="0"/>
              <w:numPr>
                <w:ilvl w:val="0"/>
                <w:numId w:val="19"/>
              </w:numPr>
              <w:shd w:val="clear" w:color="auto" w:fill="auto"/>
              <w:tabs>
                <w:tab w:pos="230" w:val="left"/>
              </w:tabs>
              <w:bidi w:val="0"/>
              <w:spacing w:before="0" w:after="0" w:line="287" w:lineRule="exact"/>
              <w:ind w:left="0" w:right="0" w:firstLine="0"/>
              <w:jc w:val="both"/>
            </w:pPr>
            <w:r>
              <w:rPr>
                <w:color w:val="000000"/>
                <w:spacing w:val="0"/>
                <w:w w:val="100"/>
                <w:position w:val="0"/>
              </w:rPr>
              <w:t>对于期末财务报告过程的控制 存在一项或多项缺陷且不能合理 保证编制的财务报表达到真实、 准确的目标。</w:t>
            </w:r>
          </w:p>
          <w:p>
            <w:pPr>
              <w:pStyle w:val="Style28"/>
              <w:keepNext w:val="0"/>
              <w:keepLines w:val="0"/>
              <w:widowControl w:val="0"/>
              <w:shd w:val="clear" w:color="auto" w:fill="auto"/>
              <w:tabs>
                <w:tab w:pos="542" w:val="left"/>
              </w:tabs>
              <w:bidi w:val="0"/>
              <w:spacing w:before="0" w:after="0" w:line="287"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w:t>
              <w:tab/>
              <w:t>一般缺陷是指除上述重大缺 陷、重要缺陷之外的其他控制缺 陷。</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78" w:lineRule="exact"/>
              <w:ind w:left="0" w:right="0" w:firstLine="0"/>
              <w:jc w:val="both"/>
            </w:pPr>
            <w:r>
              <w:rPr>
                <w:color w:val="000000"/>
                <w:spacing w:val="0"/>
                <w:w w:val="100"/>
                <w:position w:val="0"/>
              </w:rPr>
              <w:t>出现以下情形的，可认定为重 大缺陷，其他情形按影响程度 分别确定为重要缺陷或一般缺 陷：</w:t>
            </w:r>
          </w:p>
          <w:p>
            <w:pPr>
              <w:pStyle w:val="Style28"/>
              <w:keepNext w:val="0"/>
              <w:keepLines w:val="0"/>
              <w:widowControl w:val="0"/>
              <w:shd w:val="clear" w:color="auto" w:fill="auto"/>
              <w:tabs>
                <w:tab w:pos="547" w:val="left"/>
              </w:tabs>
              <w:bidi w:val="0"/>
              <w:spacing w:before="0" w:after="0" w:line="29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w:t>
              <w:tab/>
              <w:t>缺乏民主决策程序、决策 程序不科学，出现重大失误， 给公司造成重大财产损失；</w:t>
            </w:r>
          </w:p>
          <w:p>
            <w:pPr>
              <w:pStyle w:val="Style28"/>
              <w:keepNext w:val="0"/>
              <w:keepLines w:val="0"/>
              <w:widowControl w:val="0"/>
              <w:shd w:val="clear" w:color="auto" w:fill="auto"/>
              <w:tabs>
                <w:tab w:pos="437" w:val="left"/>
              </w:tabs>
              <w:bidi w:val="0"/>
              <w:spacing w:before="0" w:after="0" w:line="29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w:t>
              <w:tab/>
              <w:t>严重违反国家法律法规；</w:t>
            </w:r>
          </w:p>
          <w:p>
            <w:pPr>
              <w:pStyle w:val="Style28"/>
              <w:keepNext w:val="0"/>
              <w:keepLines w:val="0"/>
              <w:widowControl w:val="0"/>
              <w:shd w:val="clear" w:color="auto" w:fill="auto"/>
              <w:tabs>
                <w:tab w:pos="547" w:val="left"/>
              </w:tabs>
              <w:bidi w:val="0"/>
              <w:spacing w:before="0" w:after="0" w:line="29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w:t>
              <w:tab/>
              <w:t>缺乏重要的业务管理制度 或制度运行系统性失效；</w:t>
            </w:r>
          </w:p>
          <w:p>
            <w:pPr>
              <w:pStyle w:val="Style28"/>
              <w:keepNext w:val="0"/>
              <w:keepLines w:val="0"/>
              <w:widowControl w:val="0"/>
              <w:shd w:val="clear" w:color="auto" w:fill="auto"/>
              <w:tabs>
                <w:tab w:pos="542" w:val="left"/>
              </w:tabs>
              <w:bidi w:val="0"/>
              <w:spacing w:before="0" w:after="0" w:line="29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w:t>
              <w:tab/>
              <w:t>公司的重大或重要内控缺 陷不能得到及时整改；</w:t>
            </w:r>
          </w:p>
          <w:p>
            <w:pPr>
              <w:pStyle w:val="Style28"/>
              <w:keepNext w:val="0"/>
              <w:keepLines w:val="0"/>
              <w:widowControl w:val="0"/>
              <w:shd w:val="clear" w:color="auto" w:fill="auto"/>
              <w:tabs>
                <w:tab w:pos="533" w:val="left"/>
              </w:tabs>
              <w:bidi w:val="0"/>
              <w:spacing w:before="0" w:after="0" w:line="29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5</w:t>
            </w:r>
            <w:r>
              <w:rPr>
                <w:color w:val="000000"/>
                <w:spacing w:val="0"/>
                <w:w w:val="100"/>
                <w:position w:val="0"/>
              </w:rPr>
              <w:t>）</w:t>
              <w:tab/>
              <w:t>公司持续或大量出现重要 内控缺陷。</w:t>
            </w:r>
          </w:p>
        </w:tc>
      </w:tr>
      <w:tr>
        <w:trPr>
          <w:trHeight w:val="1718" w:hRule="exact"/>
        </w:trPr>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定量标准</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8" w:lineRule="exact"/>
              <w:ind w:left="0" w:right="0" w:firstLine="0"/>
              <w:jc w:val="both"/>
            </w:pPr>
            <w:r>
              <w:rPr>
                <w:color w:val="000000"/>
                <w:spacing w:val="0"/>
                <w:w w:val="100"/>
                <w:position w:val="0"/>
              </w:rPr>
              <w:t>重大缺陷：财务报表的错报金额</w:t>
            </w:r>
            <w:r>
              <w:rPr>
                <w:color w:val="000000"/>
                <w:spacing w:val="0"/>
                <w:w w:val="100"/>
                <w:position w:val="0"/>
              </w:rPr>
              <w:t>土</w:t>
            </w:r>
            <w:r>
              <w:rPr>
                <w:rFonts w:ascii="Times New Roman" w:eastAsia="Times New Roman" w:hAnsi="Times New Roman" w:cs="Times New Roman"/>
                <w:color w:val="000000"/>
                <w:spacing w:val="0"/>
                <w:w w:val="100"/>
                <w:position w:val="0"/>
              </w:rPr>
              <w:t xml:space="preserve"> </w:t>
            </w:r>
            <w:r>
              <w:rPr>
                <w:color w:val="000000"/>
                <w:spacing w:val="0"/>
                <w:w w:val="100"/>
                <w:position w:val="0"/>
              </w:rPr>
              <w:t>利润总额的</w:t>
            </w:r>
            <w:r>
              <w:rPr>
                <w:rFonts w:ascii="Times New Roman" w:eastAsia="Times New Roman" w:hAnsi="Times New Roman" w:cs="Times New Roman"/>
                <w:color w:val="000000"/>
                <w:spacing w:val="0"/>
                <w:w w:val="100"/>
                <w:position w:val="0"/>
              </w:rPr>
              <w:t>5%</w:t>
            </w:r>
            <w:r>
              <w:rPr>
                <w:color w:val="000000"/>
                <w:spacing w:val="0"/>
                <w:w w:val="100"/>
                <w:position w:val="0"/>
              </w:rPr>
              <w:t>；</w:t>
            </w:r>
          </w:p>
          <w:p>
            <w:pPr>
              <w:pStyle w:val="Style28"/>
              <w:keepNext w:val="0"/>
              <w:keepLines w:val="0"/>
              <w:widowControl w:val="0"/>
              <w:shd w:val="clear" w:color="auto" w:fill="auto"/>
              <w:bidi w:val="0"/>
              <w:spacing w:before="0" w:after="0" w:line="278" w:lineRule="exact"/>
              <w:ind w:left="0" w:right="0" w:firstLine="0"/>
              <w:jc w:val="both"/>
            </w:pPr>
            <w:r>
              <w:rPr>
                <w:color w:val="000000"/>
                <w:spacing w:val="0"/>
                <w:w w:val="100"/>
                <w:position w:val="0"/>
              </w:rPr>
              <w:t>重要缺陷：利润总额的</w:t>
            </w:r>
            <w:r>
              <w:rPr>
                <w:rFonts w:ascii="Times New Roman" w:eastAsia="Times New Roman" w:hAnsi="Times New Roman" w:cs="Times New Roman"/>
                <w:color w:val="000000"/>
                <w:spacing w:val="0"/>
                <w:w w:val="100"/>
                <w:position w:val="0"/>
              </w:rPr>
              <w:t>3%*</w:t>
            </w:r>
            <w:r>
              <w:rPr>
                <w:color w:val="000000"/>
                <w:spacing w:val="0"/>
                <w:w w:val="100"/>
                <w:position w:val="0"/>
              </w:rPr>
              <w:t>昔报</w:t>
            </w:r>
            <w:r>
              <w:rPr>
                <w:rFonts w:ascii="Times New Roman" w:eastAsia="Times New Roman" w:hAnsi="Times New Roman" w:cs="Times New Roman"/>
                <w:color w:val="000000"/>
                <w:spacing w:val="0"/>
                <w:w w:val="100"/>
                <w:position w:val="0"/>
              </w:rPr>
              <w:t xml:space="preserve">＜ </w:t>
            </w:r>
            <w:r>
              <w:rPr>
                <w:color w:val="000000"/>
                <w:spacing w:val="0"/>
                <w:w w:val="100"/>
                <w:position w:val="0"/>
              </w:rPr>
              <w:t>利润总额的</w:t>
            </w:r>
            <w:r>
              <w:rPr>
                <w:rFonts w:ascii="Times New Roman" w:eastAsia="Times New Roman" w:hAnsi="Times New Roman" w:cs="Times New Roman"/>
                <w:color w:val="000000"/>
                <w:spacing w:val="0"/>
                <w:w w:val="100"/>
                <w:position w:val="0"/>
              </w:rPr>
              <w:t>5%</w:t>
            </w:r>
            <w:r>
              <w:rPr>
                <w:color w:val="000000"/>
                <w:spacing w:val="0"/>
                <w:w w:val="100"/>
                <w:position w:val="0"/>
              </w:rPr>
              <w:t>； 一般缺陷：错报</w:t>
            </w:r>
            <w:r>
              <w:rPr>
                <w:rFonts w:ascii="Times New Roman" w:eastAsia="Times New Roman" w:hAnsi="Times New Roman" w:cs="Times New Roman"/>
                <w:color w:val="000000"/>
                <w:spacing w:val="0"/>
                <w:w w:val="100"/>
                <w:position w:val="0"/>
              </w:rPr>
              <w:t>＜</w:t>
            </w:r>
            <w:r>
              <w:rPr>
                <w:color w:val="000000"/>
                <w:spacing w:val="0"/>
                <w:w w:val="100"/>
                <w:position w:val="0"/>
              </w:rPr>
              <w:t>利润总额的</w:t>
            </w:r>
          </w:p>
          <w:p>
            <w:pPr>
              <w:pStyle w:val="Style28"/>
              <w:keepNext w:val="0"/>
              <w:keepLines w:val="0"/>
              <w:widowControl w:val="0"/>
              <w:shd w:val="clear" w:color="auto" w:fill="auto"/>
              <w:bidi w:val="0"/>
              <w:spacing w:before="0" w:after="0" w:line="264" w:lineRule="auto"/>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83" w:lineRule="exact"/>
              <w:ind w:left="0" w:right="0" w:firstLine="0"/>
              <w:jc w:val="both"/>
            </w:pPr>
            <w:r>
              <w:rPr>
                <w:color w:val="000000"/>
                <w:spacing w:val="0"/>
                <w:w w:val="100"/>
                <w:position w:val="0"/>
              </w:rPr>
              <w:t>重大缺陷：财务报表的错报金 额</w:t>
            </w:r>
            <w:r>
              <w:rPr>
                <w:color w:val="000000"/>
                <w:spacing w:val="0"/>
                <w:w w:val="100"/>
                <w:position w:val="0"/>
              </w:rPr>
              <w:t>土</w:t>
            </w:r>
            <w:r>
              <w:rPr>
                <w:color w:val="000000"/>
                <w:spacing w:val="0"/>
                <w:w w:val="100"/>
                <w:position w:val="0"/>
              </w:rPr>
              <w:t>利润总额的</w:t>
            </w:r>
            <w:r>
              <w:rPr>
                <w:rFonts w:ascii="Times New Roman" w:eastAsia="Times New Roman" w:hAnsi="Times New Roman" w:cs="Times New Roman"/>
                <w:color w:val="000000"/>
                <w:spacing w:val="0"/>
                <w:w w:val="100"/>
                <w:position w:val="0"/>
              </w:rPr>
              <w:t>5%</w:t>
            </w:r>
            <w:r>
              <w:rPr>
                <w:color w:val="000000"/>
                <w:spacing w:val="0"/>
                <w:w w:val="100"/>
                <w:position w:val="0"/>
              </w:rPr>
              <w:t>；</w:t>
            </w:r>
          </w:p>
          <w:p>
            <w:pPr>
              <w:pStyle w:val="Style28"/>
              <w:keepNext w:val="0"/>
              <w:keepLines w:val="0"/>
              <w:widowControl w:val="0"/>
              <w:shd w:val="clear" w:color="auto" w:fill="auto"/>
              <w:bidi w:val="0"/>
              <w:spacing w:before="0" w:after="0" w:line="283" w:lineRule="exact"/>
              <w:ind w:left="0" w:right="0" w:firstLine="0"/>
              <w:jc w:val="both"/>
            </w:pPr>
            <w:r>
              <w:rPr>
                <w:color w:val="000000"/>
                <w:spacing w:val="0"/>
                <w:w w:val="100"/>
                <w:position w:val="0"/>
              </w:rPr>
              <w:t>重要缺陷：利润总额的</w:t>
            </w:r>
            <w:r>
              <w:rPr>
                <w:rFonts w:ascii="Times New Roman" w:eastAsia="Times New Roman" w:hAnsi="Times New Roman" w:cs="Times New Roman"/>
                <w:color w:val="000000"/>
                <w:spacing w:val="0"/>
                <w:w w:val="100"/>
                <w:position w:val="0"/>
              </w:rPr>
              <w:t>3%V</w:t>
            </w:r>
            <w:r>
              <w:rPr>
                <w:color w:val="000000"/>
                <w:spacing w:val="0"/>
                <w:w w:val="100"/>
                <w:position w:val="0"/>
              </w:rPr>
              <w:t>错 报</w:t>
            </w:r>
            <w:r>
              <w:rPr>
                <w:color w:val="000000"/>
                <w:spacing w:val="0"/>
                <w:w w:val="100"/>
                <w:position w:val="0"/>
              </w:rPr>
              <w:t>〈</w:t>
            </w:r>
            <w:r>
              <w:rPr>
                <w:color w:val="000000"/>
                <w:spacing w:val="0"/>
                <w:w w:val="100"/>
                <w:position w:val="0"/>
              </w:rPr>
              <w:t>利润总额的</w:t>
            </w:r>
            <w:r>
              <w:rPr>
                <w:rFonts w:ascii="Times New Roman" w:eastAsia="Times New Roman" w:hAnsi="Times New Roman" w:cs="Times New Roman"/>
                <w:color w:val="000000"/>
                <w:spacing w:val="0"/>
                <w:w w:val="100"/>
                <w:position w:val="0"/>
              </w:rPr>
              <w:t>5%</w:t>
            </w:r>
            <w:r>
              <w:rPr>
                <w:color w:val="000000"/>
                <w:spacing w:val="0"/>
                <w:w w:val="100"/>
                <w:position w:val="0"/>
              </w:rPr>
              <w:t>； 一般缺陷：错报</w:t>
            </w:r>
            <w:r>
              <w:rPr>
                <w:rFonts w:ascii="Times New Roman" w:eastAsia="Times New Roman" w:hAnsi="Times New Roman" w:cs="Times New Roman"/>
                <w:color w:val="000000"/>
                <w:spacing w:val="0"/>
                <w:w w:val="100"/>
                <w:position w:val="0"/>
              </w:rPr>
              <w:t>＜</w:t>
            </w:r>
            <w:r>
              <w:rPr>
                <w:color w:val="000000"/>
                <w:spacing w:val="0"/>
                <w:w w:val="100"/>
                <w:position w:val="0"/>
              </w:rPr>
              <w:t xml:space="preserve">利润总额的 </w:t>
            </w:r>
            <w:r>
              <w:rPr>
                <w:rFonts w:ascii="Times New Roman" w:eastAsia="Times New Roman" w:hAnsi="Times New Roman" w:cs="Times New Roman"/>
                <w:color w:val="000000"/>
                <w:spacing w:val="0"/>
                <w:w w:val="100"/>
                <w:position w:val="0"/>
              </w:rPr>
              <w:t>3%</w:t>
            </w:r>
            <w:r>
              <w:rPr>
                <w:color w:val="000000"/>
                <w:spacing w:val="0"/>
                <w:w w:val="100"/>
                <w:position w:val="0"/>
              </w:rPr>
              <w:t>。</w:t>
            </w:r>
          </w:p>
        </w:tc>
      </w:tr>
      <w:tr>
        <w:trPr>
          <w:trHeight w:val="298"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gridSpan w:val="2"/>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298"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gridSpan w:val="2"/>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29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gridSpan w:val="2"/>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02" w:hRule="exact"/>
        </w:trPr>
        <w:tc>
          <w:tcPr>
            <w:tcBorders>
              <w:top w:val="single" w:sz="4"/>
              <w:left w:val="single" w:sz="4"/>
              <w:bottom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gridSpan w:val="2"/>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bl>
    <w:p>
      <w:pPr>
        <w:spacing w:lineRule="exact" w:line="1"/>
        <w:rPr>
          <w:sz w:val="2"/>
          <w:szCs w:val="2"/>
        </w:rPr>
      </w:pPr>
      <w:r>
        <w:br w:type="page"/>
      </w:r>
    </w:p>
    <w:p>
      <w:pPr>
        <w:pStyle w:val="Style32"/>
        <w:keepNext w:val="0"/>
        <w:keepLines w:val="0"/>
        <w:widowControl w:val="0"/>
        <w:shd w:val="clear" w:color="auto" w:fill="auto"/>
        <w:bidi w:val="0"/>
        <w:spacing w:before="0" w:after="420" w:line="240" w:lineRule="auto"/>
        <w:ind w:left="0" w:right="0" w:firstLine="0"/>
        <w:jc w:val="left"/>
        <w:rPr>
          <w:sz w:val="24"/>
          <w:szCs w:val="24"/>
        </w:rPr>
      </w:pPr>
      <w:r>
        <w:rPr>
          <w:b/>
          <w:bCs/>
          <w:color w:val="000000"/>
          <w:spacing w:val="0"/>
          <w:w w:val="100"/>
          <w:position w:val="0"/>
          <w:sz w:val="24"/>
          <w:szCs w:val="24"/>
        </w:rPr>
        <w:t>十、内部控制审计报告或鉴证报告</w:t>
      </w:r>
    </w:p>
    <w:p>
      <w:pPr>
        <w:pStyle w:val="Style25"/>
        <w:keepNext w:val="0"/>
        <w:keepLines w:val="0"/>
        <w:widowControl w:val="0"/>
        <w:shd w:val="clear" w:color="auto" w:fill="auto"/>
        <w:bidi w:val="0"/>
        <w:spacing w:before="0" w:after="0" w:line="240" w:lineRule="auto"/>
        <w:ind w:left="5" w:right="0" w:firstLine="0"/>
        <w:jc w:val="left"/>
      </w:pPr>
      <w:r>
        <w:rPr>
          <w:color w:val="000000"/>
          <w:spacing w:val="0"/>
          <w:w w:val="100"/>
          <w:position w:val="0"/>
        </w:rPr>
        <w:t>内部控制审计报告</w:t>
      </w:r>
    </w:p>
    <w:tbl>
      <w:tblPr>
        <w:tblOverlap w:val="never"/>
        <w:jc w:val="center"/>
        <w:tblLayout w:type="fixed"/>
      </w:tblPr>
      <w:tblGrid>
        <w:gridCol w:w="4258"/>
        <w:gridCol w:w="5323"/>
      </w:tblGrid>
      <w:tr>
        <w:trPr>
          <w:trHeight w:val="298" w:hRule="exact"/>
        </w:trPr>
        <w:tc>
          <w:tcPr>
            <w:gridSpan w:val="2"/>
            <w:tcBorders>
              <w:top w:val="single" w:sz="4"/>
              <w:left w:val="single" w:sz="4"/>
              <w:righ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内部控制审计报告中的审议意见段</w:t>
            </w:r>
          </w:p>
        </w:tc>
      </w:tr>
      <w:tr>
        <w:trPr>
          <w:trHeight w:val="586" w:hRule="exact"/>
        </w:trPr>
        <w:tc>
          <w:tcPr>
            <w:gridSpan w:val="2"/>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93" w:lineRule="exact"/>
              <w:ind w:left="0" w:right="0" w:firstLine="0"/>
              <w:jc w:val="left"/>
            </w:pPr>
            <w:r>
              <w:rPr>
                <w:color w:val="000000"/>
                <w:spacing w:val="0"/>
                <w:w w:val="100"/>
                <w:position w:val="0"/>
              </w:rPr>
              <w:t>我们认为，苏宁云商集团股份有限公司于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日按照《企业内部控制基本规范》和相 关规定在所有重大方面保持了有效的财务报告内部控制。</w:t>
            </w:r>
          </w:p>
        </w:tc>
      </w:tr>
      <w:tr>
        <w:trPr>
          <w:trHeight w:val="29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内控审计报告披露情况</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w:t>
            </w:r>
          </w:p>
        </w:tc>
      </w:tr>
      <w:tr>
        <w:trPr>
          <w:trHeight w:val="298" w:hRule="exact"/>
        </w:trPr>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内部控制审计报告全文披露日期</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r>
        <w:trPr>
          <w:trHeight w:val="293" w:hRule="exact"/>
        </w:trPr>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内部控制审计报告全文披露索引</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rPr>
              <w:t>2016</w:t>
            </w:r>
            <w:r>
              <w:rPr>
                <w:color w:val="000000"/>
                <w:spacing w:val="0"/>
                <w:w w:val="100"/>
                <w:position w:val="0"/>
              </w:rPr>
              <w:t>年度内部控制审计报告》</w:t>
            </w:r>
          </w:p>
        </w:tc>
      </w:tr>
      <w:tr>
        <w:trPr>
          <w:trHeight w:val="298" w:hRule="exact"/>
        </w:trPr>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内控审计报告意见类型</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标准无保留意见</w:t>
            </w:r>
          </w:p>
        </w:tc>
      </w:tr>
      <w:tr>
        <w:trPr>
          <w:trHeight w:val="298" w:hRule="exact"/>
        </w:trPr>
        <w:tc>
          <w:tcPr>
            <w:tcBorders>
              <w:top w:val="single" w:sz="4"/>
              <w:left w:val="single" w:sz="4"/>
              <w:bottom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非财务报告是否存在重大缺陷</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pStyle w:val="Style32"/>
        <w:keepNext w:val="0"/>
        <w:keepLines w:val="0"/>
        <w:widowControl w:val="0"/>
        <w:shd w:val="clear" w:color="auto" w:fill="auto"/>
        <w:bidi w:val="0"/>
        <w:spacing w:before="0" w:after="220" w:line="499" w:lineRule="exact"/>
        <w:ind w:left="0" w:right="0" w:firstLine="440"/>
        <w:jc w:val="left"/>
      </w:pPr>
      <w:r>
        <w:rPr>
          <w:color w:val="000000"/>
          <w:spacing w:val="0"/>
          <w:w w:val="100"/>
          <w:position w:val="0"/>
        </w:rPr>
        <w:t>会计师事务所是否出具非标准意见的内部控制审计报告</w:t>
      </w:r>
    </w:p>
    <w:p>
      <w:pPr>
        <w:pStyle w:val="Style32"/>
        <w:keepNext w:val="0"/>
        <w:keepLines w:val="0"/>
        <w:widowControl w:val="0"/>
        <w:shd w:val="clear" w:color="auto" w:fill="auto"/>
        <w:bidi w:val="0"/>
        <w:spacing w:before="0" w:after="0" w:line="240" w:lineRule="auto"/>
        <w:ind w:left="44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color w:val="000000"/>
          <w:spacing w:val="0"/>
          <w:w w:val="100"/>
          <w:position w:val="0"/>
        </w:rPr>
        <w:t>寸</w:t>
      </w:r>
      <w:r>
        <w:rPr>
          <w:color w:val="000000"/>
          <w:spacing w:val="0"/>
          <w:w w:val="100"/>
          <w:position w:val="0"/>
        </w:rPr>
        <w:t>否</w:t>
      </w:r>
    </w:p>
    <w:p>
      <w:pPr>
        <w:pStyle w:val="Style32"/>
        <w:keepNext w:val="0"/>
        <w:keepLines w:val="0"/>
        <w:widowControl w:val="0"/>
        <w:shd w:val="clear" w:color="auto" w:fill="auto"/>
        <w:bidi w:val="0"/>
        <w:spacing w:before="0" w:after="320" w:line="499" w:lineRule="exact"/>
        <w:ind w:left="440" w:right="0" w:firstLine="0"/>
        <w:jc w:val="left"/>
      </w:pPr>
      <w:r>
        <w:rPr>
          <w:color w:val="000000"/>
          <w:spacing w:val="0"/>
          <w:w w:val="100"/>
          <w:position w:val="0"/>
        </w:rPr>
        <w:t xml:space="preserve">会计师事务所出具的内部控制审计报告与董事会的自我评价报告意见是否一致 </w:t>
      </w:r>
      <w:r>
        <w:rPr>
          <w:color w:val="000000"/>
          <w:spacing w:val="0"/>
          <w:w w:val="100"/>
          <w:position w:val="0"/>
        </w:rPr>
        <w:t>寸</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r>
        <w:br w:type="page"/>
      </w:r>
    </w:p>
    <w:p>
      <w:pPr>
        <w:pStyle w:val="Style18"/>
        <w:keepNext/>
        <w:keepLines/>
        <w:widowControl w:val="0"/>
        <w:shd w:val="clear" w:color="auto" w:fill="auto"/>
        <w:bidi w:val="0"/>
        <w:spacing w:before="0" w:after="520" w:line="240" w:lineRule="auto"/>
        <w:ind w:left="0" w:right="0" w:firstLine="0"/>
        <w:jc w:val="center"/>
      </w:pPr>
      <w:bookmarkStart w:id="558" w:name="bookmark558"/>
      <w:bookmarkStart w:id="559" w:name="bookmark559"/>
      <w:bookmarkStart w:id="560" w:name="bookmark560"/>
      <w:bookmarkStart w:id="561" w:name="bookmark561"/>
      <w:r>
        <w:rPr>
          <w:color w:val="000000"/>
          <w:spacing w:val="0"/>
          <w:w w:val="100"/>
          <w:position w:val="0"/>
        </w:rPr>
        <w:t>第十节公司债券相关情况</w:t>
      </w:r>
      <w:bookmarkEnd w:id="559"/>
      <w:bookmarkEnd w:id="560"/>
      <w:bookmarkEnd w:id="561"/>
      <w:bookmarkEnd w:id="558"/>
    </w:p>
    <w:p>
      <w:pPr>
        <w:pStyle w:val="Style32"/>
        <w:keepNext w:val="0"/>
        <w:keepLines w:val="0"/>
        <w:widowControl w:val="0"/>
        <w:shd w:val="clear" w:color="auto" w:fill="auto"/>
        <w:bidi w:val="0"/>
        <w:spacing w:before="0" w:after="300" w:line="240" w:lineRule="auto"/>
        <w:ind w:left="0" w:right="0" w:firstLine="240"/>
        <w:jc w:val="both"/>
        <w:rPr>
          <w:sz w:val="24"/>
          <w:szCs w:val="24"/>
        </w:rPr>
      </w:pPr>
      <w:r>
        <w:rPr>
          <w:b/>
          <w:bCs/>
          <w:color w:val="000000"/>
          <w:spacing w:val="0"/>
          <w:w w:val="100"/>
          <w:position w:val="0"/>
          <w:sz w:val="24"/>
          <w:szCs w:val="24"/>
        </w:rPr>
        <w:t>、公司债券基本信息</w:t>
      </w:r>
    </w:p>
    <w:tbl>
      <w:tblPr>
        <w:tblOverlap w:val="never"/>
        <w:jc w:val="center"/>
        <w:tblLayout w:type="fixed"/>
      </w:tblPr>
      <w:tblGrid>
        <w:gridCol w:w="1205"/>
        <w:gridCol w:w="1195"/>
        <w:gridCol w:w="1195"/>
        <w:gridCol w:w="1195"/>
        <w:gridCol w:w="1195"/>
        <w:gridCol w:w="1195"/>
        <w:gridCol w:w="1195"/>
        <w:gridCol w:w="1205"/>
      </w:tblGrid>
      <w:tr>
        <w:trPr>
          <w:trHeight w:val="533" w:hRule="exact"/>
        </w:trPr>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债券名称</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债券简称</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债券代码</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发行日</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到期日</w:t>
            </w:r>
          </w:p>
        </w:tc>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59" w:lineRule="exact"/>
              <w:ind w:left="0" w:right="0" w:firstLine="0"/>
              <w:jc w:val="center"/>
              <w:rPr>
                <w:sz w:val="20"/>
                <w:szCs w:val="20"/>
              </w:rPr>
            </w:pPr>
            <w:r>
              <w:rPr>
                <w:color w:val="000000"/>
                <w:spacing w:val="0"/>
                <w:w w:val="100"/>
                <w:position w:val="0"/>
                <w:sz w:val="20"/>
                <w:szCs w:val="20"/>
              </w:rPr>
              <w:t>债券余额 （万元）</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利率</w:t>
            </w:r>
          </w:p>
        </w:tc>
        <w:tc>
          <w:tcPr>
            <w:tcBorders>
              <w:top w:val="single" w:sz="4"/>
              <w:left w:val="single" w:sz="4"/>
              <w:right w:val="single" w:sz="4"/>
            </w:tcBorders>
            <w:shd w:val="clear" w:color="auto" w:fill="D3D3D3"/>
            <w:vAlign w:val="bottom"/>
          </w:tcPr>
          <w:p>
            <w:pPr>
              <w:pStyle w:val="Style28"/>
              <w:keepNext w:val="0"/>
              <w:keepLines w:val="0"/>
              <w:widowControl w:val="0"/>
              <w:shd w:val="clear" w:color="auto" w:fill="auto"/>
              <w:bidi w:val="0"/>
              <w:spacing w:before="0" w:after="0" w:line="264" w:lineRule="exact"/>
              <w:ind w:left="0" w:right="0" w:firstLine="0"/>
              <w:jc w:val="center"/>
              <w:rPr>
                <w:sz w:val="20"/>
                <w:szCs w:val="20"/>
              </w:rPr>
            </w:pPr>
            <w:r>
              <w:rPr>
                <w:color w:val="000000"/>
                <w:spacing w:val="0"/>
                <w:w w:val="100"/>
                <w:position w:val="0"/>
                <w:sz w:val="20"/>
                <w:szCs w:val="20"/>
              </w:rPr>
              <w:t>还本付息方 式</w:t>
            </w:r>
          </w:p>
        </w:tc>
      </w:tr>
      <w:tr>
        <w:trPr>
          <w:trHeight w:val="234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59" w:lineRule="exact"/>
              <w:ind w:left="0" w:right="0" w:firstLine="0"/>
              <w:jc w:val="left"/>
              <w:rPr>
                <w:sz w:val="20"/>
                <w:szCs w:val="20"/>
              </w:rPr>
            </w:pPr>
            <w:r>
              <w:rPr>
                <w:color w:val="000000"/>
                <w:spacing w:val="0"/>
                <w:w w:val="100"/>
                <w:position w:val="0"/>
                <w:sz w:val="20"/>
                <w:szCs w:val="20"/>
              </w:rPr>
              <w:t xml:space="preserve">苏宁电器股 份有限公司 公开发行 </w:t>
            </w:r>
            <w:r>
              <w:rPr>
                <w:rFonts w:ascii="Times New Roman" w:eastAsia="Times New Roman" w:hAnsi="Times New Roman" w:cs="Times New Roman"/>
                <w:color w:val="000000"/>
                <w:spacing w:val="0"/>
                <w:w w:val="100"/>
                <w:position w:val="0"/>
                <w:sz w:val="20"/>
                <w:szCs w:val="20"/>
              </w:rPr>
              <w:t>2012</w:t>
            </w:r>
            <w:r>
              <w:rPr>
                <w:color w:val="000000"/>
                <w:spacing w:val="0"/>
                <w:w w:val="100"/>
                <w:position w:val="0"/>
                <w:sz w:val="20"/>
                <w:szCs w:val="20"/>
              </w:rPr>
              <w:t>年公司 债券（第一 期）</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苏宁</w:t>
            </w:r>
            <w:r>
              <w:rPr>
                <w:rFonts w:ascii="Times New Roman" w:eastAsia="Times New Roman" w:hAnsi="Times New Roman" w:cs="Times New Roman"/>
                <w:color w:val="000000"/>
                <w:spacing w:val="0"/>
                <w:w w:val="100"/>
                <w:position w:val="0"/>
                <w:sz w:val="20"/>
                <w:szCs w:val="20"/>
              </w:rPr>
              <w:t>01</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112138</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2012</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p>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14</w:t>
            </w:r>
            <w:r>
              <w:rPr>
                <w:color w:val="000000"/>
                <w:spacing w:val="0"/>
                <w:w w:val="100"/>
                <w:position w:val="0"/>
                <w:sz w:val="20"/>
                <w:szCs w:val="20"/>
              </w:rPr>
              <w:t>日</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2017</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p>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14</w:t>
            </w:r>
            <w:r>
              <w:rPr>
                <w:color w:val="000000"/>
                <w:spacing w:val="0"/>
                <w:w w:val="100"/>
                <w:position w:val="0"/>
                <w:sz w:val="20"/>
                <w:szCs w:val="20"/>
              </w:rPr>
              <w:t>日</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450,000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5.20%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59" w:lineRule="exact"/>
              <w:ind w:left="0" w:right="0" w:firstLine="0"/>
              <w:jc w:val="both"/>
              <w:rPr>
                <w:sz w:val="20"/>
                <w:szCs w:val="20"/>
              </w:rPr>
            </w:pPr>
            <w:r>
              <w:rPr>
                <w:color w:val="000000"/>
                <w:spacing w:val="0"/>
                <w:w w:val="100"/>
                <w:position w:val="0"/>
                <w:sz w:val="20"/>
                <w:szCs w:val="20"/>
              </w:rPr>
              <w:t>本期债券按 年付息、到 期一次还 本。利息每 年支付一 次，最后一 期利息随本 金一起支 付。</w:t>
            </w:r>
          </w:p>
        </w:tc>
      </w:tr>
      <w:tr>
        <w:trPr>
          <w:trHeight w:val="6235"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62" w:lineRule="exact"/>
              <w:ind w:left="0" w:right="0" w:firstLine="0"/>
              <w:jc w:val="left"/>
              <w:rPr>
                <w:sz w:val="20"/>
                <w:szCs w:val="20"/>
              </w:rPr>
            </w:pPr>
            <w:r>
              <w:rPr>
                <w:color w:val="000000"/>
                <w:spacing w:val="0"/>
                <w:w w:val="100"/>
                <w:position w:val="0"/>
                <w:sz w:val="20"/>
                <w:szCs w:val="20"/>
              </w:rPr>
              <w:t>苏宁云商集 团股份有限 公司公开发 行</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年公 司债券（第 二期）</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13</w:t>
            </w:r>
            <w:r>
              <w:rPr>
                <w:color w:val="000000"/>
                <w:spacing w:val="0"/>
                <w:w w:val="100"/>
                <w:position w:val="0"/>
                <w:sz w:val="20"/>
                <w:szCs w:val="20"/>
              </w:rPr>
              <w:t>苏宁债</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112196</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20"/>
                <w:szCs w:val="20"/>
              </w:rPr>
              <w:t>月</w:t>
            </w:r>
          </w:p>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13</w:t>
            </w:r>
            <w:r>
              <w:rPr>
                <w:color w:val="000000"/>
                <w:spacing w:val="0"/>
                <w:w w:val="100"/>
                <w:position w:val="0"/>
                <w:sz w:val="20"/>
                <w:szCs w:val="20"/>
              </w:rPr>
              <w:t>日</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2019</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20"/>
                <w:szCs w:val="20"/>
              </w:rPr>
              <w:t>月</w:t>
            </w:r>
          </w:p>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13</w:t>
            </w:r>
            <w:r>
              <w:rPr>
                <w:color w:val="000000"/>
                <w:spacing w:val="0"/>
                <w:w w:val="100"/>
                <w:position w:val="0"/>
                <w:sz w:val="20"/>
                <w:szCs w:val="20"/>
              </w:rPr>
              <w:t>日</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349,999.5</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5.95%</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60" w:lineRule="exact"/>
              <w:ind w:left="0" w:right="0" w:firstLine="0"/>
              <w:jc w:val="both"/>
              <w:rPr>
                <w:sz w:val="20"/>
                <w:szCs w:val="20"/>
              </w:rPr>
            </w:pPr>
            <w:r>
              <w:rPr>
                <w:color w:val="000000"/>
                <w:spacing w:val="0"/>
                <w:w w:val="100"/>
                <w:position w:val="0"/>
                <w:sz w:val="20"/>
                <w:szCs w:val="20"/>
              </w:rPr>
              <w:t>本期债券按 年付息、到 期一次还 本。利息每 年支付一 次，最后一 期利息随本 金一起支 付。</w:t>
            </w:r>
          </w:p>
          <w:p>
            <w:pPr>
              <w:pStyle w:val="Style28"/>
              <w:keepNext w:val="0"/>
              <w:keepLines w:val="0"/>
              <w:widowControl w:val="0"/>
              <w:shd w:val="clear" w:color="auto" w:fill="auto"/>
              <w:bidi w:val="0"/>
              <w:spacing w:before="0" w:after="0" w:line="260" w:lineRule="exact"/>
              <w:ind w:left="0" w:right="0" w:firstLine="0"/>
              <w:jc w:val="both"/>
              <w:rPr>
                <w:sz w:val="20"/>
                <w:szCs w:val="20"/>
              </w:rPr>
            </w:pPr>
            <w:r>
              <w:rPr>
                <w:color w:val="000000"/>
                <w:spacing w:val="0"/>
                <w:w w:val="100"/>
                <w:position w:val="0"/>
                <w:sz w:val="20"/>
                <w:szCs w:val="20"/>
              </w:rPr>
              <w:t>若投资者在 第</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年末行 使回售选择 权，则所回 售部分债券 的第</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个计 息年度的利 息将在投资 者回售兑付 日</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 xml:space="preserve">年 </w:t>
            </w:r>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13</w:t>
            </w:r>
            <w:r>
              <w:rPr>
                <w:color w:val="000000"/>
                <w:spacing w:val="0"/>
                <w:w w:val="100"/>
                <w:position w:val="0"/>
                <w:sz w:val="20"/>
                <w:szCs w:val="20"/>
              </w:rPr>
              <w:t>日 随所回售部 分债券的本 金一起支 付。</w:t>
            </w:r>
          </w:p>
        </w:tc>
      </w:tr>
      <w:tr>
        <w:trPr>
          <w:trHeight w:val="528" w:hRule="exact"/>
        </w:trPr>
        <w:tc>
          <w:tcPr>
            <w:gridSpan w:val="2"/>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50" w:lineRule="exact"/>
              <w:ind w:left="0" w:right="0" w:firstLine="0"/>
              <w:jc w:val="left"/>
              <w:rPr>
                <w:sz w:val="20"/>
                <w:szCs w:val="20"/>
              </w:rPr>
            </w:pPr>
            <w:r>
              <w:rPr>
                <w:color w:val="000000"/>
                <w:spacing w:val="0"/>
                <w:w w:val="100"/>
                <w:position w:val="0"/>
                <w:sz w:val="20"/>
                <w:szCs w:val="20"/>
              </w:rPr>
              <w:t>公司债券上市或转让的交 易场所</w:t>
            </w:r>
          </w:p>
        </w:tc>
        <w:tc>
          <w:tcPr>
            <w:gridSpan w:val="6"/>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深圳证券交易所</w:t>
            </w:r>
          </w:p>
        </w:tc>
      </w:tr>
      <w:tr>
        <w:trPr>
          <w:trHeight w:val="269" w:hRule="exact"/>
        </w:trPr>
        <w:tc>
          <w:tcPr>
            <w:gridSpan w:val="2"/>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投资者适当性安排</w:t>
            </w:r>
          </w:p>
        </w:tc>
        <w:tc>
          <w:tcPr>
            <w:gridSpan w:val="6"/>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w:t>
            </w:r>
          </w:p>
        </w:tc>
      </w:tr>
      <w:tr>
        <w:trPr>
          <w:trHeight w:val="1051" w:hRule="exact"/>
        </w:trPr>
        <w:tc>
          <w:tcPr>
            <w:gridSpan w:val="2"/>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64" w:lineRule="exact"/>
              <w:ind w:left="0" w:right="0" w:firstLine="0"/>
              <w:jc w:val="left"/>
              <w:rPr>
                <w:sz w:val="20"/>
                <w:szCs w:val="20"/>
              </w:rPr>
            </w:pPr>
            <w:r>
              <w:rPr>
                <w:color w:val="000000"/>
                <w:spacing w:val="0"/>
                <w:w w:val="100"/>
                <w:position w:val="0"/>
                <w:sz w:val="20"/>
                <w:szCs w:val="20"/>
              </w:rPr>
              <w:t>报告期内公司债券的付息 兑付情况</w:t>
            </w:r>
          </w:p>
        </w:tc>
        <w:tc>
          <w:tcPr>
            <w:gridSpan w:val="6"/>
            <w:tcBorders>
              <w:top w:val="single" w:sz="4"/>
              <w:left w:val="single" w:sz="4"/>
              <w:right w:val="single" w:sz="4"/>
            </w:tcBorders>
            <w:shd w:val="clear" w:color="auto" w:fill="FFFFFF"/>
            <w:vAlign w:val="top"/>
          </w:tcPr>
          <w:p>
            <w:pPr>
              <w:pStyle w:val="Style28"/>
              <w:keepNext w:val="0"/>
              <w:keepLines w:val="0"/>
              <w:widowControl w:val="0"/>
              <w:shd w:val="clear" w:color="auto" w:fill="auto"/>
              <w:tabs>
                <w:tab w:pos="317" w:val="left"/>
              </w:tabs>
              <w:bidi w:val="0"/>
              <w:spacing w:before="0" w:after="0" w:line="262" w:lineRule="exact"/>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tab/>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苏宁</w:t>
            </w:r>
            <w:r>
              <w:rPr>
                <w:rFonts w:ascii="Times New Roman" w:eastAsia="Times New Roman" w:hAnsi="Times New Roman" w:cs="Times New Roman"/>
                <w:color w:val="000000"/>
                <w:spacing w:val="0"/>
                <w:w w:val="100"/>
                <w:position w:val="0"/>
                <w:sz w:val="20"/>
                <w:szCs w:val="20"/>
              </w:rPr>
              <w:t>01</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14</w:t>
            </w:r>
            <w:r>
              <w:rPr>
                <w:color w:val="000000"/>
                <w:spacing w:val="0"/>
                <w:w w:val="100"/>
                <w:position w:val="0"/>
                <w:sz w:val="20"/>
                <w:szCs w:val="20"/>
              </w:rPr>
              <w:t>日支付</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14</w:t>
            </w:r>
            <w:r>
              <w:rPr>
                <w:color w:val="000000"/>
                <w:spacing w:val="0"/>
                <w:w w:val="100"/>
                <w:position w:val="0"/>
                <w:sz w:val="20"/>
                <w:szCs w:val="20"/>
              </w:rPr>
              <w:t>日至</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13</w:t>
            </w:r>
            <w:r>
              <w:rPr>
                <w:color w:val="000000"/>
                <w:spacing w:val="0"/>
                <w:w w:val="100"/>
                <w:position w:val="0"/>
                <w:sz w:val="20"/>
                <w:szCs w:val="20"/>
              </w:rPr>
              <w:t>日 期间的利息</w:t>
            </w:r>
            <w:r>
              <w:rPr>
                <w:rFonts w:ascii="Times New Roman" w:eastAsia="Times New Roman" w:hAnsi="Times New Roman" w:cs="Times New Roman"/>
                <w:color w:val="000000"/>
                <w:spacing w:val="0"/>
                <w:w w:val="100"/>
                <w:position w:val="0"/>
                <w:sz w:val="20"/>
                <w:szCs w:val="20"/>
              </w:rPr>
              <w:t>5.20</w:t>
            </w:r>
            <w:r>
              <w:rPr>
                <w:color w:val="000000"/>
                <w:spacing w:val="0"/>
                <w:w w:val="100"/>
                <w:position w:val="0"/>
                <w:sz w:val="20"/>
                <w:szCs w:val="20"/>
              </w:rPr>
              <w:t>元（含税）</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张。</w:t>
            </w:r>
          </w:p>
          <w:p>
            <w:pPr>
              <w:pStyle w:val="Style28"/>
              <w:keepNext w:val="0"/>
              <w:keepLines w:val="0"/>
              <w:widowControl w:val="0"/>
              <w:shd w:val="clear" w:color="auto" w:fill="auto"/>
              <w:tabs>
                <w:tab w:pos="322" w:val="left"/>
              </w:tabs>
              <w:bidi w:val="0"/>
              <w:spacing w:before="0" w:after="0" w:line="262" w:lineRule="exact"/>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tab/>
            </w:r>
            <w:r>
              <w:rPr>
                <w:rFonts w:ascii="Times New Roman" w:eastAsia="Times New Roman" w:hAnsi="Times New Roman" w:cs="Times New Roman"/>
                <w:color w:val="000000"/>
                <w:spacing w:val="0"/>
                <w:w w:val="100"/>
                <w:position w:val="0"/>
                <w:sz w:val="20"/>
                <w:szCs w:val="20"/>
              </w:rPr>
              <w:t>13</w:t>
            </w:r>
            <w:r>
              <w:rPr>
                <w:color w:val="000000"/>
                <w:spacing w:val="0"/>
                <w:w w:val="100"/>
                <w:position w:val="0"/>
                <w:sz w:val="20"/>
                <w:szCs w:val="20"/>
              </w:rPr>
              <w:t>苏宁债：</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14</w:t>
            </w:r>
            <w:r>
              <w:rPr>
                <w:color w:val="000000"/>
                <w:spacing w:val="0"/>
                <w:w w:val="100"/>
                <w:position w:val="0"/>
                <w:sz w:val="20"/>
                <w:szCs w:val="20"/>
              </w:rPr>
              <w:t>日支付</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13</w:t>
            </w:r>
            <w:r>
              <w:rPr>
                <w:color w:val="000000"/>
                <w:spacing w:val="0"/>
                <w:w w:val="100"/>
                <w:position w:val="0"/>
                <w:sz w:val="20"/>
                <w:szCs w:val="20"/>
              </w:rPr>
              <w:t>日至</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日期 间的利息</w:t>
            </w:r>
            <w:r>
              <w:rPr>
                <w:rFonts w:ascii="Times New Roman" w:eastAsia="Times New Roman" w:hAnsi="Times New Roman" w:cs="Times New Roman"/>
                <w:color w:val="000000"/>
                <w:spacing w:val="0"/>
                <w:w w:val="100"/>
                <w:position w:val="0"/>
                <w:sz w:val="20"/>
                <w:szCs w:val="20"/>
              </w:rPr>
              <w:t>5.95</w:t>
            </w:r>
            <w:r>
              <w:rPr>
                <w:color w:val="000000"/>
                <w:spacing w:val="0"/>
                <w:w w:val="100"/>
                <w:position w:val="0"/>
                <w:sz w:val="20"/>
                <w:szCs w:val="20"/>
              </w:rPr>
              <w:t>元（含税）</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张。</w:t>
            </w:r>
          </w:p>
        </w:tc>
      </w:tr>
      <w:tr>
        <w:trPr>
          <w:trHeight w:val="797" w:hRule="exact"/>
        </w:trPr>
        <w:tc>
          <w:tcPr>
            <w:gridSpan w:val="2"/>
            <w:tcBorders>
              <w:top w:val="single" w:sz="4"/>
              <w:left w:val="single" w:sz="4"/>
              <w:bottom w:val="single" w:sz="4"/>
            </w:tcBorders>
            <w:shd w:val="clear" w:color="auto" w:fill="D3D3D3"/>
            <w:vAlign w:val="top"/>
          </w:tcPr>
          <w:p>
            <w:pPr>
              <w:pStyle w:val="Style28"/>
              <w:keepNext w:val="0"/>
              <w:keepLines w:val="0"/>
              <w:widowControl w:val="0"/>
              <w:shd w:val="clear" w:color="auto" w:fill="auto"/>
              <w:bidi w:val="0"/>
              <w:spacing w:before="0" w:after="0" w:line="262" w:lineRule="exact"/>
              <w:ind w:left="0" w:right="0" w:firstLine="0"/>
              <w:jc w:val="left"/>
              <w:rPr>
                <w:sz w:val="20"/>
                <w:szCs w:val="20"/>
              </w:rPr>
            </w:pPr>
            <w:r>
              <w:rPr>
                <w:color w:val="000000"/>
                <w:spacing w:val="0"/>
                <w:w w:val="100"/>
                <w:position w:val="0"/>
                <w:sz w:val="20"/>
                <w:szCs w:val="20"/>
              </w:rPr>
              <w:t>公司债券附发行人或投资 者选择权条款、可交换条 款等特殊条款的，报告期</w:t>
            </w:r>
          </w:p>
        </w:tc>
        <w:tc>
          <w:tcPr>
            <w:gridSpan w:val="6"/>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64" w:lineRule="exact"/>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13</w:t>
            </w:r>
            <w:r>
              <w:rPr>
                <w:color w:val="000000"/>
                <w:spacing w:val="0"/>
                <w:w w:val="100"/>
                <w:position w:val="0"/>
                <w:sz w:val="20"/>
                <w:szCs w:val="20"/>
              </w:rPr>
              <w:t>苏宁债：本期债券为</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年期，即</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13</w:t>
            </w:r>
            <w:r>
              <w:rPr>
                <w:color w:val="000000"/>
                <w:spacing w:val="0"/>
                <w:w w:val="100"/>
                <w:position w:val="0"/>
                <w:sz w:val="20"/>
                <w:szCs w:val="20"/>
              </w:rPr>
              <w:t>日至</w:t>
            </w:r>
            <w:r>
              <w:rPr>
                <w:rFonts w:ascii="Times New Roman" w:eastAsia="Times New Roman" w:hAnsi="Times New Roman" w:cs="Times New Roman"/>
                <w:color w:val="000000"/>
                <w:spacing w:val="0"/>
                <w:w w:val="100"/>
                <w:position w:val="0"/>
                <w:sz w:val="20"/>
                <w:szCs w:val="20"/>
              </w:rPr>
              <w:t>2019</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13</w:t>
            </w:r>
            <w:r>
              <w:rPr>
                <w:color w:val="000000"/>
                <w:spacing w:val="0"/>
                <w:w w:val="100"/>
                <w:position w:val="0"/>
                <w:sz w:val="20"/>
                <w:szCs w:val="20"/>
              </w:rPr>
              <w:t>日，附 第</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年末发行人上调票面利率选择权及投资者回售选择权。</w:t>
            </w:r>
          </w:p>
          <w:p>
            <w:pPr>
              <w:pStyle w:val="Style28"/>
              <w:keepNext w:val="0"/>
              <w:keepLines w:val="0"/>
              <w:widowControl w:val="0"/>
              <w:shd w:val="clear" w:color="auto" w:fill="auto"/>
              <w:bidi w:val="0"/>
              <w:spacing w:before="0" w:after="0" w:line="264" w:lineRule="exact"/>
              <w:ind w:left="0" w:right="0" w:firstLine="0"/>
              <w:jc w:val="left"/>
              <w:rPr>
                <w:sz w:val="20"/>
                <w:szCs w:val="20"/>
              </w:rPr>
            </w:pPr>
            <w:r>
              <w:rPr>
                <w:color w:val="000000"/>
                <w:spacing w:val="0"/>
                <w:w w:val="100"/>
                <w:position w:val="0"/>
                <w:sz w:val="20"/>
                <w:szCs w:val="20"/>
              </w:rPr>
              <w:t>公司分别于</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9</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24</w:t>
            </w:r>
            <w:r>
              <w:rPr>
                <w:color w:val="000000"/>
                <w:spacing w:val="0"/>
                <w:w w:val="100"/>
                <w:position w:val="0"/>
                <w:sz w:val="20"/>
                <w:szCs w:val="20"/>
              </w:rPr>
              <w:t>日、</w:t>
            </w:r>
            <w:r>
              <w:rPr>
                <w:rFonts w:ascii="Times New Roman" w:eastAsia="Times New Roman" w:hAnsi="Times New Roman" w:cs="Times New Roman"/>
                <w:color w:val="000000"/>
                <w:spacing w:val="0"/>
                <w:w w:val="100"/>
                <w:position w:val="0"/>
                <w:sz w:val="20"/>
                <w:szCs w:val="20"/>
              </w:rPr>
              <w:t>27</w:t>
            </w:r>
            <w:r>
              <w:rPr>
                <w:color w:val="000000"/>
                <w:spacing w:val="0"/>
                <w:w w:val="100"/>
                <w:position w:val="0"/>
                <w:sz w:val="20"/>
                <w:szCs w:val="20"/>
              </w:rPr>
              <w:t>日、</w:t>
            </w:r>
            <w:r>
              <w:rPr>
                <w:rFonts w:ascii="Times New Roman" w:eastAsia="Times New Roman" w:hAnsi="Times New Roman" w:cs="Times New Roman"/>
                <w:color w:val="000000"/>
                <w:spacing w:val="0"/>
                <w:w w:val="100"/>
                <w:position w:val="0"/>
                <w:sz w:val="20"/>
                <w:szCs w:val="20"/>
              </w:rPr>
              <w:t>28</w:t>
            </w:r>
            <w:r>
              <w:rPr>
                <w:color w:val="000000"/>
                <w:spacing w:val="0"/>
                <w:w w:val="100"/>
                <w:position w:val="0"/>
                <w:sz w:val="20"/>
                <w:szCs w:val="20"/>
              </w:rPr>
              <w:t>日发布了《苏宁云商集团股份有限公司</w:t>
            </w:r>
          </w:p>
        </w:tc>
      </w:tr>
    </w:tbl>
    <w:p>
      <w:pPr>
        <w:spacing w:lineRule="exact" w:line="1"/>
        <w:rPr>
          <w:sz w:val="2"/>
          <w:szCs w:val="2"/>
        </w:rPr>
      </w:pPr>
      <w:r>
        <w:br w:type="page"/>
      </w:r>
    </w:p>
    <w:tbl>
      <w:tblPr>
        <w:tblOverlap w:val="never"/>
        <w:jc w:val="center"/>
        <w:tblLayout w:type="fixed"/>
      </w:tblPr>
      <w:tblGrid>
        <w:gridCol w:w="2400"/>
        <w:gridCol w:w="7181"/>
      </w:tblGrid>
      <w:tr>
        <w:trPr>
          <w:trHeight w:val="2870" w:hRule="exact"/>
        </w:trPr>
        <w:tc>
          <w:tcPr>
            <w:tcBorders>
              <w:top w:val="single" w:sz="4"/>
              <w:left w:val="single" w:sz="4"/>
              <w:bottom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内相关条款的执行情况</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59" w:lineRule="exact"/>
              <w:ind w:left="0" w:right="0" w:firstLine="0"/>
              <w:jc w:val="left"/>
              <w:rPr>
                <w:sz w:val="20"/>
                <w:szCs w:val="20"/>
              </w:rPr>
            </w:pPr>
            <w:r>
              <w:rPr>
                <w:color w:val="000000"/>
                <w:spacing w:val="0"/>
                <w:w w:val="100"/>
                <w:position w:val="0"/>
                <w:sz w:val="20"/>
                <w:szCs w:val="20"/>
              </w:rPr>
              <w:t>关于</w:t>
            </w:r>
            <w:r>
              <w:rPr>
                <w:rFonts w:ascii="Times New Roman" w:eastAsia="Times New Roman" w:hAnsi="Times New Roman" w:cs="Times New Roman"/>
                <w:color w:val="000000"/>
                <w:spacing w:val="0"/>
                <w:w w:val="100"/>
                <w:position w:val="0"/>
                <w:sz w:val="20"/>
                <w:szCs w:val="20"/>
              </w:rPr>
              <w:t>“13</w:t>
            </w:r>
            <w:r>
              <w:rPr>
                <w:color w:val="000000"/>
                <w:spacing w:val="0"/>
                <w:w w:val="100"/>
                <w:position w:val="0"/>
                <w:sz w:val="20"/>
                <w:szCs w:val="20"/>
              </w:rPr>
              <w:t>苏宁债</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票面利率不调整和投资者回售实施办法的第一次提示性公告》</w:t>
            </w:r>
          </w:p>
          <w:p>
            <w:pPr>
              <w:pStyle w:val="Style28"/>
              <w:keepNext w:val="0"/>
              <w:keepLines w:val="0"/>
              <w:widowControl w:val="0"/>
              <w:shd w:val="clear" w:color="auto" w:fill="auto"/>
              <w:bidi w:val="0"/>
              <w:spacing w:before="0" w:after="0" w:line="259" w:lineRule="exact"/>
              <w:ind w:left="0" w:right="0" w:firstLine="0"/>
              <w:jc w:val="left"/>
              <w:rPr>
                <w:sz w:val="20"/>
                <w:szCs w:val="20"/>
              </w:rPr>
            </w:pPr>
            <w:r>
              <w:rPr>
                <w:color w:val="000000"/>
                <w:spacing w:val="0"/>
                <w:w w:val="100"/>
                <w:position w:val="0"/>
                <w:sz w:val="20"/>
                <w:szCs w:val="20"/>
              </w:rPr>
              <w:t>（公告编号</w:t>
            </w:r>
            <w:r>
              <w:rPr>
                <w:rFonts w:ascii="Times New Roman" w:eastAsia="Times New Roman" w:hAnsi="Times New Roman" w:cs="Times New Roman"/>
                <w:color w:val="000000"/>
                <w:spacing w:val="0"/>
                <w:w w:val="100"/>
                <w:position w:val="0"/>
                <w:sz w:val="20"/>
                <w:szCs w:val="20"/>
              </w:rPr>
              <w:t>2016-072</w:t>
            </w:r>
            <w:r>
              <w:rPr>
                <w:color w:val="000000"/>
                <w:spacing w:val="0"/>
                <w:w w:val="100"/>
                <w:position w:val="0"/>
                <w:sz w:val="20"/>
                <w:szCs w:val="20"/>
              </w:rPr>
              <w:t>）</w:t>
            </w:r>
            <w:r>
              <w:rPr>
                <w:color w:val="000000"/>
                <w:spacing w:val="0"/>
                <w:w w:val="100"/>
                <w:position w:val="0"/>
                <w:sz w:val="20"/>
                <w:szCs w:val="20"/>
              </w:rPr>
              <w:t>、《苏宁云商集团股份有限公司关于</w:t>
            </w:r>
            <w:r>
              <w:rPr>
                <w:rFonts w:ascii="Times New Roman" w:eastAsia="Times New Roman" w:hAnsi="Times New Roman" w:cs="Times New Roman"/>
                <w:color w:val="000000"/>
                <w:spacing w:val="0"/>
                <w:w w:val="100"/>
                <w:position w:val="0"/>
                <w:sz w:val="20"/>
                <w:szCs w:val="20"/>
              </w:rPr>
              <w:t>“13</w:t>
            </w:r>
            <w:r>
              <w:rPr>
                <w:color w:val="000000"/>
                <w:spacing w:val="0"/>
                <w:w w:val="100"/>
                <w:position w:val="0"/>
                <w:sz w:val="20"/>
                <w:szCs w:val="20"/>
              </w:rPr>
              <w:t>苏宁债</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票面利率 不调整和投资者回售实施办法的第二次提示性公告》（公告编号</w:t>
            </w:r>
            <w:r>
              <w:rPr>
                <w:rFonts w:ascii="Times New Roman" w:eastAsia="Times New Roman" w:hAnsi="Times New Roman" w:cs="Times New Roman"/>
                <w:color w:val="000000"/>
                <w:spacing w:val="0"/>
                <w:w w:val="100"/>
                <w:position w:val="0"/>
                <w:sz w:val="20"/>
                <w:szCs w:val="20"/>
              </w:rPr>
              <w:t>2016-073</w:t>
            </w:r>
            <w:r>
              <w:rPr>
                <w:color w:val="000000"/>
                <w:spacing w:val="0"/>
                <w:w w:val="100"/>
                <w:position w:val="0"/>
                <w:sz w:val="20"/>
                <w:szCs w:val="20"/>
              </w:rPr>
              <w:t>）</w:t>
            </w:r>
            <w:r>
              <w:rPr>
                <w:color w:val="000000"/>
                <w:spacing w:val="0"/>
                <w:w w:val="100"/>
                <w:position w:val="0"/>
                <w:sz w:val="20"/>
                <w:szCs w:val="20"/>
              </w:rPr>
              <w:t>、</w:t>
            </w:r>
          </w:p>
          <w:p>
            <w:pPr>
              <w:pStyle w:val="Style28"/>
              <w:keepNext w:val="0"/>
              <w:keepLines w:val="0"/>
              <w:widowControl w:val="0"/>
              <w:shd w:val="clear" w:color="auto" w:fill="auto"/>
              <w:bidi w:val="0"/>
              <w:spacing w:before="0" w:after="0" w:line="259" w:lineRule="exact"/>
              <w:ind w:left="0" w:right="0" w:firstLine="0"/>
              <w:jc w:val="left"/>
              <w:rPr>
                <w:sz w:val="20"/>
                <w:szCs w:val="20"/>
              </w:rPr>
            </w:pPr>
            <w:r>
              <w:rPr>
                <w:color w:val="000000"/>
                <w:spacing w:val="0"/>
                <w:w w:val="100"/>
                <w:position w:val="0"/>
                <w:sz w:val="20"/>
                <w:szCs w:val="20"/>
              </w:rPr>
              <w:t>《苏宁云商集团股份有限公司关于</w:t>
            </w:r>
            <w:r>
              <w:rPr>
                <w:rFonts w:ascii="Times New Roman" w:eastAsia="Times New Roman" w:hAnsi="Times New Roman" w:cs="Times New Roman"/>
                <w:color w:val="000000"/>
                <w:spacing w:val="0"/>
                <w:w w:val="100"/>
                <w:position w:val="0"/>
                <w:sz w:val="20"/>
                <w:szCs w:val="20"/>
              </w:rPr>
              <w:t>“13</w:t>
            </w:r>
            <w:r>
              <w:rPr>
                <w:color w:val="000000"/>
                <w:spacing w:val="0"/>
                <w:w w:val="100"/>
                <w:position w:val="0"/>
                <w:sz w:val="20"/>
                <w:szCs w:val="20"/>
              </w:rPr>
              <w:t>苏宁债</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票面利率不调整和投资者回售实施 办法的第三次提示性公告》（公告编号</w:t>
            </w:r>
            <w:r>
              <w:rPr>
                <w:rFonts w:ascii="Times New Roman" w:eastAsia="Times New Roman" w:hAnsi="Times New Roman" w:cs="Times New Roman"/>
                <w:color w:val="000000"/>
                <w:spacing w:val="0"/>
                <w:w w:val="100"/>
                <w:position w:val="0"/>
                <w:sz w:val="20"/>
                <w:szCs w:val="20"/>
              </w:rPr>
              <w:t>2016-074</w:t>
            </w:r>
            <w:r>
              <w:rPr>
                <w:color w:val="000000"/>
                <w:spacing w:val="0"/>
                <w:w w:val="100"/>
                <w:position w:val="0"/>
                <w:sz w:val="20"/>
                <w:szCs w:val="20"/>
              </w:rPr>
              <w:t>）。投资者可在回售登记期内选 择将持有的</w:t>
            </w:r>
            <w:r>
              <w:rPr>
                <w:rFonts w:ascii="Times New Roman" w:eastAsia="Times New Roman" w:hAnsi="Times New Roman" w:cs="Times New Roman"/>
                <w:color w:val="000000"/>
                <w:spacing w:val="0"/>
                <w:w w:val="100"/>
                <w:position w:val="0"/>
                <w:sz w:val="20"/>
                <w:szCs w:val="20"/>
              </w:rPr>
              <w:t>“13</w:t>
            </w:r>
            <w:r>
              <w:rPr>
                <w:color w:val="000000"/>
                <w:spacing w:val="0"/>
                <w:w w:val="100"/>
                <w:position w:val="0"/>
                <w:sz w:val="20"/>
                <w:szCs w:val="20"/>
              </w:rPr>
              <w:t>苏宁债</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全部或部分回售给公司，回售价格为人民币</w:t>
            </w:r>
            <w:r>
              <w:rPr>
                <w:rFonts w:ascii="Times New Roman" w:eastAsia="Times New Roman" w:hAnsi="Times New Roman" w:cs="Times New Roman"/>
                <w:color w:val="000000"/>
                <w:spacing w:val="0"/>
                <w:w w:val="100"/>
                <w:position w:val="0"/>
                <w:sz w:val="20"/>
                <w:szCs w:val="20"/>
              </w:rPr>
              <w:t>100</w:t>
            </w:r>
            <w:r>
              <w:rPr>
                <w:color w:val="000000"/>
                <w:spacing w:val="0"/>
                <w:w w:val="100"/>
                <w:position w:val="0"/>
                <w:sz w:val="20"/>
                <w:szCs w:val="20"/>
              </w:rPr>
              <w:t>元</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张（不 含利息），</w:t>
            </w:r>
            <w:r>
              <w:rPr>
                <w:rFonts w:ascii="Times New Roman" w:eastAsia="Times New Roman" w:hAnsi="Times New Roman" w:cs="Times New Roman"/>
                <w:color w:val="000000"/>
                <w:spacing w:val="0"/>
                <w:w w:val="100"/>
                <w:position w:val="0"/>
                <w:sz w:val="20"/>
                <w:szCs w:val="20"/>
              </w:rPr>
              <w:t>“13</w:t>
            </w:r>
            <w:r>
              <w:rPr>
                <w:color w:val="000000"/>
                <w:spacing w:val="0"/>
                <w:w w:val="100"/>
                <w:position w:val="0"/>
                <w:sz w:val="20"/>
                <w:szCs w:val="20"/>
              </w:rPr>
              <w:t>苏宁债</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回售登记期为</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9</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26</w:t>
            </w:r>
            <w:r>
              <w:rPr>
                <w:color w:val="000000"/>
                <w:spacing w:val="0"/>
                <w:w w:val="100"/>
                <w:position w:val="0"/>
                <w:sz w:val="20"/>
                <w:szCs w:val="20"/>
              </w:rPr>
              <w:t>日、</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9</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27</w:t>
            </w:r>
            <w:r>
              <w:rPr>
                <w:color w:val="000000"/>
                <w:spacing w:val="0"/>
                <w:w w:val="100"/>
                <w:position w:val="0"/>
                <w:sz w:val="20"/>
                <w:szCs w:val="20"/>
              </w:rPr>
              <w:t>日、</w:t>
            </w:r>
            <w:r>
              <w:rPr>
                <w:rFonts w:ascii="Times New Roman" w:eastAsia="Times New Roman" w:hAnsi="Times New Roman" w:cs="Times New Roman"/>
                <w:color w:val="000000"/>
                <w:spacing w:val="0"/>
                <w:w w:val="100"/>
                <w:position w:val="0"/>
                <w:sz w:val="20"/>
                <w:szCs w:val="20"/>
              </w:rPr>
              <w:t xml:space="preserve">2016 </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9</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28</w:t>
            </w:r>
            <w:r>
              <w:rPr>
                <w:color w:val="000000"/>
                <w:spacing w:val="0"/>
                <w:w w:val="100"/>
                <w:position w:val="0"/>
                <w:sz w:val="20"/>
                <w:szCs w:val="20"/>
              </w:rPr>
              <w:t>日。</w:t>
            </w:r>
          </w:p>
          <w:p>
            <w:pPr>
              <w:pStyle w:val="Style28"/>
              <w:keepNext w:val="0"/>
              <w:keepLines w:val="0"/>
              <w:widowControl w:val="0"/>
              <w:shd w:val="clear" w:color="auto" w:fill="auto"/>
              <w:bidi w:val="0"/>
              <w:spacing w:before="0" w:after="0" w:line="259" w:lineRule="exact"/>
              <w:ind w:left="0" w:right="0" w:firstLine="0"/>
              <w:jc w:val="left"/>
              <w:rPr>
                <w:sz w:val="20"/>
                <w:szCs w:val="20"/>
              </w:rPr>
            </w:pPr>
            <w:r>
              <w:rPr>
                <w:color w:val="000000"/>
                <w:spacing w:val="0"/>
                <w:w w:val="100"/>
                <w:position w:val="0"/>
                <w:sz w:val="20"/>
                <w:szCs w:val="20"/>
              </w:rPr>
              <w:t>根据中国证券登记结算有限责任公司深圳分公司提供的债券回售申报数据，</w:t>
            </w:r>
            <w:r>
              <w:rPr>
                <w:rFonts w:ascii="Times New Roman" w:eastAsia="Times New Roman" w:hAnsi="Times New Roman" w:cs="Times New Roman"/>
                <w:color w:val="000000"/>
                <w:spacing w:val="0"/>
                <w:w w:val="100"/>
                <w:position w:val="0"/>
                <w:sz w:val="20"/>
                <w:szCs w:val="20"/>
              </w:rPr>
              <w:t xml:space="preserve">“13 </w:t>
            </w:r>
            <w:r>
              <w:rPr>
                <w:color w:val="000000"/>
                <w:spacing w:val="0"/>
                <w:w w:val="100"/>
                <w:position w:val="0"/>
                <w:sz w:val="20"/>
                <w:szCs w:val="20"/>
              </w:rPr>
              <w:t>苏宁债</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的回售数量为</w:t>
            </w:r>
            <w:r>
              <w:rPr>
                <w:rFonts w:ascii="Times New Roman" w:eastAsia="Times New Roman" w:hAnsi="Times New Roman" w:cs="Times New Roman"/>
                <w:color w:val="000000"/>
                <w:spacing w:val="0"/>
                <w:w w:val="100"/>
                <w:position w:val="0"/>
                <w:sz w:val="20"/>
                <w:szCs w:val="20"/>
              </w:rPr>
              <w:t>50</w:t>
            </w:r>
            <w:r>
              <w:rPr>
                <w:color w:val="000000"/>
                <w:spacing w:val="0"/>
                <w:w w:val="100"/>
                <w:position w:val="0"/>
                <w:sz w:val="20"/>
                <w:szCs w:val="20"/>
              </w:rPr>
              <w:t>张，回售金额为人民币</w:t>
            </w:r>
            <w:r>
              <w:rPr>
                <w:rFonts w:ascii="Times New Roman" w:eastAsia="Times New Roman" w:hAnsi="Times New Roman" w:cs="Times New Roman"/>
                <w:color w:val="000000"/>
                <w:spacing w:val="0"/>
                <w:w w:val="100"/>
                <w:position w:val="0"/>
                <w:sz w:val="20"/>
                <w:szCs w:val="20"/>
              </w:rPr>
              <w:t>5,297.50</w:t>
            </w:r>
            <w:r>
              <w:rPr>
                <w:color w:val="000000"/>
                <w:spacing w:val="0"/>
                <w:w w:val="100"/>
                <w:position w:val="0"/>
                <w:sz w:val="20"/>
                <w:szCs w:val="20"/>
              </w:rPr>
              <w:t>元（包含利息）</w:t>
            </w:r>
            <w:r>
              <w:rPr>
                <w:i/>
                <w:iCs/>
                <w:color w:val="000000"/>
                <w:spacing w:val="0"/>
                <w:w w:val="100"/>
                <w:position w:val="0"/>
                <w:sz w:val="20"/>
                <w:szCs w:val="20"/>
              </w:rPr>
              <w:t>，</w:t>
            </w:r>
            <w:r>
              <w:rPr>
                <w:color w:val="000000"/>
                <w:spacing w:val="0"/>
                <w:w w:val="100"/>
                <w:position w:val="0"/>
                <w:sz w:val="20"/>
                <w:szCs w:val="20"/>
              </w:rPr>
              <w:t>剩余 托管量为</w:t>
            </w:r>
            <w:r>
              <w:rPr>
                <w:rFonts w:ascii="Times New Roman" w:eastAsia="Times New Roman" w:hAnsi="Times New Roman" w:cs="Times New Roman"/>
                <w:color w:val="000000"/>
                <w:spacing w:val="0"/>
                <w:w w:val="100"/>
                <w:position w:val="0"/>
                <w:sz w:val="20"/>
                <w:szCs w:val="20"/>
              </w:rPr>
              <w:t>34,999,950</w:t>
            </w:r>
            <w:r>
              <w:rPr>
                <w:color w:val="000000"/>
                <w:spacing w:val="0"/>
                <w:w w:val="100"/>
                <w:position w:val="0"/>
                <w:sz w:val="20"/>
                <w:szCs w:val="20"/>
              </w:rPr>
              <w:t>张。</w:t>
            </w:r>
          </w:p>
        </w:tc>
      </w:tr>
    </w:tbl>
    <w:p>
      <w:pPr>
        <w:widowControl w:val="0"/>
        <w:spacing w:after="319" w:line="1" w:lineRule="exact"/>
      </w:pPr>
    </w:p>
    <w:p>
      <w:pPr>
        <w:pStyle w:val="Style32"/>
        <w:keepNext w:val="0"/>
        <w:keepLines w:val="0"/>
        <w:widowControl w:val="0"/>
        <w:shd w:val="clear" w:color="auto" w:fill="auto"/>
        <w:bidi w:val="0"/>
        <w:spacing w:before="0" w:after="320" w:line="240" w:lineRule="auto"/>
        <w:ind w:left="0" w:right="0" w:firstLine="0"/>
        <w:jc w:val="left"/>
        <w:rPr>
          <w:sz w:val="24"/>
          <w:szCs w:val="24"/>
        </w:rPr>
      </w:pPr>
      <w:r>
        <w:rPr>
          <w:b/>
          <w:bCs/>
          <w:color w:val="000000"/>
          <w:spacing w:val="0"/>
          <w:w w:val="100"/>
          <w:position w:val="0"/>
          <w:sz w:val="24"/>
          <w:szCs w:val="24"/>
        </w:rPr>
        <w:t>二、债券受托管理人和资信评级机构信息</w:t>
      </w:r>
    </w:p>
    <w:tbl>
      <w:tblPr>
        <w:tblOverlap w:val="never"/>
        <w:jc w:val="center"/>
        <w:tblLayout w:type="fixed"/>
      </w:tblPr>
      <w:tblGrid>
        <w:gridCol w:w="1205"/>
        <w:gridCol w:w="1354"/>
        <w:gridCol w:w="643"/>
        <w:gridCol w:w="398"/>
        <w:gridCol w:w="1195"/>
        <w:gridCol w:w="878"/>
        <w:gridCol w:w="1277"/>
        <w:gridCol w:w="1277"/>
        <w:gridCol w:w="1358"/>
      </w:tblGrid>
      <w:tr>
        <w:trPr>
          <w:trHeight w:val="274" w:hRule="exact"/>
        </w:trPr>
        <w:tc>
          <w:tcPr>
            <w:gridSpan w:val="9"/>
            <w:tcBorders>
              <w:top w:val="single" w:sz="4"/>
              <w:left w:val="single" w:sz="4"/>
              <w:righ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债券受托管理人：</w:t>
            </w:r>
          </w:p>
        </w:tc>
      </w:tr>
      <w:tr>
        <w:trPr>
          <w:trHeight w:val="1046" w:hRule="exact"/>
        </w:trPr>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名称</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50" w:lineRule="exact"/>
              <w:ind w:left="0" w:right="0" w:firstLine="0"/>
              <w:jc w:val="left"/>
              <w:rPr>
                <w:sz w:val="20"/>
                <w:szCs w:val="20"/>
              </w:rPr>
            </w:pPr>
            <w:r>
              <w:rPr>
                <w:color w:val="000000"/>
                <w:spacing w:val="0"/>
                <w:w w:val="100"/>
                <w:position w:val="0"/>
                <w:sz w:val="20"/>
                <w:szCs w:val="20"/>
              </w:rPr>
              <w:t>华泰联合证券 有限责任公司</w:t>
            </w:r>
          </w:p>
        </w:tc>
        <w:tc>
          <w:tcPr>
            <w:gridSpan w:val="2"/>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办公地址</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61" w:lineRule="exact"/>
              <w:ind w:left="0" w:right="0" w:firstLine="0"/>
              <w:jc w:val="both"/>
              <w:rPr>
                <w:sz w:val="20"/>
                <w:szCs w:val="20"/>
              </w:rPr>
            </w:pPr>
            <w:r>
              <w:rPr>
                <w:color w:val="000000"/>
                <w:spacing w:val="0"/>
                <w:w w:val="100"/>
                <w:position w:val="0"/>
                <w:sz w:val="20"/>
                <w:szCs w:val="20"/>
              </w:rPr>
              <w:t>北京市西城 区丰铭国际 大厦</w:t>
            </w:r>
            <w:r>
              <w:rPr>
                <w:rFonts w:ascii="Times New Roman" w:eastAsia="Times New Roman" w:hAnsi="Times New Roman" w:cs="Times New Roman"/>
                <w:color w:val="000000"/>
                <w:spacing w:val="0"/>
                <w:w w:val="100"/>
                <w:position w:val="0"/>
                <w:sz w:val="20"/>
                <w:szCs w:val="20"/>
              </w:rPr>
              <w:t>A</w:t>
            </w:r>
            <w:r>
              <w:rPr>
                <w:color w:val="000000"/>
                <w:spacing w:val="0"/>
                <w:w w:val="100"/>
                <w:position w:val="0"/>
                <w:sz w:val="20"/>
                <w:szCs w:val="20"/>
              </w:rPr>
              <w:t>座</w:t>
            </w:r>
            <w:r>
              <w:rPr>
                <w:rFonts w:ascii="Times New Roman" w:eastAsia="Times New Roman" w:hAnsi="Times New Roman" w:cs="Times New Roman"/>
                <w:color w:val="000000"/>
                <w:spacing w:val="0"/>
                <w:w w:val="100"/>
                <w:position w:val="0"/>
                <w:sz w:val="20"/>
                <w:szCs w:val="20"/>
              </w:rPr>
              <w:t xml:space="preserve">6 </w:t>
            </w:r>
            <w:r>
              <w:rPr>
                <w:color w:val="000000"/>
                <w:spacing w:val="0"/>
                <w:w w:val="100"/>
                <w:position w:val="0"/>
                <w:sz w:val="20"/>
                <w:szCs w:val="20"/>
              </w:rPr>
              <w:t>层</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联系人</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李想、张馨予</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联系人电话</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010-56839393</w:t>
            </w:r>
          </w:p>
        </w:tc>
      </w:tr>
      <w:tr>
        <w:trPr>
          <w:trHeight w:val="269" w:hRule="exact"/>
        </w:trPr>
        <w:tc>
          <w:tcPr>
            <w:gridSpan w:val="9"/>
            <w:tcBorders>
              <w:top w:val="single" w:sz="4"/>
              <w:left w:val="single" w:sz="4"/>
              <w:righ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报告期内对公司债券进行跟踪评级的资信评级机构：</w:t>
            </w:r>
          </w:p>
        </w:tc>
      </w:tr>
      <w:tr>
        <w:trPr>
          <w:trHeight w:val="269" w:hRule="exact"/>
        </w:trPr>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名称</w:t>
            </w:r>
          </w:p>
        </w:tc>
        <w:tc>
          <w:tcPr>
            <w:gridSpan w:val="4"/>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中诚信证券评估有限公司</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办公地址</w:t>
            </w:r>
          </w:p>
        </w:tc>
        <w:tc>
          <w:tcPr>
            <w:gridSpan w:val="3"/>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上海市黄浦区西藏南路</w:t>
            </w:r>
            <w:r>
              <w:rPr>
                <w:rFonts w:ascii="Times New Roman" w:eastAsia="Times New Roman" w:hAnsi="Times New Roman" w:cs="Times New Roman"/>
                <w:color w:val="000000"/>
                <w:spacing w:val="0"/>
                <w:w w:val="100"/>
                <w:position w:val="0"/>
                <w:sz w:val="20"/>
                <w:szCs w:val="20"/>
              </w:rPr>
              <w:t>760</w:t>
            </w:r>
            <w:r>
              <w:rPr>
                <w:color w:val="000000"/>
                <w:spacing w:val="0"/>
                <w:w w:val="100"/>
                <w:position w:val="0"/>
                <w:sz w:val="20"/>
                <w:szCs w:val="20"/>
              </w:rPr>
              <w:t>号</w:t>
            </w:r>
          </w:p>
        </w:tc>
      </w:tr>
      <w:tr>
        <w:trPr>
          <w:trHeight w:val="1051" w:hRule="exact"/>
        </w:trPr>
        <w:tc>
          <w:tcPr>
            <w:tcBorders>
              <w:top w:val="single" w:sz="4"/>
              <w:left w:val="single" w:sz="4"/>
              <w:bottom w:val="single" w:sz="4"/>
            </w:tcBorders>
            <w:shd w:val="clear" w:color="auto" w:fill="D3D3D3"/>
            <w:vAlign w:val="top"/>
          </w:tcPr>
          <w:p>
            <w:pPr>
              <w:pStyle w:val="Style28"/>
              <w:keepNext w:val="0"/>
              <w:keepLines w:val="0"/>
              <w:widowControl w:val="0"/>
              <w:shd w:val="clear" w:color="auto" w:fill="auto"/>
              <w:bidi w:val="0"/>
              <w:spacing w:before="0" w:after="0" w:line="262" w:lineRule="exact"/>
              <w:ind w:left="0" w:right="0" w:firstLine="0"/>
              <w:jc w:val="both"/>
              <w:rPr>
                <w:sz w:val="20"/>
                <w:szCs w:val="20"/>
              </w:rPr>
            </w:pPr>
            <w:r>
              <w:rPr>
                <w:color w:val="000000"/>
                <w:spacing w:val="0"/>
                <w:w w:val="100"/>
                <w:position w:val="0"/>
                <w:sz w:val="20"/>
                <w:szCs w:val="20"/>
              </w:rPr>
              <w:t>报告期内公司 人、资信评级 更的原因、履 利益的影响等</w:t>
            </w:r>
          </w:p>
        </w:tc>
        <w:tc>
          <w:tcPr>
            <w:gridSpan w:val="2"/>
            <w:tcBorders>
              <w:top w:val="single" w:sz="4"/>
              <w:left w:val="single" w:sz="4"/>
              <w:bottom w:val="single" w:sz="4"/>
            </w:tcBorders>
            <w:shd w:val="clear" w:color="auto" w:fill="D3D3D3"/>
            <w:vAlign w:val="top"/>
          </w:tcPr>
          <w:p>
            <w:pPr>
              <w:pStyle w:val="Style28"/>
              <w:keepNext w:val="0"/>
              <w:keepLines w:val="0"/>
              <w:widowControl w:val="0"/>
              <w:shd w:val="clear" w:color="auto" w:fill="auto"/>
              <w:bidi w:val="0"/>
              <w:spacing w:before="0" w:after="0" w:line="259" w:lineRule="exact"/>
              <w:ind w:left="0" w:right="0" w:firstLine="0"/>
              <w:jc w:val="left"/>
              <w:rPr>
                <w:sz w:val="20"/>
                <w:szCs w:val="20"/>
              </w:rPr>
            </w:pPr>
            <w:r>
              <w:rPr>
                <w:color w:val="000000"/>
                <w:spacing w:val="0"/>
                <w:w w:val="100"/>
                <w:position w:val="0"/>
                <w:sz w:val="20"/>
                <w:szCs w:val="20"/>
              </w:rPr>
              <w:t>聘请的债券受托管理 机构发生变更的，变 行的程序、对投资者</w:t>
            </w:r>
          </w:p>
        </w:tc>
        <w:tc>
          <w:tcPr>
            <w:gridSpan w:val="3"/>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报告期内公司聘请的债券委托</w:t>
            </w:r>
          </w:p>
        </w:tc>
        <w:tc>
          <w:tcPr>
            <w:gridSpan w:val="3"/>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任管理人、资信评级机构未发生变更。</w:t>
            </w:r>
          </w:p>
        </w:tc>
      </w:tr>
    </w:tbl>
    <w:p>
      <w:pPr>
        <w:widowControl w:val="0"/>
        <w:spacing w:after="319" w:line="1" w:lineRule="exact"/>
      </w:pPr>
    </w:p>
    <w:p>
      <w:pPr>
        <w:pStyle w:val="Style32"/>
        <w:keepNext w:val="0"/>
        <w:keepLines w:val="0"/>
        <w:widowControl w:val="0"/>
        <w:shd w:val="clear" w:color="auto" w:fill="auto"/>
        <w:bidi w:val="0"/>
        <w:spacing w:before="0" w:after="320" w:line="240" w:lineRule="auto"/>
        <w:ind w:left="0" w:right="0" w:firstLine="0"/>
        <w:jc w:val="left"/>
        <w:rPr>
          <w:sz w:val="24"/>
          <w:szCs w:val="24"/>
        </w:rPr>
      </w:pPr>
      <w:r>
        <w:rPr>
          <w:b/>
          <w:bCs/>
          <w:color w:val="000000"/>
          <w:spacing w:val="0"/>
          <w:w w:val="100"/>
          <w:position w:val="0"/>
          <w:sz w:val="24"/>
          <w:szCs w:val="24"/>
        </w:rPr>
        <w:t>三、公司债券募集资金使用情况</w:t>
      </w:r>
    </w:p>
    <w:tbl>
      <w:tblPr>
        <w:tblOverlap w:val="never"/>
        <w:jc w:val="center"/>
        <w:tblLayout w:type="fixed"/>
      </w:tblPr>
      <w:tblGrid>
        <w:gridCol w:w="3197"/>
        <w:gridCol w:w="6384"/>
      </w:tblGrid>
      <w:tr>
        <w:trPr>
          <w:trHeight w:val="797"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5" w:lineRule="exact"/>
              <w:ind w:left="0" w:right="0" w:firstLine="0"/>
              <w:jc w:val="left"/>
              <w:rPr>
                <w:sz w:val="20"/>
                <w:szCs w:val="20"/>
              </w:rPr>
            </w:pPr>
            <w:r>
              <w:rPr>
                <w:color w:val="000000"/>
                <w:spacing w:val="0"/>
                <w:w w:val="100"/>
                <w:position w:val="0"/>
                <w:sz w:val="20"/>
                <w:szCs w:val="20"/>
              </w:rPr>
              <w:t>公司债券募集资金使用情况及履行 的程序</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69" w:lineRule="exact"/>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苏宁</w:t>
            </w:r>
            <w:r>
              <w:rPr>
                <w:rFonts w:ascii="Times New Roman" w:eastAsia="Times New Roman" w:hAnsi="Times New Roman" w:cs="Times New Roman"/>
                <w:color w:val="000000"/>
                <w:spacing w:val="0"/>
                <w:w w:val="100"/>
                <w:position w:val="0"/>
                <w:sz w:val="20"/>
                <w:szCs w:val="20"/>
              </w:rPr>
              <w:t>01</w:t>
            </w:r>
            <w:r>
              <w:rPr>
                <w:color w:val="000000"/>
                <w:spacing w:val="0"/>
                <w:w w:val="100"/>
                <w:position w:val="0"/>
                <w:sz w:val="20"/>
                <w:szCs w:val="20"/>
              </w:rPr>
              <w:t>发行规模</w:t>
            </w:r>
            <w:r>
              <w:rPr>
                <w:rFonts w:ascii="Times New Roman" w:eastAsia="Times New Roman" w:hAnsi="Times New Roman" w:cs="Times New Roman"/>
                <w:color w:val="000000"/>
                <w:spacing w:val="0"/>
                <w:w w:val="100"/>
                <w:position w:val="0"/>
                <w:sz w:val="20"/>
                <w:szCs w:val="20"/>
              </w:rPr>
              <w:t>45</w:t>
            </w:r>
            <w:r>
              <w:rPr>
                <w:color w:val="000000"/>
                <w:spacing w:val="0"/>
                <w:w w:val="100"/>
                <w:position w:val="0"/>
                <w:sz w:val="20"/>
                <w:szCs w:val="20"/>
              </w:rPr>
              <w:t>亿元、</w:t>
            </w:r>
            <w:r>
              <w:rPr>
                <w:rFonts w:ascii="Times New Roman" w:eastAsia="Times New Roman" w:hAnsi="Times New Roman" w:cs="Times New Roman"/>
                <w:color w:val="000000"/>
                <w:spacing w:val="0"/>
                <w:w w:val="100"/>
                <w:position w:val="0"/>
                <w:sz w:val="20"/>
                <w:szCs w:val="20"/>
              </w:rPr>
              <w:t>13</w:t>
            </w:r>
            <w:r>
              <w:rPr>
                <w:color w:val="000000"/>
                <w:spacing w:val="0"/>
                <w:w w:val="100"/>
                <w:position w:val="0"/>
                <w:sz w:val="20"/>
                <w:szCs w:val="20"/>
              </w:rPr>
              <w:t>苏宁债发行规模</w:t>
            </w:r>
            <w:r>
              <w:rPr>
                <w:rFonts w:ascii="Times New Roman" w:eastAsia="Times New Roman" w:hAnsi="Times New Roman" w:cs="Times New Roman"/>
                <w:color w:val="000000"/>
                <w:spacing w:val="0"/>
                <w:w w:val="100"/>
                <w:position w:val="0"/>
                <w:sz w:val="20"/>
                <w:szCs w:val="20"/>
              </w:rPr>
              <w:t>35</w:t>
            </w:r>
            <w:r>
              <w:rPr>
                <w:color w:val="000000"/>
                <w:spacing w:val="0"/>
                <w:w w:val="100"/>
                <w:position w:val="0"/>
                <w:sz w:val="20"/>
                <w:szCs w:val="20"/>
              </w:rPr>
              <w:t>亿元，本次债券募 集资金扣除发行费用后全部用于补充运营资金及调整债务结构。公司债 券募集资金全部按前述用途使用。</w:t>
            </w:r>
          </w:p>
        </w:tc>
      </w:tr>
      <w:tr>
        <w:trPr>
          <w:trHeight w:val="269"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年末余额（万元）</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0</w:t>
            </w:r>
          </w:p>
        </w:tc>
      </w:tr>
      <w:tr>
        <w:trPr>
          <w:trHeight w:val="269"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募集资金专项账户运作情况</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不适用</w:t>
            </w:r>
          </w:p>
        </w:tc>
      </w:tr>
      <w:tr>
        <w:trPr>
          <w:trHeight w:val="792" w:hRule="exact"/>
        </w:trPr>
        <w:tc>
          <w:tcPr>
            <w:tcBorders>
              <w:top w:val="single" w:sz="4"/>
              <w:left w:val="single" w:sz="4"/>
              <w:bottom w:val="single" w:sz="4"/>
            </w:tcBorders>
            <w:shd w:val="clear" w:color="auto" w:fill="D3D3D3"/>
            <w:vAlign w:val="top"/>
          </w:tcPr>
          <w:p>
            <w:pPr>
              <w:pStyle w:val="Style28"/>
              <w:keepNext w:val="0"/>
              <w:keepLines w:val="0"/>
              <w:widowControl w:val="0"/>
              <w:shd w:val="clear" w:color="auto" w:fill="auto"/>
              <w:bidi w:val="0"/>
              <w:spacing w:before="0" w:after="0" w:line="257" w:lineRule="exact"/>
              <w:ind w:left="0" w:right="0" w:firstLine="0"/>
              <w:jc w:val="left"/>
              <w:rPr>
                <w:sz w:val="20"/>
                <w:szCs w:val="20"/>
              </w:rPr>
            </w:pPr>
            <w:r>
              <w:rPr>
                <w:color w:val="000000"/>
                <w:spacing w:val="0"/>
                <w:w w:val="100"/>
                <w:position w:val="0"/>
                <w:sz w:val="20"/>
                <w:szCs w:val="20"/>
              </w:rPr>
              <w:t>募集资金使用是否与募集说明书承 诺的用途、使用计划及其他约定一 致</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r>
    </w:tbl>
    <w:p>
      <w:pPr>
        <w:widowControl w:val="0"/>
        <w:spacing w:after="319" w:line="1" w:lineRule="exact"/>
      </w:pPr>
    </w:p>
    <w:p>
      <w:pPr>
        <w:pStyle w:val="Style32"/>
        <w:keepNext w:val="0"/>
        <w:keepLines w:val="0"/>
        <w:widowControl w:val="0"/>
        <w:shd w:val="clear" w:color="auto" w:fill="auto"/>
        <w:bidi w:val="0"/>
        <w:spacing w:before="0" w:after="180" w:line="240" w:lineRule="auto"/>
        <w:ind w:left="0" w:right="0" w:firstLine="0"/>
        <w:jc w:val="left"/>
        <w:rPr>
          <w:sz w:val="24"/>
          <w:szCs w:val="24"/>
        </w:rPr>
      </w:pPr>
      <w:bookmarkStart w:id="562" w:name="bookmark562"/>
      <w:r>
        <w:rPr>
          <w:b/>
          <w:bCs/>
          <w:color w:val="000000"/>
          <w:spacing w:val="0"/>
          <w:w w:val="100"/>
          <w:position w:val="0"/>
          <w:sz w:val="24"/>
          <w:szCs w:val="24"/>
        </w:rPr>
        <w:t>四</w:t>
      </w:r>
      <w:bookmarkEnd w:id="562"/>
      <w:r>
        <w:rPr>
          <w:b/>
          <w:bCs/>
          <w:color w:val="000000"/>
          <w:spacing w:val="0"/>
          <w:w w:val="100"/>
          <w:position w:val="0"/>
          <w:sz w:val="24"/>
          <w:szCs w:val="24"/>
        </w:rPr>
        <w:t>、公司债券信息评级情况</w:t>
      </w:r>
    </w:p>
    <w:p>
      <w:pPr>
        <w:pStyle w:val="Style53"/>
        <w:keepNext w:val="0"/>
        <w:keepLines w:val="0"/>
        <w:widowControl w:val="0"/>
        <w:shd w:val="clear" w:color="auto" w:fill="auto"/>
        <w:tabs>
          <w:tab w:pos="818" w:val="left"/>
        </w:tabs>
        <w:bidi w:val="0"/>
        <w:spacing w:before="0" w:after="0" w:line="480" w:lineRule="exact"/>
        <w:ind w:left="0" w:right="0"/>
        <w:jc w:val="left"/>
      </w:pPr>
      <w:bookmarkStart w:id="563" w:name="bookmark563"/>
      <w:r>
        <w:rPr>
          <w:color w:val="000000"/>
          <w:spacing w:val="0"/>
          <w:w w:val="100"/>
          <w:position w:val="0"/>
        </w:rPr>
        <w:t>1</w:t>
      </w:r>
      <w:bookmarkEnd w:id="563"/>
      <w:r>
        <w:rPr>
          <w:rFonts w:ascii="SimSun" w:eastAsia="SimSun" w:hAnsi="SimSun" w:cs="SimSun"/>
          <w:color w:val="000000"/>
          <w:spacing w:val="0"/>
          <w:w w:val="100"/>
          <w:position w:val="0"/>
        </w:rPr>
        <w:t>、</w:t>
        <w:tab/>
      </w:r>
      <w:r>
        <w:rPr>
          <w:color w:val="000000"/>
          <w:spacing w:val="0"/>
          <w:w w:val="100"/>
          <w:position w:val="0"/>
        </w:rPr>
        <w:t>12</w:t>
      </w:r>
      <w:r>
        <w:rPr>
          <w:rFonts w:ascii="SimSun" w:eastAsia="SimSun" w:hAnsi="SimSun" w:cs="SimSun"/>
          <w:color w:val="000000"/>
          <w:spacing w:val="0"/>
          <w:w w:val="100"/>
          <w:position w:val="0"/>
        </w:rPr>
        <w:t>苏宁</w:t>
      </w:r>
      <w:r>
        <w:rPr>
          <w:color w:val="000000"/>
          <w:spacing w:val="0"/>
          <w:w w:val="100"/>
          <w:position w:val="0"/>
        </w:rPr>
        <w:t>01</w:t>
      </w:r>
    </w:p>
    <w:p>
      <w:pPr>
        <w:pStyle w:val="Style32"/>
        <w:keepNext w:val="0"/>
        <w:keepLines w:val="0"/>
        <w:widowControl w:val="0"/>
        <w:shd w:val="clear" w:color="auto" w:fill="auto"/>
        <w:bidi w:val="0"/>
        <w:spacing w:before="0" w:after="0" w:line="480" w:lineRule="exact"/>
        <w:ind w:left="0" w:right="0" w:firstLine="460"/>
        <w:jc w:val="both"/>
      </w:pPr>
      <w:r>
        <w:rPr>
          <w:color w:val="000000"/>
          <w:spacing w:val="0"/>
          <w:w w:val="100"/>
          <w:position w:val="0"/>
        </w:rPr>
        <w:t>本期债券最迟不晚于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日披露</w:t>
      </w:r>
      <w:r>
        <w:rPr>
          <w:rFonts w:ascii="Times New Roman" w:eastAsia="Times New Roman" w:hAnsi="Times New Roman" w:cs="Times New Roman"/>
          <w:color w:val="000000"/>
          <w:spacing w:val="0"/>
          <w:w w:val="100"/>
          <w:position w:val="0"/>
        </w:rPr>
        <w:t>2016</w:t>
      </w:r>
      <w:r>
        <w:rPr>
          <w:color w:val="000000"/>
          <w:spacing w:val="0"/>
          <w:w w:val="100"/>
          <w:position w:val="0"/>
        </w:rPr>
        <w:t>年度公司债券评级情况，请广大投资者关注巨 潮资讯网公告。</w:t>
      </w:r>
    </w:p>
    <w:p>
      <w:pPr>
        <w:pStyle w:val="Style32"/>
        <w:keepNext w:val="0"/>
        <w:keepLines w:val="0"/>
        <w:widowControl w:val="0"/>
        <w:shd w:val="clear" w:color="auto" w:fill="auto"/>
        <w:bidi w:val="0"/>
        <w:spacing w:before="0" w:after="0" w:line="473" w:lineRule="exact"/>
        <w:ind w:left="0" w:right="0" w:firstLine="46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日，本期债券资信评级机构中诚信证券评估有限公司出具了《苏宁云商集团股份 有限公司</w:t>
      </w:r>
      <w:r>
        <w:rPr>
          <w:rFonts w:ascii="Times New Roman" w:eastAsia="Times New Roman" w:hAnsi="Times New Roman" w:cs="Times New Roman"/>
          <w:color w:val="000000"/>
          <w:spacing w:val="0"/>
          <w:w w:val="100"/>
          <w:position w:val="0"/>
        </w:rPr>
        <w:t>2012</w:t>
      </w:r>
      <w:r>
        <w:rPr>
          <w:color w:val="000000"/>
          <w:spacing w:val="0"/>
          <w:w w:val="100"/>
          <w:position w:val="0"/>
        </w:rPr>
        <w:t>年公司债券（第一期）跟踪评级报告（</w:t>
      </w:r>
      <w:r>
        <w:rPr>
          <w:rFonts w:ascii="Times New Roman" w:eastAsia="Times New Roman" w:hAnsi="Times New Roman" w:cs="Times New Roman"/>
          <w:color w:val="000000"/>
          <w:spacing w:val="0"/>
          <w:w w:val="100"/>
          <w:position w:val="0"/>
        </w:rPr>
        <w:t>2016</w:t>
      </w:r>
      <w:r>
        <w:rPr>
          <w:color w:val="000000"/>
          <w:spacing w:val="0"/>
          <w:w w:val="100"/>
          <w:position w:val="0"/>
        </w:rPr>
        <w:t>）》，本次跟踪的主体信用等级为</w:t>
      </w:r>
      <w:r>
        <w:rPr>
          <w:rFonts w:ascii="Times New Roman" w:eastAsia="Times New Roman" w:hAnsi="Times New Roman" w:cs="Times New Roman"/>
          <w:color w:val="000000"/>
          <w:spacing w:val="0"/>
          <w:w w:val="100"/>
          <w:position w:val="0"/>
        </w:rPr>
        <w:t>AAA</w:t>
      </w:r>
      <w:r>
        <w:rPr>
          <w:color w:val="000000"/>
          <w:spacing w:val="0"/>
          <w:w w:val="100"/>
          <w:position w:val="0"/>
        </w:rPr>
        <w:t xml:space="preserve">， </w:t>
      </w:r>
      <w:r>
        <w:rPr>
          <w:color w:val="000000"/>
          <w:spacing w:val="0"/>
          <w:w w:val="100"/>
          <w:position w:val="0"/>
        </w:rPr>
        <w:t>评级展望稳定，维持本期债券的信用等级为</w:t>
      </w:r>
      <w:r>
        <w:rPr>
          <w:rFonts w:ascii="Times New Roman" w:eastAsia="Times New Roman" w:hAnsi="Times New Roman" w:cs="Times New Roman"/>
          <w:color w:val="000000"/>
          <w:spacing w:val="0"/>
          <w:w w:val="100"/>
          <w:position w:val="0"/>
        </w:rPr>
        <w:t>AAA</w:t>
      </w:r>
      <w:r>
        <w:rPr>
          <w:color w:val="000000"/>
          <w:spacing w:val="0"/>
          <w:w w:val="100"/>
          <w:position w:val="0"/>
        </w:rPr>
        <w:t>。</w:t>
      </w:r>
    </w:p>
    <w:p>
      <w:pPr>
        <w:pStyle w:val="Style32"/>
        <w:keepNext w:val="0"/>
        <w:keepLines w:val="0"/>
        <w:widowControl w:val="0"/>
        <w:shd w:val="clear" w:color="auto" w:fill="auto"/>
        <w:tabs>
          <w:tab w:pos="842" w:val="left"/>
        </w:tabs>
        <w:bidi w:val="0"/>
        <w:spacing w:before="0" w:after="320" w:line="473" w:lineRule="exact"/>
        <w:ind w:left="0" w:right="0" w:firstLine="460"/>
        <w:jc w:val="left"/>
      </w:pPr>
      <w:bookmarkStart w:id="564" w:name="bookmark564"/>
      <w:r>
        <w:rPr>
          <w:rFonts w:ascii="Times New Roman" w:eastAsia="Times New Roman" w:hAnsi="Times New Roman" w:cs="Times New Roman"/>
          <w:color w:val="000000"/>
          <w:spacing w:val="0"/>
          <w:w w:val="100"/>
          <w:position w:val="0"/>
        </w:rPr>
        <w:t>2</w:t>
      </w:r>
      <w:bookmarkEnd w:id="564"/>
      <w:r>
        <w:rPr>
          <w:color w:val="000000"/>
          <w:spacing w:val="0"/>
          <w:w w:val="100"/>
          <w:position w:val="0"/>
        </w:rPr>
        <w:t>、</w:t>
        <w:tab/>
      </w:r>
      <w:r>
        <w:rPr>
          <w:rFonts w:ascii="Times New Roman" w:eastAsia="Times New Roman" w:hAnsi="Times New Roman" w:cs="Times New Roman"/>
          <w:color w:val="000000"/>
          <w:spacing w:val="0"/>
          <w:w w:val="100"/>
          <w:position w:val="0"/>
        </w:rPr>
        <w:t>13</w:t>
      </w:r>
      <w:r>
        <w:rPr>
          <w:color w:val="000000"/>
          <w:spacing w:val="0"/>
          <w:w w:val="100"/>
          <w:position w:val="0"/>
        </w:rPr>
        <w:t>苏宁债</w:t>
      </w:r>
    </w:p>
    <w:p>
      <w:pPr>
        <w:pStyle w:val="Style32"/>
        <w:keepNext w:val="0"/>
        <w:keepLines w:val="0"/>
        <w:widowControl w:val="0"/>
        <w:shd w:val="clear" w:color="auto" w:fill="auto"/>
        <w:bidi w:val="0"/>
        <w:spacing w:before="0" w:after="0" w:line="480" w:lineRule="exact"/>
        <w:ind w:left="0" w:right="0" w:firstLine="460"/>
        <w:jc w:val="both"/>
      </w:pPr>
      <w:r>
        <w:rPr>
          <w:color w:val="000000"/>
          <w:spacing w:val="0"/>
          <w:w w:val="100"/>
          <w:position w:val="0"/>
        </w:rPr>
        <w:t>本期债券最迟不晚于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日披露</w:t>
      </w:r>
      <w:r>
        <w:rPr>
          <w:rFonts w:ascii="Times New Roman" w:eastAsia="Times New Roman" w:hAnsi="Times New Roman" w:cs="Times New Roman"/>
          <w:color w:val="000000"/>
          <w:spacing w:val="0"/>
          <w:w w:val="100"/>
          <w:position w:val="0"/>
        </w:rPr>
        <w:t>2016</w:t>
      </w:r>
      <w:r>
        <w:rPr>
          <w:color w:val="000000"/>
          <w:spacing w:val="0"/>
          <w:w w:val="100"/>
          <w:position w:val="0"/>
        </w:rPr>
        <w:t>年度公司债券评级情况，请广大投资者关注巨 潮资讯网公告。</w:t>
      </w:r>
    </w:p>
    <w:p>
      <w:pPr>
        <w:pStyle w:val="Style32"/>
        <w:keepNext w:val="0"/>
        <w:keepLines w:val="0"/>
        <w:widowControl w:val="0"/>
        <w:shd w:val="clear" w:color="auto" w:fill="auto"/>
        <w:bidi w:val="0"/>
        <w:spacing w:before="0" w:after="200" w:line="473" w:lineRule="exact"/>
        <w:ind w:left="0" w:right="0" w:firstLine="46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日，本期债券资信评级机构中诚信证券评估有限公司出具了《苏宁云商集团股份 有限公司</w:t>
      </w:r>
      <w:r>
        <w:rPr>
          <w:rFonts w:ascii="Times New Roman" w:eastAsia="Times New Roman" w:hAnsi="Times New Roman" w:cs="Times New Roman"/>
          <w:color w:val="000000"/>
          <w:spacing w:val="0"/>
          <w:w w:val="100"/>
          <w:position w:val="0"/>
        </w:rPr>
        <w:t>2013</w:t>
      </w:r>
      <w:r>
        <w:rPr>
          <w:color w:val="000000"/>
          <w:spacing w:val="0"/>
          <w:w w:val="100"/>
          <w:position w:val="0"/>
        </w:rPr>
        <w:t>年公司债券（第二期）跟踪评级报告（</w:t>
      </w:r>
      <w:r>
        <w:rPr>
          <w:rFonts w:ascii="Times New Roman" w:eastAsia="Times New Roman" w:hAnsi="Times New Roman" w:cs="Times New Roman"/>
          <w:color w:val="000000"/>
          <w:spacing w:val="0"/>
          <w:w w:val="100"/>
          <w:position w:val="0"/>
        </w:rPr>
        <w:t>2016</w:t>
      </w:r>
      <w:r>
        <w:rPr>
          <w:color w:val="000000"/>
          <w:spacing w:val="0"/>
          <w:w w:val="100"/>
          <w:position w:val="0"/>
        </w:rPr>
        <w:t>）》，本次跟踪的主体信用等级为</w:t>
      </w:r>
      <w:r>
        <w:rPr>
          <w:rFonts w:ascii="Times New Roman" w:eastAsia="Times New Roman" w:hAnsi="Times New Roman" w:cs="Times New Roman"/>
          <w:color w:val="000000"/>
          <w:spacing w:val="0"/>
          <w:w w:val="100"/>
          <w:position w:val="0"/>
        </w:rPr>
        <w:t>AAA</w:t>
      </w:r>
      <w:r>
        <w:rPr>
          <w:color w:val="000000"/>
          <w:spacing w:val="0"/>
          <w:w w:val="100"/>
          <w:position w:val="0"/>
        </w:rPr>
        <w:t xml:space="preserve">， </w:t>
      </w:r>
      <w:r>
        <w:rPr>
          <w:color w:val="000000"/>
          <w:spacing w:val="0"/>
          <w:w w:val="100"/>
          <w:position w:val="0"/>
        </w:rPr>
        <w:t>评级展望稳定，维持本期债券的信用等级为</w:t>
      </w:r>
      <w:r>
        <w:rPr>
          <w:rFonts w:ascii="Times New Roman" w:eastAsia="Times New Roman" w:hAnsi="Times New Roman" w:cs="Times New Roman"/>
          <w:color w:val="000000"/>
          <w:spacing w:val="0"/>
          <w:w w:val="100"/>
          <w:position w:val="0"/>
        </w:rPr>
        <w:t>AAA</w:t>
      </w:r>
      <w:r>
        <w:rPr>
          <w:color w:val="000000"/>
          <w:spacing w:val="0"/>
          <w:w w:val="100"/>
          <w:position w:val="0"/>
        </w:rPr>
        <w:t>。</w:t>
      </w:r>
    </w:p>
    <w:p>
      <w:pPr>
        <w:pStyle w:val="Style32"/>
        <w:keepNext w:val="0"/>
        <w:keepLines w:val="0"/>
        <w:widowControl w:val="0"/>
        <w:shd w:val="clear" w:color="auto" w:fill="auto"/>
        <w:tabs>
          <w:tab w:pos="517" w:val="left"/>
        </w:tabs>
        <w:bidi w:val="0"/>
        <w:spacing w:before="0" w:after="400" w:line="465" w:lineRule="exact"/>
        <w:ind w:left="0" w:right="0" w:firstLine="0"/>
        <w:jc w:val="left"/>
        <w:rPr>
          <w:sz w:val="24"/>
          <w:szCs w:val="24"/>
        </w:rPr>
      </w:pPr>
      <w:bookmarkStart w:id="565" w:name="bookmark565"/>
      <w:r>
        <w:rPr>
          <w:b/>
          <w:bCs/>
          <w:color w:val="000000"/>
          <w:spacing w:val="0"/>
          <w:w w:val="100"/>
          <w:position w:val="0"/>
          <w:sz w:val="24"/>
          <w:szCs w:val="24"/>
        </w:rPr>
        <w:t>五</w:t>
      </w:r>
      <w:bookmarkEnd w:id="565"/>
      <w:r>
        <w:rPr>
          <w:b/>
          <w:bCs/>
          <w:color w:val="000000"/>
          <w:spacing w:val="0"/>
          <w:w w:val="100"/>
          <w:position w:val="0"/>
          <w:sz w:val="24"/>
          <w:szCs w:val="24"/>
        </w:rPr>
        <w:t>、</w:t>
        <w:tab/>
        <w:t>公司债券增信机制、偿债计划及其他偿债保障措施</w:t>
      </w:r>
    </w:p>
    <w:p>
      <w:pPr>
        <w:pStyle w:val="Style53"/>
        <w:keepNext w:val="0"/>
        <w:keepLines w:val="0"/>
        <w:widowControl w:val="0"/>
        <w:shd w:val="clear" w:color="auto" w:fill="auto"/>
        <w:tabs>
          <w:tab w:pos="818" w:val="left"/>
        </w:tabs>
        <w:bidi w:val="0"/>
        <w:spacing w:before="0" w:after="0" w:line="442" w:lineRule="auto"/>
        <w:ind w:left="0" w:right="0"/>
        <w:jc w:val="both"/>
      </w:pPr>
      <w:bookmarkStart w:id="566" w:name="bookmark566"/>
      <w:r>
        <w:rPr>
          <w:color w:val="000000"/>
          <w:spacing w:val="0"/>
          <w:w w:val="100"/>
          <w:position w:val="0"/>
        </w:rPr>
        <w:t>1</w:t>
      </w:r>
      <w:bookmarkEnd w:id="566"/>
      <w:r>
        <w:rPr>
          <w:rFonts w:ascii="SimSun" w:eastAsia="SimSun" w:hAnsi="SimSun" w:cs="SimSun"/>
          <w:color w:val="000000"/>
          <w:spacing w:val="0"/>
          <w:w w:val="100"/>
          <w:position w:val="0"/>
        </w:rPr>
        <w:t>、</w:t>
        <w:tab/>
      </w:r>
      <w:r>
        <w:rPr>
          <w:color w:val="000000"/>
          <w:spacing w:val="0"/>
          <w:w w:val="100"/>
          <w:position w:val="0"/>
        </w:rPr>
        <w:t>12</w:t>
      </w:r>
      <w:r>
        <w:rPr>
          <w:rFonts w:ascii="SimSun" w:eastAsia="SimSun" w:hAnsi="SimSun" w:cs="SimSun"/>
          <w:color w:val="000000"/>
          <w:spacing w:val="0"/>
          <w:w w:val="100"/>
          <w:position w:val="0"/>
        </w:rPr>
        <w:t>苏宁</w:t>
      </w:r>
      <w:r>
        <w:rPr>
          <w:color w:val="000000"/>
          <w:spacing w:val="0"/>
          <w:w w:val="100"/>
          <w:position w:val="0"/>
        </w:rPr>
        <w:t>01</w:t>
      </w:r>
    </w:p>
    <w:p>
      <w:pPr>
        <w:pStyle w:val="Style32"/>
        <w:keepNext w:val="0"/>
        <w:keepLines w:val="0"/>
        <w:widowControl w:val="0"/>
        <w:shd w:val="clear" w:color="auto" w:fill="auto"/>
        <w:bidi w:val="0"/>
        <w:spacing w:before="0" w:after="200" w:line="465" w:lineRule="exact"/>
        <w:ind w:left="0" w:right="0" w:firstLine="460"/>
        <w:jc w:val="both"/>
      </w:pPr>
      <w:r>
        <w:rPr>
          <w:color w:val="000000"/>
          <w:spacing w:val="0"/>
          <w:w w:val="100"/>
          <w:position w:val="0"/>
        </w:rPr>
        <w:t>本期债券未出具相关增信机制。报告期内，公司根据债务结构进一步加强资产负债管理、流动 性管理，保证资金按计划使用，及时、足额准备资金用于每年的利息支付和到期的本金兑付，以充 分保障投资者的利益。公司偿债计划及其他偿债保障措施，详见公司</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日巨潮资讯网 《公开发行</w:t>
      </w:r>
      <w:r>
        <w:rPr>
          <w:rFonts w:ascii="Times New Roman" w:eastAsia="Times New Roman" w:hAnsi="Times New Roman" w:cs="Times New Roman"/>
          <w:color w:val="000000"/>
          <w:spacing w:val="0"/>
          <w:w w:val="100"/>
          <w:position w:val="0"/>
        </w:rPr>
        <w:t>2012</w:t>
      </w:r>
      <w:r>
        <w:rPr>
          <w:color w:val="000000"/>
          <w:spacing w:val="0"/>
          <w:w w:val="100"/>
          <w:position w:val="0"/>
        </w:rPr>
        <w:t>年公司债券（第一期）募集说明书》</w:t>
      </w:r>
      <w:r>
        <w:rPr>
          <w:rFonts w:ascii="Times New Roman" w:eastAsia="Times New Roman" w:hAnsi="Times New Roman" w:cs="Times New Roman"/>
          <w:color w:val="000000"/>
          <w:spacing w:val="0"/>
          <w:w w:val="100"/>
          <w:position w:val="0"/>
        </w:rPr>
        <w:t>“</w:t>
      </w:r>
      <w:r>
        <w:rPr>
          <w:color w:val="000000"/>
          <w:spacing w:val="0"/>
          <w:w w:val="100"/>
          <w:position w:val="0"/>
        </w:rPr>
        <w:t>第四节偿债计划及其他保障措施</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32"/>
        <w:keepNext w:val="0"/>
        <w:keepLines w:val="0"/>
        <w:widowControl w:val="0"/>
        <w:shd w:val="clear" w:color="auto" w:fill="auto"/>
        <w:tabs>
          <w:tab w:pos="842" w:val="left"/>
        </w:tabs>
        <w:bidi w:val="0"/>
        <w:spacing w:before="0" w:after="0" w:line="442" w:lineRule="auto"/>
        <w:ind w:left="0" w:right="0" w:firstLine="460"/>
        <w:jc w:val="both"/>
      </w:pPr>
      <w:bookmarkStart w:id="567" w:name="bookmark567"/>
      <w:r>
        <w:rPr>
          <w:rFonts w:ascii="Times New Roman" w:eastAsia="Times New Roman" w:hAnsi="Times New Roman" w:cs="Times New Roman"/>
          <w:color w:val="000000"/>
          <w:spacing w:val="0"/>
          <w:w w:val="100"/>
          <w:position w:val="0"/>
        </w:rPr>
        <w:t>2</w:t>
      </w:r>
      <w:bookmarkEnd w:id="567"/>
      <w:r>
        <w:rPr>
          <w:color w:val="000000"/>
          <w:spacing w:val="0"/>
          <w:w w:val="100"/>
          <w:position w:val="0"/>
        </w:rPr>
        <w:t>、</w:t>
        <w:tab/>
      </w:r>
      <w:r>
        <w:rPr>
          <w:rFonts w:ascii="Times New Roman" w:eastAsia="Times New Roman" w:hAnsi="Times New Roman" w:cs="Times New Roman"/>
          <w:color w:val="000000"/>
          <w:spacing w:val="0"/>
          <w:w w:val="100"/>
          <w:position w:val="0"/>
        </w:rPr>
        <w:t>13</w:t>
      </w:r>
      <w:r>
        <w:rPr>
          <w:color w:val="000000"/>
          <w:spacing w:val="0"/>
          <w:w w:val="100"/>
          <w:position w:val="0"/>
        </w:rPr>
        <w:t>苏宁债</w:t>
      </w:r>
    </w:p>
    <w:p>
      <w:pPr>
        <w:pStyle w:val="Style32"/>
        <w:keepNext w:val="0"/>
        <w:keepLines w:val="0"/>
        <w:widowControl w:val="0"/>
        <w:shd w:val="clear" w:color="auto" w:fill="auto"/>
        <w:bidi w:val="0"/>
        <w:spacing w:before="0" w:after="200" w:line="465" w:lineRule="exact"/>
        <w:ind w:left="0" w:right="0" w:firstLine="460"/>
        <w:jc w:val="both"/>
      </w:pPr>
      <w:r>
        <w:rPr>
          <w:color w:val="000000"/>
          <w:spacing w:val="0"/>
          <w:w w:val="100"/>
          <w:position w:val="0"/>
        </w:rPr>
        <w:t>本期债券未出具相关增信机制。报告期内，公司根据债务结构进一步加强资产负债管理、流动 性管理，保证资金按计划使用，及时、足额准备资金用于每年的利息支付和到期的本金兑付，以充 分保障投资者的利益。公司偿债计划及其他偿债保障措施，详见公司</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日巨潮资讯网 《公开发行</w:t>
      </w:r>
      <w:r>
        <w:rPr>
          <w:rFonts w:ascii="Times New Roman" w:eastAsia="Times New Roman" w:hAnsi="Times New Roman" w:cs="Times New Roman"/>
          <w:color w:val="000000"/>
          <w:spacing w:val="0"/>
          <w:w w:val="100"/>
          <w:position w:val="0"/>
        </w:rPr>
        <w:t>2013</w:t>
      </w:r>
      <w:r>
        <w:rPr>
          <w:color w:val="000000"/>
          <w:spacing w:val="0"/>
          <w:w w:val="100"/>
          <w:position w:val="0"/>
        </w:rPr>
        <w:t>年公司债券（第二期）募集说明书》</w:t>
      </w:r>
      <w:r>
        <w:rPr>
          <w:rFonts w:ascii="Times New Roman" w:eastAsia="Times New Roman" w:hAnsi="Times New Roman" w:cs="Times New Roman"/>
          <w:color w:val="000000"/>
          <w:spacing w:val="0"/>
          <w:w w:val="100"/>
          <w:position w:val="0"/>
        </w:rPr>
        <w:t>“</w:t>
      </w:r>
      <w:r>
        <w:rPr>
          <w:color w:val="000000"/>
          <w:spacing w:val="0"/>
          <w:w w:val="100"/>
          <w:position w:val="0"/>
        </w:rPr>
        <w:t>第四节偿债计划及其他保障措施</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32"/>
        <w:keepNext w:val="0"/>
        <w:keepLines w:val="0"/>
        <w:widowControl w:val="0"/>
        <w:shd w:val="clear" w:color="auto" w:fill="auto"/>
        <w:tabs>
          <w:tab w:pos="517" w:val="left"/>
        </w:tabs>
        <w:bidi w:val="0"/>
        <w:spacing w:before="0" w:after="200" w:line="465" w:lineRule="exact"/>
        <w:ind w:left="0" w:right="0" w:firstLine="0"/>
        <w:jc w:val="left"/>
        <w:rPr>
          <w:sz w:val="24"/>
          <w:szCs w:val="24"/>
        </w:rPr>
      </w:pPr>
      <w:bookmarkStart w:id="568" w:name="bookmark568"/>
      <w:r>
        <w:rPr>
          <w:b/>
          <w:bCs/>
          <w:color w:val="000000"/>
          <w:spacing w:val="0"/>
          <w:w w:val="100"/>
          <w:position w:val="0"/>
          <w:sz w:val="24"/>
          <w:szCs w:val="24"/>
        </w:rPr>
        <w:t>六</w:t>
      </w:r>
      <w:bookmarkEnd w:id="568"/>
      <w:r>
        <w:rPr>
          <w:b/>
          <w:bCs/>
          <w:color w:val="000000"/>
          <w:spacing w:val="0"/>
          <w:w w:val="100"/>
          <w:position w:val="0"/>
          <w:sz w:val="24"/>
          <w:szCs w:val="24"/>
        </w:rPr>
        <w:t>、</w:t>
        <w:tab/>
        <w:t>报告期内债券持有人会议的召开情况</w:t>
      </w:r>
    </w:p>
    <w:p>
      <w:pPr>
        <w:pStyle w:val="Style32"/>
        <w:keepNext w:val="0"/>
        <w:keepLines w:val="0"/>
        <w:widowControl w:val="0"/>
        <w:shd w:val="clear" w:color="auto" w:fill="auto"/>
        <w:bidi w:val="0"/>
        <w:spacing w:before="0" w:after="200" w:line="465" w:lineRule="exact"/>
        <w:ind w:left="0" w:right="0" w:firstLine="460"/>
        <w:jc w:val="both"/>
      </w:pPr>
      <w:r>
        <w:rPr>
          <w:color w:val="000000"/>
          <w:spacing w:val="0"/>
          <w:w w:val="100"/>
          <w:position w:val="0"/>
        </w:rPr>
        <w:t>报告期内，</w:t>
      </w:r>
      <w:r>
        <w:rPr>
          <w:rFonts w:ascii="Times New Roman" w:eastAsia="Times New Roman" w:hAnsi="Times New Roman" w:cs="Times New Roman"/>
          <w:color w:val="000000"/>
          <w:spacing w:val="0"/>
          <w:w w:val="100"/>
          <w:position w:val="0"/>
        </w:rPr>
        <w:t>12</w:t>
      </w:r>
      <w:r>
        <w:rPr>
          <w:color w:val="000000"/>
          <w:spacing w:val="0"/>
          <w:w w:val="100"/>
          <w:position w:val="0"/>
        </w:rPr>
        <w:t>苏宁</w:t>
      </w:r>
      <w:r>
        <w:rPr>
          <w:rFonts w:ascii="Times New Roman" w:eastAsia="Times New Roman" w:hAnsi="Times New Roman" w:cs="Times New Roman"/>
          <w:color w:val="000000"/>
          <w:spacing w:val="0"/>
          <w:w w:val="100"/>
          <w:position w:val="0"/>
        </w:rPr>
        <w:t>01</w:t>
      </w:r>
      <w:r>
        <w:rPr>
          <w:color w:val="000000"/>
          <w:spacing w:val="0"/>
          <w:w w:val="100"/>
          <w:position w:val="0"/>
        </w:rPr>
        <w:t>、</w:t>
      </w:r>
      <w:r>
        <w:rPr>
          <w:rFonts w:ascii="Times New Roman" w:eastAsia="Times New Roman" w:hAnsi="Times New Roman" w:cs="Times New Roman"/>
          <w:color w:val="000000"/>
          <w:spacing w:val="0"/>
          <w:w w:val="100"/>
          <w:position w:val="0"/>
        </w:rPr>
        <w:t>13</w:t>
      </w:r>
      <w:r>
        <w:rPr>
          <w:color w:val="000000"/>
          <w:spacing w:val="0"/>
          <w:w w:val="100"/>
          <w:position w:val="0"/>
        </w:rPr>
        <w:t>苏宁债均未召开债券持有人会议。</w:t>
      </w:r>
    </w:p>
    <w:p>
      <w:pPr>
        <w:pStyle w:val="Style32"/>
        <w:keepNext w:val="0"/>
        <w:keepLines w:val="0"/>
        <w:widowControl w:val="0"/>
        <w:shd w:val="clear" w:color="auto" w:fill="auto"/>
        <w:tabs>
          <w:tab w:pos="522" w:val="left"/>
        </w:tabs>
        <w:bidi w:val="0"/>
        <w:spacing w:before="0" w:after="400" w:line="465" w:lineRule="exact"/>
        <w:ind w:left="0" w:right="0" w:firstLine="0"/>
        <w:jc w:val="left"/>
        <w:rPr>
          <w:sz w:val="24"/>
          <w:szCs w:val="24"/>
        </w:rPr>
      </w:pPr>
      <w:bookmarkStart w:id="569" w:name="bookmark569"/>
      <w:r>
        <w:rPr>
          <w:b/>
          <w:bCs/>
          <w:color w:val="000000"/>
          <w:spacing w:val="0"/>
          <w:w w:val="100"/>
          <w:position w:val="0"/>
          <w:sz w:val="24"/>
          <w:szCs w:val="24"/>
        </w:rPr>
        <w:t>七</w:t>
      </w:r>
      <w:bookmarkEnd w:id="569"/>
      <w:r>
        <w:rPr>
          <w:b/>
          <w:bCs/>
          <w:color w:val="000000"/>
          <w:spacing w:val="0"/>
          <w:w w:val="100"/>
          <w:position w:val="0"/>
          <w:sz w:val="24"/>
          <w:szCs w:val="24"/>
        </w:rPr>
        <w:t>、</w:t>
        <w:tab/>
        <w:t>报告期内债券受托管理人履行职责的情况</w:t>
      </w:r>
    </w:p>
    <w:p>
      <w:pPr>
        <w:pStyle w:val="Style53"/>
        <w:keepNext w:val="0"/>
        <w:keepLines w:val="0"/>
        <w:widowControl w:val="0"/>
        <w:shd w:val="clear" w:color="auto" w:fill="auto"/>
        <w:tabs>
          <w:tab w:pos="818" w:val="left"/>
        </w:tabs>
        <w:bidi w:val="0"/>
        <w:spacing w:before="0" w:after="0" w:line="439" w:lineRule="auto"/>
        <w:ind w:left="0" w:right="0"/>
        <w:jc w:val="both"/>
      </w:pPr>
      <w:bookmarkStart w:id="570" w:name="bookmark570"/>
      <w:r>
        <w:rPr>
          <w:color w:val="000000"/>
          <w:spacing w:val="0"/>
          <w:w w:val="100"/>
          <w:position w:val="0"/>
        </w:rPr>
        <w:t>1</w:t>
      </w:r>
      <w:bookmarkEnd w:id="570"/>
      <w:r>
        <w:rPr>
          <w:rFonts w:ascii="SimSun" w:eastAsia="SimSun" w:hAnsi="SimSun" w:cs="SimSun"/>
          <w:color w:val="000000"/>
          <w:spacing w:val="0"/>
          <w:w w:val="100"/>
          <w:position w:val="0"/>
        </w:rPr>
        <w:t>、</w:t>
        <w:tab/>
      </w:r>
      <w:r>
        <w:rPr>
          <w:color w:val="000000"/>
          <w:spacing w:val="0"/>
          <w:w w:val="100"/>
          <w:position w:val="0"/>
        </w:rPr>
        <w:t>12</w:t>
      </w:r>
      <w:r>
        <w:rPr>
          <w:rFonts w:ascii="SimSun" w:eastAsia="SimSun" w:hAnsi="SimSun" w:cs="SimSun"/>
          <w:color w:val="000000"/>
          <w:spacing w:val="0"/>
          <w:w w:val="100"/>
          <w:position w:val="0"/>
        </w:rPr>
        <w:t>苏宁</w:t>
      </w:r>
      <w:r>
        <w:rPr>
          <w:color w:val="000000"/>
          <w:spacing w:val="0"/>
          <w:w w:val="100"/>
          <w:position w:val="0"/>
        </w:rPr>
        <w:t>01</w:t>
      </w:r>
    </w:p>
    <w:p>
      <w:pPr>
        <w:pStyle w:val="Style32"/>
        <w:keepNext w:val="0"/>
        <w:keepLines w:val="0"/>
        <w:widowControl w:val="0"/>
        <w:shd w:val="clear" w:color="auto" w:fill="auto"/>
        <w:bidi w:val="0"/>
        <w:spacing w:before="0" w:after="200" w:line="463" w:lineRule="exact"/>
        <w:ind w:left="0" w:right="0" w:firstLine="46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日，本期债券受托管理人华泰联合证券有限责任公司出具《苏宁云商集团股份有 限公司公开发行</w:t>
      </w:r>
      <w:r>
        <w:rPr>
          <w:rFonts w:ascii="Times New Roman" w:eastAsia="Times New Roman" w:hAnsi="Times New Roman" w:cs="Times New Roman"/>
          <w:color w:val="000000"/>
          <w:spacing w:val="0"/>
          <w:w w:val="100"/>
          <w:position w:val="0"/>
        </w:rPr>
        <w:t>2012</w:t>
      </w:r>
      <w:r>
        <w:rPr>
          <w:color w:val="000000"/>
          <w:spacing w:val="0"/>
          <w:w w:val="100"/>
          <w:position w:val="0"/>
        </w:rPr>
        <w:t>年公司债券（第一期）受托管理事务报告》（</w:t>
      </w:r>
      <w:r>
        <w:rPr>
          <w:rFonts w:ascii="Times New Roman" w:eastAsia="Times New Roman" w:hAnsi="Times New Roman" w:cs="Times New Roman"/>
          <w:color w:val="000000"/>
          <w:spacing w:val="0"/>
          <w:w w:val="100"/>
          <w:position w:val="0"/>
        </w:rPr>
        <w:t>2015</w:t>
      </w:r>
      <w:r>
        <w:rPr>
          <w:color w:val="000000"/>
          <w:spacing w:val="0"/>
          <w:w w:val="100"/>
          <w:position w:val="0"/>
        </w:rPr>
        <w:t>年度）。</w:t>
      </w:r>
    </w:p>
    <w:p>
      <w:pPr>
        <w:pStyle w:val="Style32"/>
        <w:keepNext w:val="0"/>
        <w:keepLines w:val="0"/>
        <w:widowControl w:val="0"/>
        <w:shd w:val="clear" w:color="auto" w:fill="auto"/>
        <w:tabs>
          <w:tab w:pos="842" w:val="left"/>
        </w:tabs>
        <w:bidi w:val="0"/>
        <w:spacing w:before="0" w:after="0" w:line="439" w:lineRule="auto"/>
        <w:ind w:left="0" w:right="0" w:firstLine="460"/>
        <w:jc w:val="both"/>
      </w:pPr>
      <w:bookmarkStart w:id="571" w:name="bookmark571"/>
      <w:r>
        <w:rPr>
          <w:rFonts w:ascii="Times New Roman" w:eastAsia="Times New Roman" w:hAnsi="Times New Roman" w:cs="Times New Roman"/>
          <w:color w:val="000000"/>
          <w:spacing w:val="0"/>
          <w:w w:val="100"/>
          <w:position w:val="0"/>
        </w:rPr>
        <w:t>2</w:t>
      </w:r>
      <w:bookmarkEnd w:id="571"/>
      <w:r>
        <w:rPr>
          <w:color w:val="000000"/>
          <w:spacing w:val="0"/>
          <w:w w:val="100"/>
          <w:position w:val="0"/>
        </w:rPr>
        <w:t>、</w:t>
        <w:tab/>
      </w:r>
      <w:r>
        <w:rPr>
          <w:rFonts w:ascii="Times New Roman" w:eastAsia="Times New Roman" w:hAnsi="Times New Roman" w:cs="Times New Roman"/>
          <w:color w:val="000000"/>
          <w:spacing w:val="0"/>
          <w:w w:val="100"/>
          <w:position w:val="0"/>
        </w:rPr>
        <w:t>13</w:t>
      </w:r>
      <w:r>
        <w:rPr>
          <w:color w:val="000000"/>
          <w:spacing w:val="0"/>
          <w:w w:val="100"/>
          <w:position w:val="0"/>
        </w:rPr>
        <w:t>苏宁债</w:t>
      </w:r>
    </w:p>
    <w:p>
      <w:pPr>
        <w:pStyle w:val="Style32"/>
        <w:keepNext w:val="0"/>
        <w:keepLines w:val="0"/>
        <w:widowControl w:val="0"/>
        <w:shd w:val="clear" w:color="auto" w:fill="auto"/>
        <w:bidi w:val="0"/>
        <w:spacing w:before="0" w:after="200" w:line="463" w:lineRule="exact"/>
        <w:ind w:left="0" w:right="0" w:firstLine="46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日，本期债券受托管理人华泰联合证券有限责任公司出具《苏宁云商集团股份有 限公司公开发行</w:t>
      </w:r>
      <w:r>
        <w:rPr>
          <w:rFonts w:ascii="Times New Roman" w:eastAsia="Times New Roman" w:hAnsi="Times New Roman" w:cs="Times New Roman"/>
          <w:color w:val="000000"/>
          <w:spacing w:val="0"/>
          <w:w w:val="100"/>
          <w:position w:val="0"/>
        </w:rPr>
        <w:t>2013</w:t>
      </w:r>
      <w:r>
        <w:rPr>
          <w:color w:val="000000"/>
          <w:spacing w:val="0"/>
          <w:w w:val="100"/>
          <w:position w:val="0"/>
        </w:rPr>
        <w:t>年公司债券（第二期）受托管理事务报告》（</w:t>
      </w:r>
      <w:r>
        <w:rPr>
          <w:rFonts w:ascii="Times New Roman" w:eastAsia="Times New Roman" w:hAnsi="Times New Roman" w:cs="Times New Roman"/>
          <w:color w:val="000000"/>
          <w:spacing w:val="0"/>
          <w:w w:val="100"/>
          <w:position w:val="0"/>
        </w:rPr>
        <w:t>2015</w:t>
      </w:r>
      <w:r>
        <w:rPr>
          <w:color w:val="000000"/>
          <w:spacing w:val="0"/>
          <w:w w:val="100"/>
          <w:position w:val="0"/>
        </w:rPr>
        <w:t>年度）。</w:t>
      </w:r>
      <w:r>
        <w:br w:type="page"/>
      </w:r>
    </w:p>
    <w:p>
      <w:pPr>
        <w:pStyle w:val="Style32"/>
        <w:keepNext w:val="0"/>
        <w:keepLines w:val="0"/>
        <w:widowControl w:val="0"/>
        <w:shd w:val="clear" w:color="auto" w:fill="auto"/>
        <w:bidi w:val="0"/>
        <w:spacing w:before="0" w:after="320" w:line="240" w:lineRule="auto"/>
        <w:ind w:left="0" w:right="0" w:firstLine="0"/>
        <w:jc w:val="left"/>
        <w:rPr>
          <w:sz w:val="24"/>
          <w:szCs w:val="24"/>
        </w:rPr>
      </w:pPr>
      <w:bookmarkStart w:id="572" w:name="bookmark572"/>
      <w:r>
        <w:rPr>
          <w:b/>
          <w:bCs/>
          <w:color w:val="000000"/>
          <w:spacing w:val="0"/>
          <w:w w:val="100"/>
          <w:position w:val="0"/>
          <w:sz w:val="24"/>
          <w:szCs w:val="24"/>
        </w:rPr>
        <w:t>八</w:t>
      </w:r>
      <w:bookmarkEnd w:id="572"/>
      <w:r>
        <w:rPr>
          <w:b/>
          <w:bCs/>
          <w:color w:val="000000"/>
          <w:spacing w:val="0"/>
          <w:w w:val="100"/>
          <w:position w:val="0"/>
          <w:sz w:val="24"/>
          <w:szCs w:val="24"/>
        </w:rPr>
        <w:t>、截至报告期末公司近</w:t>
      </w:r>
      <w:r>
        <w:rPr>
          <w:rFonts w:ascii="Times New Roman" w:eastAsia="Times New Roman" w:hAnsi="Times New Roman" w:cs="Times New Roman"/>
          <w:b/>
          <w:bCs/>
          <w:color w:val="000000"/>
          <w:spacing w:val="0"/>
          <w:w w:val="100"/>
          <w:position w:val="0"/>
          <w:sz w:val="24"/>
          <w:szCs w:val="24"/>
        </w:rPr>
        <w:t>2</w:t>
      </w:r>
      <w:r>
        <w:rPr>
          <w:b/>
          <w:bCs/>
          <w:color w:val="000000"/>
          <w:spacing w:val="0"/>
          <w:w w:val="100"/>
          <w:position w:val="0"/>
          <w:sz w:val="24"/>
          <w:szCs w:val="24"/>
        </w:rPr>
        <w:t>年的主要会计数据和财务指标</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单位：千元</w:t>
      </w:r>
    </w:p>
    <w:tbl>
      <w:tblPr>
        <w:tblOverlap w:val="never"/>
        <w:jc w:val="center"/>
        <w:tblLayout w:type="fixed"/>
      </w:tblPr>
      <w:tblGrid>
        <w:gridCol w:w="2381"/>
        <w:gridCol w:w="1421"/>
        <w:gridCol w:w="1272"/>
        <w:gridCol w:w="1421"/>
        <w:gridCol w:w="3370"/>
      </w:tblGrid>
      <w:tr>
        <w:trPr>
          <w:trHeight w:val="298" w:hRule="exact"/>
        </w:trPr>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rPr>
              <w:t>同期变动率</w:t>
            </w:r>
          </w:p>
        </w:tc>
        <w:tc>
          <w:tcPr>
            <w:tcBorders>
              <w:top w:val="single" w:sz="4"/>
              <w:left w:val="single" w:sz="4"/>
              <w:righ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r>
        <w:trPr>
          <w:trHeight w:val="298"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息税折旧摊销前利润</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3,286,947</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3,886,066</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-15.42%</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3180" w:right="0" w:firstLine="0"/>
              <w:jc w:val="left"/>
            </w:pPr>
            <w:r>
              <w:rPr>
                <w:rFonts w:ascii="Times New Roman" w:eastAsia="Times New Roman" w:hAnsi="Times New Roman" w:cs="Times New Roman"/>
                <w:color w:val="000000"/>
                <w:spacing w:val="0"/>
                <w:w w:val="100"/>
                <w:position w:val="0"/>
              </w:rPr>
              <w:t>-</w:t>
            </w:r>
          </w:p>
        </w:tc>
      </w:tr>
      <w:tr>
        <w:trPr>
          <w:trHeight w:val="2290" w:hRule="exact"/>
        </w:trPr>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83" w:lineRule="exact"/>
              <w:ind w:left="0" w:right="0" w:firstLine="0"/>
              <w:jc w:val="left"/>
            </w:pPr>
            <w:r>
              <w:rPr>
                <w:color w:val="000000"/>
                <w:spacing w:val="0"/>
                <w:w w:val="100"/>
                <w:position w:val="0"/>
              </w:rPr>
              <w:t>投资活动产生的现金 流量净额</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-39,612,524</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-286,185</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13741.58%</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84" w:lineRule="exact"/>
              <w:ind w:left="0" w:right="0" w:firstLine="0"/>
              <w:jc w:val="both"/>
            </w:pPr>
            <w:r>
              <w:rPr>
                <w:color w:val="000000"/>
                <w:spacing w:val="0"/>
                <w:w w:val="100"/>
                <w:position w:val="0"/>
              </w:rPr>
              <w:t xml:space="preserve">报告期内投资活动产生的现金流 量净流出额较大，主要由于一方 面报告期内公司出资人民币约 </w:t>
            </w:r>
            <w:r>
              <w:rPr>
                <w:rFonts w:ascii="Times New Roman" w:eastAsia="Times New Roman" w:hAnsi="Times New Roman" w:cs="Times New Roman"/>
                <w:color w:val="000000"/>
                <w:spacing w:val="0"/>
                <w:w w:val="100"/>
                <w:position w:val="0"/>
              </w:rPr>
              <w:t>140</w:t>
            </w:r>
            <w:r>
              <w:rPr>
                <w:color w:val="000000"/>
                <w:spacing w:val="0"/>
                <w:w w:val="100"/>
                <w:position w:val="0"/>
              </w:rPr>
              <w:t>亿元认购阿里巴巴集团发行 普通股份，另一方面报告期内公 司合理规划，增加购买理财产 品，提高资金使用效率，带来投 资活动现金净流出。</w:t>
            </w:r>
          </w:p>
        </w:tc>
      </w:tr>
      <w:tr>
        <w:trPr>
          <w:trHeight w:val="2578" w:hRule="exact"/>
        </w:trPr>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83" w:lineRule="exact"/>
              <w:ind w:left="0" w:right="0" w:firstLine="0"/>
              <w:jc w:val="left"/>
            </w:pPr>
            <w:r>
              <w:rPr>
                <w:color w:val="000000"/>
                <w:spacing w:val="0"/>
                <w:w w:val="100"/>
                <w:position w:val="0"/>
              </w:rPr>
              <w:t>筹资活动产生的现金 流量净额</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36,758,064</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2,896,375</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1169.11%</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88" w:lineRule="exact"/>
              <w:ind w:left="0" w:right="0" w:firstLine="0"/>
              <w:jc w:val="both"/>
            </w:pPr>
            <w:r>
              <w:rPr>
                <w:color w:val="000000"/>
                <w:spacing w:val="0"/>
                <w:w w:val="100"/>
                <w:position w:val="0"/>
              </w:rPr>
              <w:t xml:space="preserve">报告期内公司筹资活动产生的现 金流量净额较同期增加 </w:t>
            </w:r>
            <w:r>
              <w:rPr>
                <w:rFonts w:ascii="Times New Roman" w:eastAsia="Times New Roman" w:hAnsi="Times New Roman" w:cs="Times New Roman"/>
                <w:color w:val="000000"/>
                <w:spacing w:val="0"/>
                <w:w w:val="100"/>
                <w:position w:val="0"/>
              </w:rPr>
              <w:t>1169.11%</w:t>
            </w:r>
            <w:r>
              <w:rPr>
                <w:color w:val="000000"/>
                <w:spacing w:val="0"/>
                <w:w w:val="100"/>
                <w:position w:val="0"/>
              </w:rPr>
              <w:t>，主要原因是报告期内 公司实施完成非公开发行普通股 股份，募集资金净额</w:t>
            </w:r>
            <w:r>
              <w:rPr>
                <w:rFonts w:ascii="Times New Roman" w:eastAsia="Times New Roman" w:hAnsi="Times New Roman" w:cs="Times New Roman"/>
                <w:color w:val="000000"/>
                <w:spacing w:val="0"/>
                <w:w w:val="100"/>
                <w:position w:val="0"/>
              </w:rPr>
              <w:t>290.85</w:t>
            </w:r>
            <w:r>
              <w:rPr>
                <w:color w:val="000000"/>
                <w:spacing w:val="0"/>
                <w:w w:val="100"/>
                <w:position w:val="0"/>
              </w:rPr>
              <w:t>亿 元，以及公司子公司苏宁金服完 成</w:t>
            </w:r>
            <w:r>
              <w:rPr>
                <w:rFonts w:ascii="Times New Roman" w:eastAsia="Times New Roman" w:hAnsi="Times New Roman" w:cs="Times New Roman"/>
                <w:color w:val="000000"/>
                <w:spacing w:val="0"/>
                <w:w w:val="100"/>
                <w:position w:val="0"/>
              </w:rPr>
              <w:t>58.33</w:t>
            </w:r>
            <w:r>
              <w:rPr>
                <w:color w:val="000000"/>
                <w:spacing w:val="0"/>
                <w:w w:val="100"/>
                <w:position w:val="0"/>
              </w:rPr>
              <w:t>亿元股权融资，此外申请 银行专项贷款用于认购阿里巴巴 股份。</w:t>
            </w:r>
          </w:p>
        </w:tc>
      </w:tr>
      <w:tr>
        <w:trPr>
          <w:trHeight w:val="581"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93" w:lineRule="exact"/>
              <w:ind w:left="0" w:right="0" w:firstLine="0"/>
              <w:jc w:val="left"/>
            </w:pPr>
            <w:r>
              <w:rPr>
                <w:color w:val="000000"/>
                <w:spacing w:val="0"/>
                <w:w w:val="100"/>
                <w:position w:val="0"/>
              </w:rPr>
              <w:t>期末现金及现金等价 物余额</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17,901,707</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16,818,166</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6.44%</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3180" w:right="0" w:firstLine="0"/>
              <w:jc w:val="left"/>
            </w:pPr>
            <w:r>
              <w:rPr>
                <w:rFonts w:ascii="Times New Roman" w:eastAsia="Times New Roman" w:hAnsi="Times New Roman" w:cs="Times New Roman"/>
                <w:color w:val="000000"/>
                <w:spacing w:val="0"/>
                <w:w w:val="100"/>
                <w:position w:val="0"/>
              </w:rPr>
              <w:t>-</w:t>
            </w:r>
          </w:p>
        </w:tc>
      </w:tr>
      <w:tr>
        <w:trPr>
          <w:trHeight w:val="298" w:hRule="exact"/>
        </w:trPr>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流动比率</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1.34</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1.24</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0.10</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资产负债率</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49.02%</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63.75%</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-14.73%</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速动比率</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0.77</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0.85</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-0.08</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EBITDA</w:t>
            </w:r>
            <w:r>
              <w:rPr>
                <w:color w:val="000000"/>
                <w:spacing w:val="0"/>
                <w:w w:val="100"/>
                <w:position w:val="0"/>
              </w:rPr>
              <w:t>全部债务比</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0.08</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0.11</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-0.03</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利息保障倍数</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2.18</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2.30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-5.22%</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现金利息保障倍数</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8.35</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7.52</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11.04%</w:t>
            </w:r>
          </w:p>
        </w:tc>
        <w:tc>
          <w:tcPr>
            <w:tcBorders>
              <w:top w:val="single" w:sz="4"/>
              <w:left w:val="single" w:sz="4"/>
              <w:right w:val="single" w:sz="4"/>
            </w:tcBorders>
            <w:shd w:val="clear" w:color="auto" w:fill="FFFFFF"/>
            <w:vAlign w:val="top"/>
          </w:tcPr>
          <w:p>
            <w:pPr>
              <w:widowControl w:val="0"/>
              <w:rPr>
                <w:sz w:val="10"/>
                <w:szCs w:val="10"/>
              </w:rPr>
            </w:pPr>
          </w:p>
        </w:tc>
      </w:tr>
      <w:tr>
        <w:trPr>
          <w:trHeight w:val="581"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EBITDA</w:t>
            </w:r>
            <w:r>
              <w:rPr>
                <w:color w:val="000000"/>
                <w:spacing w:val="0"/>
                <w:w w:val="100"/>
                <w:position w:val="0"/>
              </w:rPr>
              <w:t>利息保障倍 数</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4.85</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6.80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-28.68%</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贷款偿还率</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3180" w:right="0" w:firstLine="0"/>
              <w:jc w:val="left"/>
            </w:pPr>
            <w:r>
              <w:rPr>
                <w:rFonts w:ascii="Times New Roman" w:eastAsia="Times New Roman" w:hAnsi="Times New Roman" w:cs="Times New Roman"/>
                <w:color w:val="000000"/>
                <w:spacing w:val="0"/>
                <w:w w:val="100"/>
                <w:position w:val="0"/>
              </w:rPr>
              <w:t>-</w:t>
            </w:r>
          </w:p>
        </w:tc>
      </w:tr>
      <w:tr>
        <w:trPr>
          <w:trHeight w:val="298" w:hRule="exact"/>
        </w:trPr>
        <w:tc>
          <w:tcPr>
            <w:tcBorders>
              <w:top w:val="single" w:sz="4"/>
              <w:left w:val="single" w:sz="4"/>
              <w:bottom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利息偿付率</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3180" w:right="0" w:firstLine="0"/>
              <w:jc w:val="left"/>
            </w:pPr>
            <w:r>
              <w:rPr>
                <w:rFonts w:ascii="Times New Roman" w:eastAsia="Times New Roman" w:hAnsi="Times New Roman" w:cs="Times New Roman"/>
                <w:color w:val="000000"/>
                <w:spacing w:val="0"/>
                <w:w w:val="100"/>
                <w:position w:val="0"/>
              </w:rPr>
              <w:t>-</w:t>
            </w:r>
          </w:p>
        </w:tc>
      </w:tr>
    </w:tbl>
    <w:p>
      <w:pPr>
        <w:pStyle w:val="Style25"/>
        <w:keepNext w:val="0"/>
        <w:keepLines w:val="0"/>
        <w:widowControl w:val="0"/>
        <w:shd w:val="clear" w:color="auto" w:fill="auto"/>
        <w:bidi w:val="0"/>
        <w:spacing w:before="0" w:after="0" w:line="240" w:lineRule="auto"/>
        <w:ind w:left="91" w:right="0" w:firstLine="0"/>
        <w:jc w:val="left"/>
        <w:rPr>
          <w:sz w:val="20"/>
          <w:szCs w:val="20"/>
        </w:rPr>
      </w:pPr>
      <w:r>
        <w:rPr>
          <w:color w:val="000000"/>
          <w:spacing w:val="0"/>
          <w:w w:val="100"/>
          <w:position w:val="0"/>
          <w:sz w:val="20"/>
          <w:szCs w:val="20"/>
        </w:rPr>
        <w:t>注：(</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EBITDA</w:t>
      </w:r>
      <w:r>
        <w:rPr>
          <w:color w:val="000000"/>
          <w:spacing w:val="0"/>
          <w:w w:val="100"/>
          <w:position w:val="0"/>
          <w:sz w:val="20"/>
          <w:szCs w:val="20"/>
        </w:rPr>
        <w:t>全部债务比</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息税折旧摊销前利润</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全部债务</w:t>
      </w:r>
    </w:p>
    <w:p>
      <w:pPr>
        <w:widowControl w:val="0"/>
        <w:spacing w:after="199" w:line="1" w:lineRule="exact"/>
      </w:pPr>
    </w:p>
    <w:p>
      <w:pPr>
        <w:pStyle w:val="Style32"/>
        <w:keepNext w:val="0"/>
        <w:keepLines w:val="0"/>
        <w:widowControl w:val="0"/>
        <w:numPr>
          <w:ilvl w:val="0"/>
          <w:numId w:val="21"/>
        </w:numPr>
        <w:shd w:val="clear" w:color="auto" w:fill="auto"/>
        <w:tabs>
          <w:tab w:pos="708" w:val="left"/>
        </w:tabs>
        <w:bidi w:val="0"/>
        <w:spacing w:before="0" w:after="200" w:line="240" w:lineRule="auto"/>
        <w:ind w:left="0" w:right="0" w:firstLine="220"/>
        <w:jc w:val="left"/>
        <w:rPr>
          <w:sz w:val="20"/>
          <w:szCs w:val="20"/>
        </w:rPr>
      </w:pPr>
      <w:bookmarkStart w:id="573" w:name="bookmark573"/>
      <w:bookmarkEnd w:id="573"/>
      <w:r>
        <w:rPr>
          <w:color w:val="000000"/>
          <w:spacing w:val="0"/>
          <w:w w:val="100"/>
          <w:position w:val="0"/>
          <w:sz w:val="20"/>
          <w:szCs w:val="20"/>
        </w:rPr>
        <w:t>利息保障倍数</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息税前利润</w:t>
      </w:r>
      <w:r>
        <w:rPr>
          <w:rFonts w:ascii="Times New Roman" w:eastAsia="Times New Roman" w:hAnsi="Times New Roman" w:cs="Times New Roman"/>
          <w:color w:val="000000"/>
          <w:spacing w:val="0"/>
          <w:w w:val="100"/>
          <w:position w:val="0"/>
          <w:sz w:val="20"/>
          <w:szCs w:val="20"/>
        </w:rPr>
        <w:t xml:space="preserve">/ </w:t>
      </w:r>
      <w:r>
        <w:rPr>
          <w:color w:val="000000"/>
          <w:spacing w:val="0"/>
          <w:w w:val="100"/>
          <w:position w:val="0"/>
          <w:sz w:val="20"/>
          <w:szCs w:val="20"/>
        </w:rPr>
        <w:t>(计入财务费用的利息支出</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资本化的利息支出)</w:t>
      </w:r>
    </w:p>
    <w:p>
      <w:pPr>
        <w:pStyle w:val="Style32"/>
        <w:keepNext w:val="0"/>
        <w:keepLines w:val="0"/>
        <w:widowControl w:val="0"/>
        <w:numPr>
          <w:ilvl w:val="0"/>
          <w:numId w:val="21"/>
        </w:numPr>
        <w:shd w:val="clear" w:color="auto" w:fill="auto"/>
        <w:tabs>
          <w:tab w:pos="708" w:val="left"/>
        </w:tabs>
        <w:bidi w:val="0"/>
        <w:spacing w:before="0" w:after="200" w:line="240" w:lineRule="auto"/>
        <w:ind w:left="0" w:right="0" w:firstLine="220"/>
        <w:jc w:val="left"/>
        <w:rPr>
          <w:sz w:val="20"/>
          <w:szCs w:val="20"/>
        </w:rPr>
      </w:pPr>
      <w:bookmarkStart w:id="574" w:name="bookmark574"/>
      <w:bookmarkEnd w:id="574"/>
      <w:r>
        <w:rPr>
          <w:color w:val="000000"/>
          <w:spacing w:val="0"/>
          <w:w w:val="100"/>
          <w:position w:val="0"/>
          <w:sz w:val="20"/>
          <w:szCs w:val="20"/>
        </w:rPr>
        <w:t>现金利息保障倍数</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(经营活动产生的现金流量净额</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现金利息支出</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所得税付现)</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现金利息支出</w:t>
      </w:r>
    </w:p>
    <w:p>
      <w:pPr>
        <w:pStyle w:val="Style32"/>
        <w:keepNext w:val="0"/>
        <w:keepLines w:val="0"/>
        <w:widowControl w:val="0"/>
        <w:numPr>
          <w:ilvl w:val="0"/>
          <w:numId w:val="21"/>
        </w:numPr>
        <w:shd w:val="clear" w:color="auto" w:fill="auto"/>
        <w:tabs>
          <w:tab w:pos="708" w:val="left"/>
        </w:tabs>
        <w:bidi w:val="0"/>
        <w:spacing w:before="0" w:after="200" w:line="240" w:lineRule="auto"/>
        <w:ind w:left="0" w:right="0" w:firstLine="220"/>
        <w:jc w:val="left"/>
        <w:rPr>
          <w:sz w:val="20"/>
          <w:szCs w:val="20"/>
        </w:rPr>
      </w:pPr>
      <w:bookmarkStart w:id="575" w:name="bookmark575"/>
      <w:bookmarkEnd w:id="575"/>
      <w:r>
        <w:rPr>
          <w:rFonts w:ascii="Times New Roman" w:eastAsia="Times New Roman" w:hAnsi="Times New Roman" w:cs="Times New Roman"/>
          <w:color w:val="000000"/>
          <w:spacing w:val="0"/>
          <w:w w:val="100"/>
          <w:position w:val="0"/>
          <w:sz w:val="20"/>
          <w:szCs w:val="20"/>
        </w:rPr>
        <w:t>EBITDA</w:t>
      </w:r>
      <w:r>
        <w:rPr>
          <w:color w:val="000000"/>
          <w:spacing w:val="0"/>
          <w:w w:val="100"/>
          <w:position w:val="0"/>
          <w:sz w:val="20"/>
          <w:szCs w:val="20"/>
        </w:rPr>
        <w:t>利息保障倍数</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息税折旧摊销前利润</w:t>
      </w:r>
      <w:r>
        <w:rPr>
          <w:rFonts w:ascii="Times New Roman" w:eastAsia="Times New Roman" w:hAnsi="Times New Roman" w:cs="Times New Roman"/>
          <w:color w:val="000000"/>
          <w:spacing w:val="0"/>
          <w:w w:val="100"/>
          <w:position w:val="0"/>
          <w:sz w:val="20"/>
          <w:szCs w:val="20"/>
        </w:rPr>
        <w:t xml:space="preserve">/ </w:t>
      </w:r>
      <w:r>
        <w:rPr>
          <w:color w:val="000000"/>
          <w:spacing w:val="0"/>
          <w:w w:val="100"/>
          <w:position w:val="0"/>
          <w:sz w:val="20"/>
          <w:szCs w:val="20"/>
        </w:rPr>
        <w:t>(计入财务费用的利息支出</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资本化的利息支出)</w:t>
      </w:r>
    </w:p>
    <w:p>
      <w:pPr>
        <w:pStyle w:val="Style32"/>
        <w:keepNext w:val="0"/>
        <w:keepLines w:val="0"/>
        <w:widowControl w:val="0"/>
        <w:numPr>
          <w:ilvl w:val="0"/>
          <w:numId w:val="21"/>
        </w:numPr>
        <w:shd w:val="clear" w:color="auto" w:fill="auto"/>
        <w:tabs>
          <w:tab w:pos="708" w:val="left"/>
        </w:tabs>
        <w:bidi w:val="0"/>
        <w:spacing w:before="0" w:after="200" w:line="240" w:lineRule="auto"/>
        <w:ind w:left="0" w:right="0" w:firstLine="220"/>
        <w:jc w:val="left"/>
        <w:rPr>
          <w:sz w:val="20"/>
          <w:szCs w:val="20"/>
        </w:rPr>
      </w:pPr>
      <w:bookmarkStart w:id="576" w:name="bookmark576"/>
      <w:bookmarkEnd w:id="576"/>
      <w:r>
        <w:rPr>
          <w:color w:val="000000"/>
          <w:spacing w:val="0"/>
          <w:w w:val="100"/>
          <w:position w:val="0"/>
          <w:sz w:val="20"/>
          <w:szCs w:val="20"/>
        </w:rPr>
        <w:t>贷款偿还率</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实际贷款偿还额</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应偿还贷款额</w:t>
      </w:r>
    </w:p>
    <w:p>
      <w:pPr>
        <w:pStyle w:val="Style32"/>
        <w:keepNext w:val="0"/>
        <w:keepLines w:val="0"/>
        <w:widowControl w:val="0"/>
        <w:numPr>
          <w:ilvl w:val="0"/>
          <w:numId w:val="21"/>
        </w:numPr>
        <w:shd w:val="clear" w:color="auto" w:fill="auto"/>
        <w:tabs>
          <w:tab w:pos="708" w:val="left"/>
        </w:tabs>
        <w:bidi w:val="0"/>
        <w:spacing w:before="0" w:after="200" w:line="240" w:lineRule="auto"/>
        <w:ind w:left="0" w:right="0" w:firstLine="220"/>
        <w:jc w:val="left"/>
        <w:rPr>
          <w:sz w:val="20"/>
          <w:szCs w:val="20"/>
        </w:rPr>
      </w:pPr>
      <w:bookmarkStart w:id="577" w:name="bookmark577"/>
      <w:bookmarkEnd w:id="577"/>
      <w:r>
        <w:rPr>
          <w:color w:val="000000"/>
          <w:spacing w:val="0"/>
          <w:w w:val="100"/>
          <w:position w:val="0"/>
          <w:sz w:val="20"/>
          <w:szCs w:val="20"/>
        </w:rPr>
        <w:t>利息偿付率</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实际支付利息</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应付利息</w:t>
      </w:r>
    </w:p>
    <w:p>
      <w:pPr>
        <w:pStyle w:val="Style32"/>
        <w:keepNext w:val="0"/>
        <w:keepLines w:val="0"/>
        <w:widowControl w:val="0"/>
        <w:shd w:val="clear" w:color="auto" w:fill="auto"/>
        <w:bidi w:val="0"/>
        <w:spacing w:before="0" w:after="200" w:line="240" w:lineRule="auto"/>
        <w:ind w:left="0" w:right="0" w:firstLine="0"/>
        <w:jc w:val="left"/>
        <w:rPr>
          <w:sz w:val="24"/>
          <w:szCs w:val="24"/>
        </w:rPr>
      </w:pPr>
      <w:bookmarkStart w:id="578" w:name="bookmark578"/>
      <w:r>
        <w:rPr>
          <w:b/>
          <w:bCs/>
          <w:color w:val="000000"/>
          <w:spacing w:val="0"/>
          <w:w w:val="100"/>
          <w:position w:val="0"/>
          <w:sz w:val="24"/>
          <w:szCs w:val="24"/>
        </w:rPr>
        <w:t>九</w:t>
      </w:r>
      <w:bookmarkEnd w:id="578"/>
      <w:r>
        <w:rPr>
          <w:b/>
          <w:bCs/>
          <w:color w:val="000000"/>
          <w:spacing w:val="0"/>
          <w:w w:val="100"/>
          <w:position w:val="0"/>
          <w:sz w:val="24"/>
          <w:szCs w:val="24"/>
        </w:rPr>
        <w:t>、报告期内对其他债券和债务融资工具的付息兑付情况</w:t>
      </w:r>
    </w:p>
    <w:p>
      <w:pPr>
        <w:pStyle w:val="Style32"/>
        <w:keepNext w:val="0"/>
        <w:keepLines w:val="0"/>
        <w:widowControl w:val="0"/>
        <w:shd w:val="clear" w:color="auto" w:fill="auto"/>
        <w:bidi w:val="0"/>
        <w:spacing w:before="0" w:after="200" w:line="470" w:lineRule="exact"/>
        <w:ind w:left="0" w:right="0" w:firstLine="460"/>
        <w:jc w:val="left"/>
      </w:pPr>
      <w:r>
        <w:rPr>
          <w:color w:val="000000"/>
          <w:spacing w:val="0"/>
          <w:w w:val="100"/>
          <w:position w:val="0"/>
        </w:rPr>
        <w:t>报告期内，公司未开展其他债券和债务融资工具的付息兑付工作。</w:t>
      </w:r>
    </w:p>
    <w:p>
      <w:pPr>
        <w:pStyle w:val="Style32"/>
        <w:keepNext w:val="0"/>
        <w:keepLines w:val="0"/>
        <w:widowControl w:val="0"/>
        <w:shd w:val="clear" w:color="auto" w:fill="auto"/>
        <w:bidi w:val="0"/>
        <w:spacing w:before="0" w:after="200" w:line="470" w:lineRule="exact"/>
        <w:ind w:left="0" w:right="0" w:firstLine="0"/>
        <w:jc w:val="left"/>
        <w:rPr>
          <w:sz w:val="24"/>
          <w:szCs w:val="24"/>
        </w:rPr>
      </w:pPr>
      <w:r>
        <w:rPr>
          <w:b/>
          <w:bCs/>
          <w:color w:val="000000"/>
          <w:spacing w:val="0"/>
          <w:w w:val="100"/>
          <w:position w:val="0"/>
          <w:sz w:val="24"/>
          <w:szCs w:val="24"/>
        </w:rPr>
        <w:t>十、报告期内获得的银行授信情况、使用情况以及偿还银行贷款的情况</w:t>
      </w:r>
    </w:p>
    <w:p>
      <w:pPr>
        <w:pStyle w:val="Style32"/>
        <w:keepNext w:val="0"/>
        <w:keepLines w:val="0"/>
        <w:widowControl w:val="0"/>
        <w:shd w:val="clear" w:color="auto" w:fill="auto"/>
        <w:tabs>
          <w:tab w:pos="819" w:val="left"/>
        </w:tabs>
        <w:bidi w:val="0"/>
        <w:spacing w:before="0" w:after="0" w:line="470" w:lineRule="exact"/>
        <w:ind w:left="0" w:right="0" w:firstLine="460"/>
        <w:jc w:val="left"/>
      </w:pPr>
      <w:bookmarkStart w:id="579" w:name="bookmark579"/>
      <w:r>
        <w:rPr>
          <w:rFonts w:ascii="Times New Roman" w:eastAsia="Times New Roman" w:hAnsi="Times New Roman" w:cs="Times New Roman"/>
          <w:color w:val="000000"/>
          <w:spacing w:val="0"/>
          <w:w w:val="100"/>
          <w:position w:val="0"/>
        </w:rPr>
        <w:t>1</w:t>
      </w:r>
      <w:bookmarkEnd w:id="579"/>
      <w:r>
        <w:rPr>
          <w:color w:val="000000"/>
          <w:spacing w:val="0"/>
          <w:w w:val="100"/>
          <w:position w:val="0"/>
        </w:rPr>
        <w:t>、</w:t>
        <w:tab/>
        <w:t>授信及使用情况，截至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日，公司共获得人民币授信额度</w:t>
      </w:r>
      <w:r>
        <w:rPr>
          <w:rFonts w:ascii="Times New Roman" w:eastAsia="Times New Roman" w:hAnsi="Times New Roman" w:cs="Times New Roman"/>
          <w:color w:val="000000"/>
          <w:spacing w:val="0"/>
          <w:w w:val="100"/>
          <w:position w:val="0"/>
        </w:rPr>
        <w:t>380.21</w:t>
      </w:r>
      <w:r>
        <w:rPr>
          <w:color w:val="000000"/>
          <w:spacing w:val="0"/>
          <w:w w:val="100"/>
          <w:position w:val="0"/>
        </w:rPr>
        <w:t>亿元，未使 用授信额度</w:t>
      </w:r>
      <w:r>
        <w:rPr>
          <w:rFonts w:ascii="Times New Roman" w:eastAsia="Times New Roman" w:hAnsi="Times New Roman" w:cs="Times New Roman"/>
          <w:color w:val="000000"/>
          <w:spacing w:val="0"/>
          <w:w w:val="100"/>
          <w:position w:val="0"/>
        </w:rPr>
        <w:t>205.83</w:t>
      </w:r>
      <w:r>
        <w:rPr>
          <w:color w:val="000000"/>
          <w:spacing w:val="0"/>
          <w:w w:val="100"/>
          <w:position w:val="0"/>
        </w:rPr>
        <w:t>亿元。</w:t>
      </w:r>
    </w:p>
    <w:p>
      <w:pPr>
        <w:pStyle w:val="Style32"/>
        <w:keepNext w:val="0"/>
        <w:keepLines w:val="0"/>
        <w:widowControl w:val="0"/>
        <w:shd w:val="clear" w:color="auto" w:fill="auto"/>
        <w:tabs>
          <w:tab w:pos="842" w:val="left"/>
        </w:tabs>
        <w:bidi w:val="0"/>
        <w:spacing w:before="0" w:after="120" w:line="470" w:lineRule="exact"/>
        <w:ind w:left="0" w:right="0" w:firstLine="460"/>
        <w:jc w:val="left"/>
      </w:pPr>
      <w:bookmarkStart w:id="580" w:name="bookmark580"/>
      <w:r>
        <w:rPr>
          <w:rFonts w:ascii="Times New Roman" w:eastAsia="Times New Roman" w:hAnsi="Times New Roman" w:cs="Times New Roman"/>
          <w:color w:val="000000"/>
          <w:spacing w:val="0"/>
          <w:w w:val="100"/>
          <w:position w:val="0"/>
        </w:rPr>
        <w:t>2</w:t>
      </w:r>
      <w:bookmarkEnd w:id="580"/>
      <w:r>
        <w:rPr>
          <w:color w:val="000000"/>
          <w:spacing w:val="0"/>
          <w:w w:val="100"/>
          <w:position w:val="0"/>
        </w:rPr>
        <w:t>、</w:t>
        <w:tab/>
        <w:t>偿还银行贷款情况，报告期内公司及子公司因业务需要，偿还银行贷款情况如下：</w:t>
      </w:r>
    </w:p>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单位：千元</w:t>
      </w:r>
    </w:p>
    <w:tbl>
      <w:tblPr>
        <w:tblOverlap w:val="never"/>
        <w:jc w:val="center"/>
        <w:tblLayout w:type="fixed"/>
      </w:tblPr>
      <w:tblGrid>
        <w:gridCol w:w="1435"/>
        <w:gridCol w:w="2434"/>
        <w:gridCol w:w="1930"/>
        <w:gridCol w:w="1934"/>
        <w:gridCol w:w="1934"/>
      </w:tblGrid>
      <w:tr>
        <w:trPr>
          <w:trHeight w:val="576" w:hRule="exact"/>
        </w:trPr>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借款币种</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88" w:lineRule="exact"/>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2015</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 期初余额</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本年借入金额</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本年偿还金额</w:t>
            </w:r>
          </w:p>
        </w:tc>
        <w:tc>
          <w:tcPr>
            <w:tcBorders>
              <w:top w:val="single" w:sz="4"/>
              <w:left w:val="single" w:sz="4"/>
              <w:right w:val="single" w:sz="4"/>
            </w:tcBorders>
            <w:shd w:val="clear" w:color="auto" w:fill="D3D3D3"/>
            <w:vAlign w:val="top"/>
          </w:tcPr>
          <w:p>
            <w:pPr>
              <w:pStyle w:val="Style28"/>
              <w:keepNext w:val="0"/>
              <w:keepLines w:val="0"/>
              <w:widowControl w:val="0"/>
              <w:shd w:val="clear" w:color="auto" w:fill="auto"/>
              <w:bidi w:val="0"/>
              <w:spacing w:before="0" w:after="0" w:line="288" w:lineRule="exact"/>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 期末余额</w:t>
            </w:r>
          </w:p>
        </w:tc>
      </w:tr>
      <w:tr>
        <w:trPr>
          <w:trHeight w:val="30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人民币</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1,399,593</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3,150,000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3,549,593</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w:t>
            </w:r>
          </w:p>
        </w:tc>
      </w:tr>
      <w:tr>
        <w:trPr>
          <w:trHeight w:val="30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港币</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1,445,500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1,445,500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30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美元</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153,400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1,450,000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899,400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704,000</w:t>
            </w:r>
          </w:p>
        </w:tc>
      </w:tr>
      <w:tr>
        <w:trPr>
          <w:trHeight w:val="307" w:hRule="exact"/>
        </w:trPr>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日元</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439,393</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31,193,800</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26,419,515</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5,213,678</w:t>
            </w:r>
          </w:p>
        </w:tc>
      </w:tr>
    </w:tbl>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上述银行贷款不存在逾期情况，公司均按照借款合同约定按期偿还本金及支付利息。</w:t>
      </w:r>
    </w:p>
    <w:p>
      <w:pPr>
        <w:widowControl w:val="0"/>
        <w:spacing w:after="199" w:line="1" w:lineRule="exact"/>
      </w:pPr>
    </w:p>
    <w:p>
      <w:pPr>
        <w:pStyle w:val="Style32"/>
        <w:keepNext w:val="0"/>
        <w:keepLines w:val="0"/>
        <w:widowControl w:val="0"/>
        <w:shd w:val="clear" w:color="auto" w:fill="auto"/>
        <w:bidi w:val="0"/>
        <w:spacing w:before="0" w:after="200" w:line="490" w:lineRule="exact"/>
        <w:ind w:left="0" w:right="0" w:firstLine="0"/>
        <w:jc w:val="left"/>
        <w:rPr>
          <w:sz w:val="24"/>
          <w:szCs w:val="24"/>
        </w:rPr>
      </w:pPr>
      <w:r>
        <w:rPr>
          <w:b/>
          <w:bCs/>
          <w:color w:val="000000"/>
          <w:spacing w:val="0"/>
          <w:w w:val="100"/>
          <w:position w:val="0"/>
          <w:sz w:val="24"/>
          <w:szCs w:val="24"/>
        </w:rPr>
        <w:t>十一、报告期内执行公司债券募集说明书相关约定或承诺的情况</w:t>
      </w:r>
    </w:p>
    <w:p>
      <w:pPr>
        <w:pStyle w:val="Style32"/>
        <w:keepNext w:val="0"/>
        <w:keepLines w:val="0"/>
        <w:widowControl w:val="0"/>
        <w:shd w:val="clear" w:color="auto" w:fill="auto"/>
        <w:bidi w:val="0"/>
        <w:spacing w:before="0" w:after="200" w:line="490" w:lineRule="exact"/>
        <w:ind w:left="0" w:right="0" w:firstLine="460"/>
        <w:jc w:val="left"/>
      </w:pPr>
      <w:r>
        <w:rPr>
          <w:color w:val="000000"/>
          <w:spacing w:val="0"/>
          <w:w w:val="100"/>
          <w:position w:val="0"/>
        </w:rPr>
        <w:t>报告期内，公司</w:t>
      </w:r>
      <w:r>
        <w:rPr>
          <w:rFonts w:ascii="Times New Roman" w:eastAsia="Times New Roman" w:hAnsi="Times New Roman" w:cs="Times New Roman"/>
          <w:color w:val="000000"/>
          <w:spacing w:val="0"/>
          <w:w w:val="100"/>
          <w:position w:val="0"/>
        </w:rPr>
        <w:t>12</w:t>
      </w:r>
      <w:r>
        <w:rPr>
          <w:color w:val="000000"/>
          <w:spacing w:val="0"/>
          <w:w w:val="100"/>
          <w:position w:val="0"/>
        </w:rPr>
        <w:t>苏宁</w:t>
      </w:r>
      <w:r>
        <w:rPr>
          <w:rFonts w:ascii="Times New Roman" w:eastAsia="Times New Roman" w:hAnsi="Times New Roman" w:cs="Times New Roman"/>
          <w:color w:val="000000"/>
          <w:spacing w:val="0"/>
          <w:w w:val="100"/>
          <w:position w:val="0"/>
        </w:rPr>
        <w:t>01</w:t>
      </w:r>
      <w:r>
        <w:rPr>
          <w:color w:val="000000"/>
          <w:spacing w:val="0"/>
          <w:w w:val="100"/>
          <w:position w:val="0"/>
        </w:rPr>
        <w:t>、</w:t>
      </w:r>
      <w:r>
        <w:rPr>
          <w:rFonts w:ascii="Times New Roman" w:eastAsia="Times New Roman" w:hAnsi="Times New Roman" w:cs="Times New Roman"/>
          <w:color w:val="000000"/>
          <w:spacing w:val="0"/>
          <w:w w:val="100"/>
          <w:position w:val="0"/>
        </w:rPr>
        <w:t>13</w:t>
      </w:r>
      <w:r>
        <w:rPr>
          <w:color w:val="000000"/>
          <w:spacing w:val="0"/>
          <w:w w:val="100"/>
          <w:position w:val="0"/>
        </w:rPr>
        <w:t>苏宁债均按照募集资金说明书相关约定执行，按期兑付利息，不 存在对投资者利益产生影响的情形。</w:t>
      </w:r>
    </w:p>
    <w:p>
      <w:pPr>
        <w:pStyle w:val="Style32"/>
        <w:keepNext w:val="0"/>
        <w:keepLines w:val="0"/>
        <w:widowControl w:val="0"/>
        <w:shd w:val="clear" w:color="auto" w:fill="auto"/>
        <w:bidi w:val="0"/>
        <w:spacing w:before="0" w:after="200" w:line="490" w:lineRule="exact"/>
        <w:ind w:left="0" w:right="0" w:firstLine="0"/>
        <w:jc w:val="left"/>
        <w:rPr>
          <w:sz w:val="24"/>
          <w:szCs w:val="24"/>
        </w:rPr>
      </w:pPr>
      <w:r>
        <w:rPr>
          <w:b/>
          <w:bCs/>
          <w:color w:val="000000"/>
          <w:spacing w:val="0"/>
          <w:w w:val="100"/>
          <w:position w:val="0"/>
          <w:sz w:val="24"/>
          <w:szCs w:val="24"/>
        </w:rPr>
        <w:t>十二、报告期内发生的重大事项</w:t>
      </w:r>
    </w:p>
    <w:p>
      <w:pPr>
        <w:pStyle w:val="Style32"/>
        <w:keepNext w:val="0"/>
        <w:keepLines w:val="0"/>
        <w:widowControl w:val="0"/>
        <w:shd w:val="clear" w:color="auto" w:fill="auto"/>
        <w:bidi w:val="0"/>
        <w:spacing w:before="0" w:after="200" w:line="490" w:lineRule="exact"/>
        <w:ind w:left="0" w:right="0" w:firstLine="460"/>
        <w:jc w:val="left"/>
      </w:pPr>
      <w:r>
        <w:rPr>
          <w:color w:val="000000"/>
          <w:spacing w:val="0"/>
          <w:w w:val="100"/>
          <w:position w:val="0"/>
        </w:rPr>
        <w:t>报告期内，公司未发生《公司债券发行与交易管理办法》第四十五条所列情形。</w:t>
      </w:r>
    </w:p>
    <w:p>
      <w:pPr>
        <w:pStyle w:val="Style32"/>
        <w:keepNext w:val="0"/>
        <w:keepLines w:val="0"/>
        <w:widowControl w:val="0"/>
        <w:shd w:val="clear" w:color="auto" w:fill="auto"/>
        <w:bidi w:val="0"/>
        <w:spacing w:before="0" w:after="400" w:line="490" w:lineRule="exact"/>
        <w:ind w:left="0" w:right="0" w:firstLine="0"/>
        <w:jc w:val="left"/>
        <w:rPr>
          <w:sz w:val="24"/>
          <w:szCs w:val="24"/>
        </w:rPr>
      </w:pPr>
      <w:r>
        <w:rPr>
          <w:b/>
          <w:bCs/>
          <w:color w:val="000000"/>
          <w:spacing w:val="0"/>
          <w:w w:val="100"/>
          <w:position w:val="0"/>
          <w:sz w:val="24"/>
          <w:szCs w:val="24"/>
        </w:rPr>
        <w:t>十三、公司债券是否存在保证人</w:t>
      </w:r>
    </w:p>
    <w:p>
      <w:pPr>
        <w:pStyle w:val="Style32"/>
        <w:keepNext w:val="0"/>
        <w:keepLines w:val="0"/>
        <w:widowControl w:val="0"/>
        <w:shd w:val="clear" w:color="auto" w:fill="auto"/>
        <w:bidi w:val="0"/>
        <w:spacing w:before="0" w:after="200" w:line="466" w:lineRule="auto"/>
        <w:ind w:left="0" w:right="0" w:firstLine="460"/>
        <w:jc w:val="left"/>
        <w:sectPr>
          <w:footnotePr>
            <w:pos w:val="pageBottom"/>
            <w:numFmt w:val="decimal"/>
            <w:numRestart w:val="continuous"/>
          </w:footnotePr>
          <w:pgSz w:w="11900" w:h="16840"/>
          <w:pgMar w:top="1326" w:right="1017" w:bottom="1494" w:left="1019" w:header="0" w:footer="3" w:gutter="0"/>
          <w:cols w:space="720"/>
          <w:noEndnote/>
          <w:rtlGutter w:val="0"/>
          <w:docGrid w:linePitch="360"/>
        </w:sectPr>
      </w:pPr>
      <w:r>
        <w:rPr>
          <w:rFonts w:ascii="Times New Roman" w:eastAsia="Times New Roman" w:hAnsi="Times New Roman" w:cs="Times New Roman"/>
          <w:color w:val="000000"/>
          <w:spacing w:val="0"/>
          <w:w w:val="100"/>
          <w:position w:val="0"/>
        </w:rPr>
        <w:t>□</w:t>
      </w:r>
      <w:r>
        <w:rPr>
          <w:color w:val="000000"/>
          <w:spacing w:val="0"/>
          <w:w w:val="100"/>
          <w:position w:val="0"/>
        </w:rPr>
        <w:t>是</w:t>
      </w:r>
      <w:r>
        <w:rPr>
          <w:color w:val="000000"/>
          <w:spacing w:val="0"/>
          <w:w w:val="100"/>
          <w:position w:val="0"/>
        </w:rPr>
        <w:t>寸</w:t>
      </w:r>
      <w:r>
        <w:rPr>
          <w:color w:val="000000"/>
          <w:spacing w:val="0"/>
          <w:w w:val="100"/>
          <w:position w:val="0"/>
        </w:rPr>
        <w:t>否</w:t>
      </w:r>
    </w:p>
    <w:p>
      <w:pPr>
        <w:pStyle w:val="Style18"/>
        <w:keepNext/>
        <w:keepLines/>
        <w:widowControl w:val="0"/>
        <w:shd w:val="clear" w:color="auto" w:fill="auto"/>
        <w:bidi w:val="0"/>
        <w:spacing w:before="240" w:after="520" w:line="240" w:lineRule="auto"/>
        <w:ind w:left="0" w:right="0" w:firstLine="0"/>
        <w:jc w:val="center"/>
      </w:pPr>
      <w:bookmarkStart w:id="581" w:name="bookmark581"/>
      <w:bookmarkStart w:id="582" w:name="bookmark582"/>
      <w:bookmarkStart w:id="583" w:name="bookmark583"/>
      <w:bookmarkStart w:id="584" w:name="bookmark584"/>
      <w:r>
        <w:rPr>
          <w:color w:val="000000"/>
          <w:spacing w:val="0"/>
          <w:w w:val="100"/>
          <w:position w:val="0"/>
        </w:rPr>
        <w:t>第十一节财务报告</w:t>
      </w:r>
      <w:bookmarkEnd w:id="582"/>
      <w:bookmarkEnd w:id="583"/>
      <w:bookmarkEnd w:id="584"/>
      <w:bookmarkEnd w:id="581"/>
    </w:p>
    <w:p>
      <w:pPr>
        <w:pStyle w:val="Style25"/>
        <w:keepNext w:val="0"/>
        <w:keepLines w:val="0"/>
        <w:widowControl w:val="0"/>
        <w:shd w:val="clear" w:color="auto" w:fill="auto"/>
        <w:bidi w:val="0"/>
        <w:spacing w:before="0" w:after="0" w:line="240" w:lineRule="auto"/>
        <w:ind w:left="240" w:right="0" w:firstLine="0"/>
        <w:jc w:val="left"/>
        <w:rPr>
          <w:sz w:val="24"/>
          <w:szCs w:val="24"/>
        </w:rPr>
      </w:pPr>
      <w:r>
        <w:rPr>
          <w:b/>
          <w:bCs/>
          <w:color w:val="000000"/>
          <w:spacing w:val="0"/>
          <w:w w:val="100"/>
          <w:position w:val="0"/>
          <w:sz w:val="24"/>
          <w:szCs w:val="24"/>
        </w:rPr>
        <w:t>、审计报告</w:t>
      </w:r>
    </w:p>
    <w:tbl>
      <w:tblPr>
        <w:tblOverlap w:val="never"/>
        <w:jc w:val="center"/>
        <w:tblLayout w:type="fixed"/>
      </w:tblPr>
      <w:tblGrid>
        <w:gridCol w:w="4790"/>
        <w:gridCol w:w="4790"/>
      </w:tblGrid>
      <w:tr>
        <w:trPr>
          <w:trHeight w:val="298"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标准无保留审计意见</w:t>
            </w:r>
          </w:p>
        </w:tc>
      </w:tr>
      <w:tr>
        <w:trPr>
          <w:trHeight w:val="298"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r>
      <w:tr>
        <w:trPr>
          <w:trHeight w:val="293" w:hRule="exact"/>
        </w:trPr>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普华永道中天会计师事务所(特殊普通合伙)</w:t>
            </w:r>
          </w:p>
        </w:tc>
      </w:tr>
      <w:tr>
        <w:trPr>
          <w:trHeight w:val="298"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普华永道中天审字</w:t>
            </w:r>
            <w:r>
              <w:rPr>
                <w:rFonts w:ascii="Times New Roman" w:eastAsia="Times New Roman" w:hAnsi="Times New Roman" w:cs="Times New Roman"/>
                <w:color w:val="000000"/>
                <w:spacing w:val="0"/>
                <w:w w:val="100"/>
                <w:position w:val="0"/>
              </w:rPr>
              <w:t>(2017)</w:t>
            </w:r>
            <w:r>
              <w:rPr>
                <w:color w:val="000000"/>
                <w:spacing w:val="0"/>
                <w:w w:val="100"/>
                <w:position w:val="0"/>
              </w:rPr>
              <w:t>第</w:t>
            </w:r>
            <w:r>
              <w:rPr>
                <w:rFonts w:ascii="Times New Roman" w:eastAsia="Times New Roman" w:hAnsi="Times New Roman" w:cs="Times New Roman"/>
                <w:color w:val="000000"/>
                <w:spacing w:val="0"/>
                <w:w w:val="100"/>
                <w:position w:val="0"/>
              </w:rPr>
              <w:t>10101</w:t>
            </w:r>
            <w:r>
              <w:rPr>
                <w:color w:val="000000"/>
                <w:spacing w:val="0"/>
                <w:w w:val="100"/>
                <w:position w:val="0"/>
              </w:rPr>
              <w:t>号</w:t>
            </w:r>
          </w:p>
        </w:tc>
      </w:tr>
      <w:tr>
        <w:trPr>
          <w:trHeight w:val="298" w:hRule="exact"/>
        </w:trPr>
        <w:tc>
          <w:tcPr>
            <w:tcBorders>
              <w:top w:val="single" w:sz="4"/>
              <w:left w:val="single" w:sz="4"/>
              <w:bottom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邓锡麟郑怡荽</w:t>
            </w:r>
          </w:p>
        </w:tc>
      </w:tr>
    </w:tbl>
    <w:p>
      <w:pPr>
        <w:widowControl w:val="0"/>
        <w:spacing w:after="419" w:line="1" w:lineRule="exact"/>
      </w:pPr>
    </w:p>
    <w:p>
      <w:pPr>
        <w:pStyle w:val="Style38"/>
        <w:keepNext/>
        <w:keepLines/>
        <w:widowControl w:val="0"/>
        <w:shd w:val="clear" w:color="auto" w:fill="auto"/>
        <w:bidi w:val="0"/>
        <w:spacing w:before="0" w:after="0" w:line="240" w:lineRule="auto"/>
        <w:ind w:left="0" w:right="0" w:firstLine="0"/>
        <w:jc w:val="center"/>
      </w:pPr>
      <w:bookmarkStart w:id="585" w:name="bookmark585"/>
      <w:bookmarkStart w:id="586" w:name="bookmark586"/>
      <w:bookmarkStart w:id="587" w:name="bookmark587"/>
      <w:r>
        <w:rPr>
          <w:color w:val="000000"/>
          <w:spacing w:val="0"/>
          <w:w w:val="100"/>
          <w:position w:val="0"/>
        </w:rPr>
        <w:t>审计报告正文</w:t>
      </w:r>
      <w:bookmarkEnd w:id="585"/>
      <w:bookmarkEnd w:id="586"/>
      <w:bookmarkEnd w:id="587"/>
    </w:p>
    <w:p>
      <w:pPr>
        <w:pStyle w:val="Style32"/>
        <w:keepNext w:val="0"/>
        <w:keepLines w:val="0"/>
        <w:widowControl w:val="0"/>
        <w:shd w:val="clear" w:color="auto" w:fill="auto"/>
        <w:bidi w:val="0"/>
        <w:spacing w:before="0" w:after="0" w:line="470" w:lineRule="exact"/>
        <w:ind w:left="0" w:right="0" w:firstLine="460"/>
        <w:jc w:val="both"/>
      </w:pPr>
      <w:r>
        <w:rPr>
          <w:color w:val="000000"/>
          <w:spacing w:val="0"/>
          <w:w w:val="100"/>
          <w:position w:val="0"/>
        </w:rPr>
        <w:t>我们审计了后附的苏宁云商集团股份有限公司的财务报表，包括</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日的合并及公司 资产负债表，</w:t>
      </w:r>
      <w:r>
        <w:rPr>
          <w:rFonts w:ascii="Times New Roman" w:eastAsia="Times New Roman" w:hAnsi="Times New Roman" w:cs="Times New Roman"/>
          <w:color w:val="000000"/>
          <w:spacing w:val="0"/>
          <w:w w:val="100"/>
          <w:position w:val="0"/>
        </w:rPr>
        <w:t>2016</w:t>
      </w:r>
      <w:r>
        <w:rPr>
          <w:color w:val="000000"/>
          <w:spacing w:val="0"/>
          <w:w w:val="100"/>
          <w:position w:val="0"/>
        </w:rPr>
        <w:t>年度的合并及公司利润表、合并及公司股东权益变动表和合并及公司现金流量表 以及财务报表附注。</w:t>
      </w:r>
    </w:p>
    <w:p>
      <w:pPr>
        <w:pStyle w:val="Style32"/>
        <w:keepNext w:val="0"/>
        <w:keepLines w:val="0"/>
        <w:widowControl w:val="0"/>
        <w:shd w:val="clear" w:color="auto" w:fill="auto"/>
        <w:tabs>
          <w:tab w:pos="943" w:val="left"/>
        </w:tabs>
        <w:bidi w:val="0"/>
        <w:spacing w:before="0" w:after="0" w:line="470" w:lineRule="exact"/>
        <w:ind w:left="0" w:right="0" w:firstLine="460"/>
        <w:jc w:val="both"/>
      </w:pPr>
      <w:bookmarkStart w:id="588" w:name="bookmark588"/>
      <w:r>
        <w:rPr>
          <w:color w:val="000000"/>
          <w:spacing w:val="0"/>
          <w:w w:val="100"/>
          <w:position w:val="0"/>
        </w:rPr>
        <w:t>一</w:t>
      </w:r>
      <w:bookmarkEnd w:id="588"/>
      <w:r>
        <w:rPr>
          <w:color w:val="000000"/>
          <w:spacing w:val="0"/>
          <w:w w:val="100"/>
          <w:position w:val="0"/>
        </w:rPr>
        <w:t>、</w:t>
        <w:tab/>
        <w:t>管理层对财务报表的责任</w:t>
      </w:r>
    </w:p>
    <w:p>
      <w:pPr>
        <w:pStyle w:val="Style32"/>
        <w:keepNext w:val="0"/>
        <w:keepLines w:val="0"/>
        <w:widowControl w:val="0"/>
        <w:shd w:val="clear" w:color="auto" w:fill="auto"/>
        <w:bidi w:val="0"/>
        <w:spacing w:before="0" w:after="0" w:line="470" w:lineRule="exact"/>
        <w:ind w:left="0" w:right="0" w:firstLine="460"/>
        <w:jc w:val="both"/>
      </w:pPr>
      <w:r>
        <w:rPr>
          <w:color w:val="000000"/>
          <w:spacing w:val="0"/>
          <w:w w:val="100"/>
          <w:position w:val="0"/>
        </w:rPr>
        <w:t>编制和公允列报财务报表是苏宁云商集团股份有限公司管理层的责任。这种责任包括：</w:t>
      </w:r>
    </w:p>
    <w:p>
      <w:pPr>
        <w:pStyle w:val="Style32"/>
        <w:keepNext w:val="0"/>
        <w:keepLines w:val="0"/>
        <w:widowControl w:val="0"/>
        <w:numPr>
          <w:ilvl w:val="0"/>
          <w:numId w:val="23"/>
        </w:numPr>
        <w:shd w:val="clear" w:color="auto" w:fill="auto"/>
        <w:tabs>
          <w:tab w:pos="895" w:val="left"/>
        </w:tabs>
        <w:bidi w:val="0"/>
        <w:spacing w:before="0" w:after="0" w:line="470" w:lineRule="exact"/>
        <w:ind w:left="0" w:right="0" w:firstLine="460"/>
        <w:jc w:val="both"/>
      </w:pPr>
      <w:bookmarkStart w:id="589" w:name="bookmark589"/>
      <w:bookmarkEnd w:id="589"/>
      <w:r>
        <w:rPr>
          <w:color w:val="000000"/>
          <w:spacing w:val="0"/>
          <w:w w:val="100"/>
          <w:position w:val="0"/>
        </w:rPr>
        <w:t>按照企业会计准则的规定编制财务报表，并使其实现公允反映；</w:t>
      </w:r>
    </w:p>
    <w:p>
      <w:pPr>
        <w:pStyle w:val="Style32"/>
        <w:keepNext w:val="0"/>
        <w:keepLines w:val="0"/>
        <w:widowControl w:val="0"/>
        <w:numPr>
          <w:ilvl w:val="0"/>
          <w:numId w:val="23"/>
        </w:numPr>
        <w:shd w:val="clear" w:color="auto" w:fill="auto"/>
        <w:tabs>
          <w:tab w:pos="895" w:val="left"/>
        </w:tabs>
        <w:bidi w:val="0"/>
        <w:spacing w:before="0" w:after="0" w:line="470" w:lineRule="exact"/>
        <w:ind w:left="0" w:right="0" w:firstLine="460"/>
        <w:jc w:val="both"/>
      </w:pPr>
      <w:bookmarkStart w:id="590" w:name="bookmark590"/>
      <w:bookmarkEnd w:id="590"/>
      <w:r>
        <w:rPr>
          <w:color w:val="000000"/>
          <w:spacing w:val="0"/>
          <w:w w:val="100"/>
          <w:position w:val="0"/>
        </w:rPr>
        <w:t>设计、执行和维护必要的内部控制，以使财务报表不存在由于舞弊或错误导致的重大错报。</w:t>
      </w:r>
    </w:p>
    <w:p>
      <w:pPr>
        <w:pStyle w:val="Style32"/>
        <w:keepNext w:val="0"/>
        <w:keepLines w:val="0"/>
        <w:widowControl w:val="0"/>
        <w:shd w:val="clear" w:color="auto" w:fill="auto"/>
        <w:tabs>
          <w:tab w:pos="943" w:val="left"/>
        </w:tabs>
        <w:bidi w:val="0"/>
        <w:spacing w:before="0" w:after="0" w:line="470" w:lineRule="exact"/>
        <w:ind w:left="0" w:right="0" w:firstLine="460"/>
        <w:jc w:val="both"/>
      </w:pPr>
      <w:bookmarkStart w:id="591" w:name="bookmark591"/>
      <w:r>
        <w:rPr>
          <w:color w:val="000000"/>
          <w:spacing w:val="0"/>
          <w:w w:val="100"/>
          <w:position w:val="0"/>
        </w:rPr>
        <w:t>二</w:t>
      </w:r>
      <w:bookmarkEnd w:id="591"/>
      <w:r>
        <w:rPr>
          <w:color w:val="000000"/>
          <w:spacing w:val="0"/>
          <w:w w:val="100"/>
          <w:position w:val="0"/>
        </w:rPr>
        <w:t>、</w:t>
        <w:tab/>
        <w:t>注册会计师的责任</w:t>
      </w:r>
    </w:p>
    <w:p>
      <w:pPr>
        <w:pStyle w:val="Style32"/>
        <w:keepNext w:val="0"/>
        <w:keepLines w:val="0"/>
        <w:widowControl w:val="0"/>
        <w:shd w:val="clear" w:color="auto" w:fill="auto"/>
        <w:bidi w:val="0"/>
        <w:spacing w:before="0" w:after="0" w:line="470" w:lineRule="exact"/>
        <w:ind w:left="0" w:right="0" w:firstLine="460"/>
        <w:jc w:val="both"/>
      </w:pPr>
      <w:r>
        <w:rPr>
          <w:color w:val="000000"/>
          <w:spacing w:val="0"/>
          <w:w w:val="100"/>
          <w:position w:val="0"/>
        </w:rPr>
        <w:t>我们的责任是在执行审计工作的基础上对财务报表发表审计意见。我们按照中国注册会计师审 计准则的规定执行了审计工作。中国注册会计师审计准则要求我们遵守中国注册会计师职业道德守 则，计划和执行审计工作以对财务报表是否不存在重大错报获取合理保证。</w:t>
      </w:r>
    </w:p>
    <w:p>
      <w:pPr>
        <w:pStyle w:val="Style32"/>
        <w:keepNext w:val="0"/>
        <w:keepLines w:val="0"/>
        <w:widowControl w:val="0"/>
        <w:shd w:val="clear" w:color="auto" w:fill="auto"/>
        <w:bidi w:val="0"/>
        <w:spacing w:before="0" w:after="0" w:line="470" w:lineRule="exact"/>
        <w:ind w:left="0" w:right="0" w:firstLine="460"/>
        <w:jc w:val="both"/>
      </w:pPr>
      <w:r>
        <w:rPr>
          <w:color w:val="000000"/>
          <w:spacing w:val="0"/>
          <w:w w:val="100"/>
          <w:position w:val="0"/>
        </w:rPr>
        <w:t>审计工作涉及实施审计程序，以获取有关财务报表金额和披露的审计证据。选择的审计程序取 决于注册会计师的判断，包括对由于舞弊或错误导致的财务报表重大错报风险的评估。在进行风险 评估时，注册会计师考虑与财务报表编制和公允列报相关的内部控制，以设计恰当的审计程序。审 计工作还包括评价管理层选用会计政策的恰当性和作出会计估计的合理性，以及评价财务报表的总 体列报。</w:t>
      </w:r>
    </w:p>
    <w:p>
      <w:pPr>
        <w:pStyle w:val="Style32"/>
        <w:keepNext w:val="0"/>
        <w:keepLines w:val="0"/>
        <w:widowControl w:val="0"/>
        <w:shd w:val="clear" w:color="auto" w:fill="auto"/>
        <w:bidi w:val="0"/>
        <w:spacing w:before="0" w:after="0" w:line="470" w:lineRule="exact"/>
        <w:ind w:left="0" w:right="0" w:firstLine="460"/>
        <w:jc w:val="left"/>
      </w:pPr>
      <w:r>
        <w:rPr>
          <w:color w:val="000000"/>
          <w:spacing w:val="0"/>
          <w:w w:val="100"/>
          <w:position w:val="0"/>
        </w:rPr>
        <w:t>我们相信，我们获取的审计证据是充分、适当的，为发表审计意见提供了基础。</w:t>
      </w:r>
    </w:p>
    <w:p>
      <w:pPr>
        <w:pStyle w:val="Style32"/>
        <w:keepNext w:val="0"/>
        <w:keepLines w:val="0"/>
        <w:widowControl w:val="0"/>
        <w:shd w:val="clear" w:color="auto" w:fill="auto"/>
        <w:tabs>
          <w:tab w:pos="943" w:val="left"/>
        </w:tabs>
        <w:bidi w:val="0"/>
        <w:spacing w:before="0" w:after="0" w:line="470" w:lineRule="exact"/>
        <w:ind w:left="0" w:right="0" w:firstLine="460"/>
        <w:jc w:val="both"/>
      </w:pPr>
      <w:bookmarkStart w:id="592" w:name="bookmark592"/>
      <w:r>
        <w:rPr>
          <w:color w:val="000000"/>
          <w:spacing w:val="0"/>
          <w:w w:val="100"/>
          <w:position w:val="0"/>
        </w:rPr>
        <w:t>三</w:t>
      </w:r>
      <w:bookmarkEnd w:id="592"/>
      <w:r>
        <w:rPr>
          <w:color w:val="000000"/>
          <w:spacing w:val="0"/>
          <w:w w:val="100"/>
          <w:position w:val="0"/>
        </w:rPr>
        <w:t>、</w:t>
        <w:tab/>
        <w:t>审计意见</w:t>
      </w:r>
    </w:p>
    <w:p>
      <w:pPr>
        <w:pStyle w:val="Style32"/>
        <w:keepNext w:val="0"/>
        <w:keepLines w:val="0"/>
        <w:widowControl w:val="0"/>
        <w:shd w:val="clear" w:color="auto" w:fill="auto"/>
        <w:bidi w:val="0"/>
        <w:spacing w:before="0" w:after="420" w:line="470" w:lineRule="exact"/>
        <w:ind w:left="0" w:right="0" w:firstLine="460"/>
        <w:jc w:val="both"/>
        <w:sectPr>
          <w:footnotePr>
            <w:pos w:val="pageBottom"/>
            <w:numFmt w:val="decimal"/>
            <w:numRestart w:val="continuous"/>
          </w:footnotePr>
          <w:pgSz w:w="11900" w:h="16840"/>
          <w:pgMar w:top="1189" w:right="713" w:bottom="1977" w:left="964" w:header="0" w:footer="3" w:gutter="0"/>
          <w:cols w:space="720"/>
          <w:noEndnote/>
          <w:rtlGutter w:val="0"/>
          <w:docGrid w:linePitch="360"/>
        </w:sectPr>
      </w:pPr>
      <w:r>
        <w:rPr>
          <w:color w:val="000000"/>
          <w:spacing w:val="0"/>
          <w:w w:val="100"/>
          <w:position w:val="0"/>
        </w:rPr>
        <w:t>我们认为，上述苏宁云商集团股份有限公司的财务报表在所有重大方面按照企业会计准则的规 定编制，公允反映了苏宁云商集团股份有限公司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sz w:val="22"/>
          <w:szCs w:val="22"/>
        </w:rPr>
        <w:t>0</w:t>
      </w:r>
      <w:r>
        <w:rPr>
          <w:color w:val="000000"/>
          <w:spacing w:val="0"/>
          <w:w w:val="100"/>
          <w:position w:val="0"/>
        </w:rPr>
        <w:t>的合并及公司财务状况以及</w:t>
      </w:r>
      <w:r>
        <w:rPr>
          <w:rFonts w:ascii="Times New Roman" w:eastAsia="Times New Roman" w:hAnsi="Times New Roman" w:cs="Times New Roman"/>
          <w:color w:val="000000"/>
          <w:spacing w:val="0"/>
          <w:w w:val="100"/>
          <w:position w:val="0"/>
        </w:rPr>
        <w:t>2016</w:t>
      </w:r>
      <w:r>
        <w:rPr>
          <w:color w:val="000000"/>
          <w:spacing w:val="0"/>
          <w:w w:val="100"/>
          <w:position w:val="0"/>
        </w:rPr>
        <w:t>年 度的合并及公司经营成果和现金流量。</w:t>
      </w:r>
    </w:p>
    <w:p>
      <w:pPr>
        <w:pStyle w:val="Style32"/>
        <w:keepNext w:val="0"/>
        <w:keepLines w:val="0"/>
        <w:widowControl w:val="0"/>
        <w:shd w:val="clear" w:color="auto" w:fill="auto"/>
        <w:bidi w:val="0"/>
        <w:spacing w:before="0" w:after="0" w:line="240" w:lineRule="auto"/>
        <w:ind w:left="0" w:right="0" w:firstLine="220"/>
        <w:jc w:val="left"/>
        <w:rPr>
          <w:sz w:val="24"/>
          <w:szCs w:val="24"/>
        </w:rPr>
      </w:pPr>
      <w:r>
        <w:rPr>
          <w:rFonts w:ascii="Arial" w:eastAsia="Arial" w:hAnsi="Arial" w:cs="Arial"/>
          <w:color w:val="000000"/>
          <w:spacing w:val="0"/>
          <w:w w:val="100"/>
          <w:position w:val="0"/>
          <w:sz w:val="24"/>
          <w:szCs w:val="24"/>
        </w:rPr>
        <w:t>2016</w:t>
      </w:r>
      <w:r>
        <w:rPr>
          <w:b/>
          <w:bCs/>
          <w:color w:val="000000"/>
          <w:spacing w:val="0"/>
          <w:w w:val="100"/>
          <w:position w:val="0"/>
          <w:sz w:val="24"/>
          <w:szCs w:val="24"/>
        </w:rPr>
        <w:t>年</w:t>
      </w:r>
      <w:r>
        <w:rPr>
          <w:rFonts w:ascii="Arial" w:eastAsia="Arial" w:hAnsi="Arial" w:cs="Arial"/>
          <w:color w:val="000000"/>
          <w:spacing w:val="0"/>
          <w:w w:val="100"/>
          <w:position w:val="0"/>
          <w:sz w:val="24"/>
          <w:szCs w:val="24"/>
        </w:rPr>
        <w:t>12</w:t>
      </w:r>
      <w:r>
        <w:rPr>
          <w:b/>
          <w:bCs/>
          <w:color w:val="000000"/>
          <w:spacing w:val="0"/>
          <w:w w:val="100"/>
          <w:position w:val="0"/>
          <w:sz w:val="24"/>
          <w:szCs w:val="24"/>
        </w:rPr>
        <w:t>月</w:t>
      </w:r>
      <w:r>
        <w:rPr>
          <w:rFonts w:ascii="Arial" w:eastAsia="Arial" w:hAnsi="Arial" w:cs="Arial"/>
          <w:color w:val="000000"/>
          <w:spacing w:val="0"/>
          <w:w w:val="100"/>
          <w:position w:val="0"/>
          <w:sz w:val="24"/>
          <w:szCs w:val="24"/>
        </w:rPr>
        <w:t>31</w:t>
      </w:r>
      <w:r>
        <w:rPr>
          <w:b/>
          <w:bCs/>
          <w:color w:val="000000"/>
          <w:spacing w:val="0"/>
          <w:w w:val="100"/>
          <w:position w:val="0"/>
          <w:sz w:val="24"/>
          <w:szCs w:val="24"/>
        </w:rPr>
        <w:t>日合并资产负债表</w:t>
      </w:r>
    </w:p>
    <w:p>
      <w:pPr>
        <w:pStyle w:val="Style32"/>
        <w:keepNext w:val="0"/>
        <w:keepLines w:val="0"/>
        <w:widowControl w:val="0"/>
        <w:shd w:val="clear" w:color="auto" w:fill="auto"/>
        <w:bidi w:val="0"/>
        <w:spacing w:before="0" w:after="340" w:line="240" w:lineRule="auto"/>
        <w:ind w:left="0" w:right="0" w:firstLine="220"/>
        <w:jc w:val="left"/>
        <w:rPr>
          <w:sz w:val="24"/>
          <w:szCs w:val="24"/>
        </w:rPr>
      </w:pPr>
      <w:r>
        <w:rPr>
          <w:rFonts w:ascii="Arial" w:eastAsia="Arial" w:hAnsi="Arial" w:cs="Arial"/>
          <w:color w:val="000000"/>
          <w:spacing w:val="0"/>
          <w:w w:val="100"/>
          <w:position w:val="0"/>
          <w:sz w:val="20"/>
          <w:szCs w:val="20"/>
        </w:rPr>
        <w:t>（</w:t>
      </w:r>
      <w:r>
        <w:rPr>
          <w:color w:val="000000"/>
          <w:spacing w:val="0"/>
          <w:w w:val="100"/>
          <w:position w:val="0"/>
          <w:sz w:val="20"/>
          <w:szCs w:val="20"/>
        </w:rPr>
        <w:t>除特别注明外，金额单位为人民币千元</w:t>
      </w:r>
      <w:r>
        <w:rPr>
          <w:color w:val="000000"/>
          <w:spacing w:val="0"/>
          <w:w w:val="100"/>
          <w:position w:val="0"/>
          <w:sz w:val="24"/>
          <w:szCs w:val="24"/>
        </w:rPr>
        <w:t>）</w:t>
      </w:r>
    </w:p>
    <w:tbl>
      <w:tblPr>
        <w:tblOverlap w:val="never"/>
        <w:jc w:val="center"/>
        <w:tblLayout w:type="fixed"/>
      </w:tblPr>
      <w:tblGrid>
        <w:gridCol w:w="2827"/>
        <w:gridCol w:w="1416"/>
        <w:gridCol w:w="2270"/>
        <w:gridCol w:w="2270"/>
      </w:tblGrid>
      <w:tr>
        <w:trPr>
          <w:trHeight w:val="48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资 产</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附注</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p>
            <w:pPr>
              <w:pStyle w:val="Style28"/>
              <w:keepNext w:val="0"/>
              <w:keepLines w:val="0"/>
              <w:widowControl w:val="0"/>
              <w:shd w:val="clear" w:color="auto" w:fill="auto"/>
              <w:bidi w:val="0"/>
              <w:spacing w:before="0" w:after="0" w:line="240" w:lineRule="auto"/>
              <w:ind w:left="1740" w:right="0" w:firstLine="0"/>
              <w:jc w:val="left"/>
              <w:rPr>
                <w:sz w:val="18"/>
                <w:szCs w:val="18"/>
              </w:rPr>
            </w:pPr>
            <w:r>
              <w:rPr>
                <w:color w:val="000000"/>
                <w:spacing w:val="0"/>
                <w:w w:val="100"/>
                <w:position w:val="0"/>
                <w:sz w:val="18"/>
                <w:szCs w:val="18"/>
              </w:rPr>
              <w:t>合并</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合并</w:t>
            </w:r>
          </w:p>
        </w:tc>
      </w:tr>
      <w:tr>
        <w:trPr>
          <w:trHeight w:val="24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货币资金</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四⑴</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27,209,229</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27,115,557</w:t>
            </w:r>
          </w:p>
        </w:tc>
      </w:tr>
      <w:tr>
        <w:trPr>
          <w:trHeight w:val="24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发放贷款及垫款</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四⑵</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2,932,167</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1,311,668</w:t>
            </w:r>
          </w:p>
        </w:tc>
      </w:tr>
      <w:tr>
        <w:trPr>
          <w:trHeight w:val="47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30" w:lineRule="exact"/>
              <w:ind w:left="560" w:right="0" w:hanging="120"/>
              <w:jc w:val="left"/>
              <w:rPr>
                <w:sz w:val="18"/>
                <w:szCs w:val="18"/>
              </w:rPr>
            </w:pPr>
            <w:r>
              <w:rPr>
                <w:color w:val="000000"/>
                <w:spacing w:val="0"/>
                <w:w w:val="100"/>
                <w:position w:val="0"/>
                <w:sz w:val="18"/>
                <w:szCs w:val="18"/>
              </w:rPr>
              <w:t>以公允价值计量且其变动 计入当期损益的金融资产</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四⑶</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2,228,633</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520" w:right="0" w:firstLine="0"/>
              <w:jc w:val="both"/>
              <w:rPr>
                <w:sz w:val="18"/>
                <w:szCs w:val="18"/>
              </w:rPr>
            </w:pPr>
            <w:r>
              <w:rPr>
                <w:rFonts w:ascii="Times New Roman" w:eastAsia="Times New Roman" w:hAnsi="Times New Roman" w:cs="Times New Roman"/>
                <w:color w:val="000000"/>
                <w:spacing w:val="0"/>
                <w:w w:val="100"/>
                <w:position w:val="0"/>
                <w:sz w:val="18"/>
                <w:szCs w:val="18"/>
              </w:rPr>
              <w:t>678,871</w:t>
            </w:r>
          </w:p>
        </w:tc>
      </w:tr>
      <w:tr>
        <w:trPr>
          <w:trHeight w:val="24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应收票据</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四</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32,584</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700" w:right="0" w:firstLine="0"/>
              <w:jc w:val="both"/>
              <w:rPr>
                <w:sz w:val="18"/>
                <w:szCs w:val="18"/>
              </w:rPr>
            </w:pPr>
            <w:r>
              <w:rPr>
                <w:rFonts w:ascii="Times New Roman" w:eastAsia="Times New Roman" w:hAnsi="Times New Roman" w:cs="Times New Roman"/>
                <w:color w:val="000000"/>
                <w:spacing w:val="0"/>
                <w:w w:val="100"/>
                <w:position w:val="0"/>
                <w:sz w:val="18"/>
                <w:szCs w:val="18"/>
              </w:rPr>
              <w:t>4,925</w:t>
            </w:r>
          </w:p>
        </w:tc>
      </w:tr>
      <w:tr>
        <w:trPr>
          <w:trHeight w:val="24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应收账款</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四</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1,103,531</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520" w:right="0" w:firstLine="0"/>
              <w:jc w:val="both"/>
              <w:rPr>
                <w:sz w:val="18"/>
                <w:szCs w:val="18"/>
              </w:rPr>
            </w:pPr>
            <w:r>
              <w:rPr>
                <w:rFonts w:ascii="Times New Roman" w:eastAsia="Times New Roman" w:hAnsi="Times New Roman" w:cs="Times New Roman"/>
                <w:color w:val="000000"/>
                <w:spacing w:val="0"/>
                <w:w w:val="100"/>
                <w:position w:val="0"/>
                <w:sz w:val="18"/>
                <w:szCs w:val="18"/>
              </w:rPr>
              <w:t>705,617</w:t>
            </w:r>
          </w:p>
        </w:tc>
      </w:tr>
      <w:tr>
        <w:trPr>
          <w:trHeight w:val="24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预付款项</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四⑹</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9,750,546</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6,706,522</w:t>
            </w:r>
          </w:p>
        </w:tc>
      </w:tr>
      <w:tr>
        <w:trPr>
          <w:trHeight w:val="24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应收利息</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四⑺</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129,770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94,333</w:t>
            </w:r>
          </w:p>
        </w:tc>
      </w:tr>
      <w:tr>
        <w:trPr>
          <w:trHeight w:val="24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740" w:right="0" w:firstLine="0"/>
              <w:jc w:val="both"/>
              <w:rPr>
                <w:sz w:val="18"/>
                <w:szCs w:val="18"/>
              </w:rPr>
            </w:pPr>
            <w:r>
              <w:rPr>
                <w:rFonts w:ascii="Times New Roman" w:eastAsia="Times New Roman" w:hAnsi="Times New Roman" w:cs="Times New Roman"/>
                <w:color w:val="000000"/>
                <w:spacing w:val="0"/>
                <w:w w:val="100"/>
                <w:position w:val="0"/>
                <w:sz w:val="18"/>
                <w:szCs w:val="18"/>
              </w:rPr>
              <w:t>5,819</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24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其他应收款</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四</w:t>
            </w: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4,095,221</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2,404,829</w:t>
            </w:r>
          </w:p>
        </w:tc>
      </w:tr>
      <w:tr>
        <w:trPr>
          <w:trHeight w:val="24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存货</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四</w:t>
            </w: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14,392,297</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14,004,797</w:t>
            </w:r>
          </w:p>
        </w:tc>
      </w:tr>
      <w:tr>
        <w:trPr>
          <w:trHeight w:val="24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其他流动资产</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四</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20,503,838</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3,724,748</w:t>
            </w:r>
          </w:p>
        </w:tc>
      </w:tr>
      <w:tr>
        <w:trPr>
          <w:trHeight w:val="24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82,383,635</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56,751,867</w:t>
            </w:r>
          </w:p>
        </w:tc>
      </w:tr>
      <w:tr>
        <w:trPr>
          <w:trHeight w:val="21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发放贷款及垫款</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四⑵</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1,288,959</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24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可供出售金融资产</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四</w:t>
            </w: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25,335,238</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1,836,900</w:t>
            </w:r>
          </w:p>
        </w:tc>
      </w:tr>
      <w:tr>
        <w:trPr>
          <w:trHeight w:val="24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长期应收款</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四</w:t>
            </w: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707,764</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520" w:right="0" w:firstLine="0"/>
              <w:jc w:val="both"/>
              <w:rPr>
                <w:sz w:val="18"/>
                <w:szCs w:val="18"/>
              </w:rPr>
            </w:pPr>
            <w:r>
              <w:rPr>
                <w:rFonts w:ascii="Times New Roman" w:eastAsia="Times New Roman" w:hAnsi="Times New Roman" w:cs="Times New Roman"/>
                <w:color w:val="000000"/>
                <w:spacing w:val="0"/>
                <w:w w:val="100"/>
                <w:position w:val="0"/>
                <w:sz w:val="18"/>
                <w:szCs w:val="18"/>
              </w:rPr>
              <w:t>630,402</w:t>
            </w:r>
          </w:p>
        </w:tc>
      </w:tr>
      <w:tr>
        <w:trPr>
          <w:trHeight w:val="24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长期股权投资</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四</w:t>
            </w: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417,048</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520" w:right="0" w:firstLine="0"/>
              <w:jc w:val="both"/>
              <w:rPr>
                <w:sz w:val="18"/>
                <w:szCs w:val="18"/>
              </w:rPr>
            </w:pPr>
            <w:r>
              <w:rPr>
                <w:rFonts w:ascii="Times New Roman" w:eastAsia="Times New Roman" w:hAnsi="Times New Roman" w:cs="Times New Roman"/>
                <w:color w:val="000000"/>
                <w:spacing w:val="0"/>
                <w:w w:val="100"/>
                <w:position w:val="0"/>
                <w:sz w:val="18"/>
                <w:szCs w:val="18"/>
              </w:rPr>
              <w:t>219,796</w:t>
            </w:r>
          </w:p>
        </w:tc>
      </w:tr>
      <w:tr>
        <w:trPr>
          <w:trHeight w:val="24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投资性房地产</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四</w:t>
            </w: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2,229,506</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1,586,676</w:t>
            </w:r>
          </w:p>
        </w:tc>
      </w:tr>
      <w:tr>
        <w:trPr>
          <w:trHeight w:val="24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固定资产</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四</w:t>
            </w: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12,813,169</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13,253,604</w:t>
            </w:r>
          </w:p>
        </w:tc>
      </w:tr>
      <w:tr>
        <w:trPr>
          <w:trHeight w:val="24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在建工程</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四</w:t>
            </w: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1,586,522</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1,915,103</w:t>
            </w:r>
          </w:p>
        </w:tc>
      </w:tr>
      <w:tr>
        <w:trPr>
          <w:trHeight w:val="24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740" w:right="0" w:firstLine="0"/>
              <w:jc w:val="both"/>
              <w:rPr>
                <w:sz w:val="18"/>
                <w:szCs w:val="18"/>
              </w:rPr>
            </w:pPr>
            <w:r>
              <w:rPr>
                <w:rFonts w:ascii="Times New Roman" w:eastAsia="Times New Roman" w:hAnsi="Times New Roman" w:cs="Times New Roman"/>
                <w:color w:val="000000"/>
                <w:spacing w:val="0"/>
                <w:w w:val="100"/>
                <w:position w:val="0"/>
                <w:sz w:val="18"/>
                <w:szCs w:val="18"/>
              </w:rPr>
              <w:t>4,693</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700" w:right="0" w:firstLine="0"/>
              <w:jc w:val="both"/>
              <w:rPr>
                <w:sz w:val="18"/>
                <w:szCs w:val="18"/>
              </w:rPr>
            </w:pPr>
            <w:r>
              <w:rPr>
                <w:rFonts w:ascii="Times New Roman" w:eastAsia="Times New Roman" w:hAnsi="Times New Roman" w:cs="Times New Roman"/>
                <w:color w:val="000000"/>
                <w:spacing w:val="0"/>
                <w:w w:val="100"/>
                <w:position w:val="0"/>
                <w:sz w:val="18"/>
                <w:szCs w:val="18"/>
              </w:rPr>
              <w:t>38,087</w:t>
            </w:r>
          </w:p>
        </w:tc>
      </w:tr>
      <w:tr>
        <w:trPr>
          <w:trHeight w:val="24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无形资产</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四</w:t>
            </w:r>
            <w:r>
              <w:rPr>
                <w:rFonts w:ascii="Times New Roman" w:eastAsia="Times New Roman" w:hAnsi="Times New Roman" w:cs="Times New Roman"/>
                <w:color w:val="000000"/>
                <w:spacing w:val="0"/>
                <w:w w:val="100"/>
                <w:position w:val="0"/>
                <w:sz w:val="18"/>
                <w:szCs w:val="18"/>
              </w:rPr>
              <w:t>(16)</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5,684,758</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7,143,679</w:t>
            </w:r>
          </w:p>
        </w:tc>
      </w:tr>
      <w:tr>
        <w:trPr>
          <w:trHeight w:val="24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开发支出</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四</w:t>
            </w:r>
            <w:r>
              <w:rPr>
                <w:rFonts w:ascii="Times New Roman" w:eastAsia="Times New Roman" w:hAnsi="Times New Roman" w:cs="Times New Roman"/>
                <w:color w:val="000000"/>
                <w:spacing w:val="0"/>
                <w:w w:val="100"/>
                <w:position w:val="0"/>
                <w:sz w:val="18"/>
                <w:szCs w:val="18"/>
              </w:rPr>
              <w:t>(16)</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740" w:right="0" w:firstLine="0"/>
              <w:jc w:val="both"/>
              <w:rPr>
                <w:sz w:val="18"/>
                <w:szCs w:val="18"/>
              </w:rPr>
            </w:pPr>
            <w:r>
              <w:rPr>
                <w:rFonts w:ascii="Times New Roman" w:eastAsia="Times New Roman" w:hAnsi="Times New Roman" w:cs="Times New Roman"/>
                <w:color w:val="000000"/>
                <w:spacing w:val="0"/>
                <w:w w:val="100"/>
                <w:position w:val="0"/>
                <w:sz w:val="18"/>
                <w:szCs w:val="18"/>
              </w:rPr>
              <w:t>2,967</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700" w:right="0" w:firstLine="0"/>
              <w:jc w:val="both"/>
              <w:rPr>
                <w:sz w:val="18"/>
                <w:szCs w:val="18"/>
              </w:rPr>
            </w:pPr>
            <w:r>
              <w:rPr>
                <w:rFonts w:ascii="Times New Roman" w:eastAsia="Times New Roman" w:hAnsi="Times New Roman" w:cs="Times New Roman"/>
                <w:color w:val="000000"/>
                <w:spacing w:val="0"/>
                <w:w w:val="100"/>
                <w:position w:val="0"/>
                <w:sz w:val="18"/>
                <w:szCs w:val="18"/>
              </w:rPr>
              <w:t>9,063</w:t>
            </w:r>
          </w:p>
        </w:tc>
      </w:tr>
      <w:tr>
        <w:trPr>
          <w:trHeight w:val="24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商誉</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四</w:t>
            </w:r>
            <w:r>
              <w:rPr>
                <w:rFonts w:ascii="Times New Roman" w:eastAsia="Times New Roman" w:hAnsi="Times New Roman" w:cs="Times New Roman"/>
                <w:color w:val="000000"/>
                <w:spacing w:val="0"/>
                <w:w w:val="100"/>
                <w:position w:val="0"/>
                <w:sz w:val="18"/>
                <w:szCs w:val="18"/>
              </w:rPr>
              <w:t>(17)</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426,702</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520" w:right="0" w:firstLine="0"/>
              <w:jc w:val="both"/>
              <w:rPr>
                <w:sz w:val="18"/>
                <w:szCs w:val="18"/>
              </w:rPr>
            </w:pPr>
            <w:r>
              <w:rPr>
                <w:rFonts w:ascii="Times New Roman" w:eastAsia="Times New Roman" w:hAnsi="Times New Roman" w:cs="Times New Roman"/>
                <w:color w:val="000000"/>
                <w:spacing w:val="0"/>
                <w:w w:val="100"/>
                <w:position w:val="0"/>
                <w:sz w:val="18"/>
                <w:szCs w:val="18"/>
              </w:rPr>
              <w:t>468,263</w:t>
            </w:r>
          </w:p>
        </w:tc>
      </w:tr>
      <w:tr>
        <w:trPr>
          <w:trHeight w:val="24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长期待摊费用</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四</w:t>
            </w:r>
            <w:r>
              <w:rPr>
                <w:rFonts w:ascii="Times New Roman" w:eastAsia="Times New Roman" w:hAnsi="Times New Roman" w:cs="Times New Roman"/>
                <w:color w:val="000000"/>
                <w:spacing w:val="0"/>
                <w:w w:val="100"/>
                <w:position w:val="0"/>
                <w:sz w:val="18"/>
                <w:szCs w:val="18"/>
              </w:rPr>
              <w:t>(18)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1,081,087</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1,266,012</w:t>
            </w:r>
          </w:p>
        </w:tc>
      </w:tr>
      <w:tr>
        <w:trPr>
          <w:trHeight w:val="24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递延所得税资产</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四</w:t>
            </w: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2,258,689</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2,193,459</w:t>
            </w:r>
          </w:p>
        </w:tc>
      </w:tr>
      <w:tr>
        <w:trPr>
          <w:trHeight w:val="24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其他非流动资产</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四</w:t>
            </w:r>
            <w:r>
              <w:rPr>
                <w:rFonts w:ascii="Times New Roman" w:eastAsia="Times New Roman" w:hAnsi="Times New Roman" w:cs="Times New Roman"/>
                <w:color w:val="000000"/>
                <w:spacing w:val="0"/>
                <w:w w:val="100"/>
                <w:position w:val="0"/>
                <w:sz w:val="18"/>
                <w:szCs w:val="18"/>
              </w:rPr>
              <w:t>(19)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946,504</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520" w:right="0" w:firstLine="0"/>
              <w:jc w:val="both"/>
              <w:rPr>
                <w:sz w:val="18"/>
                <w:szCs w:val="18"/>
              </w:rPr>
            </w:pPr>
            <w:r>
              <w:rPr>
                <w:rFonts w:ascii="Times New Roman" w:eastAsia="Times New Roman" w:hAnsi="Times New Roman" w:cs="Times New Roman"/>
                <w:color w:val="000000"/>
                <w:spacing w:val="0"/>
                <w:w w:val="100"/>
                <w:position w:val="0"/>
                <w:sz w:val="18"/>
                <w:szCs w:val="18"/>
              </w:rPr>
              <w:t>762,761</w:t>
            </w:r>
          </w:p>
        </w:tc>
      </w:tr>
      <w:tr>
        <w:trPr>
          <w:trHeight w:val="24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非流动资产合计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54,783,606</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31,323,805</w:t>
            </w:r>
          </w:p>
        </w:tc>
      </w:tr>
      <w:tr>
        <w:trPr>
          <w:trHeight w:val="21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资产总计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137,167,241</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88,075,672</w:t>
            </w:r>
          </w:p>
        </w:tc>
      </w:tr>
    </w:tbl>
    <w:p>
      <w:pPr>
        <w:spacing w:lineRule="exact" w:line="1"/>
        <w:rPr>
          <w:sz w:val="2"/>
          <w:szCs w:val="2"/>
        </w:rPr>
      </w:pPr>
      <w:r>
        <w:br w:type="page"/>
      </w:r>
    </w:p>
    <w:p>
      <w:pPr>
        <w:pStyle w:val="Style32"/>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color w:val="000000"/>
          <w:spacing w:val="0"/>
          <w:w w:val="100"/>
          <w:position w:val="0"/>
          <w:sz w:val="24"/>
          <w:szCs w:val="24"/>
        </w:rPr>
        <w:t>2016</w:t>
      </w:r>
      <w:r>
        <w:rPr>
          <w:b/>
          <w:bCs/>
          <w:color w:val="000000"/>
          <w:spacing w:val="0"/>
          <w:w w:val="100"/>
          <w:position w:val="0"/>
          <w:sz w:val="24"/>
          <w:szCs w:val="24"/>
        </w:rPr>
        <w:t>年</w:t>
      </w:r>
      <w:r>
        <w:rPr>
          <w:rFonts w:ascii="Arial" w:eastAsia="Arial" w:hAnsi="Arial" w:cs="Arial"/>
          <w:color w:val="000000"/>
          <w:spacing w:val="0"/>
          <w:w w:val="100"/>
          <w:position w:val="0"/>
          <w:sz w:val="24"/>
          <w:szCs w:val="24"/>
        </w:rPr>
        <w:t>12</w:t>
      </w:r>
      <w:r>
        <w:rPr>
          <w:b/>
          <w:bCs/>
          <w:color w:val="000000"/>
          <w:spacing w:val="0"/>
          <w:w w:val="100"/>
          <w:position w:val="0"/>
          <w:sz w:val="24"/>
          <w:szCs w:val="24"/>
        </w:rPr>
        <w:t>月</w:t>
      </w:r>
      <w:r>
        <w:rPr>
          <w:rFonts w:ascii="Arial" w:eastAsia="Arial" w:hAnsi="Arial" w:cs="Arial"/>
          <w:color w:val="000000"/>
          <w:spacing w:val="0"/>
          <w:w w:val="100"/>
          <w:position w:val="0"/>
          <w:sz w:val="24"/>
          <w:szCs w:val="24"/>
        </w:rPr>
        <w:t>31</w:t>
      </w:r>
      <w:r>
        <w:rPr>
          <w:b/>
          <w:bCs/>
          <w:color w:val="000000"/>
          <w:spacing w:val="0"/>
          <w:w w:val="100"/>
          <w:position w:val="0"/>
          <w:sz w:val="24"/>
          <w:szCs w:val="24"/>
        </w:rPr>
        <w:t>日合并资产负债表</w:t>
      </w:r>
      <w:r>
        <w:rPr>
          <w:rFonts w:ascii="Arial" w:eastAsia="Arial" w:hAnsi="Arial" w:cs="Arial"/>
          <w:color w:val="000000"/>
          <w:spacing w:val="0"/>
          <w:w w:val="100"/>
          <w:position w:val="0"/>
          <w:sz w:val="24"/>
          <w:szCs w:val="24"/>
        </w:rPr>
        <w:t>（</w:t>
      </w:r>
      <w:r>
        <w:rPr>
          <w:b/>
          <w:bCs/>
          <w:color w:val="000000"/>
          <w:spacing w:val="0"/>
          <w:w w:val="100"/>
          <w:position w:val="0"/>
          <w:sz w:val="24"/>
          <w:szCs w:val="24"/>
        </w:rPr>
        <w:t>续</w:t>
      </w:r>
      <w:r>
        <w:rPr>
          <w:rFonts w:ascii="Arial" w:eastAsia="Arial" w:hAnsi="Arial" w:cs="Arial"/>
          <w:color w:val="000000"/>
          <w:spacing w:val="0"/>
          <w:w w:val="100"/>
          <w:position w:val="0"/>
          <w:sz w:val="24"/>
          <w:szCs w:val="24"/>
        </w:rPr>
        <w:t>）</w:t>
      </w:r>
    </w:p>
    <w:p>
      <w:pPr>
        <w:pStyle w:val="Style32"/>
        <w:keepNext w:val="0"/>
        <w:keepLines w:val="0"/>
        <w:widowControl w:val="0"/>
        <w:shd w:val="clear" w:color="auto" w:fill="auto"/>
        <w:bidi w:val="0"/>
        <w:spacing w:before="0" w:after="340" w:line="240" w:lineRule="auto"/>
        <w:ind w:left="0" w:right="0" w:firstLine="0"/>
        <w:jc w:val="left"/>
        <w:rPr>
          <w:sz w:val="24"/>
          <w:szCs w:val="24"/>
        </w:rPr>
      </w:pPr>
      <w:r>
        <w:rPr>
          <w:rFonts w:ascii="Arial" w:eastAsia="Arial" w:hAnsi="Arial" w:cs="Arial"/>
          <w:color w:val="000000"/>
          <w:spacing w:val="0"/>
          <w:w w:val="100"/>
          <w:position w:val="0"/>
          <w:sz w:val="20"/>
          <w:szCs w:val="20"/>
        </w:rPr>
        <w:t>（</w:t>
      </w:r>
      <w:r>
        <w:rPr>
          <w:color w:val="000000"/>
          <w:spacing w:val="0"/>
          <w:w w:val="100"/>
          <w:position w:val="0"/>
          <w:sz w:val="20"/>
          <w:szCs w:val="20"/>
        </w:rPr>
        <w:t>除特别注明外，金额单位为人民币千元</w:t>
      </w:r>
      <w:r>
        <w:rPr>
          <w:color w:val="000000"/>
          <w:spacing w:val="0"/>
          <w:w w:val="100"/>
          <w:position w:val="0"/>
          <w:sz w:val="24"/>
          <w:szCs w:val="24"/>
        </w:rPr>
        <w:t>）</w:t>
      </w:r>
    </w:p>
    <w:tbl>
      <w:tblPr>
        <w:tblOverlap w:val="never"/>
        <w:jc w:val="center"/>
        <w:tblLayout w:type="fixed"/>
      </w:tblPr>
      <w:tblGrid>
        <w:gridCol w:w="3058"/>
        <w:gridCol w:w="989"/>
        <w:gridCol w:w="2414"/>
        <w:gridCol w:w="2410"/>
      </w:tblGrid>
      <w:tr>
        <w:trPr>
          <w:trHeight w:val="48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负债及股东权益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附注</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合并</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合并</w:t>
            </w:r>
          </w:p>
        </w:tc>
      </w:tr>
      <w:tr>
        <w:trPr>
          <w:trHeight w:val="24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短期借款</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四</w:t>
            </w:r>
            <w:r>
              <w:rPr>
                <w:rFonts w:ascii="Times New Roman" w:eastAsia="Times New Roman" w:hAnsi="Times New Roman" w:cs="Times New Roman"/>
                <w:color w:val="000000"/>
                <w:spacing w:val="0"/>
                <w:w w:val="100"/>
                <w:position w:val="0"/>
                <w:sz w:val="18"/>
                <w:szCs w:val="18"/>
              </w:rPr>
              <w:t>(22)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6,159,517</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3,225,641</w:t>
            </w:r>
          </w:p>
        </w:tc>
      </w:tr>
      <w:tr>
        <w:trPr>
          <w:trHeight w:val="47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30" w:lineRule="exact"/>
              <w:ind w:left="640" w:right="0" w:hanging="180"/>
              <w:jc w:val="left"/>
              <w:rPr>
                <w:sz w:val="18"/>
                <w:szCs w:val="18"/>
              </w:rPr>
            </w:pPr>
            <w:r>
              <w:rPr>
                <w:color w:val="000000"/>
                <w:spacing w:val="0"/>
                <w:w w:val="100"/>
                <w:position w:val="0"/>
                <w:sz w:val="18"/>
                <w:szCs w:val="18"/>
              </w:rPr>
              <w:t>以公允价值计量且其变动 计入当期损益的金融负债</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四</w:t>
            </w:r>
            <w:r>
              <w:rPr>
                <w:rFonts w:ascii="Times New Roman" w:eastAsia="Times New Roman" w:hAnsi="Times New Roman" w:cs="Times New Roman"/>
                <w:color w:val="000000"/>
                <w:spacing w:val="0"/>
                <w:w w:val="100"/>
                <w:position w:val="0"/>
                <w:sz w:val="18"/>
                <w:szCs w:val="18"/>
              </w:rPr>
              <w:t>(23)</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38,650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14,910</w:t>
            </w:r>
          </w:p>
        </w:tc>
      </w:tr>
      <w:tr>
        <w:trPr>
          <w:trHeight w:val="24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应付票据</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四</w:t>
            </w:r>
            <w:r>
              <w:rPr>
                <w:rFonts w:ascii="Times New Roman" w:eastAsia="Times New Roman" w:hAnsi="Times New Roman" w:cs="Times New Roman"/>
                <w:color w:val="000000"/>
                <w:spacing w:val="0"/>
                <w:w w:val="100"/>
                <w:position w:val="0"/>
                <w:sz w:val="18"/>
                <w:szCs w:val="18"/>
              </w:rPr>
              <w:t>(24)</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25,803,271</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23,890,061</w:t>
            </w:r>
          </w:p>
        </w:tc>
      </w:tr>
      <w:tr>
        <w:trPr>
          <w:trHeight w:val="24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应付账款</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四</w:t>
            </w:r>
            <w:r>
              <w:rPr>
                <w:rFonts w:ascii="Times New Roman" w:eastAsia="Times New Roman" w:hAnsi="Times New Roman" w:cs="Times New Roman"/>
                <w:color w:val="000000"/>
                <w:spacing w:val="0"/>
                <w:w w:val="100"/>
                <w:position w:val="0"/>
                <w:sz w:val="18"/>
                <w:szCs w:val="18"/>
              </w:rPr>
              <w:t>(25)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12,497,989</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9,058,853</w:t>
            </w:r>
          </w:p>
        </w:tc>
      </w:tr>
      <w:tr>
        <w:trPr>
          <w:trHeight w:val="24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预收款项</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四</w:t>
            </w:r>
            <w:r>
              <w:rPr>
                <w:rFonts w:ascii="Times New Roman" w:eastAsia="Times New Roman" w:hAnsi="Times New Roman" w:cs="Times New Roman"/>
                <w:color w:val="000000"/>
                <w:spacing w:val="0"/>
                <w:w w:val="100"/>
                <w:position w:val="0"/>
                <w:sz w:val="18"/>
                <w:szCs w:val="18"/>
              </w:rPr>
              <w:t>(26)</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1,603,094</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982,758</w:t>
            </w:r>
          </w:p>
        </w:tc>
      </w:tr>
      <w:tr>
        <w:trPr>
          <w:trHeight w:val="24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应付职工薪酬</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四</w:t>
            </w:r>
            <w:r>
              <w:rPr>
                <w:rFonts w:ascii="Times New Roman" w:eastAsia="Times New Roman" w:hAnsi="Times New Roman" w:cs="Times New Roman"/>
                <w:color w:val="000000"/>
                <w:spacing w:val="0"/>
                <w:w w:val="100"/>
                <w:position w:val="0"/>
                <w:sz w:val="18"/>
                <w:szCs w:val="18"/>
              </w:rPr>
              <w:t>(27)</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700" w:right="0" w:firstLine="0"/>
              <w:jc w:val="both"/>
              <w:rPr>
                <w:sz w:val="18"/>
                <w:szCs w:val="18"/>
              </w:rPr>
            </w:pPr>
            <w:r>
              <w:rPr>
                <w:rFonts w:ascii="Times New Roman" w:eastAsia="Times New Roman" w:hAnsi="Times New Roman" w:cs="Times New Roman"/>
                <w:color w:val="000000"/>
                <w:spacing w:val="0"/>
                <w:w w:val="100"/>
                <w:position w:val="0"/>
                <w:sz w:val="18"/>
                <w:szCs w:val="18"/>
              </w:rPr>
              <w:t>384,443</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355,535</w:t>
            </w:r>
          </w:p>
        </w:tc>
      </w:tr>
      <w:tr>
        <w:trPr>
          <w:trHeight w:val="24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应交税费</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四</w:t>
            </w:r>
            <w:r>
              <w:rPr>
                <w:rFonts w:ascii="Times New Roman" w:eastAsia="Times New Roman" w:hAnsi="Times New Roman" w:cs="Times New Roman"/>
                <w:color w:val="000000"/>
                <w:spacing w:val="0"/>
                <w:w w:val="100"/>
                <w:position w:val="0"/>
                <w:sz w:val="18"/>
                <w:szCs w:val="18"/>
              </w:rPr>
              <w:t>(28)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1,065,938</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978,017</w:t>
            </w:r>
          </w:p>
        </w:tc>
      </w:tr>
      <w:tr>
        <w:trPr>
          <w:trHeight w:val="24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应付利息</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四</w:t>
            </w:r>
            <w:r>
              <w:rPr>
                <w:rFonts w:ascii="Times New Roman" w:eastAsia="Times New Roman" w:hAnsi="Times New Roman" w:cs="Times New Roman"/>
                <w:color w:val="000000"/>
                <w:spacing w:val="0"/>
                <w:w w:val="100"/>
                <w:position w:val="0"/>
                <w:sz w:val="18"/>
                <w:szCs w:val="18"/>
              </w:rPr>
              <w:t>(29)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52,563</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42,536</w:t>
            </w:r>
          </w:p>
        </w:tc>
      </w:tr>
      <w:tr>
        <w:trPr>
          <w:trHeight w:val="24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其他应付款</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四</w:t>
            </w: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8,176,104</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6,233,929</w:t>
            </w:r>
          </w:p>
        </w:tc>
      </w:tr>
      <w:tr>
        <w:trPr>
          <w:trHeight w:val="24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一年内到期的非流动负债</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四</w:t>
            </w:r>
            <w:r>
              <w:rPr>
                <w:rFonts w:ascii="Times New Roman" w:eastAsia="Times New Roman" w:hAnsi="Times New Roman" w:cs="Times New Roman"/>
                <w:color w:val="000000"/>
                <w:spacing w:val="0"/>
                <w:w w:val="100"/>
                <w:position w:val="0"/>
                <w:sz w:val="18"/>
                <w:szCs w:val="18"/>
              </w:rPr>
              <w:t>(31)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4,595,440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144,393</w:t>
            </w:r>
          </w:p>
        </w:tc>
      </w:tr>
      <w:tr>
        <w:trPr>
          <w:trHeight w:val="24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其他流动负债</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四</w:t>
            </w:r>
            <w:r>
              <w:rPr>
                <w:rFonts w:ascii="Times New Roman" w:eastAsia="Times New Roman" w:hAnsi="Times New Roman" w:cs="Times New Roman"/>
                <w:color w:val="000000"/>
                <w:spacing w:val="0"/>
                <w:w w:val="100"/>
                <w:position w:val="0"/>
                <w:sz w:val="18"/>
                <w:szCs w:val="18"/>
              </w:rPr>
              <w:t>(32)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1,078,017</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808,026</w:t>
            </w:r>
          </w:p>
        </w:tc>
      </w:tr>
      <w:tr>
        <w:trPr>
          <w:trHeight w:val="24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61,455,026</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45,734,659</w:t>
            </w:r>
          </w:p>
        </w:tc>
      </w:tr>
      <w:tr>
        <w:trPr>
          <w:trHeight w:val="21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长期借款</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四</w:t>
            </w:r>
            <w:r>
              <w:rPr>
                <w:rFonts w:ascii="Times New Roman" w:eastAsia="Times New Roman" w:hAnsi="Times New Roman" w:cs="Times New Roman"/>
                <w:color w:val="000000"/>
                <w:spacing w:val="0"/>
                <w:w w:val="100"/>
                <w:position w:val="0"/>
                <w:sz w:val="18"/>
                <w:szCs w:val="18"/>
              </w:rPr>
              <w:t>(33)</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18,000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357,918</w:t>
            </w:r>
          </w:p>
        </w:tc>
      </w:tr>
      <w:tr>
        <w:trPr>
          <w:trHeight w:val="24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应付债券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四</w:t>
            </w:r>
            <w:r>
              <w:rPr>
                <w:rFonts w:ascii="Times New Roman" w:eastAsia="Times New Roman" w:hAnsi="Times New Roman" w:cs="Times New Roman"/>
                <w:color w:val="000000"/>
                <w:spacing w:val="0"/>
                <w:w w:val="100"/>
                <w:position w:val="0"/>
                <w:sz w:val="18"/>
                <w:szCs w:val="18"/>
              </w:rPr>
              <w:t>(34)</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3,500,021</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7,977,095</w:t>
            </w:r>
          </w:p>
        </w:tc>
      </w:tr>
      <w:tr>
        <w:trPr>
          <w:trHeight w:val="24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预计负债</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四</w:t>
            </w: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56,368</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42,460</w:t>
            </w:r>
          </w:p>
        </w:tc>
      </w:tr>
      <w:tr>
        <w:trPr>
          <w:trHeight w:val="24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递延收益</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四</w:t>
            </w: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1,958,414</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1,805,638</w:t>
            </w:r>
          </w:p>
        </w:tc>
      </w:tr>
      <w:tr>
        <w:trPr>
          <w:trHeight w:val="24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长期应付职工薪酬</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四</w:t>
            </w: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25,125</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20,854</w:t>
            </w:r>
          </w:p>
        </w:tc>
      </w:tr>
      <w:tr>
        <w:trPr>
          <w:trHeight w:val="24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递延所得税负债</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四</w:t>
            </w: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700" w:right="0" w:firstLine="0"/>
              <w:jc w:val="both"/>
              <w:rPr>
                <w:sz w:val="18"/>
                <w:szCs w:val="18"/>
              </w:rPr>
            </w:pPr>
            <w:r>
              <w:rPr>
                <w:rFonts w:ascii="Times New Roman" w:eastAsia="Times New Roman" w:hAnsi="Times New Roman" w:cs="Times New Roman"/>
                <w:color w:val="000000"/>
                <w:spacing w:val="0"/>
                <w:w w:val="100"/>
                <w:position w:val="0"/>
                <w:sz w:val="18"/>
                <w:szCs w:val="18"/>
              </w:rPr>
              <w:t>217,304</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191,483</w:t>
            </w:r>
          </w:p>
        </w:tc>
      </w:tr>
      <w:tr>
        <w:trPr>
          <w:trHeight w:val="24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其他非流动负债</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四</w:t>
            </w: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15,005</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20,499</w:t>
            </w:r>
          </w:p>
        </w:tc>
      </w:tr>
      <w:tr>
        <w:trPr>
          <w:trHeight w:val="24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5,790,237</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10,415,947</w:t>
            </w:r>
          </w:p>
        </w:tc>
      </w:tr>
      <w:tr>
        <w:trPr>
          <w:trHeight w:val="21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67,245,263</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56,150,606</w:t>
            </w:r>
          </w:p>
        </w:tc>
      </w:tr>
      <w:tr>
        <w:trPr>
          <w:trHeight w:val="21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股本</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四</w:t>
            </w: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9,310,040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7,383,043</w:t>
            </w:r>
          </w:p>
        </w:tc>
      </w:tr>
      <w:tr>
        <w:trPr>
          <w:trHeight w:val="24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资本公积</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四</w:t>
            </w: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35,835,357</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5,237,740</w:t>
            </w:r>
          </w:p>
        </w:tc>
      </w:tr>
      <w:tr>
        <w:trPr>
          <w:trHeight w:val="24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其他综合收益</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四</w:t>
            </w: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2,502,912</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61,833</w:t>
            </w:r>
          </w:p>
        </w:tc>
      </w:tr>
      <w:tr>
        <w:trPr>
          <w:trHeight w:val="24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盈余公积</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四</w:t>
            </w: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1,286,919</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1,160,735</w:t>
            </w:r>
          </w:p>
        </w:tc>
      </w:tr>
      <w:tr>
        <w:trPr>
          <w:trHeight w:val="24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700" w:right="0" w:firstLine="0"/>
              <w:jc w:val="both"/>
              <w:rPr>
                <w:sz w:val="18"/>
                <w:szCs w:val="18"/>
              </w:rPr>
            </w:pPr>
            <w:r>
              <w:rPr>
                <w:rFonts w:ascii="Times New Roman" w:eastAsia="Times New Roman" w:hAnsi="Times New Roman" w:cs="Times New Roman"/>
                <w:color w:val="000000"/>
                <w:spacing w:val="0"/>
                <w:w w:val="100"/>
                <w:position w:val="0"/>
                <w:sz w:val="18"/>
                <w:szCs w:val="18"/>
              </w:rPr>
              <w:t>131,477</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27,864</w:t>
            </w:r>
          </w:p>
        </w:tc>
      </w:tr>
      <w:tr>
        <w:trPr>
          <w:trHeight w:val="24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未分配利润</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四</w:t>
            </w: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16,642,975</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16,611,341</w:t>
            </w:r>
          </w:p>
        </w:tc>
      </w:tr>
      <w:tr>
        <w:trPr>
          <w:trHeight w:val="24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b/>
                <w:bCs/>
                <w:color w:val="000000"/>
                <w:spacing w:val="0"/>
                <w:w w:val="100"/>
                <w:position w:val="0"/>
                <w:sz w:val="18"/>
                <w:szCs w:val="18"/>
              </w:rPr>
              <w:t>归属于本公司股东权益合计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65,709,680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30,482,556</w:t>
            </w:r>
          </w:p>
        </w:tc>
      </w:tr>
      <w:tr>
        <w:trPr>
          <w:trHeight w:val="24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b/>
                <w:bCs/>
                <w:color w:val="000000"/>
                <w:spacing w:val="0"/>
                <w:w w:val="100"/>
                <w:position w:val="0"/>
                <w:sz w:val="18"/>
                <w:szCs w:val="18"/>
              </w:rPr>
              <w:t>少数股东权益</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六</w:t>
            </w:r>
            <w:r>
              <w:rPr>
                <w:rFonts w:ascii="Times New Roman" w:eastAsia="Times New Roman" w:hAnsi="Times New Roman" w:cs="Times New Roman"/>
                <w:color w:val="000000"/>
                <w:spacing w:val="0"/>
                <w:w w:val="100"/>
                <w:position w:val="0"/>
                <w:sz w:val="18"/>
                <w:szCs w:val="18"/>
              </w:rPr>
              <w:t>(1)(b)</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4,212,298</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1,442,510</w:t>
            </w:r>
          </w:p>
        </w:tc>
      </w:tr>
      <w:tr>
        <w:trPr>
          <w:trHeight w:val="24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rPr>
              <w:t>股东权益合计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69,921,978</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31,925,066</w:t>
            </w:r>
          </w:p>
        </w:tc>
      </w:tr>
      <w:tr>
        <w:trPr>
          <w:trHeight w:val="21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负债及股东权益总计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137,167,241</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88,075,672</w:t>
            </w:r>
          </w:p>
        </w:tc>
      </w:tr>
    </w:tbl>
    <w:p>
      <w:pPr>
        <w:widowControl w:val="0"/>
        <w:spacing w:after="259" w:line="1" w:lineRule="exact"/>
      </w:pPr>
    </w:p>
    <w:p>
      <w:pPr>
        <w:pStyle w:val="Style32"/>
        <w:keepNext w:val="0"/>
        <w:keepLines w:val="0"/>
        <w:widowControl w:val="0"/>
        <w:shd w:val="clear" w:color="auto" w:fill="auto"/>
        <w:bidi w:val="0"/>
        <w:spacing w:before="0" w:after="260" w:line="240" w:lineRule="auto"/>
        <w:ind w:left="0" w:right="0" w:firstLine="0"/>
        <w:jc w:val="left"/>
        <w:rPr>
          <w:sz w:val="20"/>
          <w:szCs w:val="20"/>
        </w:rPr>
      </w:pPr>
      <w:r>
        <w:rPr>
          <w:color w:val="000000"/>
          <w:spacing w:val="0"/>
          <w:w w:val="100"/>
          <w:position w:val="0"/>
          <w:sz w:val="20"/>
          <w:szCs w:val="20"/>
        </w:rPr>
        <w:t>后附财务报表附注为财务报表的组成部分。</w:t>
      </w:r>
    </w:p>
    <w:p>
      <w:pPr>
        <w:pStyle w:val="Style32"/>
        <w:keepNext w:val="0"/>
        <w:keepLines w:val="0"/>
        <w:widowControl w:val="0"/>
        <w:shd w:val="clear" w:color="auto" w:fill="auto"/>
        <w:tabs>
          <w:tab w:pos="3072" w:val="left"/>
          <w:tab w:pos="6725" w:val="left"/>
        </w:tabs>
        <w:bidi w:val="0"/>
        <w:spacing w:before="0" w:after="300" w:line="240" w:lineRule="auto"/>
        <w:ind w:left="0" w:right="0" w:firstLine="0"/>
        <w:jc w:val="left"/>
        <w:rPr>
          <w:sz w:val="20"/>
          <w:szCs w:val="20"/>
        </w:rPr>
      </w:pPr>
      <w:r>
        <w:rPr>
          <w:color w:val="000000"/>
          <w:spacing w:val="0"/>
          <w:w w:val="100"/>
          <w:position w:val="0"/>
          <w:sz w:val="20"/>
          <w:szCs w:val="20"/>
        </w:rPr>
        <w:t>企业负责人：张近东</w:t>
        <w:tab/>
        <w:t>主管会计工作的负责人：肖忠祥</w:t>
        <w:tab/>
        <w:t>会计机构负责人：华志松</w:t>
      </w:r>
      <w:r>
        <w:br w:type="page"/>
      </w:r>
    </w:p>
    <w:p>
      <w:pPr>
        <w:pStyle w:val="Style32"/>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color w:val="000000"/>
          <w:spacing w:val="0"/>
          <w:w w:val="100"/>
          <w:position w:val="0"/>
          <w:sz w:val="24"/>
          <w:szCs w:val="24"/>
        </w:rPr>
        <w:t>2016</w:t>
      </w:r>
      <w:r>
        <w:rPr>
          <w:b/>
          <w:bCs/>
          <w:color w:val="000000"/>
          <w:spacing w:val="0"/>
          <w:w w:val="100"/>
          <w:position w:val="0"/>
          <w:sz w:val="24"/>
          <w:szCs w:val="24"/>
        </w:rPr>
        <w:t>年</w:t>
      </w:r>
      <w:r>
        <w:rPr>
          <w:rFonts w:ascii="Arial" w:eastAsia="Arial" w:hAnsi="Arial" w:cs="Arial"/>
          <w:color w:val="000000"/>
          <w:spacing w:val="0"/>
          <w:w w:val="100"/>
          <w:position w:val="0"/>
          <w:sz w:val="24"/>
          <w:szCs w:val="24"/>
        </w:rPr>
        <w:t>12</w:t>
      </w:r>
      <w:r>
        <w:rPr>
          <w:b/>
          <w:bCs/>
          <w:color w:val="000000"/>
          <w:spacing w:val="0"/>
          <w:w w:val="100"/>
          <w:position w:val="0"/>
          <w:sz w:val="24"/>
          <w:szCs w:val="24"/>
        </w:rPr>
        <w:t>月</w:t>
      </w:r>
      <w:r>
        <w:rPr>
          <w:rFonts w:ascii="Arial" w:eastAsia="Arial" w:hAnsi="Arial" w:cs="Arial"/>
          <w:color w:val="000000"/>
          <w:spacing w:val="0"/>
          <w:w w:val="100"/>
          <w:position w:val="0"/>
          <w:sz w:val="24"/>
          <w:szCs w:val="24"/>
        </w:rPr>
        <w:t>31</w:t>
      </w:r>
      <w:r>
        <w:rPr>
          <w:b/>
          <w:bCs/>
          <w:color w:val="000000"/>
          <w:spacing w:val="0"/>
          <w:w w:val="100"/>
          <w:position w:val="0"/>
          <w:sz w:val="24"/>
          <w:szCs w:val="24"/>
        </w:rPr>
        <w:t>日公司资产负债表</w:t>
      </w:r>
    </w:p>
    <w:p>
      <w:pPr>
        <w:pStyle w:val="Style32"/>
        <w:keepNext w:val="0"/>
        <w:keepLines w:val="0"/>
        <w:widowControl w:val="0"/>
        <w:shd w:val="clear" w:color="auto" w:fill="auto"/>
        <w:bidi w:val="0"/>
        <w:spacing w:before="0" w:after="340" w:line="240" w:lineRule="auto"/>
        <w:ind w:left="0" w:right="0" w:firstLine="0"/>
        <w:jc w:val="left"/>
        <w:rPr>
          <w:sz w:val="24"/>
          <w:szCs w:val="24"/>
        </w:rPr>
      </w:pPr>
      <w:r>
        <w:rPr>
          <w:rFonts w:ascii="Arial" w:eastAsia="Arial" w:hAnsi="Arial" w:cs="Arial"/>
          <w:color w:val="000000"/>
          <w:spacing w:val="0"/>
          <w:w w:val="100"/>
          <w:position w:val="0"/>
          <w:sz w:val="20"/>
          <w:szCs w:val="20"/>
        </w:rPr>
        <w:t>(</w:t>
      </w:r>
      <w:r>
        <w:rPr>
          <w:color w:val="000000"/>
          <w:spacing w:val="0"/>
          <w:w w:val="100"/>
          <w:position w:val="0"/>
          <w:sz w:val="20"/>
          <w:szCs w:val="20"/>
        </w:rPr>
        <w:t>除特别注明外，金额单位为人民币千元</w:t>
      </w:r>
      <w:r>
        <w:rPr>
          <w:color w:val="000000"/>
          <w:spacing w:val="0"/>
          <w:w w:val="100"/>
          <w:position w:val="0"/>
          <w:sz w:val="24"/>
          <w:szCs w:val="24"/>
        </w:rPr>
        <w:t>)</w:t>
      </w:r>
    </w:p>
    <w:tbl>
      <w:tblPr>
        <w:tblOverlap w:val="never"/>
        <w:jc w:val="center"/>
        <w:tblLayout w:type="fixed"/>
      </w:tblPr>
      <w:tblGrid>
        <w:gridCol w:w="2827"/>
        <w:gridCol w:w="1416"/>
        <w:gridCol w:w="2131"/>
        <w:gridCol w:w="2270"/>
      </w:tblGrid>
      <w:tr>
        <w:trPr>
          <w:trHeight w:val="48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资 产</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附注</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公司</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p>
            <w:pPr>
              <w:pStyle w:val="Style28"/>
              <w:keepNext w:val="0"/>
              <w:keepLines w:val="0"/>
              <w:widowControl w:val="0"/>
              <w:shd w:val="clear" w:color="auto" w:fill="auto"/>
              <w:bidi w:val="0"/>
              <w:spacing w:before="0" w:after="0" w:line="240" w:lineRule="auto"/>
              <w:ind w:left="0" w:right="140" w:firstLine="0"/>
              <w:jc w:val="right"/>
              <w:rPr>
                <w:sz w:val="18"/>
                <w:szCs w:val="18"/>
              </w:rPr>
            </w:pPr>
            <w:r>
              <w:rPr>
                <w:color w:val="000000"/>
                <w:spacing w:val="0"/>
                <w:w w:val="100"/>
                <w:position w:val="0"/>
                <w:sz w:val="18"/>
                <w:szCs w:val="18"/>
              </w:rPr>
              <w:t>公司</w:t>
            </w:r>
          </w:p>
        </w:tc>
      </w:tr>
      <w:tr>
        <w:trPr>
          <w:trHeight w:val="24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15,759,738</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14,510,091</w:t>
            </w:r>
          </w:p>
        </w:tc>
      </w:tr>
      <w:tr>
        <w:trPr>
          <w:trHeight w:val="47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以公允价值计量且其变动计 入当期损益的金融资产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1,081,287</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657,487</w:t>
            </w:r>
          </w:p>
        </w:tc>
      </w:tr>
      <w:tr>
        <w:trPr>
          <w:trHeight w:val="24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520" w:right="0" w:firstLine="0"/>
              <w:jc w:val="both"/>
              <w:rPr>
                <w:sz w:val="18"/>
                <w:szCs w:val="18"/>
              </w:rPr>
            </w:pPr>
            <w:r>
              <w:rPr>
                <w:rFonts w:ascii="Times New Roman" w:eastAsia="Times New Roman" w:hAnsi="Times New Roman" w:cs="Times New Roman"/>
                <w:color w:val="000000"/>
                <w:spacing w:val="0"/>
                <w:w w:val="100"/>
                <w:position w:val="0"/>
                <w:sz w:val="18"/>
                <w:szCs w:val="18"/>
              </w:rPr>
              <w:t>12,426</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4,424</w:t>
            </w:r>
          </w:p>
        </w:tc>
      </w:tr>
      <w:tr>
        <w:trPr>
          <w:trHeight w:val="24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应收账款</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十七</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15,375,335</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24,689,195</w:t>
            </w:r>
          </w:p>
        </w:tc>
      </w:tr>
      <w:tr>
        <w:trPr>
          <w:trHeight w:val="24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预付款项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13,006,368</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7,352,767</w:t>
            </w:r>
          </w:p>
        </w:tc>
      </w:tr>
      <w:tr>
        <w:trPr>
          <w:trHeight w:val="24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520" w:right="0" w:firstLine="0"/>
              <w:jc w:val="both"/>
              <w:rPr>
                <w:sz w:val="18"/>
                <w:szCs w:val="18"/>
              </w:rPr>
            </w:pPr>
            <w:r>
              <w:rPr>
                <w:rFonts w:ascii="Times New Roman" w:eastAsia="Times New Roman" w:hAnsi="Times New Roman" w:cs="Times New Roman"/>
                <w:color w:val="000000"/>
                <w:spacing w:val="0"/>
                <w:w w:val="100"/>
                <w:position w:val="0"/>
                <w:sz w:val="18"/>
                <w:szCs w:val="18"/>
              </w:rPr>
              <w:t>73,773</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49,474</w:t>
            </w:r>
          </w:p>
        </w:tc>
      </w:tr>
      <w:tr>
        <w:trPr>
          <w:trHeight w:val="24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5,819</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860,986</w:t>
            </w:r>
          </w:p>
        </w:tc>
      </w:tr>
      <w:tr>
        <w:trPr>
          <w:trHeight w:val="24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其他应收款</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十七⑵</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10,013,195</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6,596,139</w:t>
            </w:r>
          </w:p>
        </w:tc>
      </w:tr>
      <w:tr>
        <w:trPr>
          <w:trHeight w:val="24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11,530,953</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11,115,799</w:t>
            </w:r>
          </w:p>
        </w:tc>
      </w:tr>
      <w:tr>
        <w:trPr>
          <w:trHeight w:val="24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14,466,610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1,158,071</w:t>
            </w:r>
          </w:p>
        </w:tc>
      </w:tr>
      <w:tr>
        <w:trPr>
          <w:trHeight w:val="24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81,325,504</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66,994,433</w:t>
            </w:r>
          </w:p>
        </w:tc>
      </w:tr>
      <w:tr>
        <w:trPr>
          <w:trHeight w:val="21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7,487,123</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1,651,227</w:t>
            </w:r>
          </w:p>
        </w:tc>
      </w:tr>
      <w:tr>
        <w:trPr>
          <w:trHeight w:val="24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924,900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924,900</w:t>
            </w:r>
          </w:p>
        </w:tc>
      </w:tr>
      <w:tr>
        <w:trPr>
          <w:trHeight w:val="24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长期股权投资</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十七⑶</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30,119,319</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15,266,501</w:t>
            </w:r>
          </w:p>
        </w:tc>
      </w:tr>
      <w:tr>
        <w:trPr>
          <w:trHeight w:val="24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532,004</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584,163</w:t>
            </w:r>
          </w:p>
        </w:tc>
      </w:tr>
      <w:tr>
        <w:trPr>
          <w:trHeight w:val="24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2,373,453</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2,464,239</w:t>
            </w:r>
          </w:p>
        </w:tc>
      </w:tr>
      <w:tr>
        <w:trPr>
          <w:trHeight w:val="24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520" w:right="0" w:firstLine="0"/>
              <w:jc w:val="both"/>
              <w:rPr>
                <w:sz w:val="18"/>
                <w:szCs w:val="18"/>
              </w:rPr>
            </w:pPr>
            <w:r>
              <w:rPr>
                <w:rFonts w:ascii="Times New Roman" w:eastAsia="Times New Roman" w:hAnsi="Times New Roman" w:cs="Times New Roman"/>
                <w:color w:val="000000"/>
                <w:spacing w:val="0"/>
                <w:w w:val="100"/>
                <w:position w:val="0"/>
                <w:sz w:val="18"/>
                <w:szCs w:val="18"/>
              </w:rPr>
              <w:t>58,686</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46,171</w:t>
            </w:r>
          </w:p>
        </w:tc>
      </w:tr>
      <w:tr>
        <w:trPr>
          <w:trHeight w:val="24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140" w:firstLine="0"/>
              <w:jc w:val="right"/>
              <w:rPr>
                <w:sz w:val="18"/>
                <w:szCs w:val="18"/>
              </w:rPr>
            </w:pPr>
            <w:r>
              <w:rPr>
                <w:rFonts w:ascii="Times New Roman" w:eastAsia="Times New Roman" w:hAnsi="Times New Roman" w:cs="Times New Roman"/>
                <w:color w:val="000000"/>
                <w:spacing w:val="0"/>
                <w:w w:val="100"/>
                <w:position w:val="0"/>
                <w:sz w:val="18"/>
                <w:szCs w:val="18"/>
              </w:rPr>
              <w:t>13</w:t>
            </w:r>
          </w:p>
        </w:tc>
      </w:tr>
      <w:tr>
        <w:trPr>
          <w:trHeight w:val="24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400,444</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466,826</w:t>
            </w:r>
          </w:p>
        </w:tc>
      </w:tr>
      <w:tr>
        <w:trPr>
          <w:trHeight w:val="24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1,921</w:t>
            </w:r>
          </w:p>
        </w:tc>
      </w:tr>
      <w:tr>
        <w:trPr>
          <w:trHeight w:val="24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460,734</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381,011</w:t>
            </w:r>
          </w:p>
        </w:tc>
      </w:tr>
      <w:tr>
        <w:trPr>
          <w:trHeight w:val="24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140,172</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387,237</w:t>
            </w:r>
          </w:p>
        </w:tc>
      </w:tr>
      <w:tr>
        <w:trPr>
          <w:trHeight w:val="24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520" w:right="0" w:firstLine="0"/>
              <w:jc w:val="both"/>
              <w:rPr>
                <w:sz w:val="18"/>
                <w:szCs w:val="18"/>
              </w:rPr>
            </w:pPr>
            <w:r>
              <w:rPr>
                <w:rFonts w:ascii="Times New Roman" w:eastAsia="Times New Roman" w:hAnsi="Times New Roman" w:cs="Times New Roman"/>
                <w:color w:val="000000"/>
                <w:spacing w:val="0"/>
                <w:w w:val="100"/>
                <w:position w:val="0"/>
                <w:sz w:val="18"/>
                <w:szCs w:val="18"/>
              </w:rPr>
              <w:t>24,057</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23,174</w:t>
            </w:r>
          </w:p>
        </w:tc>
      </w:tr>
      <w:tr>
        <w:trPr>
          <w:trHeight w:val="24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非流动资产合计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42,520,905</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22,197,383</w:t>
            </w:r>
          </w:p>
        </w:tc>
      </w:tr>
      <w:tr>
        <w:trPr>
          <w:trHeight w:val="21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资产总计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123,846,409</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89,191,816</w:t>
            </w:r>
          </w:p>
        </w:tc>
      </w:tr>
    </w:tbl>
    <w:p>
      <w:pPr>
        <w:spacing w:lineRule="exact" w:line="1"/>
        <w:rPr>
          <w:sz w:val="2"/>
          <w:szCs w:val="2"/>
        </w:rPr>
      </w:pPr>
      <w:r>
        <w:br w:type="page"/>
      </w:r>
    </w:p>
    <w:p>
      <w:pPr>
        <w:pStyle w:val="Style32"/>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color w:val="000000"/>
          <w:spacing w:val="0"/>
          <w:w w:val="100"/>
          <w:position w:val="0"/>
          <w:sz w:val="24"/>
          <w:szCs w:val="24"/>
        </w:rPr>
        <w:t>2016</w:t>
      </w:r>
      <w:r>
        <w:rPr>
          <w:b/>
          <w:bCs/>
          <w:color w:val="000000"/>
          <w:spacing w:val="0"/>
          <w:w w:val="100"/>
          <w:position w:val="0"/>
          <w:sz w:val="24"/>
          <w:szCs w:val="24"/>
        </w:rPr>
        <w:t>年</w:t>
      </w:r>
      <w:r>
        <w:rPr>
          <w:rFonts w:ascii="Arial" w:eastAsia="Arial" w:hAnsi="Arial" w:cs="Arial"/>
          <w:color w:val="000000"/>
          <w:spacing w:val="0"/>
          <w:w w:val="100"/>
          <w:position w:val="0"/>
          <w:sz w:val="24"/>
          <w:szCs w:val="24"/>
        </w:rPr>
        <w:t>12</w:t>
      </w:r>
      <w:r>
        <w:rPr>
          <w:b/>
          <w:bCs/>
          <w:color w:val="000000"/>
          <w:spacing w:val="0"/>
          <w:w w:val="100"/>
          <w:position w:val="0"/>
          <w:sz w:val="24"/>
          <w:szCs w:val="24"/>
        </w:rPr>
        <w:t>月</w:t>
      </w:r>
      <w:r>
        <w:rPr>
          <w:rFonts w:ascii="Arial" w:eastAsia="Arial" w:hAnsi="Arial" w:cs="Arial"/>
          <w:color w:val="000000"/>
          <w:spacing w:val="0"/>
          <w:w w:val="100"/>
          <w:position w:val="0"/>
          <w:sz w:val="24"/>
          <w:szCs w:val="24"/>
        </w:rPr>
        <w:t>31</w:t>
      </w:r>
      <w:r>
        <w:rPr>
          <w:b/>
          <w:bCs/>
          <w:color w:val="000000"/>
          <w:spacing w:val="0"/>
          <w:w w:val="100"/>
          <w:position w:val="0"/>
          <w:sz w:val="24"/>
          <w:szCs w:val="24"/>
        </w:rPr>
        <w:t>日公司资产负债表</w:t>
      </w:r>
      <w:r>
        <w:rPr>
          <w:rFonts w:ascii="Arial" w:eastAsia="Arial" w:hAnsi="Arial" w:cs="Arial"/>
          <w:color w:val="000000"/>
          <w:spacing w:val="0"/>
          <w:w w:val="100"/>
          <w:position w:val="0"/>
          <w:sz w:val="24"/>
          <w:szCs w:val="24"/>
        </w:rPr>
        <w:t>（</w:t>
      </w:r>
      <w:r>
        <w:rPr>
          <w:b/>
          <w:bCs/>
          <w:color w:val="000000"/>
          <w:spacing w:val="0"/>
          <w:w w:val="100"/>
          <w:position w:val="0"/>
          <w:sz w:val="24"/>
          <w:szCs w:val="24"/>
        </w:rPr>
        <w:t>续</w:t>
      </w:r>
      <w:r>
        <w:rPr>
          <w:rFonts w:ascii="Arial" w:eastAsia="Arial" w:hAnsi="Arial" w:cs="Arial"/>
          <w:color w:val="000000"/>
          <w:spacing w:val="0"/>
          <w:w w:val="100"/>
          <w:position w:val="0"/>
          <w:sz w:val="24"/>
          <w:szCs w:val="24"/>
        </w:rPr>
        <w:t>）</w:t>
      </w:r>
    </w:p>
    <w:p>
      <w:pPr>
        <w:pStyle w:val="Style32"/>
        <w:keepNext w:val="0"/>
        <w:keepLines w:val="0"/>
        <w:widowControl w:val="0"/>
        <w:shd w:val="clear" w:color="auto" w:fill="auto"/>
        <w:bidi w:val="0"/>
        <w:spacing w:before="0" w:after="340" w:line="240" w:lineRule="auto"/>
        <w:ind w:left="0" w:right="0" w:firstLine="0"/>
        <w:jc w:val="left"/>
        <w:rPr>
          <w:sz w:val="24"/>
          <w:szCs w:val="24"/>
        </w:rPr>
      </w:pPr>
      <w:r>
        <w:rPr>
          <w:rFonts w:ascii="Arial" w:eastAsia="Arial" w:hAnsi="Arial" w:cs="Arial"/>
          <w:color w:val="000000"/>
          <w:spacing w:val="0"/>
          <w:w w:val="100"/>
          <w:position w:val="0"/>
          <w:sz w:val="20"/>
          <w:szCs w:val="20"/>
        </w:rPr>
        <w:t>（</w:t>
      </w:r>
      <w:r>
        <w:rPr>
          <w:color w:val="000000"/>
          <w:spacing w:val="0"/>
          <w:w w:val="100"/>
          <w:position w:val="0"/>
          <w:sz w:val="20"/>
          <w:szCs w:val="20"/>
        </w:rPr>
        <w:t>除特别注明外，金额单位为人民币千元</w:t>
      </w:r>
      <w:r>
        <w:rPr>
          <w:color w:val="000000"/>
          <w:spacing w:val="0"/>
          <w:w w:val="100"/>
          <w:position w:val="0"/>
          <w:sz w:val="24"/>
          <w:szCs w:val="24"/>
        </w:rPr>
        <w:t>）</w:t>
      </w:r>
    </w:p>
    <w:tbl>
      <w:tblPr>
        <w:tblOverlap w:val="never"/>
        <w:jc w:val="left"/>
        <w:tblLayout w:type="fixed"/>
      </w:tblPr>
      <w:tblGrid>
        <w:gridCol w:w="2914"/>
        <w:gridCol w:w="878"/>
        <w:gridCol w:w="2525"/>
        <w:gridCol w:w="2414"/>
      </w:tblGrid>
      <w:tr>
        <w:trPr>
          <w:trHeight w:val="48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80"/>
              <w:jc w:val="left"/>
              <w:rPr>
                <w:sz w:val="18"/>
                <w:szCs w:val="18"/>
              </w:rPr>
            </w:pPr>
            <w:r>
              <w:rPr>
                <w:b/>
                <w:bCs/>
                <w:color w:val="000000"/>
                <w:spacing w:val="0"/>
                <w:w w:val="100"/>
                <w:position w:val="0"/>
                <w:sz w:val="18"/>
                <w:szCs w:val="18"/>
              </w:rPr>
              <w:t>负债及股东权益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附注</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8"/>
                <w:szCs w:val="18"/>
              </w:rPr>
              <w:t>年</w:t>
            </w:r>
            <w:r>
              <w:rPr>
                <w:i/>
                <w:iCs/>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公司</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p>
            <w:pPr>
              <w:pStyle w:val="Style28"/>
              <w:keepNext w:val="0"/>
              <w:keepLines w:val="0"/>
              <w:widowControl w:val="0"/>
              <w:shd w:val="clear" w:color="auto" w:fill="auto"/>
              <w:bidi w:val="0"/>
              <w:spacing w:before="0" w:after="0" w:line="240" w:lineRule="auto"/>
              <w:ind w:left="0" w:right="140" w:firstLine="0"/>
              <w:jc w:val="right"/>
              <w:rPr>
                <w:sz w:val="18"/>
                <w:szCs w:val="18"/>
              </w:rPr>
            </w:pPr>
            <w:r>
              <w:rPr>
                <w:color w:val="000000"/>
                <w:spacing w:val="0"/>
                <w:w w:val="100"/>
                <w:position w:val="0"/>
                <w:sz w:val="18"/>
                <w:szCs w:val="18"/>
              </w:rPr>
              <w:t>公司</w:t>
            </w:r>
          </w:p>
        </w:tc>
      </w:tr>
      <w:tr>
        <w:trPr>
          <w:trHeight w:val="24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699,593</w:t>
            </w:r>
          </w:p>
        </w:tc>
      </w:tr>
      <w:tr>
        <w:trPr>
          <w:trHeight w:val="47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以公允价值计量且其变动</w:t>
            </w:r>
          </w:p>
          <w:p>
            <w:pPr>
              <w:pStyle w:val="Style28"/>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计入当期损益的金融负债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38,650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14,910</w:t>
            </w:r>
          </w:p>
        </w:tc>
      </w:tr>
      <w:tr>
        <w:trPr>
          <w:trHeight w:val="24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17,477,129</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13,563,085</w:t>
            </w:r>
          </w:p>
        </w:tc>
      </w:tr>
      <w:tr>
        <w:trPr>
          <w:trHeight w:val="24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12,038,435</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9,579,569</w:t>
            </w:r>
          </w:p>
        </w:tc>
      </w:tr>
      <w:tr>
        <w:trPr>
          <w:trHeight w:val="24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27,333,231</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29,470,690</w:t>
            </w:r>
          </w:p>
        </w:tc>
      </w:tr>
      <w:tr>
        <w:trPr>
          <w:trHeight w:val="24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49,175</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41,871</w:t>
            </w:r>
          </w:p>
        </w:tc>
      </w:tr>
      <w:tr>
        <w:trPr>
          <w:trHeight w:val="24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应交税费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50,943</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117,369</w:t>
            </w:r>
          </w:p>
        </w:tc>
      </w:tr>
      <w:tr>
        <w:trPr>
          <w:trHeight w:val="24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41,040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39,356</w:t>
            </w:r>
          </w:p>
        </w:tc>
      </w:tr>
      <w:tr>
        <w:trPr>
          <w:trHeight w:val="24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6,635,630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6,527,492</w:t>
            </w:r>
          </w:p>
        </w:tc>
      </w:tr>
      <w:tr>
        <w:trPr>
          <w:trHeight w:val="24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4,515,436</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36,025</w:t>
            </w:r>
          </w:p>
        </w:tc>
      </w:tr>
      <w:tr>
        <w:trPr>
          <w:trHeight w:val="24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85,267</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57,582</w:t>
            </w:r>
          </w:p>
        </w:tc>
      </w:tr>
      <w:tr>
        <w:trPr>
          <w:trHeight w:val="24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68,464,936</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60,147,542</w:t>
            </w:r>
          </w:p>
        </w:tc>
      </w:tr>
      <w:tr>
        <w:trPr>
          <w:trHeight w:val="21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3,500,021</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7,977,095</w:t>
            </w:r>
          </w:p>
        </w:tc>
      </w:tr>
      <w:tr>
        <w:trPr>
          <w:trHeight w:val="24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1,387,742</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1,261,652</w:t>
            </w:r>
          </w:p>
        </w:tc>
      </w:tr>
      <w:tr>
        <w:trPr>
          <w:trHeight w:val="24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4,887,763</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9,238,747</w:t>
            </w:r>
          </w:p>
        </w:tc>
      </w:tr>
      <w:tr>
        <w:trPr>
          <w:trHeight w:val="21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73,352,699</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69,386,289</w:t>
            </w:r>
          </w:p>
        </w:tc>
      </w:tr>
      <w:tr>
        <w:trPr>
          <w:trHeight w:val="21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9,310,040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7,383,043</w:t>
            </w:r>
          </w:p>
        </w:tc>
      </w:tr>
      <w:tr>
        <w:trPr>
          <w:trHeight w:val="24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资本公积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32,231,030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5,065,208</w:t>
            </w:r>
          </w:p>
        </w:tc>
      </w:tr>
      <w:tr>
        <w:trPr>
          <w:trHeight w:val="24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839,825</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267,134</w:t>
            </w:r>
          </w:p>
        </w:tc>
      </w:tr>
      <w:tr>
        <w:trPr>
          <w:trHeight w:val="24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1,286,919</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1,160,735</w:t>
            </w:r>
          </w:p>
        </w:tc>
      </w:tr>
      <w:tr>
        <w:trPr>
          <w:trHeight w:val="24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未分配利润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6,825,896</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5,929,407</w:t>
            </w:r>
          </w:p>
        </w:tc>
      </w:tr>
      <w:tr>
        <w:trPr>
          <w:trHeight w:val="24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rPr>
              <w:t>股东权益合计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50,493,710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19,805,527</w:t>
            </w:r>
          </w:p>
        </w:tc>
      </w:tr>
      <w:tr>
        <w:trPr>
          <w:trHeight w:val="21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负债及股东权益总计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123,846,409</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89,191,816</w:t>
            </w:r>
          </w:p>
        </w:tc>
      </w:tr>
    </w:tbl>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后附财务报表附注为财务报表的组成部分。</w:t>
      </w:r>
    </w:p>
    <w:p>
      <w:pPr>
        <w:widowControl w:val="0"/>
        <w:spacing w:after="219" w:line="1" w:lineRule="exact"/>
      </w:pPr>
    </w:p>
    <w:p>
      <w:pPr>
        <w:pStyle w:val="Style32"/>
        <w:keepNext w:val="0"/>
        <w:keepLines w:val="0"/>
        <w:widowControl w:val="0"/>
        <w:shd w:val="clear" w:color="auto" w:fill="auto"/>
        <w:tabs>
          <w:tab w:pos="3077" w:val="left"/>
          <w:tab w:pos="6691" w:val="left"/>
        </w:tabs>
        <w:bidi w:val="0"/>
        <w:spacing w:before="0" w:after="280" w:line="240" w:lineRule="auto"/>
        <w:ind w:left="0" w:right="0" w:firstLine="0"/>
        <w:jc w:val="left"/>
        <w:rPr>
          <w:sz w:val="20"/>
          <w:szCs w:val="20"/>
        </w:rPr>
      </w:pPr>
      <w:r>
        <w:rPr>
          <w:color w:val="000000"/>
          <w:spacing w:val="0"/>
          <w:w w:val="100"/>
          <w:position w:val="0"/>
          <w:sz w:val="20"/>
          <w:szCs w:val="20"/>
        </w:rPr>
        <w:t>企业负责人：张近东</w:t>
        <w:tab/>
        <w:t>主管会计工作的负责人：肖忠祥</w:t>
        <w:tab/>
        <w:t>会计机构负责人：华志松</w:t>
      </w:r>
      <w:r>
        <w:br w:type="page"/>
      </w:r>
    </w:p>
    <w:p>
      <w:pPr>
        <w:pStyle w:val="Style32"/>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color w:val="000000"/>
          <w:spacing w:val="0"/>
          <w:w w:val="100"/>
          <w:position w:val="0"/>
          <w:sz w:val="24"/>
          <w:szCs w:val="24"/>
        </w:rPr>
        <w:t>2016</w:t>
      </w:r>
      <w:r>
        <w:rPr>
          <w:b/>
          <w:bCs/>
          <w:color w:val="000000"/>
          <w:spacing w:val="0"/>
          <w:w w:val="100"/>
          <w:position w:val="0"/>
          <w:sz w:val="24"/>
          <w:szCs w:val="24"/>
        </w:rPr>
        <w:t>年度合并及公司利润表</w:t>
      </w:r>
    </w:p>
    <w:p>
      <w:pPr>
        <w:pStyle w:val="Style32"/>
        <w:keepNext w:val="0"/>
        <w:keepLines w:val="0"/>
        <w:widowControl w:val="0"/>
        <w:shd w:val="clear" w:color="auto" w:fill="auto"/>
        <w:bidi w:val="0"/>
        <w:spacing w:before="0" w:after="380" w:line="240" w:lineRule="auto"/>
        <w:ind w:left="0" w:right="0" w:firstLine="0"/>
        <w:jc w:val="left"/>
        <w:rPr>
          <w:sz w:val="20"/>
          <w:szCs w:val="20"/>
        </w:rPr>
      </w:pPr>
      <w:r>
        <w:rPr>
          <w:rFonts w:ascii="Arial" w:eastAsia="Arial" w:hAnsi="Arial" w:cs="Arial"/>
          <w:color w:val="000000"/>
          <w:spacing w:val="0"/>
          <w:w w:val="100"/>
          <w:position w:val="0"/>
          <w:sz w:val="20"/>
          <w:szCs w:val="20"/>
        </w:rPr>
        <w:t>(</w:t>
      </w:r>
      <w:r>
        <w:rPr>
          <w:color w:val="000000"/>
          <w:spacing w:val="0"/>
          <w:w w:val="100"/>
          <w:position w:val="0"/>
          <w:sz w:val="20"/>
          <w:szCs w:val="20"/>
        </w:rPr>
        <w:t>除特别注明外，金额单位为人民币千元</w:t>
      </w:r>
      <w:r>
        <w:rPr>
          <w:rFonts w:ascii="Arial" w:eastAsia="Arial" w:hAnsi="Arial" w:cs="Arial"/>
          <w:color w:val="000000"/>
          <w:spacing w:val="0"/>
          <w:w w:val="100"/>
          <w:position w:val="0"/>
          <w:sz w:val="20"/>
          <w:szCs w:val="20"/>
        </w:rPr>
        <w:t>)</w:t>
      </w:r>
    </w:p>
    <w:p>
      <w:pPr>
        <w:widowControl w:val="0"/>
        <w:spacing w:line="1" w:lineRule="exact"/>
      </w:pPr>
      <w:r>
        <mc:AlternateContent>
          <mc:Choice Requires="wps">
            <w:drawing>
              <wp:anchor distT="88900" distB="2540" distL="0" distR="0" simplePos="0" relativeHeight="125829384" behindDoc="0" locked="0" layoutInCell="1" allowOverlap="1">
                <wp:simplePos x="0" y="0"/>
                <wp:positionH relativeFrom="page">
                  <wp:posOffset>669925</wp:posOffset>
                </wp:positionH>
                <wp:positionV relativeFrom="paragraph">
                  <wp:posOffset>88900</wp:posOffset>
                </wp:positionV>
                <wp:extent cx="1195070" cy="158750"/>
                <wp:wrapTopAndBottom/>
                <wp:docPr id="164" name="Shape 164"/>
                <a:graphic xmlns:a="http://schemas.openxmlformats.org/drawingml/2006/main">
                  <a:graphicData uri="http://schemas.microsoft.com/office/word/2010/wordprocessingShape">
                    <wps:wsp>
                      <wps:cNvSpPr txBox="1"/>
                      <wps:spPr>
                        <a:xfrm>
                          <a:ext cx="1195070" cy="158750"/>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企业负责人：张近东</w:t>
                            </w:r>
                          </w:p>
                        </w:txbxContent>
                      </wps:txbx>
                      <wps:bodyPr wrap="none" lIns="0" tIns="0" rIns="0" bIns="0">
                        <a:noAutoFit/>
                      </wps:bodyPr>
                    </wps:wsp>
                  </a:graphicData>
                </a:graphic>
              </wp:anchor>
            </w:drawing>
          </mc:Choice>
          <mc:Fallback>
            <w:pict>
              <v:shape id="_x0000_s1190" type="#_x0000_t202" style="position:absolute;margin-left:52.75pt;margin-top:7.pt;width:94.100000000000009pt;height:12.5pt;z-index:-125829369;mso-wrap-distance-left:0;mso-wrap-distance-top:7.pt;mso-wrap-distance-right:0;mso-wrap-distance-bottom:0.20000000000000001pt;mso-position-horizontal-relative:page" filled="f" stroked="f">
                <v:textbox inset="0,0,0,0">
                  <w:txbxContent>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企业负责人：张近东</w:t>
                      </w:r>
                    </w:p>
                  </w:txbxContent>
                </v:textbox>
                <w10:wrap type="topAndBottom" anchorx="page"/>
              </v:shape>
            </w:pict>
          </mc:Fallback>
        </mc:AlternateContent>
      </w:r>
      <w:r>
        <mc:AlternateContent>
          <mc:Choice Requires="wps">
            <w:drawing>
              <wp:anchor distT="88900" distB="2540" distL="0" distR="0" simplePos="0" relativeHeight="125829386" behindDoc="0" locked="0" layoutInCell="1" allowOverlap="1">
                <wp:simplePos x="0" y="0"/>
                <wp:positionH relativeFrom="page">
                  <wp:posOffset>2605405</wp:posOffset>
                </wp:positionH>
                <wp:positionV relativeFrom="paragraph">
                  <wp:posOffset>88900</wp:posOffset>
                </wp:positionV>
                <wp:extent cx="1798320" cy="158750"/>
                <wp:wrapTopAndBottom/>
                <wp:docPr id="166" name="Shape 166"/>
                <a:graphic xmlns:a="http://schemas.openxmlformats.org/drawingml/2006/main">
                  <a:graphicData uri="http://schemas.microsoft.com/office/word/2010/wordprocessingShape">
                    <wps:wsp>
                      <wps:cNvSpPr txBox="1"/>
                      <wps:spPr>
                        <a:xfrm>
                          <a:ext cx="1798320" cy="158750"/>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主管会计工作的负责人：肖忠祥</w:t>
                            </w:r>
                          </w:p>
                        </w:txbxContent>
                      </wps:txbx>
                      <wps:bodyPr wrap="none" lIns="0" tIns="0" rIns="0" bIns="0">
                        <a:noAutoFit/>
                      </wps:bodyPr>
                    </wps:wsp>
                  </a:graphicData>
                </a:graphic>
              </wp:anchor>
            </w:drawing>
          </mc:Choice>
          <mc:Fallback>
            <w:pict>
              <v:shape id="_x0000_s1192" type="#_x0000_t202" style="position:absolute;margin-left:205.15000000000001pt;margin-top:7.pt;width:141.59999999999999pt;height:12.5pt;z-index:-125829367;mso-wrap-distance-left:0;mso-wrap-distance-top:7.pt;mso-wrap-distance-right:0;mso-wrap-distance-bottom:0.20000000000000001pt;mso-position-horizontal-relative:page" filled="f" stroked="f">
                <v:textbox inset="0,0,0,0">
                  <w:txbxContent>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主管会计工作的负责人：肖忠祥</w:t>
                      </w:r>
                    </w:p>
                  </w:txbxContent>
                </v:textbox>
                <w10:wrap type="topAndBottom" anchorx="page"/>
              </v:shape>
            </w:pict>
          </mc:Fallback>
        </mc:AlternateContent>
      </w:r>
      <w:r>
        <mc:AlternateContent>
          <mc:Choice Requires="wps">
            <w:drawing>
              <wp:anchor distT="88900" distB="0" distL="0" distR="0" simplePos="0" relativeHeight="125829388" behindDoc="0" locked="0" layoutInCell="1" allowOverlap="1">
                <wp:simplePos x="0" y="0"/>
                <wp:positionH relativeFrom="page">
                  <wp:posOffset>5046980</wp:posOffset>
                </wp:positionH>
                <wp:positionV relativeFrom="paragraph">
                  <wp:posOffset>88900</wp:posOffset>
                </wp:positionV>
                <wp:extent cx="1420495" cy="161290"/>
                <wp:wrapTopAndBottom/>
                <wp:docPr id="168" name="Shape 168"/>
                <a:graphic xmlns:a="http://schemas.openxmlformats.org/drawingml/2006/main">
                  <a:graphicData uri="http://schemas.microsoft.com/office/word/2010/wordprocessingShape">
                    <wps:wsp>
                      <wps:cNvSpPr txBox="1"/>
                      <wps:spPr>
                        <a:xfrm>
                          <a:ext cx="1420495" cy="161290"/>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会计机构负责人：华志松</w:t>
                            </w:r>
                          </w:p>
                        </w:txbxContent>
                      </wps:txbx>
                      <wps:bodyPr wrap="none" lIns="0" tIns="0" rIns="0" bIns="0">
                        <a:noAutoFit/>
                      </wps:bodyPr>
                    </wps:wsp>
                  </a:graphicData>
                </a:graphic>
              </wp:anchor>
            </w:drawing>
          </mc:Choice>
          <mc:Fallback>
            <w:pict>
              <v:shape id="_x0000_s1194" type="#_x0000_t202" style="position:absolute;margin-left:397.40000000000003pt;margin-top:7.pt;width:111.85000000000001pt;height:12.700000000000001pt;z-index:-125829365;mso-wrap-distance-left:0;mso-wrap-distance-top:7.pt;mso-wrap-distance-right:0;mso-position-horizontal-relative:page" filled="f" stroked="f">
                <v:textbox inset="0,0,0,0">
                  <w:txbxContent>
                    <w:p>
                      <w:pPr>
                        <w:pStyle w:val="Style3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会计机构负责人：华志松</w:t>
                      </w:r>
                    </w:p>
                  </w:txbxContent>
                </v:textbox>
                <w10:wrap type="topAndBottom" anchorx="page"/>
              </v:shape>
            </w:pict>
          </mc:Fallback>
        </mc:AlternateContent>
      </w:r>
    </w:p>
    <w:tbl>
      <w:tblPr>
        <w:tblOverlap w:val="never"/>
        <w:jc w:val="center"/>
        <w:tblLayout w:type="fixed"/>
      </w:tblPr>
      <w:tblGrid>
        <w:gridCol w:w="3638"/>
        <w:gridCol w:w="936"/>
        <w:gridCol w:w="1358"/>
        <w:gridCol w:w="1373"/>
        <w:gridCol w:w="1301"/>
        <w:gridCol w:w="1435"/>
      </w:tblGrid>
      <w:tr>
        <w:trPr>
          <w:trHeight w:val="480" w:hRule="exact"/>
        </w:trPr>
        <w:tc>
          <w:tcPr>
            <w:tcBorders>
              <w:top w:val="single" w:sz="4"/>
              <w:left w:val="single" w:sz="4"/>
            </w:tcBorders>
            <w:shd w:val="clear" w:color="auto" w:fill="FFFFFF"/>
            <w:vAlign w:val="center"/>
          </w:tcPr>
          <w:p>
            <w:pPr>
              <w:pStyle w:val="Style28"/>
              <w:keepNext w:val="0"/>
              <w:keepLines w:val="0"/>
              <w:widowControl w:val="0"/>
              <w:shd w:val="clear" w:color="auto" w:fill="auto"/>
              <w:tabs>
                <w:tab w:pos="552" w:val="left"/>
              </w:tabs>
              <w:bidi w:val="0"/>
              <w:spacing w:before="0" w:after="0" w:line="240" w:lineRule="auto"/>
              <w:ind w:left="0" w:right="0" w:firstLine="0"/>
              <w:jc w:val="center"/>
              <w:rPr>
                <w:sz w:val="18"/>
                <w:szCs w:val="18"/>
              </w:rPr>
            </w:pPr>
            <w:r>
              <w:rPr>
                <w:b/>
                <w:bCs/>
                <w:color w:val="000000"/>
                <w:spacing w:val="0"/>
                <w:w w:val="100"/>
                <w:position w:val="0"/>
                <w:sz w:val="18"/>
                <w:szCs w:val="18"/>
              </w:rPr>
              <w:t>项</w:t>
              <w:tab/>
              <w:t>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附注</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8"/>
                <w:szCs w:val="18"/>
              </w:rPr>
              <w:t>年度</w:t>
            </w:r>
          </w:p>
          <w:p>
            <w:pPr>
              <w:pStyle w:val="Style28"/>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合并</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35"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8"/>
                <w:szCs w:val="18"/>
              </w:rPr>
              <w:t>年度 合并</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35"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8"/>
                <w:szCs w:val="18"/>
              </w:rPr>
              <w:t>年度 公司</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8"/>
                <w:szCs w:val="18"/>
              </w:rPr>
              <w:t>年度</w:t>
            </w:r>
          </w:p>
          <w:p>
            <w:pPr>
              <w:pStyle w:val="Style28"/>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公司</w:t>
            </w:r>
          </w:p>
        </w:tc>
      </w:tr>
      <w:tr>
        <w:trPr>
          <w:trHeight w:val="48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一、营业收入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四</w:t>
            </w:r>
            <w:r>
              <w:rPr>
                <w:rFonts w:ascii="Times New Roman" w:eastAsia="Times New Roman" w:hAnsi="Times New Roman" w:cs="Times New Roman"/>
                <w:color w:val="000000"/>
                <w:spacing w:val="0"/>
                <w:w w:val="100"/>
                <w:position w:val="0"/>
                <w:sz w:val="18"/>
                <w:szCs w:val="18"/>
              </w:rPr>
              <w:t>(44)</w:t>
            </w:r>
            <w:r>
              <w:rPr>
                <w:color w:val="000000"/>
                <w:spacing w:val="0"/>
                <w:w w:val="100"/>
                <w:position w:val="0"/>
                <w:sz w:val="18"/>
                <w:szCs w:val="18"/>
              </w:rPr>
              <w:t>、 十七</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148,585,331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135,547,633</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122,879,641</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105,213,951</w:t>
            </w:r>
          </w:p>
        </w:tc>
      </w:tr>
      <w:tr>
        <w:trPr>
          <w:trHeight w:val="47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减：营业成本</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四</w:t>
            </w:r>
            <w:r>
              <w:rPr>
                <w:rFonts w:ascii="Times New Roman" w:eastAsia="Times New Roman" w:hAnsi="Times New Roman" w:cs="Times New Roman"/>
                <w:color w:val="000000"/>
                <w:spacing w:val="0"/>
                <w:w w:val="100"/>
                <w:position w:val="0"/>
                <w:sz w:val="18"/>
                <w:szCs w:val="18"/>
              </w:rPr>
              <w:t>(44)</w:t>
            </w:r>
            <w:r>
              <w:rPr>
                <w:color w:val="000000"/>
                <w:spacing w:val="0"/>
                <w:w w:val="100"/>
                <w:position w:val="0"/>
                <w:sz w:val="18"/>
                <w:szCs w:val="18"/>
              </w:rPr>
              <w:t>、</w:t>
            </w:r>
          </w:p>
          <w:p>
            <w:pPr>
              <w:pStyle w:val="Style28"/>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十七</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(127,247,541)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(115,981,182)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(118,960,352)</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(102,049,127)</w:t>
            </w:r>
          </w:p>
        </w:tc>
      </w:tr>
      <w:tr>
        <w:trPr>
          <w:trHeight w:val="24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税金及附加</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四</w:t>
            </w: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(583,455)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(585,796)</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(101,916)</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(77,728)</w:t>
            </w:r>
          </w:p>
        </w:tc>
      </w:tr>
      <w:tr>
        <w:trPr>
          <w:trHeight w:val="24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销售费用</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四</w:t>
            </w: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(17,451,416)</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(16,644,676)</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(2,517,632)</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(2,466,920)</w:t>
            </w:r>
          </w:p>
        </w:tc>
      </w:tr>
      <w:tr>
        <w:trPr>
          <w:trHeight w:val="24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管理费用</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四</w:t>
            </w: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(3,946,274)</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(4,291,475)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(1,267,328)</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(1,579,955)</w:t>
            </w:r>
          </w:p>
        </w:tc>
      </w:tr>
      <w:tr>
        <w:trPr>
          <w:trHeight w:val="24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财务</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费用</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收入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净额</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四</w:t>
            </w: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(415,828)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(104,282)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74,141</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79,245</w:t>
            </w:r>
          </w:p>
        </w:tc>
      </w:tr>
      <w:tr>
        <w:trPr>
          <w:trHeight w:val="47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资产减值损失</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四</w:t>
            </w: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8"/>
                <w:szCs w:val="18"/>
              </w:rPr>
              <w:t>、</w:t>
            </w:r>
          </w:p>
          <w:p>
            <w:pPr>
              <w:pStyle w:val="Style28"/>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四</w:t>
            </w: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(350,499)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(198,087)</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(177,125)</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(137,614)</w:t>
            </w:r>
          </w:p>
        </w:tc>
      </w:tr>
      <w:tr>
        <w:trPr>
          <w:trHeight w:val="24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公允价值变动损失</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四</w:t>
            </w: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(33,686)</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(6,920)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(19,940)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(9,197)</w:t>
            </w:r>
          </w:p>
        </w:tc>
      </w:tr>
      <w:tr>
        <w:trPr>
          <w:trHeight w:val="47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加：投资收益</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四</w:t>
            </w:r>
            <w:r>
              <w:rPr>
                <w:rFonts w:ascii="Times New Roman" w:eastAsia="Times New Roman" w:hAnsi="Times New Roman" w:cs="Times New Roman"/>
                <w:color w:val="000000"/>
                <w:spacing w:val="0"/>
                <w:w w:val="100"/>
                <w:position w:val="0"/>
                <w:sz w:val="18"/>
                <w:szCs w:val="18"/>
              </w:rPr>
              <w:t>(51)</w:t>
            </w:r>
            <w:r>
              <w:rPr>
                <w:color w:val="000000"/>
                <w:spacing w:val="0"/>
                <w:w w:val="100"/>
                <w:position w:val="0"/>
                <w:sz w:val="18"/>
                <w:szCs w:val="18"/>
              </w:rPr>
              <w:t>、</w:t>
            </w:r>
          </w:p>
          <w:p>
            <w:pPr>
              <w:pStyle w:val="Style28"/>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十七</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1,445,420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1,654,764</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1,551,743</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1,157,410</w:t>
            </w:r>
          </w:p>
        </w:tc>
      </w:tr>
      <w:tr>
        <w:trPr>
          <w:trHeight w:val="47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26" w:lineRule="exact"/>
              <w:ind w:left="1920" w:right="0" w:hanging="1120"/>
              <w:jc w:val="left"/>
              <w:rPr>
                <w:sz w:val="18"/>
                <w:szCs w:val="18"/>
              </w:rPr>
            </w:pPr>
            <w:r>
              <w:rPr>
                <w:color w:val="000000"/>
                <w:spacing w:val="0"/>
                <w:w w:val="100"/>
                <w:position w:val="0"/>
                <w:sz w:val="18"/>
                <w:szCs w:val="18"/>
              </w:rPr>
              <w:t>其中：对合营企业及联营企业的投 资损失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(109,189)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(41,383)</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(101,246)</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(35,070)</w:t>
            </w:r>
          </w:p>
        </w:tc>
      </w:tr>
      <w:tr>
        <w:trPr>
          <w:trHeight w:val="22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二、营业利润</w:t>
            </w:r>
            <w:r>
              <w:rPr>
                <w:rFonts w:ascii="Times New Roman" w:eastAsia="Times New Roman" w:hAnsi="Times New Roman" w:cs="Times New Roman"/>
                <w:color w:val="000000"/>
                <w:spacing w:val="0"/>
                <w:w w:val="100"/>
                <w:position w:val="0"/>
                <w:sz w:val="18"/>
                <w:szCs w:val="18"/>
              </w:rPr>
              <w:t>/(</w:t>
            </w:r>
            <w:r>
              <w:rPr>
                <w:b/>
                <w:bCs/>
                <w:color w:val="000000"/>
                <w:spacing w:val="0"/>
                <w:w w:val="100"/>
                <w:position w:val="0"/>
                <w:sz w:val="18"/>
                <w:szCs w:val="18"/>
              </w:rPr>
              <w:t>损失</w:t>
            </w:r>
            <w:r>
              <w:rPr>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2,052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(610,021)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1,461,232</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130,065</w:t>
            </w:r>
          </w:p>
        </w:tc>
      </w:tr>
      <w:tr>
        <w:trPr>
          <w:trHeight w:val="24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加：营业外收入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四</w:t>
            </w: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1,060,157</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1,665,224</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74,814</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22,547</w:t>
            </w:r>
          </w:p>
        </w:tc>
      </w:tr>
      <w:tr>
        <w:trPr>
          <w:trHeight w:val="24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其中：非流动资产处置利得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539,216</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1,415,228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878</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3,237</w:t>
            </w:r>
          </w:p>
        </w:tc>
      </w:tr>
      <w:tr>
        <w:trPr>
          <w:trHeight w:val="24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减：营业外支出</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四</w:t>
            </w: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(161,322)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(166,246)</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(14,222)</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(16,035)</w:t>
            </w:r>
          </w:p>
        </w:tc>
      </w:tr>
      <w:tr>
        <w:trPr>
          <w:trHeight w:val="24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其中：非流动资产处置损失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(36,924)</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(17,882)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(272)</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(1,687)</w:t>
            </w:r>
          </w:p>
        </w:tc>
      </w:tr>
      <w:tr>
        <w:trPr>
          <w:trHeight w:val="22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三、利润总额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900,887</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888,957</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1,521,824</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136,577</w:t>
            </w:r>
          </w:p>
        </w:tc>
      </w:tr>
      <w:tr>
        <w:trPr>
          <w:trHeight w:val="24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减：所得税费用</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四</w:t>
            </w: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(407,655)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(131,225)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(56,168)</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193,090</w:t>
            </w:r>
          </w:p>
        </w:tc>
      </w:tr>
      <w:tr>
        <w:trPr>
          <w:trHeight w:val="21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四、净利润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493,232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757,732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1,465,656</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329,667</w:t>
            </w:r>
          </w:p>
        </w:tc>
      </w:tr>
      <w:tr>
        <w:trPr>
          <w:trHeight w:val="24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其中：归属于本公司股东的净利润</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四</w:t>
            </w: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704,414</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872,504</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1,465,656</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329,667</w:t>
            </w:r>
          </w:p>
        </w:tc>
      </w:tr>
      <w:tr>
        <w:trPr>
          <w:trHeight w:val="24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少数股东损益</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六</w:t>
            </w:r>
            <w:r>
              <w:rPr>
                <w:rFonts w:ascii="Times New Roman" w:eastAsia="Times New Roman" w:hAnsi="Times New Roman" w:cs="Times New Roman"/>
                <w:color w:val="000000"/>
                <w:spacing w:val="0"/>
                <w:w w:val="100"/>
                <w:position w:val="0"/>
                <w:sz w:val="18"/>
                <w:szCs w:val="18"/>
              </w:rPr>
              <w:t>(1)(b)</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(211,182)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(114,772)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r>
        <w:trPr>
          <w:trHeight w:val="22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五、其他综合收益的税后净额</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四</w:t>
            </w: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2,536,309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208,664</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572,691</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158,709</w:t>
            </w:r>
          </w:p>
        </w:tc>
      </w:tr>
      <w:tr>
        <w:trPr>
          <w:trHeight w:val="48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26" w:lineRule="exact"/>
              <w:ind w:left="640" w:right="0" w:hanging="340"/>
              <w:jc w:val="both"/>
              <w:rPr>
                <w:sz w:val="18"/>
                <w:szCs w:val="18"/>
              </w:rPr>
            </w:pPr>
            <w:r>
              <w:rPr>
                <w:color w:val="000000"/>
                <w:spacing w:val="0"/>
                <w:w w:val="100"/>
                <w:position w:val="0"/>
                <w:sz w:val="18"/>
                <w:szCs w:val="18"/>
              </w:rPr>
              <w:t>归属于本公司股东的其他综合收益的税后 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2,441,079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139,176</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572,691</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158,709</w:t>
            </w:r>
          </w:p>
        </w:tc>
      </w:tr>
      <w:tr>
        <w:trPr>
          <w:trHeight w:val="24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以后将重分类进损益的其他综合收益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2,441,079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139,176</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572,691</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158,709</w:t>
            </w:r>
          </w:p>
        </w:tc>
      </w:tr>
      <w:tr>
        <w:trPr>
          <w:trHeight w:val="24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可供出售金融资产公允价值变动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1,698,201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158,299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572,691</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158,709</w:t>
            </w:r>
          </w:p>
        </w:tc>
      </w:tr>
      <w:tr>
        <w:trPr>
          <w:trHeight w:val="24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742,878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(19,123)</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7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归属于少数股东的其他综合收益的税后净</w:t>
            </w:r>
          </w:p>
          <w:p>
            <w:pPr>
              <w:pStyle w:val="Style28"/>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95,230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69,488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六、综合收益总额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3,029,541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966,396</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2,038,347</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488,376</w:t>
            </w:r>
          </w:p>
        </w:tc>
      </w:tr>
      <w:tr>
        <w:trPr>
          <w:trHeight w:val="21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归属于本公司股东的综合收益总额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3,145,493</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1,011,680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2,038,347</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488,376</w:t>
            </w:r>
          </w:p>
        </w:tc>
      </w:tr>
      <w:tr>
        <w:trPr>
          <w:trHeight w:val="24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归属于少数股东的综合收益总额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(115,952)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(45,284)</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21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七、每股收益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基本每股收益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人民币元</w:t>
            </w:r>
            <w:r>
              <w:rPr>
                <w:color w:val="000000"/>
                <w:spacing w:val="0"/>
                <w:w w:val="100"/>
                <w:position w:val="0"/>
                <w:sz w:val="18"/>
                <w:szCs w:val="18"/>
              </w:rPr>
              <w:t>)</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四</w:t>
            </w: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0.12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不适用</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不适用</w:t>
            </w:r>
          </w:p>
        </w:tc>
      </w:tr>
      <w:tr>
        <w:trPr>
          <w:trHeight w:val="250" w:hRule="exact"/>
        </w:trPr>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稀释每股收益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人民币元</w:t>
            </w:r>
            <w:r>
              <w:rPr>
                <w:color w:val="000000"/>
                <w:spacing w:val="0"/>
                <w:w w:val="100"/>
                <w:position w:val="0"/>
                <w:sz w:val="18"/>
                <w:szCs w:val="18"/>
              </w:rPr>
              <w:t>)</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四</w:t>
            </w:r>
            <w:r>
              <w:rPr>
                <w:rFonts w:ascii="Times New Roman" w:eastAsia="Times New Roman" w:hAnsi="Times New Roman" w:cs="Times New Roman"/>
                <w:color w:val="000000"/>
                <w:spacing w:val="0"/>
                <w:w w:val="100"/>
                <w:position w:val="0"/>
                <w:sz w:val="18"/>
                <w:szCs w:val="18"/>
              </w:rPr>
              <w:t>(56)</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0.08</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0.12</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不适用</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不适用</w:t>
            </w:r>
          </w:p>
        </w:tc>
      </w:tr>
    </w:tbl>
    <w:p>
      <w:pPr>
        <w:pStyle w:val="Style25"/>
        <w:keepNext w:val="0"/>
        <w:keepLines w:val="0"/>
        <w:widowControl w:val="0"/>
        <w:shd w:val="clear" w:color="auto" w:fill="auto"/>
        <w:bidi w:val="0"/>
        <w:spacing w:before="0" w:after="0" w:line="240" w:lineRule="auto"/>
        <w:ind w:left="0" w:right="0" w:firstLine="0"/>
        <w:jc w:val="left"/>
        <w:rPr>
          <w:sz w:val="20"/>
          <w:szCs w:val="20"/>
        </w:rPr>
        <w:sectPr>
          <w:headerReference w:type="default" r:id="rId89"/>
          <w:footerReference w:type="default" r:id="rId90"/>
          <w:headerReference w:type="even" r:id="rId91"/>
          <w:footerReference w:type="even" r:id="rId92"/>
          <w:headerReference w:type="first" r:id="rId93"/>
          <w:footerReference w:type="first" r:id="rId94"/>
          <w:footnotePr>
            <w:pos w:val="pageBottom"/>
            <w:numFmt w:val="decimal"/>
            <w:numRestart w:val="continuous"/>
          </w:footnotePr>
          <w:pgSz w:w="11900" w:h="16840"/>
          <w:pgMar w:top="1189" w:right="713" w:bottom="1977" w:left="964" w:header="0" w:footer="3" w:gutter="0"/>
          <w:cols w:space="720"/>
          <w:noEndnote/>
          <w:titlePg/>
          <w:rtlGutter w:val="0"/>
          <w:docGrid w:linePitch="360"/>
        </w:sectPr>
      </w:pPr>
      <w:r>
        <w:rPr>
          <w:color w:val="000000"/>
          <w:spacing w:val="0"/>
          <w:w w:val="100"/>
          <w:position w:val="0"/>
          <w:sz w:val="20"/>
          <w:szCs w:val="20"/>
        </w:rPr>
        <w:t>后附财务报表附注为财务报表的组成部分。</w:t>
      </w:r>
    </w:p>
    <w:p>
      <w:pPr>
        <w:pStyle w:val="Style32"/>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color w:val="000000"/>
          <w:spacing w:val="0"/>
          <w:w w:val="100"/>
          <w:position w:val="0"/>
          <w:sz w:val="24"/>
          <w:szCs w:val="24"/>
        </w:rPr>
        <w:t>2016</w:t>
      </w:r>
      <w:r>
        <w:rPr>
          <w:b/>
          <w:bCs/>
          <w:color w:val="000000"/>
          <w:spacing w:val="0"/>
          <w:w w:val="100"/>
          <w:position w:val="0"/>
          <w:sz w:val="24"/>
          <w:szCs w:val="24"/>
        </w:rPr>
        <w:t>年度合并及公司现金流量表</w:t>
      </w:r>
    </w:p>
    <w:p>
      <w:pPr>
        <w:pStyle w:val="Style32"/>
        <w:keepNext w:val="0"/>
        <w:keepLines w:val="0"/>
        <w:widowControl w:val="0"/>
        <w:shd w:val="clear" w:color="auto" w:fill="auto"/>
        <w:bidi w:val="0"/>
        <w:spacing w:before="0" w:after="340" w:line="240" w:lineRule="auto"/>
        <w:ind w:left="0" w:right="0" w:firstLine="0"/>
        <w:jc w:val="left"/>
        <w:rPr>
          <w:sz w:val="20"/>
          <w:szCs w:val="20"/>
        </w:rPr>
      </w:pPr>
      <w:r>
        <w:rPr>
          <w:rFonts w:ascii="Arial" w:eastAsia="Arial" w:hAnsi="Arial" w:cs="Arial"/>
          <w:color w:val="000000"/>
          <w:spacing w:val="0"/>
          <w:w w:val="100"/>
          <w:position w:val="0"/>
          <w:sz w:val="20"/>
          <w:szCs w:val="20"/>
        </w:rPr>
        <w:t>（</w:t>
      </w:r>
      <w:r>
        <w:rPr>
          <w:color w:val="000000"/>
          <w:spacing w:val="0"/>
          <w:w w:val="100"/>
          <w:position w:val="0"/>
          <w:sz w:val="20"/>
          <w:szCs w:val="20"/>
        </w:rPr>
        <w:t>除特别注明外，金额单位为人民币千元</w:t>
      </w:r>
      <w:r>
        <w:rPr>
          <w:rFonts w:ascii="Arial" w:eastAsia="Arial" w:hAnsi="Arial" w:cs="Arial"/>
          <w:color w:val="000000"/>
          <w:spacing w:val="0"/>
          <w:w w:val="100"/>
          <w:position w:val="0"/>
          <w:sz w:val="20"/>
          <w:szCs w:val="20"/>
        </w:rPr>
        <w:t>）</w:t>
      </w:r>
    </w:p>
    <w:tbl>
      <w:tblPr>
        <w:tblOverlap w:val="never"/>
        <w:jc w:val="center"/>
        <w:tblLayout w:type="fixed"/>
      </w:tblPr>
      <w:tblGrid>
        <w:gridCol w:w="4046"/>
        <w:gridCol w:w="1008"/>
        <w:gridCol w:w="1272"/>
        <w:gridCol w:w="1286"/>
        <w:gridCol w:w="1301"/>
        <w:gridCol w:w="1282"/>
      </w:tblGrid>
      <w:tr>
        <w:trPr>
          <w:trHeight w:val="485" w:hRule="exact"/>
        </w:trPr>
        <w:tc>
          <w:tcPr>
            <w:tcBorders>
              <w:top w:val="single" w:sz="4"/>
              <w:left w:val="single" w:sz="4"/>
            </w:tcBorders>
            <w:shd w:val="clear" w:color="auto" w:fill="FFFFFF"/>
            <w:vAlign w:val="center"/>
          </w:tcPr>
          <w:p>
            <w:pPr>
              <w:pStyle w:val="Style28"/>
              <w:keepNext w:val="0"/>
              <w:keepLines w:val="0"/>
              <w:widowControl w:val="0"/>
              <w:shd w:val="clear" w:color="auto" w:fill="auto"/>
              <w:tabs>
                <w:tab w:pos="557" w:val="left"/>
              </w:tabs>
              <w:bidi w:val="0"/>
              <w:spacing w:before="0" w:after="0" w:line="240" w:lineRule="auto"/>
              <w:ind w:left="0" w:right="0" w:firstLine="0"/>
              <w:jc w:val="center"/>
              <w:rPr>
                <w:sz w:val="18"/>
                <w:szCs w:val="18"/>
              </w:rPr>
            </w:pPr>
            <w:r>
              <w:rPr>
                <w:b/>
                <w:bCs/>
                <w:color w:val="000000"/>
                <w:spacing w:val="0"/>
                <w:w w:val="100"/>
                <w:position w:val="0"/>
                <w:sz w:val="18"/>
                <w:szCs w:val="18"/>
              </w:rPr>
              <w:t>项</w:t>
              <w:tab/>
              <w:t>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附注</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8"/>
                <w:szCs w:val="18"/>
              </w:rPr>
              <w:t>年度</w:t>
            </w:r>
          </w:p>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合并</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35" w:lineRule="exact"/>
              <w:ind w:left="560" w:right="0" w:hanging="200"/>
              <w:jc w:val="left"/>
              <w:rPr>
                <w:sz w:val="18"/>
                <w:szCs w:val="18"/>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8"/>
                <w:szCs w:val="18"/>
              </w:rPr>
              <w:t>年度 合并</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35" w:lineRule="exact"/>
              <w:ind w:left="600" w:right="0" w:hanging="200"/>
              <w:jc w:val="both"/>
              <w:rPr>
                <w:sz w:val="18"/>
                <w:szCs w:val="18"/>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8"/>
                <w:szCs w:val="18"/>
              </w:rPr>
              <w:t>年度 公司</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35"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8"/>
                <w:szCs w:val="18"/>
              </w:rPr>
              <w:t>年度 公司</w:t>
            </w:r>
          </w:p>
        </w:tc>
      </w:tr>
      <w:tr>
        <w:trPr>
          <w:trHeight w:val="24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一、经营活动产生的现金流量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销售商品、提供劳务收到的现金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173,574,811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157,526,056</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126,651,362</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91,223,830</w:t>
            </w:r>
          </w:p>
        </w:tc>
      </w:tr>
      <w:tr>
        <w:trPr>
          <w:trHeight w:val="24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收到其他与经营活动有关的现金</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四</w:t>
            </w:r>
            <w:r>
              <w:rPr>
                <w:rFonts w:ascii="Times New Roman" w:eastAsia="Times New Roman" w:hAnsi="Times New Roman" w:cs="Times New Roman"/>
                <w:color w:val="000000"/>
                <w:spacing w:val="0"/>
                <w:w w:val="100"/>
                <w:position w:val="0"/>
                <w:sz w:val="18"/>
                <w:szCs w:val="18"/>
              </w:rPr>
              <w:t>(57)(a)</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3,681,437</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2,434,742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13,726,490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12,246,424</w:t>
            </w:r>
          </w:p>
        </w:tc>
      </w:tr>
      <w:tr>
        <w:trPr>
          <w:trHeight w:val="24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both"/>
              <w:rPr>
                <w:sz w:val="18"/>
                <w:szCs w:val="18"/>
              </w:rPr>
            </w:pPr>
            <w:r>
              <w:rPr>
                <w:b/>
                <w:bCs/>
                <w:color w:val="000000"/>
                <w:spacing w:val="0"/>
                <w:w w:val="100"/>
                <w:position w:val="0"/>
                <w:sz w:val="18"/>
                <w:szCs w:val="18"/>
              </w:rPr>
              <w:t>经营活动现金流入小计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177,256,248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159,960,798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140,377,852</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103,470,254</w:t>
            </w:r>
          </w:p>
        </w:tc>
      </w:tr>
      <w:tr>
        <w:trPr>
          <w:trHeight w:val="24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购买商品、接受劳务支付的现金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(149,805,555)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(134,203,118)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(117,715,711)</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(89,124,193)</w:t>
            </w:r>
          </w:p>
        </w:tc>
      </w:tr>
      <w:tr>
        <w:trPr>
          <w:trHeight w:val="24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支付给职工以及为职工支付的现金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(6,287,615)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(6,679,276)</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(831,189)</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(868,015)</w:t>
            </w:r>
          </w:p>
        </w:tc>
      </w:tr>
      <w:tr>
        <w:trPr>
          <w:trHeight w:val="24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(3,554,790)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(4,077,363)</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(615,850)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(494,283)</w:t>
            </w:r>
          </w:p>
        </w:tc>
      </w:tr>
      <w:tr>
        <w:trPr>
          <w:trHeight w:val="24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支付其他与经营活动有关的现金</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四</w:t>
            </w:r>
            <w:r>
              <w:rPr>
                <w:rFonts w:ascii="Times New Roman" w:eastAsia="Times New Roman" w:hAnsi="Times New Roman" w:cs="Times New Roman"/>
                <w:color w:val="000000"/>
                <w:spacing w:val="0"/>
                <w:w w:val="100"/>
                <w:position w:val="0"/>
                <w:sz w:val="18"/>
                <w:szCs w:val="18"/>
              </w:rPr>
              <w:t>(57)(b)</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(13,769,053)</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(13,267,702)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(15,858,096)</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(12,374,222)</w:t>
            </w:r>
          </w:p>
        </w:tc>
      </w:tr>
      <w:tr>
        <w:trPr>
          <w:trHeight w:val="24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both"/>
              <w:rPr>
                <w:sz w:val="18"/>
                <w:szCs w:val="18"/>
              </w:rPr>
            </w:pPr>
            <w:r>
              <w:rPr>
                <w:b/>
                <w:bCs/>
                <w:color w:val="000000"/>
                <w:spacing w:val="0"/>
                <w:w w:val="100"/>
                <w:position w:val="0"/>
                <w:sz w:val="18"/>
                <w:szCs w:val="18"/>
              </w:rPr>
              <w:t>经营活动现金流出小计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(173,417,013)</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(158,227,459)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(135,020,846)</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(102,860,713)</w:t>
            </w:r>
          </w:p>
        </w:tc>
      </w:tr>
      <w:tr>
        <w:trPr>
          <w:trHeight w:val="24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60"/>
              <w:jc w:val="left"/>
              <w:rPr>
                <w:sz w:val="18"/>
                <w:szCs w:val="18"/>
              </w:rPr>
            </w:pPr>
            <w:r>
              <w:rPr>
                <w:b/>
                <w:bCs/>
                <w:color w:val="000000"/>
                <w:spacing w:val="0"/>
                <w:w w:val="100"/>
                <w:position w:val="0"/>
                <w:sz w:val="18"/>
                <w:szCs w:val="18"/>
              </w:rPr>
              <w:t>经营活动产生的现金流量净额</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四</w:t>
            </w:r>
            <w:r>
              <w:rPr>
                <w:rFonts w:ascii="Times New Roman" w:eastAsia="Times New Roman" w:hAnsi="Times New Roman" w:cs="Times New Roman"/>
                <w:color w:val="000000"/>
                <w:spacing w:val="0"/>
                <w:w w:val="100"/>
                <w:position w:val="0"/>
                <w:sz w:val="18"/>
                <w:szCs w:val="18"/>
              </w:rPr>
              <w:t>(58)(a)</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3,839,235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1,733,339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5,357,006</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609,541</w:t>
            </w:r>
          </w:p>
        </w:tc>
      </w:tr>
      <w:tr>
        <w:trPr>
          <w:trHeight w:val="21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二、投资活动产生的现金流量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123,068,252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65,008,198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113,689,822</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61,247,496</w:t>
            </w:r>
          </w:p>
        </w:tc>
      </w:tr>
      <w:tr>
        <w:trPr>
          <w:trHeight w:val="24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取得投资收益所收到的现金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298,626</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293,650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2,557,988</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399,636</w:t>
            </w:r>
          </w:p>
        </w:tc>
      </w:tr>
      <w:tr>
        <w:trPr>
          <w:trHeight w:val="47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35" w:lineRule="exact"/>
              <w:ind w:left="680" w:right="0" w:hanging="220"/>
              <w:jc w:val="left"/>
              <w:rPr>
                <w:sz w:val="18"/>
                <w:szCs w:val="18"/>
              </w:rPr>
            </w:pPr>
            <w:r>
              <w:rPr>
                <w:color w:val="000000"/>
                <w:spacing w:val="0"/>
                <w:w w:val="100"/>
                <w:position w:val="0"/>
                <w:sz w:val="18"/>
                <w:szCs w:val="18"/>
              </w:rPr>
              <w:t>处置固定资产、无形资产和其他长期资产收 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1,788,110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3,493,090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3,151</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68,982</w:t>
            </w:r>
          </w:p>
        </w:tc>
      </w:tr>
      <w:tr>
        <w:trPr>
          <w:trHeight w:val="24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处置子公司所收到的现金</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四</w:t>
            </w:r>
            <w:r>
              <w:rPr>
                <w:rFonts w:ascii="Times New Roman" w:eastAsia="Times New Roman" w:hAnsi="Times New Roman" w:cs="Times New Roman"/>
                <w:color w:val="000000"/>
                <w:spacing w:val="0"/>
                <w:w w:val="100"/>
                <w:position w:val="0"/>
                <w:sz w:val="18"/>
                <w:szCs w:val="18"/>
              </w:rPr>
              <w:t>(58)(c)</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801,980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2,242,973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24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取得子公司收到的现金净额</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四</w:t>
            </w:r>
            <w:r>
              <w:rPr>
                <w:rFonts w:ascii="Times New Roman" w:eastAsia="Times New Roman" w:hAnsi="Times New Roman" w:cs="Times New Roman"/>
                <w:color w:val="000000"/>
                <w:spacing w:val="0"/>
                <w:w w:val="100"/>
                <w:position w:val="0"/>
                <w:sz w:val="18"/>
                <w:szCs w:val="18"/>
              </w:rPr>
              <w:t>(58)(c)</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187,717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24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both"/>
              <w:rPr>
                <w:sz w:val="18"/>
                <w:szCs w:val="18"/>
              </w:rPr>
            </w:pPr>
            <w:r>
              <w:rPr>
                <w:b/>
                <w:bCs/>
                <w:color w:val="000000"/>
                <w:spacing w:val="0"/>
                <w:w w:val="100"/>
                <w:position w:val="0"/>
                <w:sz w:val="18"/>
                <w:szCs w:val="18"/>
              </w:rPr>
              <w:t>投资活动现金流入小计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125,956,968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71,225,628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116,250,961</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61,716,114</w:t>
            </w:r>
          </w:p>
        </w:tc>
      </w:tr>
      <w:tr>
        <w:trPr>
          <w:trHeight w:val="47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26" w:lineRule="exact"/>
              <w:ind w:left="600" w:right="0" w:hanging="140"/>
              <w:jc w:val="left"/>
              <w:rPr>
                <w:sz w:val="18"/>
                <w:szCs w:val="18"/>
              </w:rPr>
            </w:pPr>
            <w:r>
              <w:rPr>
                <w:color w:val="000000"/>
                <w:spacing w:val="0"/>
                <w:w w:val="100"/>
                <w:position w:val="0"/>
                <w:sz w:val="18"/>
                <w:szCs w:val="18"/>
              </w:rPr>
              <w:t>购建固定资产、无形资产和其他长期资产支 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(2,423,832)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(6,436,875)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(86,123)</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(116,500)</w:t>
            </w:r>
          </w:p>
        </w:tc>
      </w:tr>
      <w:tr>
        <w:trPr>
          <w:trHeight w:val="24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(163,102,148)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(65,068,965)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(148,182,468)</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(61,197,545)</w:t>
            </w:r>
          </w:p>
        </w:tc>
      </w:tr>
      <w:tr>
        <w:trPr>
          <w:trHeight w:val="24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取得子公司支付的现金净额</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四</w:t>
            </w:r>
            <w:r>
              <w:rPr>
                <w:rFonts w:ascii="Times New Roman" w:eastAsia="Times New Roman" w:hAnsi="Times New Roman" w:cs="Times New Roman"/>
                <w:color w:val="000000"/>
                <w:spacing w:val="0"/>
                <w:w w:val="100"/>
                <w:position w:val="0"/>
                <w:sz w:val="18"/>
                <w:szCs w:val="18"/>
              </w:rPr>
              <w:t>(58)(c)</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(43,512)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(5,973)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24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left"/>
              <w:rPr>
                <w:sz w:val="18"/>
                <w:szCs w:val="18"/>
              </w:rPr>
            </w:pPr>
            <w:r>
              <w:rPr>
                <w:b/>
                <w:bCs/>
                <w:color w:val="000000"/>
                <w:spacing w:val="0"/>
                <w:w w:val="100"/>
                <w:position w:val="0"/>
                <w:sz w:val="18"/>
                <w:szCs w:val="18"/>
              </w:rPr>
              <w:t>投资活动现金流出小计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(165,569,492)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(71,511,813)</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(148,268,591)</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(61,314,045)</w:t>
            </w:r>
          </w:p>
        </w:tc>
      </w:tr>
      <w:tr>
        <w:trPr>
          <w:trHeight w:val="24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60"/>
              <w:jc w:val="left"/>
              <w:rPr>
                <w:sz w:val="18"/>
                <w:szCs w:val="18"/>
              </w:rPr>
            </w:pPr>
            <w:r>
              <w:rPr>
                <w:b/>
                <w:bCs/>
                <w:color w:val="000000"/>
                <w:spacing w:val="0"/>
                <w:w w:val="100"/>
                <w:position w:val="0"/>
                <w:sz w:val="18"/>
                <w:szCs w:val="18"/>
              </w:rPr>
              <w:t>投资活动</w:t>
            </w:r>
            <w:r>
              <w:rPr>
                <w:rFonts w:ascii="Times New Roman" w:eastAsia="Times New Roman" w:hAnsi="Times New Roman" w:cs="Times New Roman"/>
                <w:color w:val="000000"/>
                <w:spacing w:val="0"/>
                <w:w w:val="100"/>
                <w:position w:val="0"/>
                <w:sz w:val="18"/>
                <w:szCs w:val="18"/>
              </w:rPr>
              <w:t>（</w:t>
            </w:r>
            <w:r>
              <w:rPr>
                <w:b/>
                <w:bCs/>
                <w:color w:val="000000"/>
                <w:spacing w:val="0"/>
                <w:w w:val="100"/>
                <w:position w:val="0"/>
                <w:sz w:val="18"/>
                <w:szCs w:val="18"/>
              </w:rPr>
              <w:t>使用</w:t>
            </w:r>
            <w:r>
              <w:rPr>
                <w:rFonts w:ascii="Times New Roman" w:eastAsia="Times New Roman" w:hAnsi="Times New Roman" w:cs="Times New Roman"/>
                <w:color w:val="000000"/>
                <w:spacing w:val="0"/>
                <w:w w:val="100"/>
                <w:position w:val="0"/>
                <w:sz w:val="18"/>
                <w:szCs w:val="18"/>
              </w:rPr>
              <w:t>）/</w:t>
            </w:r>
            <w:r>
              <w:rPr>
                <w:b/>
                <w:bCs/>
                <w:color w:val="000000"/>
                <w:spacing w:val="0"/>
                <w:w w:val="100"/>
                <w:position w:val="0"/>
                <w:sz w:val="18"/>
                <w:szCs w:val="18"/>
              </w:rPr>
              <w:t>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(39,612,524)</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(286,185)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(32,017,630)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402,069</w:t>
            </w:r>
          </w:p>
        </w:tc>
      </w:tr>
      <w:tr>
        <w:trPr>
          <w:trHeight w:val="21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三、筹资活动产生的现金流量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35,416,387</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1,499,599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29,092,819</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24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其中：子公司吸收少数股东投资收到的现金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6,323,568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1,499,599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24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13,476,721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4,921,692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2,200,000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699,593</w:t>
            </w:r>
          </w:p>
        </w:tc>
      </w:tr>
      <w:tr>
        <w:trPr>
          <w:trHeight w:val="24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both"/>
              <w:rPr>
                <w:sz w:val="18"/>
                <w:szCs w:val="18"/>
              </w:rPr>
            </w:pPr>
            <w:r>
              <w:rPr>
                <w:b/>
                <w:bCs/>
                <w:color w:val="000000"/>
                <w:spacing w:val="0"/>
                <w:w w:val="100"/>
                <w:position w:val="0"/>
                <w:sz w:val="18"/>
                <w:szCs w:val="18"/>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48,893,108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6,421,291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31,292,819</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699,593</w:t>
            </w:r>
          </w:p>
        </w:tc>
      </w:tr>
      <w:tr>
        <w:trPr>
          <w:trHeight w:val="24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(11,036,374)</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(2,518,432)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(2,699,593)</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(597,971)</w:t>
            </w:r>
          </w:p>
        </w:tc>
      </w:tr>
      <w:tr>
        <w:trPr>
          <w:trHeight w:val="24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分配股利、利润或偿付利息支付的现金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(1,098,670)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(928,335)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(919,407)</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(833,114)</w:t>
            </w:r>
          </w:p>
        </w:tc>
      </w:tr>
      <w:tr>
        <w:trPr>
          <w:trHeight w:val="24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其中：子公司支付给少数股东的股利、利润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(3,188)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(3,638)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24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支付其他与筹资活动有关的现金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(78,149)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24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both"/>
              <w:rPr>
                <w:sz w:val="18"/>
                <w:szCs w:val="18"/>
              </w:rPr>
            </w:pPr>
            <w:r>
              <w:rPr>
                <w:b/>
                <w:bCs/>
                <w:color w:val="000000"/>
                <w:spacing w:val="0"/>
                <w:w w:val="100"/>
                <w:position w:val="0"/>
                <w:sz w:val="18"/>
                <w:szCs w:val="18"/>
              </w:rPr>
              <w:t>筹资活动现金流出小计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(12,135,044)</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(3,524,916)</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(3,619,000)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(1,431,085)</w:t>
            </w:r>
          </w:p>
        </w:tc>
      </w:tr>
      <w:tr>
        <w:trPr>
          <w:trHeight w:val="24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60"/>
              <w:jc w:val="left"/>
              <w:rPr>
                <w:sz w:val="18"/>
                <w:szCs w:val="18"/>
              </w:rPr>
            </w:pPr>
            <w:r>
              <w:rPr>
                <w:b/>
                <w:bCs/>
                <w:color w:val="000000"/>
                <w:spacing w:val="0"/>
                <w:w w:val="100"/>
                <w:position w:val="0"/>
                <w:sz w:val="18"/>
                <w:szCs w:val="18"/>
              </w:rPr>
              <w:t>筹资活动产生</w:t>
            </w:r>
            <w:r>
              <w:rPr>
                <w:rFonts w:ascii="Times New Roman" w:eastAsia="Times New Roman" w:hAnsi="Times New Roman" w:cs="Times New Roman"/>
                <w:color w:val="000000"/>
                <w:spacing w:val="0"/>
                <w:w w:val="100"/>
                <w:position w:val="0"/>
                <w:sz w:val="18"/>
                <w:szCs w:val="18"/>
              </w:rPr>
              <w:t>/（</w:t>
            </w:r>
            <w:r>
              <w:rPr>
                <w:b/>
                <w:bCs/>
                <w:color w:val="000000"/>
                <w:spacing w:val="0"/>
                <w:w w:val="100"/>
                <w:position w:val="0"/>
                <w:sz w:val="18"/>
                <w:szCs w:val="18"/>
              </w:rPr>
              <w:t>使用</w:t>
            </w:r>
            <w:r>
              <w:rPr>
                <w:rFonts w:ascii="Times New Roman" w:eastAsia="Times New Roman" w:hAnsi="Times New Roman" w:cs="Times New Roman"/>
                <w:color w:val="000000"/>
                <w:spacing w:val="0"/>
                <w:w w:val="100"/>
                <w:position w:val="0"/>
                <w:sz w:val="18"/>
                <w:szCs w:val="18"/>
              </w:rPr>
              <w:t>）</w:t>
            </w:r>
            <w:r>
              <w:rPr>
                <w:b/>
                <w:bCs/>
                <w:color w:val="000000"/>
                <w:spacing w:val="0"/>
                <w:w w:val="100"/>
                <w:position w:val="0"/>
                <w:sz w:val="18"/>
                <w:szCs w:val="18"/>
              </w:rPr>
              <w:t>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36,758,064</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2,896,375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27,673,819</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(731,492)</w:t>
            </w:r>
          </w:p>
        </w:tc>
      </w:tr>
      <w:tr>
        <w:trPr>
          <w:trHeight w:val="21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四、汇率变动对现金及现金等价物的影响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98,766</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177,065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21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五、现金及现金等价物净增加额</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四</w:t>
            </w:r>
            <w:r>
              <w:rPr>
                <w:rFonts w:ascii="Times New Roman" w:eastAsia="Times New Roman" w:hAnsi="Times New Roman" w:cs="Times New Roman"/>
                <w:color w:val="000000"/>
                <w:spacing w:val="0"/>
                <w:w w:val="100"/>
                <w:position w:val="0"/>
                <w:sz w:val="18"/>
                <w:szCs w:val="18"/>
              </w:rPr>
              <w:t>(58)(b)</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1,083,541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4,520,594</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1,013,195</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280,118</w:t>
            </w:r>
          </w:p>
        </w:tc>
      </w:tr>
      <w:tr>
        <w:trPr>
          <w:trHeight w:val="24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加：年初现金及现金等价物余额</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四</w:t>
            </w:r>
            <w:r>
              <w:rPr>
                <w:rFonts w:ascii="Times New Roman" w:eastAsia="Times New Roman" w:hAnsi="Times New Roman" w:cs="Times New Roman"/>
                <w:color w:val="000000"/>
                <w:spacing w:val="0"/>
                <w:w w:val="100"/>
                <w:position w:val="0"/>
                <w:sz w:val="18"/>
                <w:szCs w:val="18"/>
              </w:rPr>
              <w:t>(58)(d)</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16,818,166</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12,297,572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9,264,897</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8,984,779</w:t>
            </w:r>
          </w:p>
        </w:tc>
      </w:tr>
      <w:tr>
        <w:trPr>
          <w:trHeight w:val="21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六、年末现金及现金等价物余额</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四</w:t>
            </w:r>
            <w:r>
              <w:rPr>
                <w:rFonts w:ascii="Times New Roman" w:eastAsia="Times New Roman" w:hAnsi="Times New Roman" w:cs="Times New Roman"/>
                <w:color w:val="000000"/>
                <w:spacing w:val="0"/>
                <w:w w:val="100"/>
                <w:position w:val="0"/>
                <w:sz w:val="18"/>
                <w:szCs w:val="18"/>
              </w:rPr>
              <w:t>(58)(d)</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17,901,707</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16,818,166</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10,278,092</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9,264,897</w:t>
            </w:r>
          </w:p>
        </w:tc>
      </w:tr>
    </w:tbl>
    <w:p>
      <w:pPr>
        <w:pStyle w:val="Style25"/>
        <w:keepNext w:val="0"/>
        <w:keepLines w:val="0"/>
        <w:widowControl w:val="0"/>
        <w:shd w:val="clear" w:color="auto" w:fill="auto"/>
        <w:bidi w:val="0"/>
        <w:spacing w:before="0" w:after="0" w:line="240" w:lineRule="auto"/>
        <w:ind w:left="0" w:right="0" w:firstLine="0"/>
        <w:jc w:val="left"/>
        <w:rPr>
          <w:sz w:val="20"/>
          <w:szCs w:val="20"/>
        </w:rPr>
        <w:sectPr>
          <w:headerReference w:type="default" r:id="rId95"/>
          <w:footerReference w:type="default" r:id="rId96"/>
          <w:headerReference w:type="even" r:id="rId97"/>
          <w:footerReference w:type="even" r:id="rId98"/>
          <w:footnotePr>
            <w:pos w:val="pageBottom"/>
            <w:numFmt w:val="decimal"/>
            <w:numRestart w:val="continuous"/>
          </w:footnotePr>
          <w:pgSz w:w="11900" w:h="16840"/>
          <w:pgMar w:top="1189" w:right="713" w:bottom="1977" w:left="964" w:header="0" w:footer="3" w:gutter="0"/>
          <w:cols w:space="720"/>
          <w:noEndnote/>
          <w:rtlGutter w:val="0"/>
          <w:docGrid w:linePitch="360"/>
        </w:sectPr>
      </w:pPr>
      <w:r>
        <w:rPr>
          <w:color w:val="000000"/>
          <w:spacing w:val="0"/>
          <w:w w:val="100"/>
          <w:position w:val="0"/>
          <w:sz w:val="20"/>
          <w:szCs w:val="20"/>
        </w:rPr>
        <w:t>后附财务报表附注为财务报表的组成部分。</w:t>
      </w:r>
    </w:p>
    <w:p>
      <w:pPr>
        <w:widowControl w:val="0"/>
        <w:spacing w:line="179" w:lineRule="exact"/>
        <w:rPr>
          <w:sz w:val="14"/>
          <w:szCs w:val="14"/>
        </w:rPr>
      </w:pPr>
    </w:p>
    <w:p>
      <w:pPr>
        <w:widowControl w:val="0"/>
        <w:spacing w:line="1" w:lineRule="exact"/>
        <w:sectPr>
          <w:footnotePr>
            <w:pos w:val="pageBottom"/>
            <w:numFmt w:val="decimal"/>
            <w:numRestart w:val="continuous"/>
          </w:footnotePr>
          <w:type w:val="continuous"/>
          <w:pgSz w:w="11900" w:h="16840"/>
          <w:pgMar w:top="938" w:right="0" w:bottom="972" w:left="0" w:header="0" w:footer="3" w:gutter="0"/>
          <w:cols w:space="720"/>
          <w:noEndnote/>
          <w:rtlGutter w:val="0"/>
          <w:docGrid w:linePitch="360"/>
        </w:sectPr>
      </w:pPr>
    </w:p>
    <w:p>
      <w:pPr>
        <w:pStyle w:val="Style32"/>
        <w:keepNext w:val="0"/>
        <w:keepLines w:val="0"/>
        <w:framePr w:w="1886" w:h="250" w:wrap="none" w:vAnchor="text" w:hAnchor="page" w:x="974" w:y="2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企业负责人：张近东</w:t>
      </w:r>
    </w:p>
    <w:p>
      <w:pPr>
        <w:pStyle w:val="Style32"/>
        <w:keepNext w:val="0"/>
        <w:keepLines w:val="0"/>
        <w:framePr w:w="2832" w:h="250" w:wrap="none" w:vAnchor="text" w:hAnchor="page" w:x="3926" w:y="2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主管会计工作的负责人：肖忠祥</w:t>
      </w:r>
    </w:p>
    <w:p>
      <w:pPr>
        <w:pStyle w:val="Style32"/>
        <w:keepNext w:val="0"/>
        <w:keepLines w:val="0"/>
        <w:framePr w:w="2237" w:h="254" w:wrap="none" w:vAnchor="text" w:hAnchor="page" w:x="7670" w:y="21"/>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会计机构负责人：华志松</w:t>
      </w:r>
    </w:p>
    <w:p>
      <w:pPr>
        <w:widowControl w:val="0"/>
        <w:spacing w:after="253" w:line="1" w:lineRule="exact"/>
      </w:pPr>
    </w:p>
    <w:p>
      <w:pPr>
        <w:widowControl w:val="0"/>
        <w:spacing w:line="1" w:lineRule="exact"/>
        <w:sectPr>
          <w:footnotePr>
            <w:pos w:val="pageBottom"/>
            <w:numFmt w:val="decimal"/>
            <w:numRestart w:val="continuous"/>
          </w:footnotePr>
          <w:type w:val="continuous"/>
          <w:pgSz w:w="11900" w:h="16840"/>
          <w:pgMar w:top="938" w:right="453" w:bottom="972" w:left="1222" w:header="0" w:footer="3" w:gutter="0"/>
          <w:cols w:space="720"/>
          <w:noEndnote/>
          <w:rtlGutter w:val="0"/>
          <w:docGrid w:linePitch="360"/>
        </w:sectPr>
      </w:pPr>
    </w:p>
    <w:p>
      <w:pPr>
        <w:pStyle w:val="Style32"/>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color w:val="000000"/>
          <w:spacing w:val="0"/>
          <w:w w:val="100"/>
          <w:position w:val="0"/>
          <w:sz w:val="24"/>
          <w:szCs w:val="24"/>
        </w:rPr>
        <w:t>2016</w:t>
      </w:r>
      <w:r>
        <w:rPr>
          <w:b/>
          <w:bCs/>
          <w:color w:val="000000"/>
          <w:spacing w:val="0"/>
          <w:w w:val="100"/>
          <w:position w:val="0"/>
          <w:sz w:val="24"/>
          <w:szCs w:val="24"/>
        </w:rPr>
        <w:t>年度合并股东权益变动表</w:t>
      </w:r>
    </w:p>
    <w:p>
      <w:pPr>
        <w:pStyle w:val="Style32"/>
        <w:keepNext w:val="0"/>
        <w:keepLines w:val="0"/>
        <w:widowControl w:val="0"/>
        <w:shd w:val="clear" w:color="auto" w:fill="auto"/>
        <w:bidi w:val="0"/>
        <w:spacing w:before="0" w:after="200" w:line="240" w:lineRule="auto"/>
        <w:ind w:left="0" w:right="0" w:firstLine="0"/>
        <w:jc w:val="left"/>
        <w:rPr>
          <w:sz w:val="20"/>
          <w:szCs w:val="20"/>
        </w:rPr>
      </w:pPr>
      <w:r>
        <w:rPr>
          <w:rFonts w:ascii="Arial" w:eastAsia="Arial" w:hAnsi="Arial" w:cs="Arial"/>
          <w:color w:val="000000"/>
          <w:spacing w:val="0"/>
          <w:w w:val="100"/>
          <w:position w:val="0"/>
          <w:sz w:val="20"/>
          <w:szCs w:val="20"/>
        </w:rPr>
        <w:t>（</w:t>
      </w:r>
      <w:r>
        <w:rPr>
          <w:color w:val="000000"/>
          <w:spacing w:val="0"/>
          <w:w w:val="100"/>
          <w:position w:val="0"/>
          <w:sz w:val="20"/>
          <w:szCs w:val="20"/>
        </w:rPr>
        <w:t>除特别注明外，金额单位为人民币千元</w:t>
      </w:r>
      <w:r>
        <w:rPr>
          <w:rFonts w:ascii="Arial" w:eastAsia="Arial" w:hAnsi="Arial" w:cs="Arial"/>
          <w:color w:val="000000"/>
          <w:spacing w:val="0"/>
          <w:w w:val="100"/>
          <w:position w:val="0"/>
          <w:sz w:val="20"/>
          <w:szCs w:val="20"/>
        </w:rPr>
        <w:t>）</w:t>
      </w:r>
    </w:p>
    <w:tbl>
      <w:tblPr>
        <w:tblOverlap w:val="never"/>
        <w:jc w:val="center"/>
        <w:tblLayout w:type="fixed"/>
      </w:tblPr>
      <w:tblGrid>
        <w:gridCol w:w="2702"/>
        <w:gridCol w:w="989"/>
        <w:gridCol w:w="1138"/>
        <w:gridCol w:w="1272"/>
        <w:gridCol w:w="1286"/>
        <w:gridCol w:w="984"/>
        <w:gridCol w:w="1277"/>
        <w:gridCol w:w="1416"/>
        <w:gridCol w:w="1421"/>
        <w:gridCol w:w="1277"/>
      </w:tblGrid>
      <w:tr>
        <w:trPr>
          <w:trHeight w:val="245"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tabs>
                <w:tab w:pos="552" w:val="left"/>
              </w:tabs>
              <w:bidi w:val="0"/>
              <w:spacing w:before="0" w:after="0" w:line="240" w:lineRule="auto"/>
              <w:ind w:left="0" w:right="0" w:firstLine="0"/>
              <w:jc w:val="center"/>
              <w:rPr>
                <w:sz w:val="18"/>
                <w:szCs w:val="18"/>
              </w:rPr>
            </w:pPr>
            <w:r>
              <w:rPr>
                <w:b/>
                <w:bCs/>
                <w:color w:val="000000"/>
                <w:spacing w:val="0"/>
                <w:w w:val="100"/>
                <w:position w:val="0"/>
                <w:sz w:val="18"/>
                <w:szCs w:val="18"/>
              </w:rPr>
              <w:t>项</w:t>
              <w:tab/>
              <w:t>目</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rPr>
                <w:sz w:val="18"/>
                <w:szCs w:val="18"/>
              </w:rPr>
            </w:pPr>
            <w:r>
              <w:rPr>
                <w:b/>
                <w:bCs/>
                <w:color w:val="000000"/>
                <w:spacing w:val="0"/>
                <w:w w:val="100"/>
                <w:position w:val="0"/>
                <w:sz w:val="18"/>
                <w:szCs w:val="18"/>
              </w:rPr>
              <w:t>附注</w:t>
            </w:r>
          </w:p>
        </w:tc>
        <w:tc>
          <w:tcPr>
            <w:gridSpan w:val="6"/>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归属于本公司股东权益</w:t>
            </w:r>
          </w:p>
        </w:tc>
        <w:tc>
          <w:tcPr>
            <w:vMerge w:val="restart"/>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少数股东权益</w:t>
            </w:r>
          </w:p>
        </w:tc>
        <w:tc>
          <w:tcPr>
            <w:vMerge w:val="restart"/>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股东权益合计</w:t>
            </w:r>
          </w:p>
        </w:tc>
      </w:tr>
      <w:tr>
        <w:trPr>
          <w:trHeight w:val="65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left"/>
              <w:rPr>
                <w:sz w:val="18"/>
                <w:szCs w:val="18"/>
              </w:rPr>
            </w:pPr>
            <w:r>
              <w:rPr>
                <w:b/>
                <w:bCs/>
                <w:color w:val="000000"/>
                <w:spacing w:val="0"/>
                <w:w w:val="100"/>
                <w:position w:val="0"/>
                <w:sz w:val="18"/>
                <w:szCs w:val="18"/>
              </w:rPr>
              <w:t>股本</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jc w:val="both"/>
              <w:rPr>
                <w:sz w:val="18"/>
                <w:szCs w:val="18"/>
              </w:rPr>
            </w:pPr>
            <w:r>
              <w:rPr>
                <w:b/>
                <w:bCs/>
                <w:color w:val="000000"/>
                <w:spacing w:val="0"/>
                <w:w w:val="100"/>
                <w:position w:val="0"/>
                <w:sz w:val="18"/>
                <w:szCs w:val="18"/>
              </w:rPr>
              <w:t>资本公积</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其他综合收益</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盈余公积</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一般风险准备</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未分配利润</w:t>
            </w: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bottom"/>
          </w:tcPr>
          <w:p>
            <w:pPr/>
          </w:p>
        </w:tc>
      </w:tr>
      <w:tr>
        <w:trPr>
          <w:trHeight w:val="21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2015</w:t>
            </w:r>
            <w:r>
              <w:rPr>
                <w:b/>
                <w:bCs/>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w:t>
            </w:r>
            <w:r>
              <w:rPr>
                <w:b/>
                <w:bCs/>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w:t>
            </w:r>
            <w:r>
              <w:rPr>
                <w:b/>
                <w:bCs/>
                <w:color w:val="000000"/>
                <w:spacing w:val="0"/>
                <w:w w:val="100"/>
                <w:position w:val="0"/>
                <w:sz w:val="18"/>
                <w:szCs w:val="18"/>
              </w:rPr>
              <w:t>日年初余额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7,383,043</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4,679,567</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(77,343)</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1,160,735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10,321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16,125,532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254,947</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29,536,802</w:t>
            </w:r>
          </w:p>
        </w:tc>
      </w:tr>
      <w:tr>
        <w:trPr>
          <w:trHeight w:val="21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2015</w:t>
            </w:r>
            <w:r>
              <w:rPr>
                <w:b/>
                <w:bCs/>
                <w:color w:val="000000"/>
                <w:spacing w:val="0"/>
                <w:w w:val="100"/>
                <w:position w:val="0"/>
                <w:sz w:val="18"/>
                <w:szCs w:val="18"/>
              </w:rPr>
              <w:t>年度增减变动额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14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872,504</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(114,772)</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757,732</w:t>
            </w:r>
          </w:p>
        </w:tc>
      </w:tr>
      <w:tr>
        <w:trPr>
          <w:trHeight w:val="24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其他综合收益</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四</w:t>
            </w: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139,176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left"/>
              <w:rPr>
                <w:sz w:val="18"/>
                <w:szCs w:val="18"/>
              </w:rPr>
            </w:pPr>
            <w:r>
              <w:rPr>
                <w:b/>
                <w:bCs/>
                <w:color w:val="000000"/>
                <w:spacing w:val="0"/>
                <w:w w:val="100"/>
                <w:position w:val="0"/>
                <w:sz w:val="18"/>
                <w:szCs w:val="18"/>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140" w:firstLine="0"/>
              <w:jc w:val="right"/>
              <w:rPr>
                <w:sz w:val="18"/>
                <w:szCs w:val="18"/>
              </w:rPr>
            </w:pPr>
            <w:r>
              <w:rPr>
                <w:b/>
                <w:bCs/>
                <w:color w:val="000000"/>
                <w:spacing w:val="0"/>
                <w:w w:val="100"/>
                <w:position w:val="0"/>
                <w:sz w:val="18"/>
                <w:szCs w:val="18"/>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69,488</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208,664</w:t>
            </w:r>
          </w:p>
        </w:tc>
      </w:tr>
      <w:tr>
        <w:trPr>
          <w:trHeight w:val="24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综合收益总额合计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139,176</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14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872,504</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(45,284)</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966,396</w:t>
            </w:r>
          </w:p>
        </w:tc>
      </w:tr>
      <w:tr>
        <w:trPr>
          <w:trHeight w:val="245"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股东投入和减少资本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少数股东投入资本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557,274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80" w:right="0" w:firstLine="0"/>
              <w:jc w:val="both"/>
              <w:rPr>
                <w:sz w:val="18"/>
                <w:szCs w:val="18"/>
              </w:rPr>
            </w:pPr>
            <w:r>
              <w:rPr>
                <w:b/>
                <w:bCs/>
                <w:color w:val="000000"/>
                <w:spacing w:val="0"/>
                <w:w w:val="100"/>
                <w:position w:val="0"/>
                <w:sz w:val="18"/>
                <w:szCs w:val="18"/>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left"/>
              <w:rPr>
                <w:sz w:val="18"/>
                <w:szCs w:val="18"/>
              </w:rPr>
            </w:pPr>
            <w:r>
              <w:rPr>
                <w:b/>
                <w:bCs/>
                <w:color w:val="000000"/>
                <w:spacing w:val="0"/>
                <w:w w:val="100"/>
                <w:position w:val="0"/>
                <w:sz w:val="18"/>
                <w:szCs w:val="18"/>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140" w:firstLine="0"/>
              <w:jc w:val="right"/>
              <w:rPr>
                <w:sz w:val="18"/>
                <w:szCs w:val="18"/>
              </w:rPr>
            </w:pPr>
            <w:r>
              <w:rPr>
                <w:b/>
                <w:bCs/>
                <w:color w:val="000000"/>
                <w:spacing w:val="0"/>
                <w:w w:val="100"/>
                <w:position w:val="0"/>
                <w:sz w:val="18"/>
                <w:szCs w:val="18"/>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942,325</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1,499,599</w:t>
            </w:r>
          </w:p>
        </w:tc>
      </w:tr>
      <w:tr>
        <w:trPr>
          <w:trHeight w:val="26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购买少数股东股权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40"/>
              <w:jc w:val="left"/>
              <w:rPr>
                <w:sz w:val="18"/>
                <w:szCs w:val="18"/>
              </w:rPr>
            </w:pPr>
            <w:r>
              <w:rPr>
                <w:b/>
                <w:bCs/>
                <w:color w:val="000000"/>
                <w:spacing w:val="0"/>
                <w:w w:val="100"/>
                <w:position w:val="0"/>
                <w:sz w:val="18"/>
                <w:szCs w:val="18"/>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080" w:right="0" w:firstLine="0"/>
              <w:jc w:val="both"/>
              <w:rPr>
                <w:sz w:val="18"/>
                <w:szCs w:val="18"/>
              </w:rPr>
            </w:pPr>
            <w:r>
              <w:rPr>
                <w:b/>
                <w:bCs/>
                <w:color w:val="000000"/>
                <w:spacing w:val="0"/>
                <w:w w:val="100"/>
                <w:position w:val="0"/>
                <w:sz w:val="18"/>
                <w:szCs w:val="18"/>
              </w:rPr>
              <w:t>-</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80"/>
              <w:jc w:val="left"/>
              <w:rPr>
                <w:sz w:val="18"/>
                <w:szCs w:val="18"/>
              </w:rPr>
            </w:pPr>
            <w:r>
              <w:rPr>
                <w:b/>
                <w:bCs/>
                <w:color w:val="000000"/>
                <w:spacing w:val="0"/>
                <w:w w:val="100"/>
                <w:position w:val="0"/>
                <w:sz w:val="18"/>
                <w:szCs w:val="18"/>
              </w:rPr>
              <w:t>-</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140" w:firstLine="0"/>
              <w:jc w:val="right"/>
              <w:rPr>
                <w:sz w:val="18"/>
                <w:szCs w:val="18"/>
              </w:rPr>
            </w:pPr>
            <w:r>
              <w:rPr>
                <w:b/>
                <w:bCs/>
                <w:color w:val="000000"/>
                <w:spacing w:val="0"/>
                <w:w w:val="100"/>
                <w:position w:val="0"/>
                <w:sz w:val="18"/>
                <w:szCs w:val="18"/>
              </w:rPr>
              <w:t>-</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(79,048)</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(78,149)</w:t>
            </w:r>
          </w:p>
        </w:tc>
      </w:tr>
      <w:tr>
        <w:trPr>
          <w:trHeight w:val="24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非同一控制下企业合并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40"/>
              <w:jc w:val="left"/>
              <w:rPr>
                <w:sz w:val="18"/>
                <w:szCs w:val="18"/>
              </w:rPr>
            </w:pPr>
            <w:r>
              <w:rPr>
                <w:b/>
                <w:bCs/>
                <w:color w:val="000000"/>
                <w:spacing w:val="0"/>
                <w:w w:val="100"/>
                <w:position w:val="0"/>
                <w:sz w:val="18"/>
                <w:szCs w:val="18"/>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80" w:right="0" w:firstLine="0"/>
              <w:jc w:val="both"/>
              <w:rPr>
                <w:sz w:val="18"/>
                <w:szCs w:val="18"/>
              </w:rPr>
            </w:pPr>
            <w:r>
              <w:rPr>
                <w:b/>
                <w:bCs/>
                <w:color w:val="000000"/>
                <w:spacing w:val="0"/>
                <w:w w:val="100"/>
                <w:position w:val="0"/>
                <w:sz w:val="18"/>
                <w:szCs w:val="18"/>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left"/>
              <w:rPr>
                <w:sz w:val="18"/>
                <w:szCs w:val="18"/>
              </w:rPr>
            </w:pPr>
            <w:r>
              <w:rPr>
                <w:b/>
                <w:bCs/>
                <w:color w:val="000000"/>
                <w:spacing w:val="0"/>
                <w:w w:val="100"/>
                <w:position w:val="0"/>
                <w:sz w:val="18"/>
                <w:szCs w:val="18"/>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140" w:firstLine="0"/>
              <w:jc w:val="right"/>
              <w:rPr>
                <w:sz w:val="18"/>
                <w:szCs w:val="18"/>
              </w:rPr>
            </w:pPr>
            <w:r>
              <w:rPr>
                <w:b/>
                <w:bCs/>
                <w:color w:val="000000"/>
                <w:spacing w:val="0"/>
                <w:w w:val="100"/>
                <w:position w:val="0"/>
                <w:sz w:val="18"/>
                <w:szCs w:val="18"/>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127,658</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127,658</w:t>
            </w:r>
          </w:p>
        </w:tc>
      </w:tr>
      <w:tr>
        <w:trPr>
          <w:trHeight w:val="245"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处置子公司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14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245,550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245,550</w:t>
            </w:r>
          </w:p>
        </w:tc>
      </w:tr>
      <w:tr>
        <w:trPr>
          <w:trHeight w:val="245"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提取盈余公积</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四</w:t>
            </w: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60" w:right="0" w:firstLine="0"/>
              <w:jc w:val="both"/>
              <w:rPr>
                <w:sz w:val="18"/>
                <w:szCs w:val="18"/>
              </w:rPr>
            </w:pPr>
            <w:r>
              <w:rPr>
                <w:b/>
                <w:bCs/>
                <w:color w:val="000000"/>
                <w:spacing w:val="0"/>
                <w:w w:val="100"/>
                <w:position w:val="0"/>
                <w:sz w:val="18"/>
                <w:szCs w:val="18"/>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80" w:right="0" w:firstLine="0"/>
              <w:jc w:val="both"/>
              <w:rPr>
                <w:sz w:val="18"/>
                <w:szCs w:val="18"/>
              </w:rPr>
            </w:pPr>
            <w:r>
              <w:rPr>
                <w:b/>
                <w:bCs/>
                <w:color w:val="000000"/>
                <w:spacing w:val="0"/>
                <w:w w:val="100"/>
                <w:position w:val="0"/>
                <w:sz w:val="18"/>
                <w:szCs w:val="18"/>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left"/>
              <w:rPr>
                <w:sz w:val="18"/>
                <w:szCs w:val="18"/>
              </w:rPr>
            </w:pPr>
            <w:r>
              <w:rPr>
                <w:b/>
                <w:bCs/>
                <w:color w:val="000000"/>
                <w:spacing w:val="0"/>
                <w:w w:val="100"/>
                <w:position w:val="0"/>
                <w:sz w:val="18"/>
                <w:szCs w:val="18"/>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140" w:firstLine="0"/>
              <w:jc w:val="right"/>
              <w:rPr>
                <w:sz w:val="18"/>
                <w:szCs w:val="18"/>
              </w:rPr>
            </w:pPr>
            <w:r>
              <w:rPr>
                <w:b/>
                <w:bCs/>
                <w:color w:val="000000"/>
                <w:spacing w:val="0"/>
                <w:w w:val="100"/>
                <w:position w:val="0"/>
                <w:sz w:val="18"/>
                <w:szCs w:val="18"/>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24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提取一般风险准备</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四</w:t>
            </w: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80" w:right="0" w:firstLine="0"/>
              <w:jc w:val="both"/>
              <w:rPr>
                <w:sz w:val="18"/>
                <w:szCs w:val="18"/>
              </w:rPr>
            </w:pPr>
            <w:r>
              <w:rPr>
                <w:b/>
                <w:bCs/>
                <w:color w:val="000000"/>
                <w:spacing w:val="0"/>
                <w:w w:val="100"/>
                <w:position w:val="0"/>
                <w:sz w:val="18"/>
                <w:szCs w:val="18"/>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left"/>
              <w:rPr>
                <w:sz w:val="18"/>
                <w:szCs w:val="18"/>
              </w:rPr>
            </w:pPr>
            <w:r>
              <w:rPr>
                <w:b/>
                <w:bCs/>
                <w:color w:val="000000"/>
                <w:spacing w:val="0"/>
                <w:w w:val="100"/>
                <w:position w:val="0"/>
                <w:sz w:val="18"/>
                <w:szCs w:val="18"/>
              </w:rPr>
              <w:t>-</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17,543</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(17,543)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24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对股东的分配</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四</w:t>
            </w: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14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(369,152)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(3,638)</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(372,790)</w:t>
            </w:r>
          </w:p>
        </w:tc>
      </w:tr>
      <w:tr>
        <w:trPr>
          <w:trHeight w:val="21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2015</w:t>
            </w:r>
            <w:r>
              <w:rPr>
                <w:b/>
                <w:bCs/>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b/>
                <w:bCs/>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b/>
                <w:bCs/>
                <w:color w:val="000000"/>
                <w:spacing w:val="0"/>
                <w:w w:val="100"/>
                <w:position w:val="0"/>
                <w:sz w:val="18"/>
                <w:szCs w:val="18"/>
              </w:rPr>
              <w:t>日年末余额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7,383,043</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5,237,740</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61,833</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1,160,735</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27,864</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16,611,341</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1,442,510</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31,925,066</w:t>
            </w:r>
          </w:p>
        </w:tc>
      </w:tr>
    </w:tbl>
    <w:p>
      <w:pPr>
        <w:spacing w:lineRule="exact" w:line="1"/>
        <w:rPr>
          <w:sz w:val="2"/>
          <w:szCs w:val="2"/>
        </w:rPr>
      </w:pPr>
      <w:r>
        <w:br w:type="page"/>
      </w:r>
    </w:p>
    <w:p>
      <w:pPr>
        <w:pStyle w:val="Style32"/>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color w:val="000000"/>
          <w:spacing w:val="0"/>
          <w:w w:val="100"/>
          <w:position w:val="0"/>
          <w:sz w:val="24"/>
          <w:szCs w:val="24"/>
        </w:rPr>
        <w:t>2016</w:t>
      </w:r>
      <w:r>
        <w:rPr>
          <w:b/>
          <w:bCs/>
          <w:color w:val="000000"/>
          <w:spacing w:val="0"/>
          <w:w w:val="100"/>
          <w:position w:val="0"/>
          <w:sz w:val="24"/>
          <w:szCs w:val="24"/>
        </w:rPr>
        <w:t>年度合并股东权益变动表</w:t>
      </w:r>
      <w:r>
        <w:rPr>
          <w:rFonts w:ascii="Arial" w:eastAsia="Arial" w:hAnsi="Arial" w:cs="Arial"/>
          <w:color w:val="000000"/>
          <w:spacing w:val="0"/>
          <w:w w:val="100"/>
          <w:position w:val="0"/>
          <w:sz w:val="24"/>
          <w:szCs w:val="24"/>
        </w:rPr>
        <w:t>（</w:t>
      </w:r>
      <w:r>
        <w:rPr>
          <w:b/>
          <w:bCs/>
          <w:color w:val="000000"/>
          <w:spacing w:val="0"/>
          <w:w w:val="100"/>
          <w:position w:val="0"/>
          <w:sz w:val="24"/>
          <w:szCs w:val="24"/>
        </w:rPr>
        <w:t>续</w:t>
      </w:r>
      <w:r>
        <w:rPr>
          <w:rFonts w:ascii="Arial" w:eastAsia="Arial" w:hAnsi="Arial" w:cs="Arial"/>
          <w:color w:val="000000"/>
          <w:spacing w:val="0"/>
          <w:w w:val="100"/>
          <w:position w:val="0"/>
          <w:sz w:val="24"/>
          <w:szCs w:val="24"/>
        </w:rPr>
        <w:t>）</w:t>
      </w:r>
    </w:p>
    <w:p>
      <w:pPr>
        <w:pStyle w:val="Style32"/>
        <w:keepNext w:val="0"/>
        <w:keepLines w:val="0"/>
        <w:widowControl w:val="0"/>
        <w:shd w:val="clear" w:color="auto" w:fill="auto"/>
        <w:bidi w:val="0"/>
        <w:spacing w:before="0" w:after="220" w:line="240" w:lineRule="auto"/>
        <w:ind w:left="0" w:right="0" w:firstLine="0"/>
        <w:jc w:val="left"/>
        <w:rPr>
          <w:sz w:val="24"/>
          <w:szCs w:val="24"/>
        </w:rPr>
      </w:pPr>
      <w:r>
        <w:rPr>
          <w:rFonts w:ascii="Arial" w:eastAsia="Arial" w:hAnsi="Arial" w:cs="Arial"/>
          <w:color w:val="000000"/>
          <w:spacing w:val="0"/>
          <w:w w:val="100"/>
          <w:position w:val="0"/>
          <w:sz w:val="20"/>
          <w:szCs w:val="20"/>
        </w:rPr>
        <w:t>（</w:t>
      </w:r>
      <w:r>
        <w:rPr>
          <w:color w:val="000000"/>
          <w:spacing w:val="0"/>
          <w:w w:val="100"/>
          <w:position w:val="0"/>
          <w:sz w:val="20"/>
          <w:szCs w:val="20"/>
        </w:rPr>
        <w:t>除特别注明外，金额单位为人民币千元</w:t>
      </w:r>
      <w:r>
        <w:rPr>
          <w:color w:val="000000"/>
          <w:spacing w:val="0"/>
          <w:w w:val="100"/>
          <w:position w:val="0"/>
          <w:sz w:val="24"/>
          <w:szCs w:val="24"/>
        </w:rPr>
        <w:t>）</w:t>
      </w:r>
    </w:p>
    <w:tbl>
      <w:tblPr>
        <w:tblOverlap w:val="never"/>
        <w:jc w:val="center"/>
        <w:tblLayout w:type="fixed"/>
      </w:tblPr>
      <w:tblGrid>
        <w:gridCol w:w="2702"/>
        <w:gridCol w:w="989"/>
        <w:gridCol w:w="1138"/>
        <w:gridCol w:w="1272"/>
        <w:gridCol w:w="1286"/>
        <w:gridCol w:w="984"/>
        <w:gridCol w:w="1277"/>
        <w:gridCol w:w="1416"/>
        <w:gridCol w:w="1421"/>
        <w:gridCol w:w="1277"/>
      </w:tblGrid>
      <w:tr>
        <w:trPr>
          <w:trHeight w:val="245"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tabs>
                <w:tab w:pos="552" w:val="left"/>
              </w:tabs>
              <w:bidi w:val="0"/>
              <w:spacing w:before="0" w:after="0" w:line="240" w:lineRule="auto"/>
              <w:ind w:left="0" w:right="0" w:firstLine="0"/>
              <w:jc w:val="center"/>
              <w:rPr>
                <w:sz w:val="18"/>
                <w:szCs w:val="18"/>
              </w:rPr>
            </w:pPr>
            <w:r>
              <w:rPr>
                <w:b/>
                <w:bCs/>
                <w:color w:val="000000"/>
                <w:spacing w:val="0"/>
                <w:w w:val="100"/>
                <w:position w:val="0"/>
                <w:sz w:val="18"/>
                <w:szCs w:val="18"/>
              </w:rPr>
              <w:t>项</w:t>
              <w:tab/>
              <w:t>目</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rPr>
                <w:sz w:val="18"/>
                <w:szCs w:val="18"/>
              </w:rPr>
            </w:pPr>
            <w:r>
              <w:rPr>
                <w:b/>
                <w:bCs/>
                <w:color w:val="000000"/>
                <w:spacing w:val="0"/>
                <w:w w:val="100"/>
                <w:position w:val="0"/>
                <w:sz w:val="18"/>
                <w:szCs w:val="18"/>
              </w:rPr>
              <w:t>附注</w:t>
            </w:r>
          </w:p>
        </w:tc>
        <w:tc>
          <w:tcPr>
            <w:gridSpan w:val="6"/>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归属于本公司股东权益</w:t>
            </w:r>
          </w:p>
        </w:tc>
        <w:tc>
          <w:tcPr>
            <w:vMerge w:val="restart"/>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少数股东权益</w:t>
            </w:r>
          </w:p>
        </w:tc>
        <w:tc>
          <w:tcPr>
            <w:vMerge w:val="restart"/>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股东权益合计</w:t>
            </w:r>
          </w:p>
        </w:tc>
      </w:tr>
      <w:tr>
        <w:trPr>
          <w:trHeight w:val="65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left"/>
              <w:rPr>
                <w:sz w:val="18"/>
                <w:szCs w:val="18"/>
              </w:rPr>
            </w:pPr>
            <w:r>
              <w:rPr>
                <w:b/>
                <w:bCs/>
                <w:color w:val="000000"/>
                <w:spacing w:val="0"/>
                <w:w w:val="100"/>
                <w:position w:val="0"/>
                <w:sz w:val="18"/>
                <w:szCs w:val="18"/>
              </w:rPr>
              <w:t>股本</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jc w:val="left"/>
              <w:rPr>
                <w:sz w:val="18"/>
                <w:szCs w:val="18"/>
              </w:rPr>
            </w:pPr>
            <w:r>
              <w:rPr>
                <w:b/>
                <w:bCs/>
                <w:color w:val="000000"/>
                <w:spacing w:val="0"/>
                <w:w w:val="100"/>
                <w:position w:val="0"/>
                <w:sz w:val="18"/>
                <w:szCs w:val="18"/>
              </w:rPr>
              <w:t>资本公积</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其他综合收益</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盈余公积</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一般风险准备</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未分配利润</w:t>
            </w: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bottom"/>
          </w:tcPr>
          <w:p>
            <w:pPr/>
          </w:p>
        </w:tc>
      </w:tr>
      <w:tr>
        <w:trPr>
          <w:trHeight w:val="21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w:t>
            </w:r>
            <w:r>
              <w:rPr>
                <w:b/>
                <w:bCs/>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w:t>
            </w:r>
            <w:r>
              <w:rPr>
                <w:b/>
                <w:bCs/>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w:t>
            </w:r>
            <w:r>
              <w:rPr>
                <w:b/>
                <w:bCs/>
                <w:color w:val="000000"/>
                <w:spacing w:val="0"/>
                <w:w w:val="100"/>
                <w:position w:val="0"/>
                <w:sz w:val="18"/>
                <w:szCs w:val="18"/>
              </w:rPr>
              <w:t>日年初余额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7,383,043</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5,237,740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61,833</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1,160,735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27,864</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16,611,341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180" w:firstLine="0"/>
              <w:jc w:val="right"/>
              <w:rPr>
                <w:sz w:val="18"/>
                <w:szCs w:val="18"/>
              </w:rPr>
            </w:pPr>
            <w:r>
              <w:rPr>
                <w:rFonts w:ascii="Times New Roman" w:eastAsia="Times New Roman" w:hAnsi="Times New Roman" w:cs="Times New Roman"/>
                <w:color w:val="000000"/>
                <w:spacing w:val="0"/>
                <w:w w:val="100"/>
                <w:position w:val="0"/>
                <w:sz w:val="18"/>
                <w:szCs w:val="18"/>
              </w:rPr>
              <w:t>1,442,510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31,925,066</w:t>
            </w:r>
          </w:p>
        </w:tc>
      </w:tr>
      <w:tr>
        <w:trPr>
          <w:trHeight w:val="21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w:t>
            </w:r>
            <w:r>
              <w:rPr>
                <w:b/>
                <w:bCs/>
                <w:color w:val="000000"/>
                <w:spacing w:val="0"/>
                <w:w w:val="100"/>
                <w:position w:val="0"/>
                <w:sz w:val="18"/>
                <w:szCs w:val="18"/>
              </w:rPr>
              <w:t>年度增减变动额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18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704,414</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(211,182)</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493,232</w:t>
            </w:r>
          </w:p>
        </w:tc>
      </w:tr>
      <w:tr>
        <w:trPr>
          <w:trHeight w:val="24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其他综合收益</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四</w:t>
            </w: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2,441,079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left"/>
              <w:rPr>
                <w:sz w:val="18"/>
                <w:szCs w:val="18"/>
              </w:rPr>
            </w:pPr>
            <w:r>
              <w:rPr>
                <w:b/>
                <w:bCs/>
                <w:color w:val="000000"/>
                <w:spacing w:val="0"/>
                <w:w w:val="100"/>
                <w:position w:val="0"/>
                <w:sz w:val="18"/>
                <w:szCs w:val="18"/>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180" w:firstLine="0"/>
              <w:jc w:val="right"/>
              <w:rPr>
                <w:sz w:val="18"/>
                <w:szCs w:val="18"/>
              </w:rPr>
            </w:pPr>
            <w:r>
              <w:rPr>
                <w:b/>
                <w:bCs/>
                <w:color w:val="000000"/>
                <w:spacing w:val="0"/>
                <w:w w:val="100"/>
                <w:position w:val="0"/>
                <w:sz w:val="18"/>
                <w:szCs w:val="18"/>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180" w:firstLine="0"/>
              <w:jc w:val="right"/>
              <w:rPr>
                <w:sz w:val="18"/>
                <w:szCs w:val="18"/>
              </w:rPr>
            </w:pPr>
            <w:r>
              <w:rPr>
                <w:b/>
                <w:bCs/>
                <w:color w:val="000000"/>
                <w:spacing w:val="0"/>
                <w:w w:val="100"/>
                <w:position w:val="0"/>
                <w:sz w:val="18"/>
                <w:szCs w:val="18"/>
              </w:rPr>
              <w:t>-</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180" w:firstLine="0"/>
              <w:jc w:val="right"/>
              <w:rPr>
                <w:sz w:val="18"/>
                <w:szCs w:val="18"/>
              </w:rPr>
            </w:pPr>
            <w:r>
              <w:rPr>
                <w:rFonts w:ascii="Times New Roman" w:eastAsia="Times New Roman" w:hAnsi="Times New Roman" w:cs="Times New Roman"/>
                <w:color w:val="000000"/>
                <w:spacing w:val="0"/>
                <w:w w:val="100"/>
                <w:position w:val="0"/>
                <w:sz w:val="18"/>
                <w:szCs w:val="18"/>
              </w:rPr>
              <w:t>95,230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2,536,309</w:t>
            </w:r>
          </w:p>
        </w:tc>
      </w:tr>
      <w:tr>
        <w:trPr>
          <w:trHeight w:val="24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综合收益总额合计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2,441,079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18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704,414</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(115,952)</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3,029,541</w:t>
            </w:r>
          </w:p>
        </w:tc>
      </w:tr>
      <w:tr>
        <w:trPr>
          <w:trHeight w:val="245"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股东投入和减少资本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股东投入资本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1,926,997</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27,165,822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60" w:right="0" w:firstLine="0"/>
              <w:jc w:val="left"/>
              <w:rPr>
                <w:sz w:val="18"/>
                <w:szCs w:val="18"/>
              </w:rPr>
            </w:pPr>
            <w:r>
              <w:rPr>
                <w:b/>
                <w:bCs/>
                <w:color w:val="000000"/>
                <w:spacing w:val="0"/>
                <w:w w:val="100"/>
                <w:position w:val="0"/>
                <w:sz w:val="18"/>
                <w:szCs w:val="18"/>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left"/>
              <w:rPr>
                <w:sz w:val="18"/>
                <w:szCs w:val="18"/>
              </w:rPr>
            </w:pPr>
            <w:r>
              <w:rPr>
                <w:b/>
                <w:bCs/>
                <w:color w:val="000000"/>
                <w:spacing w:val="0"/>
                <w:w w:val="100"/>
                <w:position w:val="0"/>
                <w:sz w:val="18"/>
                <w:szCs w:val="18"/>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180" w:firstLine="0"/>
              <w:jc w:val="right"/>
              <w:rPr>
                <w:sz w:val="18"/>
                <w:szCs w:val="18"/>
              </w:rPr>
            </w:pPr>
            <w:r>
              <w:rPr>
                <w:b/>
                <w:bCs/>
                <w:color w:val="000000"/>
                <w:spacing w:val="0"/>
                <w:w w:val="100"/>
                <w:position w:val="0"/>
                <w:sz w:val="18"/>
                <w:szCs w:val="18"/>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180" w:firstLine="0"/>
              <w:jc w:val="right"/>
              <w:rPr>
                <w:sz w:val="18"/>
                <w:szCs w:val="18"/>
              </w:rPr>
            </w:pPr>
            <w:r>
              <w:rPr>
                <w:b/>
                <w:bCs/>
                <w:color w:val="000000"/>
                <w:spacing w:val="0"/>
                <w:w w:val="100"/>
                <w:position w:val="0"/>
                <w:sz w:val="18"/>
                <w:szCs w:val="18"/>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18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29,092,819</w:t>
            </w:r>
          </w:p>
        </w:tc>
      </w:tr>
      <w:tr>
        <w:trPr>
          <w:trHeight w:val="24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少数股东投入资本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3,431,679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60" w:right="0" w:firstLine="0"/>
              <w:jc w:val="left"/>
              <w:rPr>
                <w:sz w:val="18"/>
                <w:szCs w:val="18"/>
              </w:rPr>
            </w:pPr>
            <w:r>
              <w:rPr>
                <w:b/>
                <w:bCs/>
                <w:color w:val="000000"/>
                <w:spacing w:val="0"/>
                <w:w w:val="100"/>
                <w:position w:val="0"/>
                <w:sz w:val="18"/>
                <w:szCs w:val="18"/>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left"/>
              <w:rPr>
                <w:sz w:val="18"/>
                <w:szCs w:val="18"/>
              </w:rPr>
            </w:pPr>
            <w:r>
              <w:rPr>
                <w:b/>
                <w:bCs/>
                <w:color w:val="000000"/>
                <w:spacing w:val="0"/>
                <w:w w:val="100"/>
                <w:position w:val="0"/>
                <w:sz w:val="18"/>
                <w:szCs w:val="18"/>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180" w:firstLine="0"/>
              <w:jc w:val="right"/>
              <w:rPr>
                <w:sz w:val="18"/>
                <w:szCs w:val="18"/>
              </w:rPr>
            </w:pPr>
            <w:r>
              <w:rPr>
                <w:b/>
                <w:bCs/>
                <w:color w:val="000000"/>
                <w:spacing w:val="0"/>
                <w:w w:val="100"/>
                <w:position w:val="0"/>
                <w:sz w:val="18"/>
                <w:szCs w:val="18"/>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180" w:firstLine="0"/>
              <w:jc w:val="right"/>
              <w:rPr>
                <w:sz w:val="18"/>
                <w:szCs w:val="18"/>
              </w:rPr>
            </w:pPr>
            <w:r>
              <w:rPr>
                <w:b/>
                <w:bCs/>
                <w:color w:val="000000"/>
                <w:spacing w:val="0"/>
                <w:w w:val="100"/>
                <w:position w:val="0"/>
                <w:sz w:val="18"/>
                <w:szCs w:val="18"/>
              </w:rPr>
              <w:t>-</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2,891,889</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6,323,568</w:t>
            </w:r>
          </w:p>
        </w:tc>
      </w:tr>
      <w:tr>
        <w:trPr>
          <w:trHeight w:val="245"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少数股东减少资本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18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18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w:t>
            </w:r>
          </w:p>
        </w:tc>
      </w:tr>
      <w:tr>
        <w:trPr>
          <w:trHeight w:val="24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购买少数股东股权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116</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18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18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(2,811)</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(2,695)</w:t>
            </w:r>
          </w:p>
        </w:tc>
      </w:tr>
      <w:tr>
        <w:trPr>
          <w:trHeight w:val="24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提取盈余公积</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四</w:t>
            </w: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60" w:right="0" w:firstLine="0"/>
              <w:jc w:val="left"/>
              <w:rPr>
                <w:sz w:val="18"/>
                <w:szCs w:val="18"/>
              </w:rPr>
            </w:pPr>
            <w:r>
              <w:rPr>
                <w:b/>
                <w:bCs/>
                <w:color w:val="000000"/>
                <w:spacing w:val="0"/>
                <w:w w:val="100"/>
                <w:position w:val="0"/>
                <w:sz w:val="18"/>
                <w:szCs w:val="18"/>
              </w:rPr>
              <w:t>-</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126,184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180" w:firstLine="0"/>
              <w:jc w:val="right"/>
              <w:rPr>
                <w:sz w:val="18"/>
                <w:szCs w:val="18"/>
              </w:rPr>
            </w:pPr>
            <w:r>
              <w:rPr>
                <w:b/>
                <w:bCs/>
                <w:color w:val="000000"/>
                <w:spacing w:val="0"/>
                <w:w w:val="100"/>
                <w:position w:val="0"/>
                <w:sz w:val="18"/>
                <w:szCs w:val="18"/>
              </w:rPr>
              <w:t>-</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(126,184)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18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20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245"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提取一般风险准备</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四</w:t>
            </w: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103,613</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(103,613)</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20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24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对股东的分配</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四</w:t>
            </w: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60" w:right="0" w:firstLine="0"/>
              <w:jc w:val="left"/>
              <w:rPr>
                <w:sz w:val="18"/>
                <w:szCs w:val="18"/>
              </w:rPr>
            </w:pPr>
            <w:r>
              <w:rPr>
                <w:b/>
                <w:bCs/>
                <w:color w:val="000000"/>
                <w:spacing w:val="0"/>
                <w:w w:val="100"/>
                <w:position w:val="0"/>
                <w:sz w:val="18"/>
                <w:szCs w:val="18"/>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left"/>
              <w:rPr>
                <w:sz w:val="18"/>
                <w:szCs w:val="18"/>
              </w:rPr>
            </w:pPr>
            <w:r>
              <w:rPr>
                <w:b/>
                <w:bCs/>
                <w:color w:val="000000"/>
                <w:spacing w:val="0"/>
                <w:w w:val="100"/>
                <w:position w:val="0"/>
                <w:sz w:val="18"/>
                <w:szCs w:val="18"/>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180" w:firstLine="0"/>
              <w:jc w:val="right"/>
              <w:rPr>
                <w:sz w:val="18"/>
                <w:szCs w:val="18"/>
              </w:rPr>
            </w:pPr>
            <w:r>
              <w:rPr>
                <w:b/>
                <w:bCs/>
                <w:color w:val="000000"/>
                <w:spacing w:val="0"/>
                <w:w w:val="100"/>
                <w:position w:val="0"/>
                <w:sz w:val="18"/>
                <w:szCs w:val="18"/>
              </w:rPr>
              <w:t>-</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(442,983)</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(3,188)</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(446,171)</w:t>
            </w:r>
          </w:p>
        </w:tc>
      </w:tr>
      <w:tr>
        <w:trPr>
          <w:trHeight w:val="21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w:t>
            </w:r>
            <w:r>
              <w:rPr>
                <w:b/>
                <w:bCs/>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b/>
                <w:bCs/>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b/>
                <w:bCs/>
                <w:color w:val="000000"/>
                <w:spacing w:val="0"/>
                <w:w w:val="100"/>
                <w:position w:val="0"/>
                <w:sz w:val="18"/>
                <w:szCs w:val="18"/>
              </w:rPr>
              <w:t>日年末余额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9,310,040</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35,835,357</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2,502,912</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1,286,919</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131,477</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16,642,975</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4,212,298</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69,921,978</w:t>
            </w:r>
          </w:p>
        </w:tc>
      </w:tr>
    </w:tbl>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后附财务报表附注为财务报表的组成部分。</w:t>
      </w:r>
    </w:p>
    <w:p>
      <w:pPr>
        <w:widowControl w:val="0"/>
        <w:spacing w:after="219" w:line="1" w:lineRule="exact"/>
      </w:pPr>
    </w:p>
    <w:p>
      <w:pPr>
        <w:pStyle w:val="Style32"/>
        <w:keepNext w:val="0"/>
        <w:keepLines w:val="0"/>
        <w:widowControl w:val="0"/>
        <w:shd w:val="clear" w:color="auto" w:fill="auto"/>
        <w:tabs>
          <w:tab w:pos="2707" w:val="left"/>
          <w:tab w:pos="6360" w:val="left"/>
        </w:tabs>
        <w:bidi w:val="0"/>
        <w:spacing w:before="0" w:after="220" w:line="240" w:lineRule="auto"/>
        <w:ind w:left="0" w:right="0" w:firstLine="0"/>
        <w:jc w:val="left"/>
        <w:rPr>
          <w:sz w:val="20"/>
          <w:szCs w:val="20"/>
        </w:rPr>
        <w:sectPr>
          <w:headerReference w:type="default" r:id="rId99"/>
          <w:footerReference w:type="default" r:id="rId100"/>
          <w:headerReference w:type="even" r:id="rId101"/>
          <w:footerReference w:type="even" r:id="rId102"/>
          <w:footnotePr>
            <w:pos w:val="pageBottom"/>
            <w:numFmt w:val="decimal"/>
            <w:numRestart w:val="continuous"/>
          </w:footnotePr>
          <w:pgSz w:w="16840" w:h="11900" w:orient="landscape"/>
          <w:pgMar w:top="1148" w:right="2285" w:bottom="3537" w:left="780" w:header="0" w:footer="3" w:gutter="0"/>
          <w:cols w:space="720"/>
          <w:noEndnote/>
          <w:rtlGutter w:val="0"/>
          <w:docGrid w:linePitch="360"/>
        </w:sectPr>
      </w:pPr>
      <w:r>
        <w:rPr>
          <w:color w:val="000000"/>
          <w:spacing w:val="0"/>
          <w:w w:val="100"/>
          <w:position w:val="0"/>
          <w:sz w:val="20"/>
          <w:szCs w:val="20"/>
        </w:rPr>
        <w:t>企业负责人：张近东</w:t>
        <w:tab/>
        <w:t>主管会计工作的负责人：肖忠祥</w:t>
        <w:tab/>
        <w:t>会计机构负责人：华志松</w:t>
      </w:r>
    </w:p>
    <w:p>
      <w:pPr>
        <w:pStyle w:val="Style32"/>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color w:val="000000"/>
          <w:spacing w:val="0"/>
          <w:w w:val="100"/>
          <w:position w:val="0"/>
          <w:sz w:val="24"/>
          <w:szCs w:val="24"/>
        </w:rPr>
        <w:t>2016</w:t>
      </w:r>
      <w:r>
        <w:rPr>
          <w:b/>
          <w:bCs/>
          <w:color w:val="000000"/>
          <w:spacing w:val="0"/>
          <w:w w:val="100"/>
          <w:position w:val="0"/>
          <w:sz w:val="24"/>
          <w:szCs w:val="24"/>
        </w:rPr>
        <w:t>年度公司股东权益变动表</w:t>
      </w:r>
    </w:p>
    <w:p>
      <w:pPr>
        <w:pStyle w:val="Style32"/>
        <w:keepNext w:val="0"/>
        <w:keepLines w:val="0"/>
        <w:widowControl w:val="0"/>
        <w:shd w:val="clear" w:color="auto" w:fill="auto"/>
        <w:bidi w:val="0"/>
        <w:spacing w:before="0" w:after="340" w:line="240" w:lineRule="auto"/>
        <w:ind w:left="0" w:right="0" w:firstLine="0"/>
        <w:jc w:val="left"/>
        <w:rPr>
          <w:sz w:val="20"/>
          <w:szCs w:val="20"/>
        </w:rPr>
      </w:pPr>
      <w:r>
        <w:rPr>
          <w:rFonts w:ascii="Arial" w:eastAsia="Arial" w:hAnsi="Arial" w:cs="Arial"/>
          <w:color w:val="000000"/>
          <w:spacing w:val="0"/>
          <w:w w:val="100"/>
          <w:position w:val="0"/>
          <w:sz w:val="20"/>
          <w:szCs w:val="20"/>
        </w:rPr>
        <w:t>（</w:t>
      </w:r>
      <w:r>
        <w:rPr>
          <w:color w:val="000000"/>
          <w:spacing w:val="0"/>
          <w:w w:val="100"/>
          <w:position w:val="0"/>
          <w:sz w:val="20"/>
          <w:szCs w:val="20"/>
        </w:rPr>
        <w:t>除特别注明外，金额单位为人民币千元</w:t>
      </w:r>
      <w:r>
        <w:rPr>
          <w:rFonts w:ascii="Arial" w:eastAsia="Arial" w:hAnsi="Arial" w:cs="Arial"/>
          <w:color w:val="000000"/>
          <w:spacing w:val="0"/>
          <w:w w:val="100"/>
          <w:position w:val="0"/>
          <w:sz w:val="20"/>
          <w:szCs w:val="20"/>
        </w:rPr>
        <w:t>）</w:t>
      </w:r>
    </w:p>
    <w:tbl>
      <w:tblPr>
        <w:tblOverlap w:val="never"/>
        <w:jc w:val="center"/>
        <w:tblLayout w:type="fixed"/>
      </w:tblPr>
      <w:tblGrid>
        <w:gridCol w:w="2630"/>
        <w:gridCol w:w="744"/>
        <w:gridCol w:w="1090"/>
        <w:gridCol w:w="1133"/>
        <w:gridCol w:w="1277"/>
        <w:gridCol w:w="1046"/>
        <w:gridCol w:w="1109"/>
        <w:gridCol w:w="1262"/>
      </w:tblGrid>
      <w:tr>
        <w:trPr>
          <w:trHeight w:val="25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项目</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附注</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股本</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left"/>
              <w:rPr>
                <w:sz w:val="18"/>
                <w:szCs w:val="18"/>
              </w:rPr>
            </w:pPr>
            <w:r>
              <w:rPr>
                <w:b/>
                <w:bCs/>
                <w:color w:val="000000"/>
                <w:spacing w:val="0"/>
                <w:w w:val="100"/>
                <w:position w:val="0"/>
                <w:sz w:val="18"/>
                <w:szCs w:val="18"/>
              </w:rPr>
              <w:t>资本公积</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其他综合收益</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盈余公积</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未分配利润</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股东权益合计</w:t>
            </w:r>
          </w:p>
        </w:tc>
      </w:tr>
      <w:tr>
        <w:trPr>
          <w:trHeight w:val="21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2015</w:t>
            </w:r>
            <w:r>
              <w:rPr>
                <w:b/>
                <w:bCs/>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w:t>
            </w:r>
            <w:r>
              <w:rPr>
                <w:b/>
                <w:bCs/>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w:t>
            </w:r>
            <w:r>
              <w:rPr>
                <w:b/>
                <w:bCs/>
                <w:color w:val="000000"/>
                <w:spacing w:val="0"/>
                <w:w w:val="100"/>
                <w:position w:val="0"/>
                <w:sz w:val="18"/>
                <w:szCs w:val="18"/>
              </w:rPr>
              <w:t>日年初余额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7,383,043</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5,065,208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108,425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1,160,735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5,968,892</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19,686,303</w:t>
            </w:r>
          </w:p>
        </w:tc>
      </w:tr>
      <w:tr>
        <w:trPr>
          <w:trHeight w:val="21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2015</w:t>
            </w:r>
            <w:r>
              <w:rPr>
                <w:b/>
                <w:bCs/>
                <w:color w:val="000000"/>
                <w:spacing w:val="0"/>
                <w:w w:val="100"/>
                <w:position w:val="0"/>
                <w:sz w:val="18"/>
                <w:szCs w:val="18"/>
              </w:rPr>
              <w:t>年度增减变动额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329,667</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329,667</w:t>
            </w:r>
          </w:p>
        </w:tc>
      </w:tr>
      <w:tr>
        <w:trPr>
          <w:trHeight w:val="24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158,709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158,709</w:t>
            </w:r>
          </w:p>
        </w:tc>
      </w:tr>
      <w:tr>
        <w:trPr>
          <w:trHeight w:val="24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综合收益总额合计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158,709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329,667</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488,376</w:t>
            </w:r>
          </w:p>
        </w:tc>
      </w:tr>
      <w:tr>
        <w:trPr>
          <w:trHeight w:val="24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提取盈余公积</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w:t>
            </w: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24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对股东的分配</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w:t>
            </w: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(369,152)</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(369,152)</w:t>
            </w:r>
          </w:p>
        </w:tc>
      </w:tr>
      <w:tr>
        <w:trPr>
          <w:trHeight w:val="21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2015</w:t>
            </w:r>
            <w:r>
              <w:rPr>
                <w:b/>
                <w:bCs/>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b/>
                <w:bCs/>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b/>
                <w:bCs/>
                <w:color w:val="000000"/>
                <w:spacing w:val="0"/>
                <w:w w:val="100"/>
                <w:position w:val="0"/>
                <w:sz w:val="18"/>
                <w:szCs w:val="18"/>
              </w:rPr>
              <w:t>日年末余额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7,383,043</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5,065,208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267,134</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1,160,735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5,929,407</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19,805,527</w:t>
            </w:r>
          </w:p>
        </w:tc>
      </w:tr>
      <w:tr>
        <w:trPr>
          <w:trHeight w:val="21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w:t>
            </w:r>
            <w:r>
              <w:rPr>
                <w:b/>
                <w:bCs/>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w:t>
            </w:r>
            <w:r>
              <w:rPr>
                <w:b/>
                <w:bCs/>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w:t>
            </w:r>
            <w:r>
              <w:rPr>
                <w:b/>
                <w:bCs/>
                <w:color w:val="000000"/>
                <w:spacing w:val="0"/>
                <w:w w:val="100"/>
                <w:position w:val="0"/>
                <w:sz w:val="18"/>
                <w:szCs w:val="18"/>
              </w:rPr>
              <w:t>日年初余额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7,383,043</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5,065,208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267,134</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1,160,735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5,929,407</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19,805,527</w:t>
            </w:r>
          </w:p>
        </w:tc>
      </w:tr>
      <w:tr>
        <w:trPr>
          <w:trHeight w:val="21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w:t>
            </w:r>
            <w:r>
              <w:rPr>
                <w:b/>
                <w:bCs/>
                <w:color w:val="000000"/>
                <w:spacing w:val="0"/>
                <w:w w:val="100"/>
                <w:position w:val="0"/>
                <w:sz w:val="18"/>
                <w:szCs w:val="18"/>
              </w:rPr>
              <w:t>年度增减变动额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1,465,656</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1,465,656</w:t>
            </w:r>
          </w:p>
        </w:tc>
      </w:tr>
      <w:tr>
        <w:trPr>
          <w:trHeight w:val="245"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572,691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572,691</w:t>
            </w:r>
          </w:p>
        </w:tc>
      </w:tr>
      <w:tr>
        <w:trPr>
          <w:trHeight w:val="24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综合收益总额合计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572,691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1,465,656</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2,038,347</w:t>
            </w:r>
          </w:p>
        </w:tc>
      </w:tr>
      <w:tr>
        <w:trPr>
          <w:trHeight w:val="245"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股东投入和减少资本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股东投入资本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1,926,997</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27,165,822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29,092,819</w:t>
            </w:r>
          </w:p>
        </w:tc>
      </w:tr>
      <w:tr>
        <w:trPr>
          <w:trHeight w:val="245"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提取盈余公积</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w:t>
            </w: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126,184</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(126,184)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24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对股东的分配</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w:t>
            </w: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(442,983)</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(442,983)</w:t>
            </w:r>
          </w:p>
        </w:tc>
      </w:tr>
      <w:tr>
        <w:trPr>
          <w:trHeight w:val="21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w:t>
            </w:r>
            <w:r>
              <w:rPr>
                <w:b/>
                <w:bCs/>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b/>
                <w:bCs/>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b/>
                <w:bCs/>
                <w:color w:val="000000"/>
                <w:spacing w:val="0"/>
                <w:w w:val="100"/>
                <w:position w:val="0"/>
                <w:sz w:val="18"/>
                <w:szCs w:val="18"/>
              </w:rPr>
              <w:t>日年末余额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9,310,040</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32,231,030</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839,825</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1,286,919</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6,825,896</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50,493,710</w:t>
            </w:r>
          </w:p>
        </w:tc>
      </w:tr>
    </w:tbl>
    <w:p>
      <w:pPr>
        <w:widowControl w:val="0"/>
        <w:spacing w:after="259" w:line="1" w:lineRule="exact"/>
      </w:pPr>
    </w:p>
    <w:p>
      <w:pPr>
        <w:pStyle w:val="Style32"/>
        <w:keepNext w:val="0"/>
        <w:keepLines w:val="0"/>
        <w:widowControl w:val="0"/>
        <w:shd w:val="clear" w:color="auto" w:fill="auto"/>
        <w:bidi w:val="0"/>
        <w:spacing w:before="0" w:after="260" w:line="240" w:lineRule="auto"/>
        <w:ind w:left="0" w:right="0" w:firstLine="0"/>
        <w:jc w:val="left"/>
        <w:rPr>
          <w:sz w:val="20"/>
          <w:szCs w:val="20"/>
        </w:rPr>
      </w:pPr>
      <w:r>
        <w:rPr>
          <w:color w:val="000000"/>
          <w:spacing w:val="0"/>
          <w:w w:val="100"/>
          <w:position w:val="0"/>
          <w:sz w:val="20"/>
          <w:szCs w:val="20"/>
        </w:rPr>
        <w:t>后附财务报表附注为财务报表的组成部分。</w:t>
      </w:r>
    </w:p>
    <w:p>
      <w:pPr>
        <w:pStyle w:val="Style32"/>
        <w:keepNext w:val="0"/>
        <w:keepLines w:val="0"/>
        <w:widowControl w:val="0"/>
        <w:shd w:val="clear" w:color="auto" w:fill="auto"/>
        <w:tabs>
          <w:tab w:pos="2702" w:val="left"/>
          <w:tab w:pos="6355" w:val="left"/>
        </w:tabs>
        <w:bidi w:val="0"/>
        <w:spacing w:before="0" w:after="260" w:line="240" w:lineRule="auto"/>
        <w:ind w:left="0" w:right="0" w:firstLine="0"/>
        <w:jc w:val="left"/>
        <w:rPr>
          <w:sz w:val="20"/>
          <w:szCs w:val="20"/>
        </w:rPr>
        <w:sectPr>
          <w:headerReference w:type="default" r:id="rId103"/>
          <w:footerReference w:type="default" r:id="rId104"/>
          <w:headerReference w:type="even" r:id="rId105"/>
          <w:footerReference w:type="even" r:id="rId106"/>
          <w:footnotePr>
            <w:pos w:val="pageBottom"/>
            <w:numFmt w:val="decimal"/>
            <w:numRestart w:val="continuous"/>
          </w:footnotePr>
          <w:pgSz w:w="11900" w:h="16840"/>
          <w:pgMar w:top="1203" w:right="358" w:bottom="1203" w:left="1227" w:header="0" w:footer="3" w:gutter="0"/>
          <w:cols w:space="720"/>
          <w:noEndnote/>
          <w:rtlGutter w:val="0"/>
          <w:docGrid w:linePitch="360"/>
        </w:sectPr>
      </w:pPr>
      <w:r>
        <w:rPr>
          <w:color w:val="000000"/>
          <w:spacing w:val="0"/>
          <w:w w:val="100"/>
          <w:position w:val="0"/>
          <w:sz w:val="20"/>
          <w:szCs w:val="20"/>
        </w:rPr>
        <w:t>企业负责人：张近东</w:t>
        <w:tab/>
        <w:t>主管会计工作的负责人：肖忠祥</w:t>
        <w:tab/>
        <w:t>会计机构负责人：华志松</w:t>
      </w:r>
    </w:p>
    <w:p>
      <w:pPr>
        <w:pStyle w:val="Style32"/>
        <w:keepNext w:val="0"/>
        <w:keepLines w:val="0"/>
        <w:widowControl w:val="0"/>
        <w:shd w:val="clear" w:color="auto" w:fill="auto"/>
        <w:bidi w:val="0"/>
        <w:spacing w:before="0" w:after="0" w:line="240" w:lineRule="auto"/>
        <w:ind w:left="1180" w:right="0" w:firstLine="0"/>
        <w:jc w:val="left"/>
        <w:rPr>
          <w:sz w:val="24"/>
          <w:szCs w:val="24"/>
        </w:rPr>
      </w:pPr>
      <w:r>
        <w:rPr>
          <w:b/>
          <w:bCs/>
          <w:color w:val="000000"/>
          <w:spacing w:val="0"/>
          <w:w w:val="100"/>
          <w:position w:val="0"/>
          <w:sz w:val="24"/>
          <w:szCs w:val="24"/>
        </w:rPr>
        <w:t>财务报表附注</w:t>
      </w:r>
    </w:p>
    <w:p>
      <w:pPr>
        <w:pStyle w:val="Style88"/>
        <w:keepNext/>
        <w:keepLines/>
        <w:widowControl w:val="0"/>
        <w:shd w:val="clear" w:color="auto" w:fill="auto"/>
        <w:bidi w:val="0"/>
        <w:spacing w:before="0" w:after="0" w:line="240" w:lineRule="auto"/>
        <w:ind w:left="1180" w:right="0" w:firstLine="0"/>
        <w:jc w:val="left"/>
      </w:pPr>
      <w:bookmarkStart w:id="593" w:name="bookmark593"/>
      <w:bookmarkStart w:id="594" w:name="bookmark594"/>
      <w:bookmarkStart w:id="595" w:name="bookmark595"/>
      <w:r>
        <w:rPr>
          <w:color w:val="000000"/>
          <w:spacing w:val="0"/>
          <w:w w:val="100"/>
          <w:position w:val="0"/>
          <w:sz w:val="24"/>
          <w:szCs w:val="24"/>
        </w:rPr>
        <w:t>2016</w:t>
      </w:r>
      <w:r>
        <w:rPr>
          <w:rFonts w:ascii="SimSun" w:eastAsia="SimSun" w:hAnsi="SimSun" w:cs="SimSun"/>
          <w:b/>
          <w:bCs/>
          <w:color w:val="000000"/>
          <w:spacing w:val="0"/>
          <w:w w:val="100"/>
          <w:position w:val="0"/>
          <w:sz w:val="24"/>
          <w:szCs w:val="24"/>
        </w:rPr>
        <w:t>年度</w:t>
      </w:r>
      <w:bookmarkEnd w:id="593"/>
      <w:bookmarkEnd w:id="594"/>
      <w:bookmarkEnd w:id="595"/>
    </w:p>
    <w:p>
      <w:pPr>
        <w:pStyle w:val="Style32"/>
        <w:keepNext w:val="0"/>
        <w:keepLines w:val="0"/>
        <w:widowControl w:val="0"/>
        <w:shd w:val="clear" w:color="auto" w:fill="auto"/>
        <w:bidi w:val="0"/>
        <w:spacing w:before="0" w:after="260" w:line="240" w:lineRule="auto"/>
        <w:ind w:left="1180" w:right="0" w:firstLine="0"/>
        <w:jc w:val="left"/>
        <w:rPr>
          <w:sz w:val="24"/>
          <w:szCs w:val="24"/>
        </w:rPr>
      </w:pPr>
      <w:r>
        <w:rPr>
          <w:rFonts w:ascii="Arial" w:eastAsia="Arial" w:hAnsi="Arial" w:cs="Arial"/>
          <w:color w:val="000000"/>
          <w:spacing w:val="0"/>
          <w:w w:val="100"/>
          <w:position w:val="0"/>
          <w:sz w:val="20"/>
          <w:szCs w:val="20"/>
        </w:rPr>
        <w:t>（</w:t>
      </w:r>
      <w:r>
        <w:rPr>
          <w:color w:val="000000"/>
          <w:spacing w:val="0"/>
          <w:w w:val="100"/>
          <w:position w:val="0"/>
          <w:sz w:val="20"/>
          <w:szCs w:val="20"/>
        </w:rPr>
        <w:t>除特别注明外，金额单位为人民币千元</w:t>
      </w:r>
      <w:r>
        <w:rPr>
          <w:color w:val="000000"/>
          <w:spacing w:val="0"/>
          <w:w w:val="100"/>
          <w:position w:val="0"/>
          <w:sz w:val="24"/>
          <w:szCs w:val="24"/>
        </w:rPr>
        <w:t>）</w:t>
      </w:r>
    </w:p>
    <w:p>
      <w:pPr>
        <w:pStyle w:val="Style32"/>
        <w:keepNext w:val="0"/>
        <w:keepLines w:val="0"/>
        <w:widowControl w:val="0"/>
        <w:shd w:val="clear" w:color="auto" w:fill="auto"/>
        <w:tabs>
          <w:tab w:pos="1171" w:val="left"/>
        </w:tabs>
        <w:bidi w:val="0"/>
        <w:spacing w:before="0" w:after="260" w:line="240" w:lineRule="auto"/>
        <w:ind w:left="0" w:right="0" w:firstLine="480"/>
        <w:jc w:val="both"/>
        <w:rPr>
          <w:sz w:val="24"/>
          <w:szCs w:val="24"/>
        </w:rPr>
      </w:pPr>
      <w:r>
        <w:rPr>
          <w:b/>
          <w:bCs/>
          <w:color w:val="000000"/>
          <w:spacing w:val="0"/>
          <w:w w:val="100"/>
          <w:position w:val="0"/>
          <w:sz w:val="24"/>
          <w:szCs w:val="24"/>
        </w:rPr>
        <w:t>—</w:t>
        <w:tab/>
        <w:t>公司基本情况</w:t>
      </w:r>
    </w:p>
    <w:p>
      <w:pPr>
        <w:pStyle w:val="Style32"/>
        <w:keepNext w:val="0"/>
        <w:keepLines w:val="0"/>
        <w:widowControl w:val="0"/>
        <w:shd w:val="clear" w:color="auto" w:fill="auto"/>
        <w:bidi w:val="0"/>
        <w:spacing w:before="0" w:after="260" w:line="311" w:lineRule="exact"/>
        <w:ind w:left="1180" w:right="0" w:firstLine="20"/>
        <w:jc w:val="both"/>
        <w:rPr>
          <w:sz w:val="24"/>
          <w:szCs w:val="24"/>
        </w:rPr>
      </w:pPr>
      <w:r>
        <w:rPr>
          <w:color w:val="000000"/>
          <w:spacing w:val="0"/>
          <w:w w:val="100"/>
          <w:position w:val="0"/>
          <w:sz w:val="24"/>
          <w:szCs w:val="24"/>
        </w:rPr>
        <w:t>苏宁云商集团股份有限公司</w:t>
      </w:r>
      <w:r>
        <w:rPr>
          <w:color w:val="000000"/>
          <w:spacing w:val="0"/>
          <w:w w:val="100"/>
          <w:position w:val="0"/>
          <w:sz w:val="24"/>
          <w:szCs w:val="24"/>
        </w:rPr>
        <w:t>（</w:t>
      </w:r>
      <w:r>
        <w:rPr>
          <w:color w:val="000000"/>
          <w:spacing w:val="0"/>
          <w:w w:val="100"/>
          <w:position w:val="0"/>
          <w:sz w:val="24"/>
          <w:szCs w:val="24"/>
        </w:rPr>
        <w:t>以下简称</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本公司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的前身系于</w:t>
      </w:r>
      <w:r>
        <w:rPr>
          <w:rFonts w:ascii="Times New Roman" w:eastAsia="Times New Roman" w:hAnsi="Times New Roman" w:cs="Times New Roman"/>
          <w:color w:val="000000"/>
          <w:spacing w:val="0"/>
          <w:w w:val="100"/>
          <w:position w:val="0"/>
          <w:sz w:val="24"/>
          <w:szCs w:val="24"/>
        </w:rPr>
        <w:t>1996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 xml:space="preserve">15 </w:t>
      </w:r>
      <w:r>
        <w:rPr>
          <w:color w:val="000000"/>
          <w:spacing w:val="0"/>
          <w:w w:val="100"/>
          <w:position w:val="0"/>
          <w:sz w:val="24"/>
          <w:szCs w:val="24"/>
        </w:rPr>
        <w:t>日在中华人民共和国江苏省南京市注册成立的江苏苏宁交家电有限公司，成 立时的注册资本为人民币</w:t>
      </w:r>
      <w:r>
        <w:rPr>
          <w:rFonts w:ascii="Times New Roman" w:eastAsia="Times New Roman" w:hAnsi="Times New Roman" w:cs="Times New Roman"/>
          <w:color w:val="000000"/>
          <w:spacing w:val="0"/>
          <w:w w:val="100"/>
          <w:position w:val="0"/>
          <w:sz w:val="24"/>
          <w:szCs w:val="24"/>
        </w:rPr>
        <w:t>120</w:t>
      </w:r>
      <w:r>
        <w:rPr>
          <w:color w:val="000000"/>
          <w:spacing w:val="0"/>
          <w:w w:val="100"/>
          <w:position w:val="0"/>
          <w:sz w:val="24"/>
          <w:szCs w:val="24"/>
        </w:rPr>
        <w:t>万元。于</w:t>
      </w:r>
      <w:r>
        <w:rPr>
          <w:rFonts w:ascii="Times New Roman" w:eastAsia="Times New Roman" w:hAnsi="Times New Roman" w:cs="Times New Roman"/>
          <w:color w:val="000000"/>
          <w:spacing w:val="0"/>
          <w:w w:val="100"/>
          <w:position w:val="0"/>
          <w:sz w:val="24"/>
          <w:szCs w:val="24"/>
        </w:rPr>
        <w:t>2000</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7</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28</w:t>
      </w:r>
      <w:r>
        <w:rPr>
          <w:color w:val="000000"/>
          <w:spacing w:val="0"/>
          <w:w w:val="100"/>
          <w:position w:val="0"/>
          <w:sz w:val="24"/>
          <w:szCs w:val="24"/>
        </w:rPr>
        <w:t>日，经江苏省工商行 政管理局批准更名为江苏苏宁交家电集团有限公司。于</w:t>
      </w:r>
      <w:r>
        <w:rPr>
          <w:rFonts w:ascii="Times New Roman" w:eastAsia="Times New Roman" w:hAnsi="Times New Roman" w:cs="Times New Roman"/>
          <w:color w:val="000000"/>
          <w:spacing w:val="0"/>
          <w:w w:val="100"/>
          <w:position w:val="0"/>
          <w:sz w:val="24"/>
          <w:szCs w:val="24"/>
        </w:rPr>
        <w:t>2000</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8</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30</w:t>
      </w:r>
      <w:r>
        <w:rPr>
          <w:color w:val="000000"/>
          <w:spacing w:val="0"/>
          <w:w w:val="100"/>
          <w:position w:val="0"/>
          <w:sz w:val="24"/>
          <w:szCs w:val="24"/>
        </w:rPr>
        <w:t>日经 国家工商行政管理局批准更名为苏宁交家电</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集团</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有限公司。于</w:t>
      </w:r>
      <w:r>
        <w:rPr>
          <w:rFonts w:ascii="Times New Roman" w:eastAsia="Times New Roman" w:hAnsi="Times New Roman" w:cs="Times New Roman"/>
          <w:color w:val="000000"/>
          <w:spacing w:val="0"/>
          <w:w w:val="100"/>
          <w:position w:val="0"/>
          <w:sz w:val="24"/>
          <w:szCs w:val="24"/>
        </w:rPr>
        <w:t>2001</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4"/>
          <w:szCs w:val="24"/>
        </w:rPr>
        <w:t xml:space="preserve">月 </w:t>
      </w:r>
      <w:r>
        <w:rPr>
          <w:rFonts w:ascii="Times New Roman" w:eastAsia="Times New Roman" w:hAnsi="Times New Roman" w:cs="Times New Roman"/>
          <w:color w:val="000000"/>
          <w:spacing w:val="0"/>
          <w:w w:val="100"/>
          <w:position w:val="0"/>
          <w:sz w:val="24"/>
          <w:szCs w:val="24"/>
        </w:rPr>
        <w:t>28</w:t>
      </w:r>
      <w:r>
        <w:rPr>
          <w:color w:val="000000"/>
          <w:spacing w:val="0"/>
          <w:w w:val="100"/>
          <w:position w:val="0"/>
          <w:sz w:val="24"/>
          <w:szCs w:val="24"/>
        </w:rPr>
        <w:t>日，经江苏省人民政府苏政复</w:t>
      </w:r>
      <w:r>
        <w:rPr>
          <w:rFonts w:ascii="Times New Roman" w:eastAsia="Times New Roman" w:hAnsi="Times New Roman" w:cs="Times New Roman"/>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2001]109</w:t>
      </w:r>
      <w:r>
        <w:rPr>
          <w:color w:val="000000"/>
          <w:spacing w:val="0"/>
          <w:w w:val="100"/>
          <w:position w:val="0"/>
          <w:sz w:val="24"/>
          <w:szCs w:val="24"/>
        </w:rPr>
        <w:t>号文批准，以苏宁交家电</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集团</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有 限公司于</w:t>
      </w:r>
      <w:r>
        <w:rPr>
          <w:rFonts w:ascii="Times New Roman" w:eastAsia="Times New Roman" w:hAnsi="Times New Roman" w:cs="Times New Roman"/>
          <w:color w:val="000000"/>
          <w:spacing w:val="0"/>
          <w:w w:val="100"/>
          <w:position w:val="0"/>
          <w:sz w:val="24"/>
          <w:szCs w:val="24"/>
        </w:rPr>
        <w:t>2000</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日的净资产整体变更为苏宁电器连锁集团股份有 限公司，股本总额为人民币</w:t>
      </w:r>
      <w:r>
        <w:rPr>
          <w:rFonts w:ascii="Times New Roman" w:eastAsia="Times New Roman" w:hAnsi="Times New Roman" w:cs="Times New Roman"/>
          <w:color w:val="000000"/>
          <w:spacing w:val="0"/>
          <w:w w:val="100"/>
          <w:position w:val="0"/>
          <w:sz w:val="24"/>
          <w:szCs w:val="24"/>
        </w:rPr>
        <w:t>68,160,000</w:t>
      </w:r>
      <w:r>
        <w:rPr>
          <w:color w:val="000000"/>
          <w:spacing w:val="0"/>
          <w:w w:val="100"/>
          <w:position w:val="0"/>
          <w:sz w:val="24"/>
          <w:szCs w:val="24"/>
        </w:rPr>
        <w:t>元，于</w:t>
      </w:r>
      <w:r>
        <w:rPr>
          <w:rFonts w:ascii="Times New Roman" w:eastAsia="Times New Roman" w:hAnsi="Times New Roman" w:cs="Times New Roman"/>
          <w:color w:val="000000"/>
          <w:spacing w:val="0"/>
          <w:w w:val="100"/>
          <w:position w:val="0"/>
          <w:sz w:val="24"/>
          <w:szCs w:val="24"/>
        </w:rPr>
        <w:t>2001</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29</w:t>
      </w:r>
      <w:r>
        <w:rPr>
          <w:color w:val="000000"/>
          <w:spacing w:val="0"/>
          <w:w w:val="100"/>
          <w:position w:val="0"/>
          <w:sz w:val="24"/>
          <w:szCs w:val="24"/>
        </w:rPr>
        <w:t>日领取营业执 照。此后，根据</w:t>
      </w:r>
      <w:r>
        <w:rPr>
          <w:rFonts w:ascii="Times New Roman" w:eastAsia="Times New Roman" w:hAnsi="Times New Roman" w:cs="Times New Roman"/>
          <w:color w:val="000000"/>
          <w:spacing w:val="0"/>
          <w:w w:val="100"/>
          <w:position w:val="0"/>
          <w:sz w:val="24"/>
          <w:szCs w:val="24"/>
        </w:rPr>
        <w:t>2005</w:t>
      </w:r>
      <w:r>
        <w:rPr>
          <w:color w:val="000000"/>
          <w:spacing w:val="0"/>
          <w:w w:val="100"/>
          <w:position w:val="0"/>
          <w:sz w:val="24"/>
          <w:szCs w:val="24"/>
        </w:rPr>
        <w:t>年第二次临时股东大会决议，本公司更名为苏宁电器 股份有限公司</w:t>
      </w:r>
      <w:r>
        <w:rPr>
          <w:i/>
          <w:iCs/>
          <w:color w:val="000000"/>
          <w:spacing w:val="0"/>
          <w:w w:val="100"/>
          <w:position w:val="0"/>
          <w:sz w:val="20"/>
          <w:szCs w:val="20"/>
        </w:rPr>
        <w:t>。</w:t>
      </w:r>
      <w:r>
        <w:rPr>
          <w:color w:val="000000"/>
          <w:spacing w:val="0"/>
          <w:w w:val="100"/>
          <w:position w:val="0"/>
          <w:sz w:val="24"/>
          <w:szCs w:val="24"/>
        </w:rPr>
        <w:t>根据</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月召开的</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sz w:val="24"/>
          <w:szCs w:val="24"/>
        </w:rPr>
        <w:t>年第一次临时股东大会决议， 本公司更名为苏宁云商集团股份有限公司，并于</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20</w:t>
      </w:r>
      <w:r>
        <w:rPr>
          <w:color w:val="000000"/>
          <w:spacing w:val="0"/>
          <w:w w:val="100"/>
          <w:position w:val="0"/>
          <w:sz w:val="24"/>
          <w:szCs w:val="24"/>
        </w:rPr>
        <w:t>日取得变更 后的营业执照。本公司总部地址为中华人民共和国江苏省南京市。</w:t>
      </w:r>
    </w:p>
    <w:p>
      <w:pPr>
        <w:pStyle w:val="Style32"/>
        <w:keepNext w:val="0"/>
        <w:keepLines w:val="0"/>
        <w:widowControl w:val="0"/>
        <w:shd w:val="clear" w:color="auto" w:fill="auto"/>
        <w:bidi w:val="0"/>
        <w:spacing w:before="0" w:after="260" w:line="312" w:lineRule="exact"/>
        <w:ind w:left="1180" w:right="0" w:firstLine="20"/>
        <w:jc w:val="both"/>
        <w:rPr>
          <w:sz w:val="24"/>
          <w:szCs w:val="24"/>
        </w:rPr>
      </w:pPr>
      <w:r>
        <w:rPr>
          <w:color w:val="000000"/>
          <w:spacing w:val="0"/>
          <w:w w:val="100"/>
          <w:position w:val="0"/>
          <w:sz w:val="24"/>
          <w:szCs w:val="24"/>
        </w:rPr>
        <w:t>经中国证券监督管理委员会证监发行字</w:t>
      </w:r>
      <w:r>
        <w:rPr>
          <w:rFonts w:ascii="Times New Roman" w:eastAsia="Times New Roman" w:hAnsi="Times New Roman" w:cs="Times New Roman"/>
          <w:color w:val="000000"/>
          <w:spacing w:val="0"/>
          <w:w w:val="100"/>
          <w:position w:val="0"/>
          <w:sz w:val="24"/>
          <w:szCs w:val="24"/>
        </w:rPr>
        <w:t>[2004]97</w:t>
      </w:r>
      <w:r>
        <w:rPr>
          <w:color w:val="000000"/>
          <w:spacing w:val="0"/>
          <w:w w:val="100"/>
          <w:position w:val="0"/>
          <w:sz w:val="24"/>
          <w:szCs w:val="24"/>
        </w:rPr>
        <w:t>号文</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关于核准苏宁电器连 锁集团股份有限公司公开发行股票的通知</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批准，本公司于</w:t>
      </w:r>
      <w:r>
        <w:rPr>
          <w:rFonts w:ascii="Times New Roman" w:eastAsia="Times New Roman" w:hAnsi="Times New Roman" w:cs="Times New Roman"/>
          <w:color w:val="000000"/>
          <w:spacing w:val="0"/>
          <w:w w:val="100"/>
          <w:position w:val="0"/>
          <w:sz w:val="24"/>
          <w:szCs w:val="24"/>
        </w:rPr>
        <w:t>2004</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7</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7</w:t>
      </w:r>
      <w:r>
        <w:rPr>
          <w:color w:val="000000"/>
          <w:spacing w:val="0"/>
          <w:w w:val="100"/>
          <w:position w:val="0"/>
          <w:sz w:val="24"/>
          <w:szCs w:val="24"/>
        </w:rPr>
        <w:t xml:space="preserve">日 向境内投资者发行了 </w:t>
      </w:r>
      <w:r>
        <w:rPr>
          <w:rFonts w:ascii="Times New Roman" w:eastAsia="Times New Roman" w:hAnsi="Times New Roman" w:cs="Times New Roman"/>
          <w:color w:val="000000"/>
          <w:spacing w:val="0"/>
          <w:w w:val="100"/>
          <w:position w:val="0"/>
          <w:sz w:val="24"/>
          <w:szCs w:val="24"/>
        </w:rPr>
        <w:t>2,500</w:t>
      </w:r>
      <w:r>
        <w:rPr>
          <w:color w:val="000000"/>
          <w:spacing w:val="0"/>
          <w:w w:val="100"/>
          <w:position w:val="0"/>
          <w:sz w:val="24"/>
          <w:szCs w:val="24"/>
        </w:rPr>
        <w:t>万股人民币普通股</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以下称为</w:t>
      </w:r>
      <w:r>
        <w:rPr>
          <w:rFonts w:ascii="Times New Roman" w:eastAsia="Times New Roman" w:hAnsi="Times New Roman" w:cs="Times New Roman"/>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A</w:t>
      </w:r>
      <w:r>
        <w:rPr>
          <w:color w:val="000000"/>
          <w:spacing w:val="0"/>
          <w:w w:val="100"/>
          <w:position w:val="0"/>
          <w:sz w:val="24"/>
          <w:szCs w:val="24"/>
        </w:rPr>
        <w:t>股</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，每股面值人 民币</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元，每股发行价为人民币</w:t>
      </w:r>
      <w:r>
        <w:rPr>
          <w:rFonts w:ascii="Times New Roman" w:eastAsia="Times New Roman" w:hAnsi="Times New Roman" w:cs="Times New Roman"/>
          <w:color w:val="000000"/>
          <w:spacing w:val="0"/>
          <w:w w:val="100"/>
          <w:position w:val="0"/>
          <w:sz w:val="24"/>
          <w:szCs w:val="24"/>
        </w:rPr>
        <w:t>16.33</w:t>
      </w:r>
      <w:r>
        <w:rPr>
          <w:color w:val="000000"/>
          <w:spacing w:val="0"/>
          <w:w w:val="100"/>
          <w:position w:val="0"/>
          <w:sz w:val="24"/>
          <w:szCs w:val="24"/>
        </w:rPr>
        <w:t xml:space="preserve">元，发行后总股本增至人民币 </w:t>
      </w:r>
      <w:r>
        <w:rPr>
          <w:rFonts w:ascii="Times New Roman" w:eastAsia="Times New Roman" w:hAnsi="Times New Roman" w:cs="Times New Roman"/>
          <w:color w:val="000000"/>
          <w:spacing w:val="0"/>
          <w:w w:val="100"/>
          <w:position w:val="0"/>
          <w:sz w:val="24"/>
          <w:szCs w:val="24"/>
        </w:rPr>
        <w:t>93,160,000</w:t>
      </w:r>
      <w:r>
        <w:rPr>
          <w:color w:val="000000"/>
          <w:spacing w:val="0"/>
          <w:w w:val="100"/>
          <w:position w:val="0"/>
          <w:sz w:val="24"/>
          <w:szCs w:val="24"/>
        </w:rPr>
        <w:t>元，本公司发行的</w:t>
      </w:r>
      <w:r>
        <w:rPr>
          <w:rFonts w:ascii="Times New Roman" w:eastAsia="Times New Roman" w:hAnsi="Times New Roman" w:cs="Times New Roman"/>
          <w:color w:val="000000"/>
          <w:spacing w:val="0"/>
          <w:w w:val="100"/>
          <w:position w:val="0"/>
          <w:sz w:val="24"/>
          <w:szCs w:val="24"/>
        </w:rPr>
        <w:t>A</w:t>
      </w:r>
      <w:r>
        <w:rPr>
          <w:color w:val="000000"/>
          <w:spacing w:val="0"/>
          <w:w w:val="100"/>
          <w:position w:val="0"/>
          <w:sz w:val="24"/>
          <w:szCs w:val="24"/>
        </w:rPr>
        <w:t>股于</w:t>
      </w:r>
      <w:r>
        <w:rPr>
          <w:rFonts w:ascii="Times New Roman" w:eastAsia="Times New Roman" w:hAnsi="Times New Roman" w:cs="Times New Roman"/>
          <w:color w:val="000000"/>
          <w:spacing w:val="0"/>
          <w:w w:val="100"/>
          <w:position w:val="0"/>
          <w:sz w:val="24"/>
          <w:szCs w:val="24"/>
        </w:rPr>
        <w:t>2004</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7</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21</w:t>
      </w:r>
      <w:r>
        <w:rPr>
          <w:color w:val="000000"/>
          <w:spacing w:val="0"/>
          <w:w w:val="100"/>
          <w:position w:val="0"/>
          <w:sz w:val="24"/>
          <w:szCs w:val="24"/>
        </w:rPr>
        <w:t>日在深圳证券交易所中 小企业板块挂牌上市交易。</w:t>
      </w:r>
    </w:p>
    <w:p>
      <w:pPr>
        <w:pStyle w:val="Style32"/>
        <w:keepNext w:val="0"/>
        <w:keepLines w:val="0"/>
        <w:widowControl w:val="0"/>
        <w:shd w:val="clear" w:color="auto" w:fill="auto"/>
        <w:bidi w:val="0"/>
        <w:spacing w:before="0" w:after="260" w:line="312" w:lineRule="exact"/>
        <w:ind w:left="1180" w:right="0" w:firstLine="20"/>
        <w:jc w:val="both"/>
        <w:rPr>
          <w:sz w:val="24"/>
          <w:szCs w:val="24"/>
        </w:rPr>
      </w:pPr>
      <w:r>
        <w:rPr>
          <w:color w:val="000000"/>
          <w:spacing w:val="0"/>
          <w:w w:val="100"/>
          <w:position w:val="0"/>
          <w:sz w:val="24"/>
          <w:szCs w:val="24"/>
        </w:rPr>
        <w:t>经于</w:t>
      </w:r>
      <w:r>
        <w:rPr>
          <w:rFonts w:ascii="Times New Roman" w:eastAsia="Times New Roman" w:hAnsi="Times New Roman" w:cs="Times New Roman"/>
          <w:color w:val="000000"/>
          <w:spacing w:val="0"/>
          <w:w w:val="100"/>
          <w:position w:val="0"/>
          <w:sz w:val="24"/>
          <w:szCs w:val="24"/>
        </w:rPr>
        <w:t>2005</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22</w:t>
      </w:r>
      <w:r>
        <w:rPr>
          <w:color w:val="000000"/>
          <w:spacing w:val="0"/>
          <w:w w:val="100"/>
          <w:position w:val="0"/>
          <w:sz w:val="24"/>
          <w:szCs w:val="24"/>
        </w:rPr>
        <w:t>日召开的</w:t>
      </w:r>
      <w:r>
        <w:rPr>
          <w:rFonts w:ascii="Times New Roman" w:eastAsia="Times New Roman" w:hAnsi="Times New Roman" w:cs="Times New Roman"/>
          <w:color w:val="000000"/>
          <w:spacing w:val="0"/>
          <w:w w:val="100"/>
          <w:position w:val="0"/>
          <w:sz w:val="24"/>
          <w:szCs w:val="24"/>
        </w:rPr>
        <w:t>2004</w:t>
      </w:r>
      <w:r>
        <w:rPr>
          <w:color w:val="000000"/>
          <w:spacing w:val="0"/>
          <w:w w:val="100"/>
          <w:position w:val="0"/>
          <w:sz w:val="24"/>
          <w:szCs w:val="24"/>
        </w:rPr>
        <w:t>年年度股东大会通过，本公司以资本公积 转增股本人民币</w:t>
      </w:r>
      <w:r>
        <w:rPr>
          <w:rFonts w:ascii="Times New Roman" w:eastAsia="Times New Roman" w:hAnsi="Times New Roman" w:cs="Times New Roman"/>
          <w:color w:val="000000"/>
          <w:spacing w:val="0"/>
          <w:w w:val="100"/>
          <w:position w:val="0"/>
          <w:sz w:val="24"/>
          <w:szCs w:val="24"/>
        </w:rPr>
        <w:t>93,160,000</w:t>
      </w:r>
      <w:r>
        <w:rPr>
          <w:color w:val="000000"/>
          <w:spacing w:val="0"/>
          <w:w w:val="100"/>
          <w:position w:val="0"/>
          <w:sz w:val="24"/>
          <w:szCs w:val="24"/>
        </w:rPr>
        <w:t xml:space="preserve">元。经此次转增后，股本总额变更为人民币 </w:t>
      </w:r>
      <w:r>
        <w:rPr>
          <w:rFonts w:ascii="Times New Roman" w:eastAsia="Times New Roman" w:hAnsi="Times New Roman" w:cs="Times New Roman"/>
          <w:color w:val="000000"/>
          <w:spacing w:val="0"/>
          <w:w w:val="100"/>
          <w:position w:val="0"/>
          <w:sz w:val="24"/>
          <w:szCs w:val="24"/>
        </w:rPr>
        <w:t xml:space="preserve">186,320,000 </w:t>
      </w:r>
      <w:r>
        <w:rPr>
          <w:color w:val="000000"/>
          <w:spacing w:val="0"/>
          <w:w w:val="100"/>
          <w:position w:val="0"/>
          <w:sz w:val="24"/>
          <w:szCs w:val="24"/>
        </w:rPr>
        <w:t>元。</w:t>
      </w:r>
    </w:p>
    <w:p>
      <w:pPr>
        <w:pStyle w:val="Style32"/>
        <w:keepNext w:val="0"/>
        <w:keepLines w:val="0"/>
        <w:widowControl w:val="0"/>
        <w:shd w:val="clear" w:color="auto" w:fill="auto"/>
        <w:bidi w:val="0"/>
        <w:spacing w:before="0" w:after="260" w:line="312" w:lineRule="exact"/>
        <w:ind w:left="1180" w:right="0" w:firstLine="20"/>
        <w:jc w:val="both"/>
        <w:rPr>
          <w:sz w:val="24"/>
          <w:szCs w:val="24"/>
        </w:rPr>
      </w:pPr>
      <w:r>
        <w:rPr>
          <w:color w:val="000000"/>
          <w:spacing w:val="0"/>
          <w:w w:val="100"/>
          <w:position w:val="0"/>
          <w:sz w:val="24"/>
          <w:szCs w:val="24"/>
        </w:rPr>
        <w:t>经于</w:t>
      </w:r>
      <w:r>
        <w:rPr>
          <w:rFonts w:ascii="Times New Roman" w:eastAsia="Times New Roman" w:hAnsi="Times New Roman" w:cs="Times New Roman"/>
          <w:color w:val="000000"/>
          <w:spacing w:val="0"/>
          <w:w w:val="100"/>
          <w:position w:val="0"/>
          <w:sz w:val="24"/>
          <w:szCs w:val="24"/>
        </w:rPr>
        <w:t>2005</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29</w:t>
      </w:r>
      <w:r>
        <w:rPr>
          <w:color w:val="000000"/>
          <w:spacing w:val="0"/>
          <w:w w:val="100"/>
          <w:position w:val="0"/>
          <w:sz w:val="24"/>
          <w:szCs w:val="24"/>
        </w:rPr>
        <w:t>日召开的</w:t>
      </w:r>
      <w:r>
        <w:rPr>
          <w:rFonts w:ascii="Times New Roman" w:eastAsia="Times New Roman" w:hAnsi="Times New Roman" w:cs="Times New Roman"/>
          <w:color w:val="000000"/>
          <w:spacing w:val="0"/>
          <w:w w:val="100"/>
          <w:position w:val="0"/>
          <w:sz w:val="24"/>
          <w:szCs w:val="24"/>
        </w:rPr>
        <w:t>2005</w:t>
      </w:r>
      <w:r>
        <w:rPr>
          <w:color w:val="000000"/>
          <w:spacing w:val="0"/>
          <w:w w:val="100"/>
          <w:position w:val="0"/>
          <w:sz w:val="24"/>
          <w:szCs w:val="24"/>
        </w:rPr>
        <w:t>年第二次临时股东大会决议通过，本公司 以资本公积转增股本人民币</w:t>
      </w:r>
      <w:r>
        <w:rPr>
          <w:rFonts w:ascii="Times New Roman" w:eastAsia="Times New Roman" w:hAnsi="Times New Roman" w:cs="Times New Roman"/>
          <w:color w:val="000000"/>
          <w:spacing w:val="0"/>
          <w:w w:val="100"/>
          <w:position w:val="0"/>
          <w:sz w:val="24"/>
          <w:szCs w:val="24"/>
        </w:rPr>
        <w:t>149,056,000</w:t>
      </w:r>
      <w:r>
        <w:rPr>
          <w:color w:val="000000"/>
          <w:spacing w:val="0"/>
          <w:w w:val="100"/>
          <w:position w:val="0"/>
          <w:sz w:val="24"/>
          <w:szCs w:val="24"/>
        </w:rPr>
        <w:t>元。经此次转增后，股本总额变更 为人民币</w:t>
      </w:r>
      <w:r>
        <w:rPr>
          <w:rFonts w:ascii="Times New Roman" w:eastAsia="Times New Roman" w:hAnsi="Times New Roman" w:cs="Times New Roman"/>
          <w:color w:val="000000"/>
          <w:spacing w:val="0"/>
          <w:w w:val="100"/>
          <w:position w:val="0"/>
          <w:sz w:val="24"/>
          <w:szCs w:val="24"/>
        </w:rPr>
        <w:t>335,376,000</w:t>
      </w:r>
      <w:r>
        <w:rPr>
          <w:color w:val="000000"/>
          <w:spacing w:val="0"/>
          <w:w w:val="100"/>
          <w:position w:val="0"/>
          <w:sz w:val="24"/>
          <w:szCs w:val="24"/>
        </w:rPr>
        <w:t>元。</w:t>
      </w:r>
    </w:p>
    <w:p>
      <w:pPr>
        <w:pStyle w:val="Style32"/>
        <w:keepNext w:val="0"/>
        <w:keepLines w:val="0"/>
        <w:widowControl w:val="0"/>
        <w:shd w:val="clear" w:color="auto" w:fill="auto"/>
        <w:bidi w:val="0"/>
        <w:spacing w:before="0" w:after="260" w:line="309" w:lineRule="exact"/>
        <w:ind w:left="1180" w:right="0" w:firstLine="20"/>
        <w:jc w:val="both"/>
        <w:rPr>
          <w:sz w:val="24"/>
          <w:szCs w:val="24"/>
        </w:rPr>
      </w:pPr>
      <w:r>
        <w:rPr>
          <w:color w:val="000000"/>
          <w:spacing w:val="0"/>
          <w:w w:val="100"/>
          <w:position w:val="0"/>
          <w:sz w:val="24"/>
          <w:szCs w:val="24"/>
        </w:rPr>
        <w:t>经中国证券监督管理委员会证监发行字</w:t>
      </w:r>
      <w:r>
        <w:rPr>
          <w:rFonts w:ascii="Times New Roman" w:eastAsia="Times New Roman" w:hAnsi="Times New Roman" w:cs="Times New Roman"/>
          <w:color w:val="000000"/>
          <w:spacing w:val="0"/>
          <w:w w:val="100"/>
          <w:position w:val="0"/>
          <w:sz w:val="24"/>
          <w:szCs w:val="24"/>
        </w:rPr>
        <w:t>[2006]21</w:t>
      </w:r>
      <w:r>
        <w:rPr>
          <w:color w:val="000000"/>
          <w:spacing w:val="0"/>
          <w:w w:val="100"/>
          <w:position w:val="0"/>
          <w:sz w:val="24"/>
          <w:szCs w:val="24"/>
        </w:rPr>
        <w:t>号文</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关于核准苏宁电器股 份有限公司非公开发行股票的通知</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批准，本公司于</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20</w:t>
      </w:r>
      <w:r>
        <w:rPr>
          <w:color w:val="000000"/>
          <w:spacing w:val="0"/>
          <w:w w:val="100"/>
          <w:position w:val="0"/>
          <w:sz w:val="24"/>
          <w:szCs w:val="24"/>
        </w:rPr>
        <w:t>日向特定 投资者非</w:t>
      </w:r>
      <w:r>
        <w:rPr>
          <w:rFonts w:ascii="Times New Roman" w:eastAsia="Times New Roman" w:hAnsi="Times New Roman" w:cs="Times New Roman"/>
          <w:color w:val="000000"/>
          <w:spacing w:val="0"/>
          <w:w w:val="100"/>
          <w:position w:val="0"/>
          <w:sz w:val="24"/>
          <w:szCs w:val="24"/>
        </w:rPr>
        <w:t>E</w:t>
      </w:r>
      <w:r>
        <w:rPr>
          <w:color w:val="000000"/>
          <w:spacing w:val="0"/>
          <w:w w:val="100"/>
          <w:position w:val="0"/>
          <w:sz w:val="24"/>
          <w:szCs w:val="24"/>
        </w:rPr>
        <w:t>公开发行</w:t>
      </w:r>
      <w:r>
        <w:rPr>
          <w:rFonts w:ascii="Times New Roman" w:eastAsia="Times New Roman" w:hAnsi="Times New Roman" w:cs="Times New Roman"/>
          <w:color w:val="000000"/>
          <w:spacing w:val="0"/>
          <w:w w:val="100"/>
          <w:position w:val="0"/>
          <w:sz w:val="24"/>
          <w:szCs w:val="24"/>
        </w:rPr>
        <w:t>2,500</w:t>
      </w:r>
      <w:r>
        <w:rPr>
          <w:color w:val="000000"/>
          <w:spacing w:val="0"/>
          <w:w w:val="100"/>
          <w:position w:val="0"/>
          <w:sz w:val="24"/>
          <w:szCs w:val="24"/>
        </w:rPr>
        <w:t>万</w:t>
      </w:r>
      <w:r>
        <w:rPr>
          <w:rFonts w:ascii="Times New Roman" w:eastAsia="Times New Roman" w:hAnsi="Times New Roman" w:cs="Times New Roman"/>
          <w:color w:val="000000"/>
          <w:spacing w:val="0"/>
          <w:w w:val="100"/>
          <w:position w:val="0"/>
          <w:sz w:val="24"/>
          <w:szCs w:val="24"/>
        </w:rPr>
        <w:t>A</w:t>
      </w:r>
      <w:r>
        <w:rPr>
          <w:color w:val="000000"/>
          <w:spacing w:val="0"/>
          <w:w w:val="100"/>
          <w:position w:val="0"/>
          <w:sz w:val="24"/>
          <w:szCs w:val="24"/>
        </w:rPr>
        <w:t>股，每股面值人民币</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元，每股发行价为人民 币</w:t>
      </w:r>
      <w:r>
        <w:rPr>
          <w:rFonts w:ascii="Times New Roman" w:eastAsia="Times New Roman" w:hAnsi="Times New Roman" w:cs="Times New Roman"/>
          <w:color w:val="000000"/>
          <w:spacing w:val="0"/>
          <w:w w:val="100"/>
          <w:position w:val="0"/>
          <w:sz w:val="24"/>
          <w:szCs w:val="24"/>
        </w:rPr>
        <w:t>48</w:t>
      </w:r>
      <w:r>
        <w:rPr>
          <w:color w:val="000000"/>
          <w:spacing w:val="0"/>
          <w:w w:val="100"/>
          <w:position w:val="0"/>
          <w:sz w:val="24"/>
          <w:szCs w:val="24"/>
        </w:rPr>
        <w:t>元，股本总额变更为人民币</w:t>
      </w:r>
      <w:r>
        <w:rPr>
          <w:rFonts w:ascii="Times New Roman" w:eastAsia="Times New Roman" w:hAnsi="Times New Roman" w:cs="Times New Roman"/>
          <w:color w:val="000000"/>
          <w:spacing w:val="0"/>
          <w:w w:val="100"/>
          <w:position w:val="0"/>
          <w:sz w:val="24"/>
          <w:szCs w:val="24"/>
        </w:rPr>
        <w:t>360,376,000</w:t>
      </w:r>
      <w:r>
        <w:rPr>
          <w:color w:val="000000"/>
          <w:spacing w:val="0"/>
          <w:w w:val="100"/>
          <w:position w:val="0"/>
          <w:sz w:val="24"/>
          <w:szCs w:val="24"/>
        </w:rPr>
        <w:t>元。</w:t>
      </w:r>
    </w:p>
    <w:p>
      <w:pPr>
        <w:pStyle w:val="Style32"/>
        <w:keepNext w:val="0"/>
        <w:keepLines w:val="0"/>
        <w:widowControl w:val="0"/>
        <w:shd w:val="clear" w:color="auto" w:fill="auto"/>
        <w:bidi w:val="0"/>
        <w:spacing w:before="0" w:after="260" w:line="312" w:lineRule="exact"/>
        <w:ind w:left="1180" w:right="0" w:firstLine="20"/>
        <w:jc w:val="both"/>
        <w:rPr>
          <w:sz w:val="24"/>
          <w:szCs w:val="24"/>
        </w:rPr>
      </w:pPr>
      <w:r>
        <w:rPr>
          <w:color w:val="000000"/>
          <w:spacing w:val="0"/>
          <w:w w:val="100"/>
          <w:position w:val="0"/>
          <w:sz w:val="24"/>
          <w:szCs w:val="24"/>
        </w:rPr>
        <w:t>经于</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13</w:t>
      </w:r>
      <w:r>
        <w:rPr>
          <w:color w:val="000000"/>
          <w:spacing w:val="0"/>
          <w:w w:val="100"/>
          <w:position w:val="0"/>
          <w:sz w:val="24"/>
          <w:szCs w:val="24"/>
        </w:rPr>
        <w:t>日召开的</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年第二次临时股东大会决议通过，本公司 以资本公积转增股本人民币</w:t>
      </w:r>
      <w:r>
        <w:rPr>
          <w:rFonts w:ascii="Times New Roman" w:eastAsia="Times New Roman" w:hAnsi="Times New Roman" w:cs="Times New Roman"/>
          <w:color w:val="000000"/>
          <w:spacing w:val="0"/>
          <w:w w:val="100"/>
          <w:position w:val="0"/>
          <w:sz w:val="24"/>
          <w:szCs w:val="24"/>
        </w:rPr>
        <w:t>360,376,000</w:t>
      </w:r>
      <w:r>
        <w:rPr>
          <w:color w:val="000000"/>
          <w:spacing w:val="0"/>
          <w:w w:val="100"/>
          <w:position w:val="0"/>
          <w:sz w:val="24"/>
          <w:szCs w:val="24"/>
        </w:rPr>
        <w:t>元。经此次转增后，股本总额变更 为人民币</w:t>
      </w:r>
      <w:r>
        <w:rPr>
          <w:rFonts w:ascii="Times New Roman" w:eastAsia="Times New Roman" w:hAnsi="Times New Roman" w:cs="Times New Roman"/>
          <w:color w:val="000000"/>
          <w:spacing w:val="0"/>
          <w:w w:val="100"/>
          <w:position w:val="0"/>
          <w:sz w:val="24"/>
          <w:szCs w:val="24"/>
        </w:rPr>
        <w:t>720,752,000</w:t>
      </w:r>
      <w:r>
        <w:rPr>
          <w:color w:val="000000"/>
          <w:spacing w:val="0"/>
          <w:w w:val="100"/>
          <w:position w:val="0"/>
          <w:sz w:val="24"/>
          <w:szCs w:val="24"/>
        </w:rPr>
        <w:t>元。</w:t>
      </w:r>
    </w:p>
    <w:p>
      <w:pPr>
        <w:pStyle w:val="Style32"/>
        <w:keepNext w:val="0"/>
        <w:keepLines w:val="0"/>
        <w:widowControl w:val="0"/>
        <w:shd w:val="clear" w:color="auto" w:fill="auto"/>
        <w:bidi w:val="0"/>
        <w:spacing w:before="0" w:after="260" w:line="312" w:lineRule="exact"/>
        <w:ind w:left="1180" w:right="0" w:firstLine="20"/>
        <w:jc w:val="both"/>
        <w:rPr>
          <w:sz w:val="24"/>
          <w:szCs w:val="24"/>
        </w:rPr>
      </w:pPr>
      <w:r>
        <w:rPr>
          <w:color w:val="000000"/>
          <w:spacing w:val="0"/>
          <w:w w:val="100"/>
          <w:position w:val="0"/>
          <w:sz w:val="24"/>
          <w:szCs w:val="24"/>
        </w:rPr>
        <w:t>经于</w:t>
      </w:r>
      <w:r>
        <w:rPr>
          <w:rFonts w:ascii="Times New Roman" w:eastAsia="Times New Roman" w:hAnsi="Times New Roman" w:cs="Times New Roman"/>
          <w:color w:val="000000"/>
          <w:spacing w:val="0"/>
          <w:w w:val="100"/>
          <w:position w:val="0"/>
          <w:sz w:val="24"/>
          <w:szCs w:val="24"/>
        </w:rPr>
        <w:t>2007</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30</w:t>
      </w:r>
      <w:r>
        <w:rPr>
          <w:color w:val="000000"/>
          <w:spacing w:val="0"/>
          <w:w w:val="100"/>
          <w:position w:val="0"/>
          <w:sz w:val="24"/>
          <w:szCs w:val="24"/>
        </w:rPr>
        <w:t>日召开的</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年年度股东大会决议通过，本公司以资 本公积转增股本人民币</w:t>
      </w:r>
      <w:r>
        <w:rPr>
          <w:rFonts w:ascii="Times New Roman" w:eastAsia="Times New Roman" w:hAnsi="Times New Roman" w:cs="Times New Roman"/>
          <w:color w:val="000000"/>
          <w:spacing w:val="0"/>
          <w:w w:val="100"/>
          <w:position w:val="0"/>
          <w:sz w:val="24"/>
          <w:szCs w:val="24"/>
        </w:rPr>
        <w:t>720,752,000</w:t>
      </w:r>
      <w:r>
        <w:rPr>
          <w:color w:val="000000"/>
          <w:spacing w:val="0"/>
          <w:w w:val="100"/>
          <w:position w:val="0"/>
          <w:sz w:val="24"/>
          <w:szCs w:val="24"/>
        </w:rPr>
        <w:t xml:space="preserve">元。经此次转增后，股本总额变更为人 民币 </w:t>
      </w:r>
      <w:r>
        <w:rPr>
          <w:rFonts w:ascii="Times New Roman" w:eastAsia="Times New Roman" w:hAnsi="Times New Roman" w:cs="Times New Roman"/>
          <w:color w:val="000000"/>
          <w:spacing w:val="0"/>
          <w:w w:val="100"/>
          <w:position w:val="0"/>
          <w:sz w:val="24"/>
          <w:szCs w:val="24"/>
        </w:rPr>
        <w:t xml:space="preserve">1,441,504,000 </w:t>
      </w:r>
      <w:r>
        <w:rPr>
          <w:color w:val="000000"/>
          <w:spacing w:val="0"/>
          <w:w w:val="100"/>
          <w:position w:val="0"/>
          <w:sz w:val="24"/>
          <w:szCs w:val="24"/>
        </w:rPr>
        <w:t>元。</w:t>
      </w:r>
    </w:p>
    <w:p>
      <w:pPr>
        <w:pStyle w:val="Style32"/>
        <w:keepNext w:val="0"/>
        <w:keepLines w:val="0"/>
        <w:widowControl w:val="0"/>
        <w:shd w:val="clear" w:color="auto" w:fill="auto"/>
        <w:bidi w:val="0"/>
        <w:spacing w:before="0" w:after="0" w:line="240" w:lineRule="auto"/>
        <w:ind w:left="1180" w:right="0" w:firstLine="0"/>
        <w:jc w:val="left"/>
        <w:rPr>
          <w:sz w:val="24"/>
          <w:szCs w:val="24"/>
        </w:rPr>
      </w:pPr>
      <w:r>
        <w:rPr>
          <w:b/>
          <w:bCs/>
          <w:color w:val="000000"/>
          <w:spacing w:val="0"/>
          <w:w w:val="100"/>
          <w:position w:val="0"/>
          <w:sz w:val="24"/>
          <w:szCs w:val="24"/>
        </w:rPr>
        <w:t>财务报表附注</w:t>
      </w:r>
    </w:p>
    <w:p>
      <w:pPr>
        <w:pStyle w:val="Style88"/>
        <w:keepNext/>
        <w:keepLines/>
        <w:widowControl w:val="0"/>
        <w:shd w:val="clear" w:color="auto" w:fill="auto"/>
        <w:bidi w:val="0"/>
        <w:spacing w:before="0" w:after="0" w:line="240" w:lineRule="auto"/>
        <w:ind w:left="1180" w:right="0" w:firstLine="0"/>
        <w:jc w:val="left"/>
      </w:pPr>
      <w:bookmarkStart w:id="596" w:name="bookmark596"/>
      <w:bookmarkStart w:id="597" w:name="bookmark597"/>
      <w:bookmarkStart w:id="598" w:name="bookmark598"/>
      <w:r>
        <w:rPr>
          <w:color w:val="000000"/>
          <w:spacing w:val="0"/>
          <w:w w:val="100"/>
          <w:position w:val="0"/>
          <w:sz w:val="24"/>
          <w:szCs w:val="24"/>
        </w:rPr>
        <w:t>2016</w:t>
      </w:r>
      <w:r>
        <w:rPr>
          <w:rFonts w:ascii="SimSun" w:eastAsia="SimSun" w:hAnsi="SimSun" w:cs="SimSun"/>
          <w:b/>
          <w:bCs/>
          <w:color w:val="000000"/>
          <w:spacing w:val="0"/>
          <w:w w:val="100"/>
          <w:position w:val="0"/>
          <w:sz w:val="24"/>
          <w:szCs w:val="24"/>
        </w:rPr>
        <w:t>年度</w:t>
      </w:r>
      <w:bookmarkEnd w:id="596"/>
      <w:bookmarkEnd w:id="597"/>
      <w:bookmarkEnd w:id="598"/>
    </w:p>
    <w:p>
      <w:pPr>
        <w:pStyle w:val="Style32"/>
        <w:keepNext w:val="0"/>
        <w:keepLines w:val="0"/>
        <w:widowControl w:val="0"/>
        <w:shd w:val="clear" w:color="auto" w:fill="auto"/>
        <w:bidi w:val="0"/>
        <w:spacing w:before="0" w:after="260" w:line="240" w:lineRule="auto"/>
        <w:ind w:left="1180" w:right="0" w:firstLine="0"/>
        <w:jc w:val="left"/>
        <w:rPr>
          <w:sz w:val="24"/>
          <w:szCs w:val="24"/>
        </w:rPr>
      </w:pPr>
      <w:r>
        <w:rPr>
          <w:rFonts w:ascii="Arial" w:eastAsia="Arial" w:hAnsi="Arial" w:cs="Arial"/>
          <w:color w:val="000000"/>
          <w:spacing w:val="0"/>
          <w:w w:val="100"/>
          <w:position w:val="0"/>
          <w:sz w:val="20"/>
          <w:szCs w:val="20"/>
        </w:rPr>
        <w:t>（</w:t>
      </w:r>
      <w:r>
        <w:rPr>
          <w:color w:val="000000"/>
          <w:spacing w:val="0"/>
          <w:w w:val="100"/>
          <w:position w:val="0"/>
          <w:sz w:val="20"/>
          <w:szCs w:val="20"/>
        </w:rPr>
        <w:t>除特别注明外，金额单位为人民币千元</w:t>
      </w:r>
      <w:r>
        <w:rPr>
          <w:color w:val="000000"/>
          <w:spacing w:val="0"/>
          <w:w w:val="100"/>
          <w:position w:val="0"/>
          <w:sz w:val="24"/>
          <w:szCs w:val="24"/>
        </w:rPr>
        <w:t>）</w:t>
      </w:r>
    </w:p>
    <w:p>
      <w:pPr>
        <w:pStyle w:val="Style32"/>
        <w:keepNext w:val="0"/>
        <w:keepLines w:val="0"/>
        <w:widowControl w:val="0"/>
        <w:shd w:val="clear" w:color="auto" w:fill="auto"/>
        <w:tabs>
          <w:tab w:pos="1147" w:val="left"/>
        </w:tabs>
        <w:bidi w:val="0"/>
        <w:spacing w:before="0" w:after="380" w:line="240" w:lineRule="auto"/>
        <w:ind w:left="0" w:right="0" w:firstLine="480"/>
        <w:jc w:val="both"/>
        <w:rPr>
          <w:sz w:val="24"/>
          <w:szCs w:val="24"/>
        </w:rPr>
      </w:pPr>
      <w:r>
        <w:rPr>
          <w:b/>
          <w:bCs/>
          <w:color w:val="000000"/>
          <w:spacing w:val="0"/>
          <w:w w:val="100"/>
          <w:position w:val="0"/>
          <w:sz w:val="24"/>
          <w:szCs w:val="24"/>
        </w:rPr>
        <w:t>-</w:t>
        <w:tab/>
        <w:t>公司基本情况</w:t>
      </w:r>
      <w:r>
        <w:rPr>
          <w:rFonts w:ascii="Times New Roman" w:eastAsia="Times New Roman" w:hAnsi="Times New Roman" w:cs="Times New Roman"/>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4"/>
          <w:szCs w:val="24"/>
        </w:rPr>
        <w:t>）</w:t>
      </w:r>
    </w:p>
    <w:p>
      <w:pPr>
        <w:pStyle w:val="Style32"/>
        <w:keepNext w:val="0"/>
        <w:keepLines w:val="0"/>
        <w:widowControl w:val="0"/>
        <w:shd w:val="clear" w:color="auto" w:fill="auto"/>
        <w:bidi w:val="0"/>
        <w:spacing w:before="0" w:after="260" w:line="307" w:lineRule="exact"/>
        <w:ind w:left="1180" w:right="0" w:firstLine="20"/>
        <w:jc w:val="both"/>
        <w:rPr>
          <w:sz w:val="24"/>
          <w:szCs w:val="24"/>
        </w:rPr>
      </w:pPr>
      <w:r>
        <w:rPr>
          <w:color w:val="000000"/>
          <w:spacing w:val="0"/>
          <w:w w:val="100"/>
          <w:position w:val="0"/>
          <w:sz w:val="24"/>
          <w:szCs w:val="24"/>
        </w:rPr>
        <w:t>经中国证券监督管理委员会证监许可</w:t>
      </w:r>
      <w:r>
        <w:rPr>
          <w:rFonts w:ascii="Times New Roman" w:eastAsia="Times New Roman" w:hAnsi="Times New Roman" w:cs="Times New Roman"/>
          <w:color w:val="000000"/>
          <w:spacing w:val="0"/>
          <w:w w:val="100"/>
          <w:position w:val="0"/>
          <w:sz w:val="24"/>
          <w:szCs w:val="24"/>
        </w:rPr>
        <w:t>[2008]647</w:t>
      </w:r>
      <w:r>
        <w:rPr>
          <w:color w:val="000000"/>
          <w:spacing w:val="0"/>
          <w:w w:val="100"/>
          <w:position w:val="0"/>
          <w:sz w:val="24"/>
          <w:szCs w:val="24"/>
        </w:rPr>
        <w:t>号文</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关于核准苏宁电器股份 有限公司非公开发行股票的批复</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批准，本公司于</w:t>
      </w:r>
      <w:r>
        <w:rPr>
          <w:rFonts w:ascii="Times New Roman" w:eastAsia="Times New Roman" w:hAnsi="Times New Roman" w:cs="Times New Roman"/>
          <w:color w:val="000000"/>
          <w:spacing w:val="0"/>
          <w:w w:val="100"/>
          <w:position w:val="0"/>
          <w:sz w:val="24"/>
          <w:szCs w:val="24"/>
        </w:rPr>
        <w:t>2008</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16</w:t>
      </w:r>
      <w:r>
        <w:rPr>
          <w:color w:val="000000"/>
          <w:spacing w:val="0"/>
          <w:w w:val="100"/>
          <w:position w:val="0"/>
          <w:sz w:val="24"/>
          <w:szCs w:val="24"/>
        </w:rPr>
        <w:t>日向特定投 资者非公开发行</w:t>
      </w:r>
      <w:r>
        <w:rPr>
          <w:rFonts w:ascii="Times New Roman" w:eastAsia="Times New Roman" w:hAnsi="Times New Roman" w:cs="Times New Roman"/>
          <w:color w:val="000000"/>
          <w:spacing w:val="0"/>
          <w:w w:val="100"/>
          <w:position w:val="0"/>
          <w:sz w:val="24"/>
          <w:szCs w:val="24"/>
        </w:rPr>
        <w:t>5,400</w:t>
      </w:r>
      <w:r>
        <w:rPr>
          <w:color w:val="000000"/>
          <w:spacing w:val="0"/>
          <w:w w:val="100"/>
          <w:position w:val="0"/>
          <w:sz w:val="24"/>
          <w:szCs w:val="24"/>
        </w:rPr>
        <w:t>万</w:t>
      </w:r>
      <w:r>
        <w:rPr>
          <w:rFonts w:ascii="Times New Roman" w:eastAsia="Times New Roman" w:hAnsi="Times New Roman" w:cs="Times New Roman"/>
          <w:color w:val="000000"/>
          <w:spacing w:val="0"/>
          <w:w w:val="100"/>
          <w:position w:val="0"/>
          <w:sz w:val="24"/>
          <w:szCs w:val="24"/>
        </w:rPr>
        <w:t>A</w:t>
      </w:r>
      <w:r>
        <w:rPr>
          <w:color w:val="000000"/>
          <w:spacing w:val="0"/>
          <w:w w:val="100"/>
          <w:position w:val="0"/>
          <w:sz w:val="24"/>
          <w:szCs w:val="24"/>
        </w:rPr>
        <w:t>股，每股面值人民币</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 xml:space="preserve">元，每股发行价为人民币 </w:t>
      </w:r>
      <w:r>
        <w:rPr>
          <w:rFonts w:ascii="Times New Roman" w:eastAsia="Times New Roman" w:hAnsi="Times New Roman" w:cs="Times New Roman"/>
          <w:color w:val="000000"/>
          <w:spacing w:val="0"/>
          <w:w w:val="100"/>
          <w:position w:val="0"/>
          <w:sz w:val="24"/>
          <w:szCs w:val="24"/>
        </w:rPr>
        <w:t>45</w:t>
      </w:r>
      <w:r>
        <w:rPr>
          <w:color w:val="000000"/>
          <w:spacing w:val="0"/>
          <w:w w:val="100"/>
          <w:position w:val="0"/>
          <w:sz w:val="24"/>
          <w:szCs w:val="24"/>
        </w:rPr>
        <w:t>元，股本总额变更为人民币</w:t>
      </w:r>
      <w:r>
        <w:rPr>
          <w:rFonts w:ascii="Times New Roman" w:eastAsia="Times New Roman" w:hAnsi="Times New Roman" w:cs="Times New Roman"/>
          <w:color w:val="000000"/>
          <w:spacing w:val="0"/>
          <w:w w:val="100"/>
          <w:position w:val="0"/>
          <w:sz w:val="24"/>
          <w:szCs w:val="24"/>
        </w:rPr>
        <w:t>1,495,504,000</w:t>
      </w:r>
      <w:r>
        <w:rPr>
          <w:color w:val="000000"/>
          <w:spacing w:val="0"/>
          <w:w w:val="100"/>
          <w:position w:val="0"/>
          <w:sz w:val="24"/>
          <w:szCs w:val="24"/>
        </w:rPr>
        <w:t>元。</w:t>
      </w:r>
    </w:p>
    <w:p>
      <w:pPr>
        <w:pStyle w:val="Style32"/>
        <w:keepNext w:val="0"/>
        <w:keepLines w:val="0"/>
        <w:widowControl w:val="0"/>
        <w:shd w:val="clear" w:color="auto" w:fill="auto"/>
        <w:bidi w:val="0"/>
        <w:spacing w:before="0" w:after="260" w:line="310" w:lineRule="exact"/>
        <w:ind w:left="1180" w:right="0" w:firstLine="20"/>
        <w:jc w:val="both"/>
        <w:rPr>
          <w:sz w:val="24"/>
          <w:szCs w:val="24"/>
        </w:rPr>
      </w:pPr>
      <w:r>
        <w:rPr>
          <w:color w:val="000000"/>
          <w:spacing w:val="0"/>
          <w:w w:val="100"/>
          <w:position w:val="0"/>
          <w:sz w:val="24"/>
          <w:szCs w:val="24"/>
        </w:rPr>
        <w:t>经于</w:t>
      </w:r>
      <w:r>
        <w:rPr>
          <w:rFonts w:ascii="Times New Roman" w:eastAsia="Times New Roman" w:hAnsi="Times New Roman" w:cs="Times New Roman"/>
          <w:color w:val="000000"/>
          <w:spacing w:val="0"/>
          <w:w w:val="100"/>
          <w:position w:val="0"/>
          <w:sz w:val="24"/>
          <w:szCs w:val="24"/>
        </w:rPr>
        <w:t>2008</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16</w:t>
      </w:r>
      <w:r>
        <w:rPr>
          <w:color w:val="000000"/>
          <w:spacing w:val="0"/>
          <w:w w:val="100"/>
          <w:position w:val="0"/>
          <w:sz w:val="24"/>
          <w:szCs w:val="24"/>
        </w:rPr>
        <w:t>日召开的</w:t>
      </w:r>
      <w:r>
        <w:rPr>
          <w:rFonts w:ascii="Times New Roman" w:eastAsia="Times New Roman" w:hAnsi="Times New Roman" w:cs="Times New Roman"/>
          <w:color w:val="000000"/>
          <w:spacing w:val="0"/>
          <w:w w:val="100"/>
          <w:position w:val="0"/>
          <w:sz w:val="24"/>
          <w:szCs w:val="24"/>
        </w:rPr>
        <w:t>2008</w:t>
      </w:r>
      <w:r>
        <w:rPr>
          <w:color w:val="000000"/>
          <w:spacing w:val="0"/>
          <w:w w:val="100"/>
          <w:position w:val="0"/>
          <w:sz w:val="24"/>
          <w:szCs w:val="24"/>
        </w:rPr>
        <w:t>年第一次临时股东大会决议通过，本公司 以资本公积转增股本人民币</w:t>
      </w:r>
      <w:r>
        <w:rPr>
          <w:rFonts w:ascii="Times New Roman" w:eastAsia="Times New Roman" w:hAnsi="Times New Roman" w:cs="Times New Roman"/>
          <w:color w:val="000000"/>
          <w:spacing w:val="0"/>
          <w:w w:val="100"/>
          <w:position w:val="0"/>
          <w:sz w:val="24"/>
          <w:szCs w:val="24"/>
        </w:rPr>
        <w:t>1,495,504,000</w:t>
      </w:r>
      <w:r>
        <w:rPr>
          <w:color w:val="000000"/>
          <w:spacing w:val="0"/>
          <w:w w:val="100"/>
          <w:position w:val="0"/>
          <w:sz w:val="24"/>
          <w:szCs w:val="24"/>
        </w:rPr>
        <w:t>元。经此次转增后，股本总额变更 为人民币</w:t>
      </w:r>
      <w:r>
        <w:rPr>
          <w:rFonts w:ascii="Times New Roman" w:eastAsia="Times New Roman" w:hAnsi="Times New Roman" w:cs="Times New Roman"/>
          <w:color w:val="000000"/>
          <w:spacing w:val="0"/>
          <w:w w:val="100"/>
          <w:position w:val="0"/>
          <w:sz w:val="24"/>
          <w:szCs w:val="24"/>
        </w:rPr>
        <w:t>2,991,008,000</w:t>
      </w:r>
      <w:r>
        <w:rPr>
          <w:color w:val="000000"/>
          <w:spacing w:val="0"/>
          <w:w w:val="100"/>
          <w:position w:val="0"/>
          <w:sz w:val="24"/>
          <w:szCs w:val="24"/>
        </w:rPr>
        <w:t>元。</w:t>
      </w:r>
    </w:p>
    <w:p>
      <w:pPr>
        <w:pStyle w:val="Style32"/>
        <w:keepNext w:val="0"/>
        <w:keepLines w:val="0"/>
        <w:widowControl w:val="0"/>
        <w:shd w:val="clear" w:color="auto" w:fill="auto"/>
        <w:bidi w:val="0"/>
        <w:spacing w:before="0" w:after="0" w:line="307" w:lineRule="exact"/>
        <w:ind w:left="1180" w:right="0" w:firstLine="20"/>
        <w:jc w:val="both"/>
        <w:rPr>
          <w:sz w:val="24"/>
          <w:szCs w:val="24"/>
        </w:rPr>
      </w:pPr>
      <w:r>
        <w:rPr>
          <w:color w:val="000000"/>
          <w:spacing w:val="0"/>
          <w:w w:val="100"/>
          <w:position w:val="0"/>
          <w:sz w:val="24"/>
          <w:szCs w:val="24"/>
        </w:rPr>
        <w:t>经于</w:t>
      </w:r>
      <w:r>
        <w:rPr>
          <w:rFonts w:ascii="Times New Roman" w:eastAsia="Times New Roman" w:hAnsi="Times New Roman" w:cs="Times New Roman"/>
          <w:color w:val="000000"/>
          <w:spacing w:val="0"/>
          <w:w w:val="100"/>
          <w:position w:val="0"/>
          <w:sz w:val="24"/>
          <w:szCs w:val="24"/>
        </w:rPr>
        <w:t>2009</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日召开的</w:t>
      </w:r>
      <w:r>
        <w:rPr>
          <w:rFonts w:ascii="Times New Roman" w:eastAsia="Times New Roman" w:hAnsi="Times New Roman" w:cs="Times New Roman"/>
          <w:color w:val="000000"/>
          <w:spacing w:val="0"/>
          <w:w w:val="100"/>
          <w:position w:val="0"/>
          <w:sz w:val="24"/>
          <w:szCs w:val="24"/>
        </w:rPr>
        <w:t>2008</w:t>
      </w:r>
      <w:r>
        <w:rPr>
          <w:color w:val="000000"/>
          <w:spacing w:val="0"/>
          <w:w w:val="100"/>
          <w:position w:val="0"/>
          <w:sz w:val="24"/>
          <w:szCs w:val="24"/>
        </w:rPr>
        <w:t>年年度股东大会决议通过，本公司以现有 总股本</w:t>
      </w:r>
      <w:r>
        <w:rPr>
          <w:rFonts w:ascii="Times New Roman" w:eastAsia="Times New Roman" w:hAnsi="Times New Roman" w:cs="Times New Roman"/>
          <w:color w:val="000000"/>
          <w:spacing w:val="0"/>
          <w:w w:val="100"/>
          <w:position w:val="0"/>
          <w:sz w:val="24"/>
          <w:szCs w:val="24"/>
        </w:rPr>
        <w:t>2,991,008,000</w:t>
      </w:r>
      <w:r>
        <w:rPr>
          <w:color w:val="000000"/>
          <w:spacing w:val="0"/>
          <w:w w:val="100"/>
          <w:position w:val="0"/>
          <w:sz w:val="24"/>
          <w:szCs w:val="24"/>
        </w:rPr>
        <w:t>股为基数，向全体股东每</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股送</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股红股并派发现金 红利人民币</w:t>
      </w:r>
      <w:r>
        <w:rPr>
          <w:rFonts w:ascii="Times New Roman" w:eastAsia="Times New Roman" w:hAnsi="Times New Roman" w:cs="Times New Roman"/>
          <w:color w:val="000000"/>
          <w:spacing w:val="0"/>
          <w:w w:val="100"/>
          <w:position w:val="0"/>
          <w:sz w:val="24"/>
          <w:szCs w:val="24"/>
        </w:rPr>
        <w:t>0.3</w:t>
      </w:r>
      <w:r>
        <w:rPr>
          <w:color w:val="000000"/>
          <w:spacing w:val="0"/>
          <w:w w:val="100"/>
          <w:position w:val="0"/>
          <w:sz w:val="24"/>
          <w:szCs w:val="24"/>
        </w:rPr>
        <w:t>元；同时，公司以资本公积金向全体股东每</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股转增</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股。</w:t>
      </w:r>
    </w:p>
    <w:p>
      <w:pPr>
        <w:pStyle w:val="Style32"/>
        <w:keepNext w:val="0"/>
        <w:keepLines w:val="0"/>
        <w:widowControl w:val="0"/>
        <w:shd w:val="clear" w:color="auto" w:fill="auto"/>
        <w:bidi w:val="0"/>
        <w:spacing w:before="0" w:after="260" w:line="307" w:lineRule="exact"/>
        <w:ind w:left="1180" w:right="0" w:firstLine="20"/>
        <w:jc w:val="both"/>
        <w:rPr>
          <w:sz w:val="24"/>
          <w:szCs w:val="24"/>
        </w:rPr>
      </w:pPr>
      <w:r>
        <w:rPr>
          <w:color w:val="000000"/>
          <w:spacing w:val="0"/>
          <w:w w:val="100"/>
          <w:position w:val="0"/>
          <w:sz w:val="24"/>
          <w:szCs w:val="24"/>
        </w:rPr>
        <w:t xml:space="preserve">经过此次分红派息以及资本公积金转增股本后，股本总额变更为人民币 </w:t>
      </w:r>
      <w:r>
        <w:rPr>
          <w:rFonts w:ascii="Times New Roman" w:eastAsia="Times New Roman" w:hAnsi="Times New Roman" w:cs="Times New Roman"/>
          <w:color w:val="000000"/>
          <w:spacing w:val="0"/>
          <w:w w:val="100"/>
          <w:position w:val="0"/>
          <w:sz w:val="24"/>
          <w:szCs w:val="24"/>
        </w:rPr>
        <w:t xml:space="preserve">4,486,512,000 </w:t>
      </w:r>
      <w:r>
        <w:rPr>
          <w:color w:val="000000"/>
          <w:spacing w:val="0"/>
          <w:w w:val="100"/>
          <w:position w:val="0"/>
          <w:sz w:val="24"/>
          <w:szCs w:val="24"/>
        </w:rPr>
        <w:t>元。</w:t>
      </w:r>
    </w:p>
    <w:p>
      <w:pPr>
        <w:pStyle w:val="Style32"/>
        <w:keepNext w:val="0"/>
        <w:keepLines w:val="0"/>
        <w:widowControl w:val="0"/>
        <w:shd w:val="clear" w:color="auto" w:fill="auto"/>
        <w:bidi w:val="0"/>
        <w:spacing w:before="0" w:after="260" w:line="312" w:lineRule="exact"/>
        <w:ind w:left="1180" w:right="0" w:firstLine="20"/>
        <w:jc w:val="both"/>
        <w:rPr>
          <w:sz w:val="24"/>
          <w:szCs w:val="24"/>
        </w:rPr>
      </w:pPr>
      <w:r>
        <w:rPr>
          <w:color w:val="000000"/>
          <w:spacing w:val="0"/>
          <w:w w:val="100"/>
          <w:position w:val="0"/>
          <w:sz w:val="24"/>
          <w:szCs w:val="24"/>
        </w:rPr>
        <w:t>经中国证券监督管理委员会证监许可字</w:t>
      </w:r>
      <w:r>
        <w:rPr>
          <w:rFonts w:ascii="Times New Roman" w:eastAsia="Times New Roman" w:hAnsi="Times New Roman" w:cs="Times New Roman"/>
          <w:color w:val="000000"/>
          <w:spacing w:val="0"/>
          <w:w w:val="100"/>
          <w:position w:val="0"/>
          <w:sz w:val="24"/>
          <w:szCs w:val="24"/>
        </w:rPr>
        <w:t>[2009]1351</w:t>
      </w:r>
      <w:r>
        <w:rPr>
          <w:color w:val="000000"/>
          <w:spacing w:val="0"/>
          <w:w w:val="100"/>
          <w:position w:val="0"/>
          <w:sz w:val="24"/>
          <w:szCs w:val="24"/>
        </w:rPr>
        <w:t>号《关于核准苏宁电器股 份有限公司非公开发行股票的批复》批准，本公司于</w:t>
      </w:r>
      <w:r>
        <w:rPr>
          <w:rFonts w:ascii="Times New Roman" w:eastAsia="Times New Roman" w:hAnsi="Times New Roman" w:cs="Times New Roman"/>
          <w:color w:val="000000"/>
          <w:spacing w:val="0"/>
          <w:w w:val="100"/>
          <w:position w:val="0"/>
          <w:sz w:val="24"/>
          <w:szCs w:val="24"/>
        </w:rPr>
        <w:t>2009</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23</w:t>
      </w:r>
      <w:r>
        <w:rPr>
          <w:color w:val="000000"/>
          <w:spacing w:val="0"/>
          <w:w w:val="100"/>
          <w:position w:val="0"/>
          <w:sz w:val="24"/>
          <w:szCs w:val="24"/>
        </w:rPr>
        <w:t>日以 非公开发行股票的方式向证券投资基金等特定投资者发行人民币普通股</w:t>
      </w:r>
      <w:r>
        <w:rPr>
          <w:rFonts w:ascii="Times New Roman" w:eastAsia="Times New Roman" w:hAnsi="Times New Roman" w:cs="Times New Roman"/>
          <w:color w:val="000000"/>
          <w:spacing w:val="0"/>
          <w:w w:val="100"/>
          <w:position w:val="0"/>
          <w:sz w:val="24"/>
          <w:szCs w:val="24"/>
        </w:rPr>
        <w:t xml:space="preserve">（A </w:t>
      </w:r>
      <w:r>
        <w:rPr>
          <w:color w:val="000000"/>
          <w:spacing w:val="0"/>
          <w:w w:val="100"/>
          <w:position w:val="0"/>
          <w:sz w:val="24"/>
          <w:szCs w:val="24"/>
        </w:rPr>
        <w:t>股</w:t>
      </w:r>
      <w:r>
        <w:rPr>
          <w:rFonts w:ascii="Times New Roman" w:eastAsia="Times New Roman" w:hAnsi="Times New Roman" w:cs="Times New Roman"/>
          <w:color w:val="000000"/>
          <w:spacing w:val="0"/>
          <w:w w:val="100"/>
          <w:position w:val="0"/>
          <w:sz w:val="24"/>
          <w:szCs w:val="24"/>
        </w:rPr>
        <w:t>）177,629,244</w:t>
      </w:r>
      <w:r>
        <w:rPr>
          <w:color w:val="000000"/>
          <w:spacing w:val="0"/>
          <w:w w:val="100"/>
          <w:position w:val="0"/>
          <w:sz w:val="24"/>
          <w:szCs w:val="24"/>
        </w:rPr>
        <w:t>股，每股面值人民币一</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元，每股发行价为人民币</w:t>
      </w:r>
      <w:r>
        <w:rPr>
          <w:rFonts w:ascii="Times New Roman" w:eastAsia="Times New Roman" w:hAnsi="Times New Roman" w:cs="Times New Roman"/>
          <w:color w:val="000000"/>
          <w:spacing w:val="0"/>
          <w:w w:val="100"/>
          <w:position w:val="0"/>
          <w:sz w:val="24"/>
          <w:szCs w:val="24"/>
        </w:rPr>
        <w:t>17.20</w:t>
      </w:r>
      <w:r>
        <w:rPr>
          <w:color w:val="000000"/>
          <w:spacing w:val="0"/>
          <w:w w:val="100"/>
          <w:position w:val="0"/>
          <w:sz w:val="24"/>
          <w:szCs w:val="24"/>
        </w:rPr>
        <w:t>元，股 本总额变更为人民币</w:t>
      </w:r>
      <w:r>
        <w:rPr>
          <w:rFonts w:ascii="Times New Roman" w:eastAsia="Times New Roman" w:hAnsi="Times New Roman" w:cs="Times New Roman"/>
          <w:color w:val="000000"/>
          <w:spacing w:val="0"/>
          <w:w w:val="100"/>
          <w:position w:val="0"/>
          <w:sz w:val="24"/>
          <w:szCs w:val="24"/>
        </w:rPr>
        <w:t>4,664,141,244</w:t>
      </w:r>
      <w:r>
        <w:rPr>
          <w:color w:val="000000"/>
          <w:spacing w:val="0"/>
          <w:w w:val="100"/>
          <w:position w:val="0"/>
          <w:sz w:val="24"/>
          <w:szCs w:val="24"/>
        </w:rPr>
        <w:t>元。</w:t>
      </w:r>
    </w:p>
    <w:p>
      <w:pPr>
        <w:pStyle w:val="Style32"/>
        <w:keepNext w:val="0"/>
        <w:keepLines w:val="0"/>
        <w:widowControl w:val="0"/>
        <w:shd w:val="clear" w:color="auto" w:fill="auto"/>
        <w:bidi w:val="0"/>
        <w:spacing w:before="0" w:after="260" w:line="312" w:lineRule="exact"/>
        <w:ind w:left="1180" w:right="0" w:firstLine="20"/>
        <w:jc w:val="both"/>
        <w:rPr>
          <w:sz w:val="24"/>
          <w:szCs w:val="24"/>
        </w:rPr>
      </w:pPr>
      <w:r>
        <w:rPr>
          <w:color w:val="000000"/>
          <w:spacing w:val="0"/>
          <w:w w:val="100"/>
          <w:position w:val="0"/>
          <w:sz w:val="24"/>
          <w:szCs w:val="24"/>
        </w:rPr>
        <w:t>经于</w:t>
      </w:r>
      <w:r>
        <w:rPr>
          <w:rFonts w:ascii="Times New Roman" w:eastAsia="Times New Roman" w:hAnsi="Times New Roman" w:cs="Times New Roman"/>
          <w:color w:val="000000"/>
          <w:spacing w:val="0"/>
          <w:w w:val="100"/>
          <w:position w:val="0"/>
          <w:sz w:val="24"/>
          <w:szCs w:val="24"/>
        </w:rPr>
        <w:t>2010</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4"/>
          <w:szCs w:val="24"/>
        </w:rPr>
        <w:t>日召开的</w:t>
      </w:r>
      <w:r>
        <w:rPr>
          <w:rFonts w:ascii="Times New Roman" w:eastAsia="Times New Roman" w:hAnsi="Times New Roman" w:cs="Times New Roman"/>
          <w:color w:val="000000"/>
          <w:spacing w:val="0"/>
          <w:w w:val="100"/>
          <w:position w:val="0"/>
          <w:sz w:val="24"/>
          <w:szCs w:val="24"/>
        </w:rPr>
        <w:t>2009</w:t>
      </w:r>
      <w:r>
        <w:rPr>
          <w:color w:val="000000"/>
          <w:spacing w:val="0"/>
          <w:w w:val="100"/>
          <w:position w:val="0"/>
          <w:sz w:val="24"/>
          <w:szCs w:val="24"/>
        </w:rPr>
        <w:t>年年度股东大会决议通过，本公司以资本 公积转增股本人民币</w:t>
      </w:r>
      <w:r>
        <w:rPr>
          <w:rFonts w:ascii="Times New Roman" w:eastAsia="Times New Roman" w:hAnsi="Times New Roman" w:cs="Times New Roman"/>
          <w:color w:val="000000"/>
          <w:spacing w:val="0"/>
          <w:w w:val="100"/>
          <w:position w:val="0"/>
          <w:sz w:val="24"/>
          <w:szCs w:val="24"/>
        </w:rPr>
        <w:t>2,332,070,622</w:t>
      </w:r>
      <w:r>
        <w:rPr>
          <w:color w:val="000000"/>
          <w:spacing w:val="0"/>
          <w:w w:val="100"/>
          <w:position w:val="0"/>
          <w:sz w:val="24"/>
          <w:szCs w:val="24"/>
        </w:rPr>
        <w:t xml:space="preserve">元。经此次转增后，股本总额变更为人民 币 </w:t>
      </w:r>
      <w:r>
        <w:rPr>
          <w:rFonts w:ascii="Times New Roman" w:eastAsia="Times New Roman" w:hAnsi="Times New Roman" w:cs="Times New Roman"/>
          <w:color w:val="000000"/>
          <w:spacing w:val="0"/>
          <w:w w:val="100"/>
          <w:position w:val="0"/>
          <w:sz w:val="24"/>
          <w:szCs w:val="24"/>
        </w:rPr>
        <w:t xml:space="preserve">6,996,211,866 </w:t>
      </w:r>
      <w:r>
        <w:rPr>
          <w:color w:val="000000"/>
          <w:spacing w:val="0"/>
          <w:w w:val="100"/>
          <w:position w:val="0"/>
          <w:sz w:val="24"/>
          <w:szCs w:val="24"/>
        </w:rPr>
        <w:t>元。</w:t>
      </w:r>
    </w:p>
    <w:p>
      <w:pPr>
        <w:pStyle w:val="Style32"/>
        <w:keepNext w:val="0"/>
        <w:keepLines w:val="0"/>
        <w:widowControl w:val="0"/>
        <w:shd w:val="clear" w:color="auto" w:fill="auto"/>
        <w:bidi w:val="0"/>
        <w:spacing w:before="0" w:after="260" w:line="310" w:lineRule="exact"/>
        <w:ind w:left="1180" w:right="0" w:firstLine="20"/>
        <w:jc w:val="both"/>
        <w:rPr>
          <w:sz w:val="24"/>
          <w:szCs w:val="24"/>
        </w:rPr>
      </w:pPr>
      <w:r>
        <w:rPr>
          <w:color w:val="000000"/>
          <w:spacing w:val="0"/>
          <w:w w:val="100"/>
          <w:position w:val="0"/>
          <w:sz w:val="24"/>
          <w:szCs w:val="24"/>
        </w:rPr>
        <w:t>经中国证券监督管理委员会证监许可</w:t>
      </w:r>
      <w:r>
        <w:rPr>
          <w:rFonts w:ascii="Times New Roman" w:eastAsia="Times New Roman" w:hAnsi="Times New Roman" w:cs="Times New Roman"/>
          <w:color w:val="000000"/>
          <w:spacing w:val="0"/>
          <w:w w:val="100"/>
          <w:position w:val="0"/>
          <w:sz w:val="24"/>
          <w:szCs w:val="24"/>
        </w:rPr>
        <w:t>[2012]477</w:t>
      </w:r>
      <w:r>
        <w:rPr>
          <w:color w:val="000000"/>
          <w:spacing w:val="0"/>
          <w:w w:val="100"/>
          <w:position w:val="0"/>
          <w:sz w:val="24"/>
          <w:szCs w:val="24"/>
        </w:rPr>
        <w:t>号《关于核准苏宁电器股份 有限公司非公开发行股票的批复》批准，本公司于</w:t>
      </w:r>
      <w:r>
        <w:rPr>
          <w:rFonts w:ascii="Times New Roman" w:eastAsia="Times New Roman" w:hAnsi="Times New Roman" w:cs="Times New Roman"/>
          <w:color w:val="000000"/>
          <w:spacing w:val="0"/>
          <w:w w:val="100"/>
          <w:position w:val="0"/>
          <w:sz w:val="24"/>
          <w:szCs w:val="24"/>
        </w:rPr>
        <w:t>2012</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7</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日以非公 开发行股票的方式向特定投资者发行人民币普通股</w:t>
      </w:r>
      <w:r>
        <w:rPr>
          <w:rFonts w:ascii="Times New Roman" w:eastAsia="Times New Roman" w:hAnsi="Times New Roman" w:cs="Times New Roman"/>
          <w:color w:val="000000"/>
          <w:spacing w:val="0"/>
          <w:w w:val="100"/>
          <w:position w:val="0"/>
          <w:sz w:val="24"/>
          <w:szCs w:val="24"/>
        </w:rPr>
        <w:t>（A</w:t>
      </w:r>
      <w:r>
        <w:rPr>
          <w:color w:val="000000"/>
          <w:spacing w:val="0"/>
          <w:w w:val="100"/>
          <w:position w:val="0"/>
          <w:sz w:val="24"/>
          <w:szCs w:val="24"/>
        </w:rPr>
        <w:t>股</w:t>
      </w:r>
      <w:r>
        <w:rPr>
          <w:rFonts w:ascii="Times New Roman" w:eastAsia="Times New Roman" w:hAnsi="Times New Roman" w:cs="Times New Roman"/>
          <w:color w:val="000000"/>
          <w:spacing w:val="0"/>
          <w:w w:val="100"/>
          <w:position w:val="0"/>
          <w:sz w:val="24"/>
          <w:szCs w:val="24"/>
        </w:rPr>
        <w:t>）386,831,284</w:t>
      </w:r>
      <w:r>
        <w:rPr>
          <w:color w:val="000000"/>
          <w:spacing w:val="0"/>
          <w:w w:val="100"/>
          <w:position w:val="0"/>
          <w:sz w:val="24"/>
          <w:szCs w:val="24"/>
        </w:rPr>
        <w:t>股，每 股面值人民币</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元，每股发行价为人民币</w:t>
      </w:r>
      <w:r>
        <w:rPr>
          <w:rFonts w:ascii="Times New Roman" w:eastAsia="Times New Roman" w:hAnsi="Times New Roman" w:cs="Times New Roman"/>
          <w:color w:val="000000"/>
          <w:spacing w:val="0"/>
          <w:w w:val="100"/>
          <w:position w:val="0"/>
          <w:sz w:val="24"/>
          <w:szCs w:val="24"/>
        </w:rPr>
        <w:t>12.15</w:t>
      </w:r>
      <w:r>
        <w:rPr>
          <w:color w:val="000000"/>
          <w:spacing w:val="0"/>
          <w:w w:val="100"/>
          <w:position w:val="0"/>
          <w:sz w:val="24"/>
          <w:szCs w:val="24"/>
        </w:rPr>
        <w:t xml:space="preserve">元，股本总额变更为人民币 </w:t>
      </w:r>
      <w:r>
        <w:rPr>
          <w:rFonts w:ascii="Times New Roman" w:eastAsia="Times New Roman" w:hAnsi="Times New Roman" w:cs="Times New Roman"/>
          <w:color w:val="000000"/>
          <w:spacing w:val="0"/>
          <w:w w:val="100"/>
          <w:position w:val="0"/>
          <w:sz w:val="24"/>
          <w:szCs w:val="24"/>
        </w:rPr>
        <w:t xml:space="preserve">7,383,043,150 </w:t>
      </w:r>
      <w:r>
        <w:rPr>
          <w:color w:val="000000"/>
          <w:spacing w:val="0"/>
          <w:w w:val="100"/>
          <w:position w:val="0"/>
          <w:sz w:val="24"/>
          <w:szCs w:val="24"/>
        </w:rPr>
        <w:t>元。</w:t>
      </w:r>
    </w:p>
    <w:p>
      <w:pPr>
        <w:pStyle w:val="Style32"/>
        <w:keepNext w:val="0"/>
        <w:keepLines w:val="0"/>
        <w:widowControl w:val="0"/>
        <w:shd w:val="clear" w:color="auto" w:fill="auto"/>
        <w:bidi w:val="0"/>
        <w:spacing w:before="0" w:after="260" w:line="310" w:lineRule="exact"/>
        <w:ind w:left="1180" w:right="0" w:firstLine="20"/>
        <w:jc w:val="both"/>
        <w:rPr>
          <w:sz w:val="24"/>
          <w:szCs w:val="24"/>
        </w:rPr>
      </w:pPr>
      <w:r>
        <w:rPr>
          <w:color w:val="000000"/>
          <w:spacing w:val="0"/>
          <w:w w:val="100"/>
          <w:position w:val="0"/>
          <w:sz w:val="24"/>
          <w:szCs w:val="24"/>
        </w:rPr>
        <w:t>经中国证券监督管理委员会证监许可</w:t>
      </w:r>
      <w:r>
        <w:rPr>
          <w:rFonts w:ascii="Times New Roman" w:eastAsia="Times New Roman" w:hAnsi="Times New Roman" w:cs="Times New Roman"/>
          <w:color w:val="000000"/>
          <w:spacing w:val="0"/>
          <w:w w:val="100"/>
          <w:position w:val="0"/>
          <w:sz w:val="24"/>
          <w:szCs w:val="24"/>
        </w:rPr>
        <w:t>[2016]418</w:t>
      </w:r>
      <w:r>
        <w:rPr>
          <w:color w:val="000000"/>
          <w:spacing w:val="0"/>
          <w:w w:val="100"/>
          <w:position w:val="0"/>
          <w:sz w:val="24"/>
          <w:szCs w:val="24"/>
        </w:rPr>
        <w:t>号《关于核准苏宁云商集团 股份有限公司非公开发行股票的批复》批准，本公司于</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20</w:t>
      </w:r>
      <w:r>
        <w:rPr>
          <w:color w:val="000000"/>
          <w:spacing w:val="0"/>
          <w:w w:val="100"/>
          <w:position w:val="0"/>
          <w:sz w:val="24"/>
          <w:szCs w:val="24"/>
        </w:rPr>
        <w:t>日以 非公开发行股票的方式向特定投资者发行人民币普通股</w:t>
      </w:r>
      <w:r>
        <w:rPr>
          <w:rFonts w:ascii="Times New Roman" w:eastAsia="Times New Roman" w:hAnsi="Times New Roman" w:cs="Times New Roman"/>
          <w:color w:val="000000"/>
          <w:spacing w:val="0"/>
          <w:w w:val="100"/>
          <w:position w:val="0"/>
          <w:sz w:val="24"/>
          <w:szCs w:val="24"/>
        </w:rPr>
        <w:t>（A</w:t>
      </w:r>
      <w:r>
        <w:rPr>
          <w:color w:val="000000"/>
          <w:spacing w:val="0"/>
          <w:w w:val="100"/>
          <w:position w:val="0"/>
          <w:sz w:val="24"/>
          <w:szCs w:val="24"/>
        </w:rPr>
        <w:t>股</w:t>
      </w:r>
      <w:r>
        <w:rPr>
          <w:rFonts w:ascii="Times New Roman" w:eastAsia="Times New Roman" w:hAnsi="Times New Roman" w:cs="Times New Roman"/>
          <w:color w:val="000000"/>
          <w:spacing w:val="0"/>
          <w:w w:val="100"/>
          <w:position w:val="0"/>
          <w:sz w:val="24"/>
          <w:szCs w:val="24"/>
        </w:rPr>
        <w:t xml:space="preserve">）1,926,996,505 </w:t>
      </w:r>
      <w:r>
        <w:rPr>
          <w:color w:val="000000"/>
          <w:spacing w:val="0"/>
          <w:w w:val="100"/>
          <w:position w:val="0"/>
          <w:sz w:val="24"/>
          <w:szCs w:val="24"/>
        </w:rPr>
        <w:t>股，每股面值人民币</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元，每股发行价为人民币</w:t>
      </w:r>
      <w:r>
        <w:rPr>
          <w:rFonts w:ascii="Times New Roman" w:eastAsia="Times New Roman" w:hAnsi="Times New Roman" w:cs="Times New Roman"/>
          <w:color w:val="000000"/>
          <w:spacing w:val="0"/>
          <w:w w:val="100"/>
          <w:position w:val="0"/>
          <w:sz w:val="24"/>
          <w:szCs w:val="24"/>
        </w:rPr>
        <w:t>15.17</w:t>
      </w:r>
      <w:r>
        <w:rPr>
          <w:color w:val="000000"/>
          <w:spacing w:val="0"/>
          <w:w w:val="100"/>
          <w:position w:val="0"/>
          <w:sz w:val="24"/>
          <w:szCs w:val="24"/>
        </w:rPr>
        <w:t>元，股本总额变更为 人民币</w:t>
      </w:r>
      <w:r>
        <w:rPr>
          <w:rFonts w:ascii="Times New Roman" w:eastAsia="Times New Roman" w:hAnsi="Times New Roman" w:cs="Times New Roman"/>
          <w:color w:val="000000"/>
          <w:spacing w:val="0"/>
          <w:w w:val="100"/>
          <w:position w:val="0"/>
          <w:sz w:val="24"/>
          <w:szCs w:val="24"/>
        </w:rPr>
        <w:t>9,310,039,655</w:t>
      </w:r>
      <w:r>
        <w:rPr>
          <w:color w:val="000000"/>
          <w:spacing w:val="0"/>
          <w:w w:val="100"/>
          <w:position w:val="0"/>
          <w:sz w:val="24"/>
          <w:szCs w:val="24"/>
        </w:rPr>
        <w:t>元</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附注四</w:t>
      </w:r>
      <w:r>
        <w:rPr>
          <w:rFonts w:ascii="Times New Roman" w:eastAsia="Times New Roman" w:hAnsi="Times New Roman" w:cs="Times New Roman"/>
          <w:color w:val="000000"/>
          <w:spacing w:val="0"/>
          <w:w w:val="100"/>
          <w:position w:val="0"/>
          <w:sz w:val="24"/>
          <w:szCs w:val="24"/>
        </w:rPr>
        <w:t>（39））</w:t>
      </w:r>
      <w:r>
        <w:rPr>
          <w:color w:val="000000"/>
          <w:spacing w:val="0"/>
          <w:w w:val="100"/>
          <w:position w:val="0"/>
          <w:sz w:val="24"/>
          <w:szCs w:val="24"/>
        </w:rPr>
        <w:t>。</w:t>
      </w:r>
    </w:p>
    <w:p>
      <w:pPr>
        <w:pStyle w:val="Style32"/>
        <w:keepNext w:val="0"/>
        <w:keepLines w:val="0"/>
        <w:widowControl w:val="0"/>
        <w:shd w:val="clear" w:color="auto" w:fill="auto"/>
        <w:bidi w:val="0"/>
        <w:spacing w:before="0" w:after="0" w:line="240" w:lineRule="auto"/>
        <w:ind w:left="1180" w:right="0" w:firstLine="0"/>
        <w:jc w:val="left"/>
        <w:rPr>
          <w:sz w:val="24"/>
          <w:szCs w:val="24"/>
        </w:rPr>
      </w:pPr>
      <w:r>
        <w:rPr>
          <w:b/>
          <w:bCs/>
          <w:color w:val="000000"/>
          <w:spacing w:val="0"/>
          <w:w w:val="100"/>
          <w:position w:val="0"/>
          <w:sz w:val="24"/>
          <w:szCs w:val="24"/>
        </w:rPr>
        <w:t>财务报表附注</w:t>
      </w:r>
    </w:p>
    <w:p>
      <w:pPr>
        <w:pStyle w:val="Style88"/>
        <w:keepNext/>
        <w:keepLines/>
        <w:widowControl w:val="0"/>
        <w:shd w:val="clear" w:color="auto" w:fill="auto"/>
        <w:bidi w:val="0"/>
        <w:spacing w:before="0" w:after="0" w:line="240" w:lineRule="auto"/>
        <w:ind w:left="1180" w:right="0" w:firstLine="0"/>
        <w:jc w:val="left"/>
      </w:pPr>
      <w:bookmarkStart w:id="599" w:name="bookmark599"/>
      <w:bookmarkStart w:id="600" w:name="bookmark600"/>
      <w:bookmarkStart w:id="601" w:name="bookmark601"/>
      <w:r>
        <w:rPr>
          <w:color w:val="000000"/>
          <w:spacing w:val="0"/>
          <w:w w:val="100"/>
          <w:position w:val="0"/>
          <w:sz w:val="24"/>
          <w:szCs w:val="24"/>
        </w:rPr>
        <w:t>2016</w:t>
      </w:r>
      <w:r>
        <w:rPr>
          <w:rFonts w:ascii="SimSun" w:eastAsia="SimSun" w:hAnsi="SimSun" w:cs="SimSun"/>
          <w:b/>
          <w:bCs/>
          <w:color w:val="000000"/>
          <w:spacing w:val="0"/>
          <w:w w:val="100"/>
          <w:position w:val="0"/>
          <w:sz w:val="24"/>
          <w:szCs w:val="24"/>
        </w:rPr>
        <w:t>年度</w:t>
      </w:r>
      <w:bookmarkEnd w:id="599"/>
      <w:bookmarkEnd w:id="600"/>
      <w:bookmarkEnd w:id="601"/>
    </w:p>
    <w:p>
      <w:pPr>
        <w:pStyle w:val="Style32"/>
        <w:keepNext w:val="0"/>
        <w:keepLines w:val="0"/>
        <w:widowControl w:val="0"/>
        <w:shd w:val="clear" w:color="auto" w:fill="auto"/>
        <w:bidi w:val="0"/>
        <w:spacing w:before="0" w:after="260" w:line="240" w:lineRule="auto"/>
        <w:ind w:left="1180" w:right="0" w:firstLine="0"/>
        <w:jc w:val="left"/>
        <w:rPr>
          <w:sz w:val="24"/>
          <w:szCs w:val="24"/>
        </w:rPr>
      </w:pPr>
      <w:r>
        <w:rPr>
          <w:rFonts w:ascii="Arial" w:eastAsia="Arial" w:hAnsi="Arial" w:cs="Arial"/>
          <w:color w:val="000000"/>
          <w:spacing w:val="0"/>
          <w:w w:val="100"/>
          <w:position w:val="0"/>
          <w:sz w:val="20"/>
          <w:szCs w:val="20"/>
        </w:rPr>
        <w:t>（</w:t>
      </w:r>
      <w:r>
        <w:rPr>
          <w:color w:val="000000"/>
          <w:spacing w:val="0"/>
          <w:w w:val="100"/>
          <w:position w:val="0"/>
          <w:sz w:val="20"/>
          <w:szCs w:val="20"/>
        </w:rPr>
        <w:t>除特别注明外，金额单位为人民币千元</w:t>
      </w:r>
      <w:r>
        <w:rPr>
          <w:color w:val="000000"/>
          <w:spacing w:val="0"/>
          <w:w w:val="100"/>
          <w:position w:val="0"/>
          <w:sz w:val="24"/>
          <w:szCs w:val="24"/>
        </w:rPr>
        <w:t>）</w:t>
      </w:r>
    </w:p>
    <w:p>
      <w:pPr>
        <w:pStyle w:val="Style32"/>
        <w:keepNext w:val="0"/>
        <w:keepLines w:val="0"/>
        <w:widowControl w:val="0"/>
        <w:shd w:val="clear" w:color="auto" w:fill="auto"/>
        <w:tabs>
          <w:tab w:pos="1166" w:val="left"/>
        </w:tabs>
        <w:bidi w:val="0"/>
        <w:spacing w:before="0" w:after="260" w:line="240" w:lineRule="auto"/>
        <w:ind w:left="0" w:right="0" w:firstLine="480"/>
        <w:jc w:val="both"/>
        <w:rPr>
          <w:sz w:val="24"/>
          <w:szCs w:val="24"/>
        </w:rPr>
      </w:pPr>
      <w:r>
        <w:rPr>
          <w:b/>
          <w:bCs/>
          <w:color w:val="000000"/>
          <w:spacing w:val="0"/>
          <w:w w:val="100"/>
          <w:position w:val="0"/>
          <w:sz w:val="24"/>
          <w:szCs w:val="24"/>
        </w:rPr>
        <w:t>-</w:t>
        <w:tab/>
        <w:t>公司基本情况</w:t>
      </w:r>
      <w:r>
        <w:rPr>
          <w:rFonts w:ascii="Times New Roman" w:eastAsia="Times New Roman" w:hAnsi="Times New Roman" w:cs="Times New Roman"/>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4"/>
          <w:szCs w:val="24"/>
        </w:rPr>
        <w:t>）</w:t>
      </w:r>
    </w:p>
    <w:p>
      <w:pPr>
        <w:pStyle w:val="Style32"/>
        <w:keepNext w:val="0"/>
        <w:keepLines w:val="0"/>
        <w:widowControl w:val="0"/>
        <w:shd w:val="clear" w:color="auto" w:fill="auto"/>
        <w:bidi w:val="0"/>
        <w:spacing w:before="0" w:after="260" w:line="311" w:lineRule="exact"/>
        <w:ind w:left="1180" w:right="0" w:firstLine="20"/>
        <w:jc w:val="both"/>
        <w:rPr>
          <w:sz w:val="24"/>
          <w:szCs w:val="24"/>
        </w:rPr>
      </w:pPr>
      <w:r>
        <w:rPr>
          <w:color w:val="000000"/>
          <w:spacing w:val="0"/>
          <w:w w:val="100"/>
          <w:position w:val="0"/>
          <w:sz w:val="24"/>
          <w:szCs w:val="24"/>
        </w:rPr>
        <w:t>本公司及子公司</w:t>
      </w:r>
      <w:r>
        <w:rPr>
          <w:color w:val="000000"/>
          <w:spacing w:val="0"/>
          <w:w w:val="100"/>
          <w:position w:val="0"/>
          <w:sz w:val="24"/>
          <w:szCs w:val="24"/>
        </w:rPr>
        <w:t>（</w:t>
      </w:r>
      <w:r>
        <w:rPr>
          <w:color w:val="000000"/>
          <w:spacing w:val="0"/>
          <w:w w:val="100"/>
          <w:position w:val="0"/>
          <w:sz w:val="24"/>
          <w:szCs w:val="24"/>
        </w:rPr>
        <w:t>以下合称</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本集团</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主要经营家用电器、电子产品、办公设 备、通讯产品及配件的连锁销售和服务，空调配件的销售，制冷空调设备及 家用电器的安装与维修，计算机软件开发、销售、系统集成，百货、自行 车、电动助力车、摩托车、汽车的连锁销售，实业投资，场地租赁，柜台出 租，国内商品展览服务，企业形象策划，经济信息咨询服务，人才培训，商 务代理，仓储，微型计算机配件、软件的销售，微型计算机的安装及维修， 废旧物资的回收与销售，乐器销售，工艺礼品，纪念品销售，国内贸易，代 办</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移动、电信、联通</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委托的各项业务，移动通讯转售业务，货物运输代 理，仓储，装卸搬运等以及本集团从事的电子商务，小额贷款，商业保理， 保险销售，物流，房地产开发和销售等业务。</w:t>
      </w:r>
    </w:p>
    <w:p>
      <w:pPr>
        <w:pStyle w:val="Style32"/>
        <w:keepNext w:val="0"/>
        <w:keepLines w:val="0"/>
        <w:widowControl w:val="0"/>
        <w:shd w:val="clear" w:color="auto" w:fill="auto"/>
        <w:bidi w:val="0"/>
        <w:spacing w:before="0" w:after="260" w:line="308" w:lineRule="exact"/>
        <w:ind w:left="1180" w:right="0" w:firstLine="20"/>
        <w:jc w:val="both"/>
        <w:rPr>
          <w:sz w:val="24"/>
          <w:szCs w:val="24"/>
        </w:rPr>
      </w:pPr>
      <w:r>
        <w:rPr>
          <w:color w:val="000000"/>
          <w:spacing w:val="0"/>
          <w:w w:val="100"/>
          <w:position w:val="0"/>
          <w:sz w:val="24"/>
          <w:szCs w:val="24"/>
        </w:rPr>
        <w:t>本年度纳入合并范围的主要子公司详见附注六</w:t>
      </w:r>
      <w:r>
        <w:rPr>
          <w:rFonts w:ascii="Times New Roman" w:eastAsia="Times New Roman" w:hAnsi="Times New Roman" w:cs="Times New Roman"/>
          <w:color w:val="000000"/>
          <w:spacing w:val="0"/>
          <w:w w:val="100"/>
          <w:position w:val="0"/>
          <w:sz w:val="24"/>
          <w:szCs w:val="24"/>
        </w:rPr>
        <w:t>（l）（a）</w:t>
      </w:r>
      <w:r>
        <w:rPr>
          <w:color w:val="000000"/>
          <w:spacing w:val="0"/>
          <w:w w:val="100"/>
          <w:position w:val="0"/>
          <w:sz w:val="24"/>
          <w:szCs w:val="24"/>
        </w:rPr>
        <w:t>,</w:t>
      </w:r>
      <w:r>
        <w:rPr>
          <w:color w:val="000000"/>
          <w:spacing w:val="0"/>
          <w:w w:val="100"/>
          <w:position w:val="0"/>
          <w:sz w:val="24"/>
          <w:szCs w:val="24"/>
        </w:rPr>
        <w:t>本年度新纳入合并范围 的子公司主要有新兴制鞋工业株式会社和</w:t>
      </w:r>
      <w:r>
        <w:rPr>
          <w:rFonts w:ascii="Times New Roman" w:eastAsia="Times New Roman" w:hAnsi="Times New Roman" w:cs="Times New Roman"/>
          <w:color w:val="000000"/>
          <w:spacing w:val="0"/>
          <w:w w:val="100"/>
          <w:position w:val="0"/>
          <w:sz w:val="24"/>
          <w:szCs w:val="24"/>
        </w:rPr>
        <w:t>SHIN-EI</w:t>
      </w:r>
      <w:r>
        <w:rPr>
          <w:color w:val="000000"/>
          <w:spacing w:val="0"/>
          <w:w w:val="100"/>
          <w:position w:val="0"/>
          <w:sz w:val="24"/>
          <w:szCs w:val="24"/>
        </w:rPr>
        <w:t>株式会社</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新兴制鞋</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 重庆猫宁电子商务有限公司社等，详见附注五</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,本年度不再纳入合 并范围的子公司主要有北京京朝苏宁电器有限公司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北京京朝</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等，详见附 注五</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w:t>
      </w:r>
    </w:p>
    <w:p>
      <w:pPr>
        <w:pStyle w:val="Style32"/>
        <w:keepNext w:val="0"/>
        <w:keepLines w:val="0"/>
        <w:widowControl w:val="0"/>
        <w:shd w:val="clear" w:color="auto" w:fill="auto"/>
        <w:bidi w:val="0"/>
        <w:spacing w:before="0" w:after="260" w:line="310" w:lineRule="exact"/>
        <w:ind w:left="1180" w:right="0" w:firstLine="0"/>
        <w:jc w:val="left"/>
        <w:rPr>
          <w:sz w:val="24"/>
          <w:szCs w:val="24"/>
        </w:rPr>
      </w:pPr>
      <w:r>
        <w:rPr>
          <w:color w:val="000000"/>
          <w:spacing w:val="0"/>
          <w:w w:val="100"/>
          <w:position w:val="0"/>
          <w:sz w:val="24"/>
          <w:szCs w:val="24"/>
        </w:rPr>
        <w:t>本财务报表由本公司董事会于</w:t>
      </w:r>
      <w:r>
        <w:rPr>
          <w:rFonts w:ascii="Times New Roman" w:eastAsia="Times New Roman" w:hAnsi="Times New Roman" w:cs="Times New Roman"/>
          <w:color w:val="000000"/>
          <w:spacing w:val="0"/>
          <w:w w:val="100"/>
          <w:position w:val="0"/>
          <w:sz w:val="24"/>
          <w:szCs w:val="24"/>
        </w:rPr>
        <w:t>2017</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29</w:t>
      </w:r>
      <w:r>
        <w:rPr>
          <w:color w:val="000000"/>
          <w:spacing w:val="0"/>
          <w:w w:val="100"/>
          <w:position w:val="0"/>
          <w:sz w:val="24"/>
          <w:szCs w:val="24"/>
        </w:rPr>
        <w:t>日批准报出。</w:t>
      </w:r>
    </w:p>
    <w:p>
      <w:pPr>
        <w:pStyle w:val="Style32"/>
        <w:keepNext w:val="0"/>
        <w:keepLines w:val="0"/>
        <w:widowControl w:val="0"/>
        <w:shd w:val="clear" w:color="auto" w:fill="auto"/>
        <w:tabs>
          <w:tab w:pos="1166" w:val="left"/>
        </w:tabs>
        <w:bidi w:val="0"/>
        <w:spacing w:before="0" w:after="260" w:line="240" w:lineRule="auto"/>
        <w:ind w:left="0" w:right="0" w:firstLine="480"/>
        <w:jc w:val="both"/>
        <w:rPr>
          <w:sz w:val="24"/>
          <w:szCs w:val="24"/>
        </w:rPr>
      </w:pPr>
      <w:r>
        <w:rPr>
          <w:b/>
          <w:bCs/>
          <w:color w:val="000000"/>
          <w:spacing w:val="0"/>
          <w:w w:val="100"/>
          <w:position w:val="0"/>
          <w:sz w:val="24"/>
          <w:szCs w:val="24"/>
        </w:rPr>
        <w:t>二</w:t>
        <w:tab/>
        <w:t>主要会计政策和会计估计</w:t>
      </w:r>
    </w:p>
    <w:p>
      <w:pPr>
        <w:pStyle w:val="Style32"/>
        <w:keepNext w:val="0"/>
        <w:keepLines w:val="0"/>
        <w:widowControl w:val="0"/>
        <w:shd w:val="clear" w:color="auto" w:fill="auto"/>
        <w:bidi w:val="0"/>
        <w:spacing w:before="0" w:after="260" w:line="309" w:lineRule="exact"/>
        <w:ind w:left="1180" w:right="0" w:firstLine="20"/>
        <w:jc w:val="both"/>
        <w:rPr>
          <w:sz w:val="24"/>
          <w:szCs w:val="24"/>
        </w:rPr>
      </w:pPr>
      <w:r>
        <w:rPr>
          <w:color w:val="000000"/>
          <w:spacing w:val="0"/>
          <w:w w:val="100"/>
          <w:position w:val="0"/>
          <w:sz w:val="24"/>
          <w:szCs w:val="24"/>
        </w:rPr>
        <w:t>本集团根据经营特点确定具体会计政策和会计估计，主要体现在应收款项坏 账准备的计提方法</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附注二</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、存货的计价方法</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附注二</w:t>
      </w:r>
      <w:r>
        <w:rPr>
          <w:rFonts w:ascii="Times New Roman" w:eastAsia="Times New Roman" w:hAnsi="Times New Roman" w:cs="Times New Roman"/>
          <w:color w:val="000000"/>
          <w:spacing w:val="0"/>
          <w:w w:val="100"/>
          <w:position w:val="0"/>
          <w:sz w:val="24"/>
          <w:szCs w:val="24"/>
        </w:rPr>
        <w:t>（11））</w:t>
      </w:r>
      <w:r>
        <w:rPr>
          <w:color w:val="000000"/>
          <w:spacing w:val="0"/>
          <w:w w:val="100"/>
          <w:position w:val="0"/>
          <w:sz w:val="24"/>
          <w:szCs w:val="24"/>
        </w:rPr>
        <w:t>、可供出售权 益工具发生减值的判断标准</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附注二</w:t>
      </w:r>
      <w:r>
        <w:rPr>
          <w:rFonts w:ascii="Times New Roman" w:eastAsia="Times New Roman" w:hAnsi="Times New Roman" w:cs="Times New Roman"/>
          <w:color w:val="000000"/>
          <w:spacing w:val="0"/>
          <w:w w:val="100"/>
          <w:position w:val="0"/>
          <w:sz w:val="24"/>
          <w:szCs w:val="24"/>
        </w:rPr>
        <w:t>（9））</w:t>
      </w:r>
      <w:r>
        <w:rPr>
          <w:color w:val="000000"/>
          <w:spacing w:val="0"/>
          <w:w w:val="100"/>
          <w:position w:val="0"/>
          <w:sz w:val="24"/>
          <w:szCs w:val="24"/>
        </w:rPr>
        <w:t>、固定资产折旧和无形资产摊销</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附注 二</w:t>
      </w:r>
      <w:r>
        <w:rPr>
          <w:rFonts w:ascii="Times New Roman" w:eastAsia="Times New Roman" w:hAnsi="Times New Roman" w:cs="Times New Roman"/>
          <w:color w:val="000000"/>
          <w:spacing w:val="0"/>
          <w:w w:val="100"/>
          <w:position w:val="0"/>
          <w:sz w:val="24"/>
          <w:szCs w:val="24"/>
        </w:rPr>
        <w:t>（14）</w:t>
      </w:r>
      <w:r>
        <w:rPr>
          <w:color w:val="000000"/>
          <w:spacing w:val="0"/>
          <w:w w:val="100"/>
          <w:position w:val="0"/>
          <w:sz w:val="24"/>
          <w:szCs w:val="24"/>
        </w:rPr>
        <w:t>、</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17））</w:t>
      </w:r>
      <w:r>
        <w:rPr>
          <w:color w:val="000000"/>
          <w:spacing w:val="0"/>
          <w:w w:val="100"/>
          <w:position w:val="0"/>
          <w:sz w:val="24"/>
          <w:szCs w:val="24"/>
        </w:rPr>
        <w:t>、开发支出资本化的判断标准</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附注二</w:t>
      </w:r>
      <w:r>
        <w:rPr>
          <w:rFonts w:ascii="Times New Roman" w:eastAsia="Times New Roman" w:hAnsi="Times New Roman" w:cs="Times New Roman"/>
          <w:color w:val="000000"/>
          <w:spacing w:val="0"/>
          <w:w w:val="100"/>
          <w:position w:val="0"/>
          <w:sz w:val="24"/>
          <w:szCs w:val="24"/>
        </w:rPr>
        <w:t>（17））</w:t>
      </w:r>
      <w:r>
        <w:rPr>
          <w:color w:val="000000"/>
          <w:spacing w:val="0"/>
          <w:w w:val="100"/>
          <w:position w:val="0"/>
          <w:sz w:val="24"/>
          <w:szCs w:val="24"/>
        </w:rPr>
        <w:t>、投资性房地产的计 量模式</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附注二</w:t>
      </w:r>
      <w:r>
        <w:rPr>
          <w:rFonts w:ascii="Times New Roman" w:eastAsia="Times New Roman" w:hAnsi="Times New Roman" w:cs="Times New Roman"/>
          <w:color w:val="000000"/>
          <w:spacing w:val="0"/>
          <w:w w:val="100"/>
          <w:position w:val="0"/>
          <w:sz w:val="24"/>
          <w:szCs w:val="24"/>
        </w:rPr>
        <w:t>（13））</w:t>
      </w:r>
      <w:r>
        <w:rPr>
          <w:color w:val="000000"/>
          <w:spacing w:val="0"/>
          <w:w w:val="100"/>
          <w:position w:val="0"/>
          <w:sz w:val="24"/>
          <w:szCs w:val="24"/>
        </w:rPr>
        <w:t>、收入的确认时点</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附注二</w:t>
      </w:r>
      <w:r>
        <w:rPr>
          <w:rFonts w:ascii="Times New Roman" w:eastAsia="Times New Roman" w:hAnsi="Times New Roman" w:cs="Times New Roman"/>
          <w:color w:val="000000"/>
          <w:spacing w:val="0"/>
          <w:w w:val="100"/>
          <w:position w:val="0"/>
          <w:sz w:val="24"/>
          <w:szCs w:val="24"/>
        </w:rPr>
        <w:t>（24））</w:t>
      </w:r>
      <w:r>
        <w:rPr>
          <w:color w:val="000000"/>
          <w:spacing w:val="0"/>
          <w:w w:val="100"/>
          <w:position w:val="0"/>
          <w:sz w:val="24"/>
          <w:szCs w:val="24"/>
        </w:rPr>
        <w:t>、长期资产减值</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 xml:space="preserve">附注二 </w:t>
      </w:r>
      <w:r>
        <w:rPr>
          <w:rFonts w:ascii="Times New Roman" w:eastAsia="Times New Roman" w:hAnsi="Times New Roman" w:cs="Times New Roman"/>
          <w:color w:val="000000"/>
          <w:spacing w:val="0"/>
          <w:w w:val="100"/>
          <w:position w:val="0"/>
          <w:sz w:val="24"/>
          <w:szCs w:val="24"/>
        </w:rPr>
        <w:t>（19））</w:t>
      </w:r>
      <w:r>
        <w:rPr>
          <w:color w:val="000000"/>
          <w:spacing w:val="0"/>
          <w:w w:val="100"/>
          <w:position w:val="0"/>
          <w:sz w:val="24"/>
          <w:szCs w:val="24"/>
        </w:rPr>
        <w:t>和积分计划的确认</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附注二</w:t>
      </w:r>
      <w:r>
        <w:rPr>
          <w:rFonts w:ascii="Times New Roman" w:eastAsia="Times New Roman" w:hAnsi="Times New Roman" w:cs="Times New Roman"/>
          <w:color w:val="000000"/>
          <w:spacing w:val="0"/>
          <w:w w:val="100"/>
          <w:position w:val="0"/>
          <w:sz w:val="24"/>
          <w:szCs w:val="24"/>
        </w:rPr>
        <w:t>（23））</w:t>
      </w:r>
      <w:r>
        <w:rPr>
          <w:color w:val="000000"/>
          <w:spacing w:val="0"/>
          <w:w w:val="100"/>
          <w:position w:val="0"/>
          <w:sz w:val="24"/>
          <w:szCs w:val="24"/>
        </w:rPr>
        <w:t>等。</w:t>
      </w:r>
    </w:p>
    <w:p>
      <w:pPr>
        <w:pStyle w:val="Style32"/>
        <w:keepNext w:val="0"/>
        <w:keepLines w:val="0"/>
        <w:widowControl w:val="0"/>
        <w:shd w:val="clear" w:color="auto" w:fill="auto"/>
        <w:bidi w:val="0"/>
        <w:spacing w:before="0" w:after="260" w:line="310" w:lineRule="exact"/>
        <w:ind w:left="1180" w:right="0" w:firstLine="0"/>
        <w:jc w:val="left"/>
        <w:rPr>
          <w:sz w:val="24"/>
          <w:szCs w:val="24"/>
        </w:rPr>
        <w:sectPr>
          <w:headerReference w:type="default" r:id="rId107"/>
          <w:footerReference w:type="default" r:id="rId108"/>
          <w:headerReference w:type="even" r:id="rId109"/>
          <w:footerReference w:type="even" r:id="rId110"/>
          <w:footnotePr>
            <w:pos w:val="pageBottom"/>
            <w:numFmt w:val="decimal"/>
            <w:numRestart w:val="continuous"/>
          </w:footnotePr>
          <w:pgSz w:w="11900" w:h="16840"/>
          <w:pgMar w:top="1354" w:right="358" w:bottom="1522" w:left="1227" w:header="0" w:footer="3" w:gutter="0"/>
          <w:cols w:space="720"/>
          <w:noEndnote/>
          <w:rtlGutter w:val="0"/>
          <w:docGrid w:linePitch="360"/>
        </w:sectPr>
      </w:pPr>
      <w:r>
        <w:rPr>
          <w:color w:val="000000"/>
          <w:spacing w:val="0"/>
          <w:w w:val="100"/>
          <w:position w:val="0"/>
          <w:sz w:val="24"/>
          <w:szCs w:val="24"/>
        </w:rPr>
        <w:t>本集团在确定重要的会计政策时所运用的关键估计及判断详见附注二</w:t>
      </w:r>
      <w:r>
        <w:rPr>
          <w:rFonts w:ascii="Times New Roman" w:eastAsia="Times New Roman" w:hAnsi="Times New Roman" w:cs="Times New Roman"/>
          <w:color w:val="000000"/>
          <w:spacing w:val="0"/>
          <w:w w:val="100"/>
          <w:position w:val="0"/>
          <w:sz w:val="24"/>
          <w:szCs w:val="24"/>
        </w:rPr>
        <w:t>（30）</w:t>
      </w:r>
      <w:r>
        <w:rPr>
          <w:color w:val="000000"/>
          <w:spacing w:val="0"/>
          <w:w w:val="100"/>
          <w:position w:val="0"/>
          <w:sz w:val="24"/>
          <w:szCs w:val="24"/>
        </w:rPr>
        <w:t>。</w:t>
      </w:r>
    </w:p>
    <w:p>
      <w:pPr>
        <w:pStyle w:val="Style32"/>
        <w:keepNext w:val="0"/>
        <w:keepLines w:val="0"/>
        <w:widowControl w:val="0"/>
        <w:shd w:val="clear" w:color="auto" w:fill="auto"/>
        <w:bidi w:val="0"/>
        <w:spacing w:before="0" w:after="0" w:line="240" w:lineRule="auto"/>
        <w:ind w:left="1180" w:right="0" w:firstLine="0"/>
        <w:jc w:val="left"/>
        <w:rPr>
          <w:sz w:val="24"/>
          <w:szCs w:val="24"/>
        </w:rPr>
      </w:pPr>
      <w:r>
        <w:rPr>
          <w:b/>
          <w:bCs/>
          <w:color w:val="000000"/>
          <w:spacing w:val="0"/>
          <w:w w:val="100"/>
          <w:position w:val="0"/>
          <w:sz w:val="24"/>
          <w:szCs w:val="24"/>
        </w:rPr>
        <w:t>财务报表附注</w:t>
      </w:r>
    </w:p>
    <w:p>
      <w:pPr>
        <w:pStyle w:val="Style88"/>
        <w:keepNext/>
        <w:keepLines/>
        <w:widowControl w:val="0"/>
        <w:shd w:val="clear" w:color="auto" w:fill="auto"/>
        <w:bidi w:val="0"/>
        <w:spacing w:before="0" w:after="0" w:line="240" w:lineRule="auto"/>
        <w:ind w:left="1180" w:right="0" w:firstLine="0"/>
        <w:jc w:val="left"/>
      </w:pPr>
      <w:bookmarkStart w:id="602" w:name="bookmark602"/>
      <w:bookmarkStart w:id="603" w:name="bookmark603"/>
      <w:bookmarkStart w:id="604" w:name="bookmark604"/>
      <w:r>
        <w:rPr>
          <w:color w:val="000000"/>
          <w:spacing w:val="0"/>
          <w:w w:val="100"/>
          <w:position w:val="0"/>
          <w:sz w:val="24"/>
          <w:szCs w:val="24"/>
        </w:rPr>
        <w:t>2016</w:t>
      </w:r>
      <w:r>
        <w:rPr>
          <w:rFonts w:ascii="SimSun" w:eastAsia="SimSun" w:hAnsi="SimSun" w:cs="SimSun"/>
          <w:b/>
          <w:bCs/>
          <w:color w:val="000000"/>
          <w:spacing w:val="0"/>
          <w:w w:val="100"/>
          <w:position w:val="0"/>
          <w:sz w:val="24"/>
          <w:szCs w:val="24"/>
        </w:rPr>
        <w:t>年度</w:t>
      </w:r>
      <w:bookmarkEnd w:id="602"/>
      <w:bookmarkEnd w:id="603"/>
      <w:bookmarkEnd w:id="604"/>
    </w:p>
    <w:p>
      <w:pPr>
        <w:pStyle w:val="Style32"/>
        <w:keepNext w:val="0"/>
        <w:keepLines w:val="0"/>
        <w:widowControl w:val="0"/>
        <w:shd w:val="clear" w:color="auto" w:fill="auto"/>
        <w:bidi w:val="0"/>
        <w:spacing w:before="0" w:after="260" w:line="240" w:lineRule="auto"/>
        <w:ind w:left="1180" w:right="0" w:firstLine="0"/>
        <w:jc w:val="left"/>
        <w:rPr>
          <w:sz w:val="24"/>
          <w:szCs w:val="24"/>
        </w:rPr>
      </w:pPr>
      <w:r>
        <w:rPr>
          <w:rFonts w:ascii="Arial" w:eastAsia="Arial" w:hAnsi="Arial" w:cs="Arial"/>
          <w:color w:val="000000"/>
          <w:spacing w:val="0"/>
          <w:w w:val="100"/>
          <w:position w:val="0"/>
          <w:sz w:val="20"/>
          <w:szCs w:val="20"/>
        </w:rPr>
        <w:t>(</w:t>
      </w:r>
      <w:r>
        <w:rPr>
          <w:color w:val="000000"/>
          <w:spacing w:val="0"/>
          <w:w w:val="100"/>
          <w:position w:val="0"/>
          <w:sz w:val="20"/>
          <w:szCs w:val="20"/>
        </w:rPr>
        <w:t>除特别注明外，金额单位为人民币千元</w:t>
      </w:r>
      <w:r>
        <w:rPr>
          <w:color w:val="000000"/>
          <w:spacing w:val="0"/>
          <w:w w:val="100"/>
          <w:position w:val="0"/>
          <w:sz w:val="24"/>
          <w:szCs w:val="24"/>
        </w:rPr>
        <w:t>)</w:t>
      </w:r>
    </w:p>
    <w:p>
      <w:pPr>
        <w:pStyle w:val="Style32"/>
        <w:keepNext w:val="0"/>
        <w:keepLines w:val="0"/>
        <w:widowControl w:val="0"/>
        <w:shd w:val="clear" w:color="auto" w:fill="auto"/>
        <w:tabs>
          <w:tab w:pos="1204" w:val="left"/>
        </w:tabs>
        <w:bidi w:val="0"/>
        <w:spacing w:before="0" w:after="260" w:line="240" w:lineRule="auto"/>
        <w:ind w:left="0" w:right="0" w:firstLine="480"/>
        <w:jc w:val="both"/>
        <w:rPr>
          <w:sz w:val="24"/>
          <w:szCs w:val="24"/>
        </w:rPr>
      </w:pPr>
      <w:r>
        <w:rPr>
          <w:b/>
          <w:bCs/>
          <w:color w:val="000000"/>
          <w:spacing w:val="0"/>
          <w:w w:val="100"/>
          <w:position w:val="0"/>
          <w:sz w:val="24"/>
          <w:szCs w:val="24"/>
        </w:rPr>
        <w:t>二</w:t>
        <w:tab/>
        <w:t>主要会计政策和会计估计</w:t>
      </w:r>
      <w:r>
        <w:rPr>
          <w:rFonts w:ascii="Times New Roman" w:eastAsia="Times New Roman" w:hAnsi="Times New Roman" w:cs="Times New Roman"/>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4"/>
          <w:szCs w:val="24"/>
        </w:rPr>
        <w:t>)</w:t>
      </w:r>
    </w:p>
    <w:p>
      <w:pPr>
        <w:pStyle w:val="Style32"/>
        <w:keepNext w:val="0"/>
        <w:keepLines w:val="0"/>
        <w:widowControl w:val="0"/>
        <w:numPr>
          <w:ilvl w:val="0"/>
          <w:numId w:val="25"/>
        </w:numPr>
        <w:shd w:val="clear" w:color="auto" w:fill="auto"/>
        <w:tabs>
          <w:tab w:pos="1204" w:val="left"/>
        </w:tabs>
        <w:bidi w:val="0"/>
        <w:spacing w:before="0" w:after="260" w:line="240" w:lineRule="auto"/>
        <w:ind w:left="0" w:right="0" w:firstLine="480"/>
        <w:jc w:val="both"/>
        <w:rPr>
          <w:sz w:val="24"/>
          <w:szCs w:val="24"/>
        </w:rPr>
      </w:pPr>
      <w:bookmarkStart w:id="605" w:name="bookmark605"/>
      <w:bookmarkEnd w:id="605"/>
      <w:r>
        <w:rPr>
          <w:b/>
          <w:bCs/>
          <w:color w:val="000000"/>
          <w:spacing w:val="0"/>
          <w:w w:val="100"/>
          <w:position w:val="0"/>
          <w:sz w:val="24"/>
          <w:szCs w:val="24"/>
        </w:rPr>
        <w:t>财务报表的编制基础</w:t>
      </w:r>
    </w:p>
    <w:p>
      <w:pPr>
        <w:pStyle w:val="Style32"/>
        <w:keepNext w:val="0"/>
        <w:keepLines w:val="0"/>
        <w:widowControl w:val="0"/>
        <w:shd w:val="clear" w:color="auto" w:fill="auto"/>
        <w:bidi w:val="0"/>
        <w:spacing w:before="0" w:after="260" w:line="310" w:lineRule="exact"/>
        <w:ind w:left="1180" w:right="0" w:firstLine="20"/>
        <w:jc w:val="both"/>
        <w:rPr>
          <w:sz w:val="24"/>
          <w:szCs w:val="24"/>
        </w:rPr>
      </w:pPr>
      <w:r>
        <w:rPr>
          <w:color w:val="000000"/>
          <w:spacing w:val="0"/>
          <w:w w:val="100"/>
          <w:position w:val="0"/>
          <w:sz w:val="24"/>
          <w:szCs w:val="24"/>
        </w:rPr>
        <w:t>本财务报表按照财政部于</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15</w:t>
      </w:r>
      <w:r>
        <w:rPr>
          <w:color w:val="000000"/>
          <w:spacing w:val="0"/>
          <w:w w:val="100"/>
          <w:position w:val="0"/>
          <w:sz w:val="24"/>
          <w:szCs w:val="24"/>
        </w:rPr>
        <w:t>日及以后期间颁布的《企业会计准 则一一基本准则》、各项具体会计准则及相关规定</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以下合称</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企业会计准 则</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、以及中国证券监督管理委员会《公开发行证券的公司信息披露编报规 则第</w:t>
      </w:r>
      <w:r>
        <w:rPr>
          <w:rFonts w:ascii="Times New Roman" w:eastAsia="Times New Roman" w:hAnsi="Times New Roman" w:cs="Times New Roman"/>
          <w:color w:val="000000"/>
          <w:spacing w:val="0"/>
          <w:w w:val="100"/>
          <w:position w:val="0"/>
          <w:sz w:val="24"/>
          <w:szCs w:val="24"/>
        </w:rPr>
        <w:t>15</w:t>
      </w:r>
      <w:r>
        <w:rPr>
          <w:color w:val="000000"/>
          <w:spacing w:val="0"/>
          <w:w w:val="100"/>
          <w:position w:val="0"/>
          <w:sz w:val="24"/>
          <w:szCs w:val="24"/>
        </w:rPr>
        <w:t>号一一财务报告的一般规定》的披露规定编制。</w:t>
      </w:r>
    </w:p>
    <w:p>
      <w:pPr>
        <w:pStyle w:val="Style32"/>
        <w:keepNext w:val="0"/>
        <w:keepLines w:val="0"/>
        <w:widowControl w:val="0"/>
        <w:shd w:val="clear" w:color="auto" w:fill="auto"/>
        <w:bidi w:val="0"/>
        <w:spacing w:before="0" w:after="260" w:line="312" w:lineRule="exact"/>
        <w:ind w:left="1180" w:right="0" w:firstLine="20"/>
        <w:jc w:val="both"/>
        <w:rPr>
          <w:sz w:val="24"/>
          <w:szCs w:val="24"/>
        </w:rPr>
      </w:pPr>
      <w:r>
        <w:rPr>
          <w:color w:val="000000"/>
          <w:spacing w:val="0"/>
          <w:w w:val="100"/>
          <w:position w:val="0"/>
          <w:sz w:val="24"/>
          <w:szCs w:val="24"/>
        </w:rPr>
        <w:t>本财务报表以持续经营为基础编制。</w:t>
      </w:r>
    </w:p>
    <w:p>
      <w:pPr>
        <w:pStyle w:val="Style32"/>
        <w:keepNext w:val="0"/>
        <w:keepLines w:val="0"/>
        <w:widowControl w:val="0"/>
        <w:numPr>
          <w:ilvl w:val="0"/>
          <w:numId w:val="25"/>
        </w:numPr>
        <w:shd w:val="clear" w:color="auto" w:fill="auto"/>
        <w:tabs>
          <w:tab w:pos="1204" w:val="left"/>
        </w:tabs>
        <w:bidi w:val="0"/>
        <w:spacing w:before="0" w:after="260" w:line="240" w:lineRule="auto"/>
        <w:ind w:left="0" w:right="0" w:firstLine="480"/>
        <w:jc w:val="both"/>
        <w:rPr>
          <w:sz w:val="24"/>
          <w:szCs w:val="24"/>
        </w:rPr>
      </w:pPr>
      <w:bookmarkStart w:id="606" w:name="bookmark606"/>
      <w:bookmarkEnd w:id="606"/>
      <w:r>
        <w:rPr>
          <w:b/>
          <w:bCs/>
          <w:color w:val="000000"/>
          <w:spacing w:val="0"/>
          <w:w w:val="100"/>
          <w:position w:val="0"/>
          <w:sz w:val="24"/>
          <w:szCs w:val="24"/>
        </w:rPr>
        <w:t>遵循企业会计准则的声明</w:t>
      </w:r>
    </w:p>
    <w:p>
      <w:pPr>
        <w:pStyle w:val="Style32"/>
        <w:keepNext w:val="0"/>
        <w:keepLines w:val="0"/>
        <w:widowControl w:val="0"/>
        <w:shd w:val="clear" w:color="auto" w:fill="auto"/>
        <w:bidi w:val="0"/>
        <w:spacing w:before="0" w:after="260" w:line="319" w:lineRule="exact"/>
        <w:ind w:left="1180" w:right="0" w:firstLine="20"/>
        <w:jc w:val="both"/>
        <w:rPr>
          <w:sz w:val="24"/>
          <w:szCs w:val="24"/>
        </w:rPr>
      </w:pPr>
      <w:r>
        <w:rPr>
          <w:color w:val="000000"/>
          <w:spacing w:val="0"/>
          <w:w w:val="100"/>
          <w:position w:val="0"/>
          <w:sz w:val="24"/>
          <w:szCs w:val="24"/>
        </w:rPr>
        <w:t>本公司</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年度财务报表符合企业会计准则的要求，真实、完整地反映了 本公司</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日的合并及公司财务状况以及</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年度的合并及公 司经营成果和现金流量等有关信息。</w:t>
      </w:r>
    </w:p>
    <w:p>
      <w:pPr>
        <w:pStyle w:val="Style32"/>
        <w:keepNext w:val="0"/>
        <w:keepLines w:val="0"/>
        <w:widowControl w:val="0"/>
        <w:numPr>
          <w:ilvl w:val="0"/>
          <w:numId w:val="25"/>
        </w:numPr>
        <w:shd w:val="clear" w:color="auto" w:fill="auto"/>
        <w:tabs>
          <w:tab w:pos="1204" w:val="left"/>
        </w:tabs>
        <w:bidi w:val="0"/>
        <w:spacing w:before="0" w:after="260" w:line="240" w:lineRule="auto"/>
        <w:ind w:left="0" w:right="0" w:firstLine="480"/>
        <w:jc w:val="both"/>
        <w:rPr>
          <w:sz w:val="24"/>
          <w:szCs w:val="24"/>
        </w:rPr>
      </w:pPr>
      <w:bookmarkStart w:id="607" w:name="bookmark607"/>
      <w:bookmarkEnd w:id="607"/>
      <w:r>
        <w:rPr>
          <w:b/>
          <w:bCs/>
          <w:color w:val="000000"/>
          <w:spacing w:val="0"/>
          <w:w w:val="100"/>
          <w:position w:val="0"/>
          <w:sz w:val="24"/>
          <w:szCs w:val="24"/>
        </w:rPr>
        <w:t>会计年度</w:t>
      </w:r>
    </w:p>
    <w:p>
      <w:pPr>
        <w:pStyle w:val="Style32"/>
        <w:keepNext w:val="0"/>
        <w:keepLines w:val="0"/>
        <w:widowControl w:val="0"/>
        <w:shd w:val="clear" w:color="auto" w:fill="auto"/>
        <w:bidi w:val="0"/>
        <w:spacing w:before="0" w:after="260" w:line="312" w:lineRule="exact"/>
        <w:ind w:left="1180" w:right="0" w:firstLine="0"/>
        <w:jc w:val="left"/>
        <w:rPr>
          <w:sz w:val="24"/>
          <w:szCs w:val="24"/>
        </w:rPr>
      </w:pPr>
      <w:r>
        <w:rPr>
          <w:color w:val="000000"/>
          <w:spacing w:val="0"/>
          <w:w w:val="100"/>
          <w:position w:val="0"/>
          <w:sz w:val="24"/>
          <w:szCs w:val="24"/>
        </w:rPr>
        <w:t>会计年度为公历</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日起至</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日止。</w:t>
      </w:r>
    </w:p>
    <w:p>
      <w:pPr>
        <w:pStyle w:val="Style32"/>
        <w:keepNext w:val="0"/>
        <w:keepLines w:val="0"/>
        <w:widowControl w:val="0"/>
        <w:numPr>
          <w:ilvl w:val="0"/>
          <w:numId w:val="25"/>
        </w:numPr>
        <w:shd w:val="clear" w:color="auto" w:fill="auto"/>
        <w:tabs>
          <w:tab w:pos="1204" w:val="left"/>
        </w:tabs>
        <w:bidi w:val="0"/>
        <w:spacing w:before="0" w:after="260" w:line="240" w:lineRule="auto"/>
        <w:ind w:left="0" w:right="0" w:firstLine="480"/>
        <w:jc w:val="both"/>
        <w:rPr>
          <w:sz w:val="24"/>
          <w:szCs w:val="24"/>
        </w:rPr>
      </w:pPr>
      <w:bookmarkStart w:id="608" w:name="bookmark608"/>
      <w:bookmarkEnd w:id="608"/>
      <w:r>
        <w:rPr>
          <w:b/>
          <w:bCs/>
          <w:color w:val="000000"/>
          <w:spacing w:val="0"/>
          <w:w w:val="100"/>
          <w:position w:val="0"/>
          <w:sz w:val="24"/>
          <w:szCs w:val="24"/>
        </w:rPr>
        <w:t>记账本位币</w:t>
      </w:r>
    </w:p>
    <w:p>
      <w:pPr>
        <w:pStyle w:val="Style32"/>
        <w:keepNext w:val="0"/>
        <w:keepLines w:val="0"/>
        <w:widowControl w:val="0"/>
        <w:shd w:val="clear" w:color="auto" w:fill="auto"/>
        <w:bidi w:val="0"/>
        <w:spacing w:before="0" w:after="260" w:line="312" w:lineRule="exact"/>
        <w:ind w:left="1180" w:right="0" w:firstLine="0"/>
        <w:jc w:val="left"/>
        <w:rPr>
          <w:sz w:val="24"/>
          <w:szCs w:val="24"/>
        </w:rPr>
      </w:pPr>
      <w:r>
        <w:rPr>
          <w:color w:val="000000"/>
          <w:spacing w:val="0"/>
          <w:w w:val="100"/>
          <w:position w:val="0"/>
          <w:sz w:val="24"/>
          <w:szCs w:val="24"/>
        </w:rPr>
        <w:t>记账本位币为人民币。</w:t>
      </w:r>
    </w:p>
    <w:p>
      <w:pPr>
        <w:pStyle w:val="Style32"/>
        <w:keepNext w:val="0"/>
        <w:keepLines w:val="0"/>
        <w:widowControl w:val="0"/>
        <w:numPr>
          <w:ilvl w:val="0"/>
          <w:numId w:val="25"/>
        </w:numPr>
        <w:shd w:val="clear" w:color="auto" w:fill="auto"/>
        <w:tabs>
          <w:tab w:pos="1204" w:val="left"/>
        </w:tabs>
        <w:bidi w:val="0"/>
        <w:spacing w:before="0" w:after="260" w:line="240" w:lineRule="auto"/>
        <w:ind w:left="0" w:right="0" w:firstLine="480"/>
        <w:jc w:val="both"/>
        <w:rPr>
          <w:sz w:val="24"/>
          <w:szCs w:val="24"/>
        </w:rPr>
      </w:pPr>
      <w:bookmarkStart w:id="609" w:name="bookmark609"/>
      <w:bookmarkEnd w:id="609"/>
      <w:r>
        <w:rPr>
          <w:b/>
          <w:bCs/>
          <w:color w:val="000000"/>
          <w:spacing w:val="0"/>
          <w:w w:val="100"/>
          <w:position w:val="0"/>
          <w:sz w:val="24"/>
          <w:szCs w:val="24"/>
        </w:rPr>
        <w:t>企业合并</w:t>
      </w:r>
    </w:p>
    <w:p>
      <w:pPr>
        <w:pStyle w:val="Style32"/>
        <w:keepNext w:val="0"/>
        <w:keepLines w:val="0"/>
        <w:widowControl w:val="0"/>
        <w:numPr>
          <w:ilvl w:val="0"/>
          <w:numId w:val="27"/>
        </w:numPr>
        <w:shd w:val="clear" w:color="auto" w:fill="auto"/>
        <w:tabs>
          <w:tab w:pos="1204" w:val="left"/>
        </w:tabs>
        <w:bidi w:val="0"/>
        <w:spacing w:before="0" w:after="260" w:line="271" w:lineRule="auto"/>
        <w:ind w:left="0" w:right="0" w:firstLine="480"/>
        <w:jc w:val="both"/>
        <w:rPr>
          <w:sz w:val="24"/>
          <w:szCs w:val="24"/>
        </w:rPr>
      </w:pPr>
      <w:bookmarkStart w:id="610" w:name="bookmark610"/>
      <w:bookmarkEnd w:id="610"/>
      <w:r>
        <w:rPr>
          <w:color w:val="000000"/>
          <w:spacing w:val="0"/>
          <w:w w:val="100"/>
          <w:position w:val="0"/>
          <w:sz w:val="24"/>
          <w:szCs w:val="24"/>
        </w:rPr>
        <w:t>同一控制下的企业合并</w:t>
      </w:r>
    </w:p>
    <w:p>
      <w:pPr>
        <w:pStyle w:val="Style32"/>
        <w:keepNext w:val="0"/>
        <w:keepLines w:val="0"/>
        <w:widowControl w:val="0"/>
        <w:shd w:val="clear" w:color="auto" w:fill="auto"/>
        <w:bidi w:val="0"/>
        <w:spacing w:before="0" w:after="260" w:line="311" w:lineRule="exact"/>
        <w:ind w:left="1180" w:right="0" w:firstLine="20"/>
        <w:jc w:val="both"/>
        <w:rPr>
          <w:sz w:val="24"/>
          <w:szCs w:val="24"/>
        </w:rPr>
      </w:pPr>
      <w:r>
        <w:rPr>
          <w:color w:val="000000"/>
          <w:spacing w:val="0"/>
          <w:w w:val="100"/>
          <w:position w:val="0"/>
          <w:sz w:val="24"/>
          <w:szCs w:val="24"/>
        </w:rPr>
        <w:t>合并方支付的合并对价及取得的净资产均按账面价值计量。合并方取得的净 资产账面价值与支付的合并对价账面价值的差额，调整资本公积</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股本溢 价</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；资本公积</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股本溢价</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不足以冲减的，调整留存收益。为进行企业合并发 生的直接相关费用于发生时计入当期损益。为企业合并而发行权益性证券或 债务性证券的交易费用，计入权益性证券或债务性证券的初始确认金额。</w:t>
      </w:r>
    </w:p>
    <w:p>
      <w:pPr>
        <w:pStyle w:val="Style32"/>
        <w:keepNext w:val="0"/>
        <w:keepLines w:val="0"/>
        <w:widowControl w:val="0"/>
        <w:numPr>
          <w:ilvl w:val="0"/>
          <w:numId w:val="27"/>
        </w:numPr>
        <w:shd w:val="clear" w:color="auto" w:fill="auto"/>
        <w:tabs>
          <w:tab w:pos="1204" w:val="left"/>
        </w:tabs>
        <w:bidi w:val="0"/>
        <w:spacing w:before="0" w:after="260" w:line="271" w:lineRule="auto"/>
        <w:ind w:left="0" w:right="0" w:firstLine="480"/>
        <w:jc w:val="both"/>
        <w:rPr>
          <w:sz w:val="24"/>
          <w:szCs w:val="24"/>
        </w:rPr>
      </w:pPr>
      <w:bookmarkStart w:id="611" w:name="bookmark611"/>
      <w:bookmarkEnd w:id="611"/>
      <w:r>
        <w:rPr>
          <w:color w:val="000000"/>
          <w:spacing w:val="0"/>
          <w:w w:val="100"/>
          <w:position w:val="0"/>
          <w:sz w:val="24"/>
          <w:szCs w:val="24"/>
        </w:rPr>
        <w:t>非同一控制下的企业合并</w:t>
      </w:r>
    </w:p>
    <w:p>
      <w:pPr>
        <w:pStyle w:val="Style32"/>
        <w:keepNext w:val="0"/>
        <w:keepLines w:val="0"/>
        <w:widowControl w:val="0"/>
        <w:shd w:val="clear" w:color="auto" w:fill="auto"/>
        <w:bidi w:val="0"/>
        <w:spacing w:before="0" w:after="260" w:line="313" w:lineRule="exact"/>
        <w:ind w:left="1180" w:right="0" w:firstLine="20"/>
        <w:jc w:val="both"/>
        <w:rPr>
          <w:sz w:val="24"/>
          <w:szCs w:val="24"/>
        </w:rPr>
      </w:pPr>
      <w:r>
        <w:rPr>
          <w:color w:val="000000"/>
          <w:spacing w:val="0"/>
          <w:w w:val="100"/>
          <w:position w:val="0"/>
          <w:sz w:val="24"/>
          <w:szCs w:val="24"/>
        </w:rPr>
        <w:t>购买方发生的合并成本及在合并中取得的可辨认净资产按购买日的公允价值 计量。合并成本大于合并中取得的被购买方于购买日可辨认净资产公允价值 份额的差额，确认为商誉；合并成本小于合并中取得的被购买方可辨认净资 产公允价值份额的差额，计入当期损益。为进行企业合并发生的直接相关费 用于发生时计入当期损益。为企业合并而发行权益性证券或债务性证券的交 易费用，计入权益性证券或债务性证券的初始确认金额。</w:t>
      </w:r>
    </w:p>
    <w:p>
      <w:pPr>
        <w:pStyle w:val="Style32"/>
        <w:keepNext w:val="0"/>
        <w:keepLines w:val="0"/>
        <w:widowControl w:val="0"/>
        <w:shd w:val="clear" w:color="auto" w:fill="auto"/>
        <w:bidi w:val="0"/>
        <w:spacing w:before="0" w:after="0" w:line="240" w:lineRule="auto"/>
        <w:ind w:left="1180" w:right="0" w:firstLine="0"/>
        <w:jc w:val="left"/>
        <w:rPr>
          <w:sz w:val="24"/>
          <w:szCs w:val="24"/>
        </w:rPr>
      </w:pPr>
      <w:r>
        <w:rPr>
          <w:b/>
          <w:bCs/>
          <w:color w:val="000000"/>
          <w:spacing w:val="0"/>
          <w:w w:val="100"/>
          <w:position w:val="0"/>
          <w:sz w:val="24"/>
          <w:szCs w:val="24"/>
        </w:rPr>
        <w:t>财务报表附注</w:t>
      </w:r>
    </w:p>
    <w:p>
      <w:pPr>
        <w:pStyle w:val="Style88"/>
        <w:keepNext/>
        <w:keepLines/>
        <w:widowControl w:val="0"/>
        <w:shd w:val="clear" w:color="auto" w:fill="auto"/>
        <w:bidi w:val="0"/>
        <w:spacing w:before="0" w:after="0" w:line="240" w:lineRule="auto"/>
        <w:ind w:left="1180" w:right="0" w:firstLine="0"/>
        <w:jc w:val="left"/>
      </w:pPr>
      <w:bookmarkStart w:id="612" w:name="bookmark612"/>
      <w:bookmarkStart w:id="613" w:name="bookmark613"/>
      <w:bookmarkStart w:id="614" w:name="bookmark614"/>
      <w:r>
        <w:rPr>
          <w:color w:val="000000"/>
          <w:spacing w:val="0"/>
          <w:w w:val="100"/>
          <w:position w:val="0"/>
          <w:sz w:val="24"/>
          <w:szCs w:val="24"/>
        </w:rPr>
        <w:t>2016</w:t>
      </w:r>
      <w:r>
        <w:rPr>
          <w:rFonts w:ascii="SimSun" w:eastAsia="SimSun" w:hAnsi="SimSun" w:cs="SimSun"/>
          <w:b/>
          <w:bCs/>
          <w:color w:val="000000"/>
          <w:spacing w:val="0"/>
          <w:w w:val="100"/>
          <w:position w:val="0"/>
          <w:sz w:val="24"/>
          <w:szCs w:val="24"/>
        </w:rPr>
        <w:t>年度</w:t>
      </w:r>
      <w:bookmarkEnd w:id="612"/>
      <w:bookmarkEnd w:id="613"/>
      <w:bookmarkEnd w:id="614"/>
    </w:p>
    <w:p>
      <w:pPr>
        <w:pStyle w:val="Style32"/>
        <w:keepNext w:val="0"/>
        <w:keepLines w:val="0"/>
        <w:widowControl w:val="0"/>
        <w:shd w:val="clear" w:color="auto" w:fill="auto"/>
        <w:bidi w:val="0"/>
        <w:spacing w:before="0" w:after="240" w:line="240" w:lineRule="auto"/>
        <w:ind w:left="1180" w:right="0" w:firstLine="0"/>
        <w:jc w:val="left"/>
        <w:rPr>
          <w:sz w:val="24"/>
          <w:szCs w:val="24"/>
        </w:rPr>
      </w:pPr>
      <w:r>
        <w:rPr>
          <w:rFonts w:ascii="Arial" w:eastAsia="Arial" w:hAnsi="Arial" w:cs="Arial"/>
          <w:color w:val="000000"/>
          <w:spacing w:val="0"/>
          <w:w w:val="100"/>
          <w:position w:val="0"/>
          <w:sz w:val="20"/>
          <w:szCs w:val="20"/>
        </w:rPr>
        <w:t>（</w:t>
      </w:r>
      <w:r>
        <w:rPr>
          <w:color w:val="000000"/>
          <w:spacing w:val="0"/>
          <w:w w:val="100"/>
          <w:position w:val="0"/>
          <w:sz w:val="20"/>
          <w:szCs w:val="20"/>
        </w:rPr>
        <w:t>除特别注明外，金额单位为人民币千元</w:t>
      </w:r>
      <w:r>
        <w:rPr>
          <w:color w:val="000000"/>
          <w:spacing w:val="0"/>
          <w:w w:val="100"/>
          <w:position w:val="0"/>
          <w:sz w:val="24"/>
          <w:szCs w:val="24"/>
        </w:rPr>
        <w:t>）</w:t>
      </w:r>
    </w:p>
    <w:p>
      <w:pPr>
        <w:pStyle w:val="Style32"/>
        <w:keepNext w:val="0"/>
        <w:keepLines w:val="0"/>
        <w:widowControl w:val="0"/>
        <w:shd w:val="clear" w:color="auto" w:fill="auto"/>
        <w:tabs>
          <w:tab w:pos="1195" w:val="left"/>
        </w:tabs>
        <w:bidi w:val="0"/>
        <w:spacing w:before="0" w:after="240" w:line="240" w:lineRule="auto"/>
        <w:ind w:left="0" w:right="0" w:firstLine="480"/>
        <w:jc w:val="both"/>
        <w:rPr>
          <w:sz w:val="24"/>
          <w:szCs w:val="24"/>
        </w:rPr>
      </w:pPr>
      <w:r>
        <w:rPr>
          <w:b/>
          <w:bCs/>
          <w:color w:val="000000"/>
          <w:spacing w:val="0"/>
          <w:w w:val="100"/>
          <w:position w:val="0"/>
          <w:sz w:val="24"/>
          <w:szCs w:val="24"/>
        </w:rPr>
        <w:t>二</w:t>
        <w:tab/>
        <w:t>主要会计政策和会计估计</w:t>
      </w:r>
      <w:r>
        <w:rPr>
          <w:rFonts w:ascii="Times New Roman" w:eastAsia="Times New Roman" w:hAnsi="Times New Roman" w:cs="Times New Roman"/>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4"/>
          <w:szCs w:val="24"/>
        </w:rPr>
        <w:t>）</w:t>
      </w:r>
    </w:p>
    <w:p>
      <w:pPr>
        <w:pStyle w:val="Style53"/>
        <w:keepNext w:val="0"/>
        <w:keepLines w:val="0"/>
        <w:widowControl w:val="0"/>
        <w:shd w:val="clear" w:color="auto" w:fill="auto"/>
        <w:tabs>
          <w:tab w:pos="1195" w:val="left"/>
        </w:tabs>
        <w:bidi w:val="0"/>
        <w:spacing w:before="0" w:after="240" w:line="271" w:lineRule="auto"/>
        <w:ind w:left="0" w:right="0" w:firstLine="480"/>
        <w:jc w:val="both"/>
        <w:rPr>
          <w:sz w:val="24"/>
          <w:szCs w:val="24"/>
        </w:rPr>
      </w:pPr>
      <w:r>
        <w:rPr>
          <w:color w:val="000000"/>
          <w:spacing w:val="0"/>
          <w:w w:val="100"/>
          <w:position w:val="0"/>
          <w:sz w:val="24"/>
          <w:szCs w:val="24"/>
        </w:rPr>
        <w:t>（5）</w:t>
        <w:tab/>
      </w:r>
      <w:r>
        <w:rPr>
          <w:rFonts w:ascii="SimSun" w:eastAsia="SimSun" w:hAnsi="SimSun" w:cs="SimSun"/>
          <w:b/>
          <w:bCs/>
          <w:color w:val="000000"/>
          <w:spacing w:val="0"/>
          <w:w w:val="100"/>
          <w:position w:val="0"/>
          <w:sz w:val="24"/>
          <w:szCs w:val="24"/>
        </w:rPr>
        <w:t>企业合并</w:t>
      </w:r>
      <w:r>
        <w:rPr>
          <w:color w:val="000000"/>
          <w:spacing w:val="0"/>
          <w:w w:val="100"/>
          <w:position w:val="0"/>
          <w:sz w:val="24"/>
          <w:szCs w:val="24"/>
        </w:rPr>
        <w:t>（</w:t>
      </w:r>
      <w:r>
        <w:rPr>
          <w:rFonts w:ascii="SimSun" w:eastAsia="SimSun" w:hAnsi="SimSun" w:cs="SimSun"/>
          <w:b/>
          <w:bCs/>
          <w:color w:val="000000"/>
          <w:spacing w:val="0"/>
          <w:w w:val="100"/>
          <w:position w:val="0"/>
          <w:sz w:val="24"/>
          <w:szCs w:val="24"/>
        </w:rPr>
        <w:t>续</w:t>
      </w:r>
      <w:r>
        <w:rPr>
          <w:rFonts w:ascii="SimSun" w:eastAsia="SimSun" w:hAnsi="SimSun" w:cs="SimSun"/>
          <w:color w:val="000000"/>
          <w:spacing w:val="0"/>
          <w:w w:val="100"/>
          <w:position w:val="0"/>
          <w:sz w:val="24"/>
          <w:szCs w:val="24"/>
        </w:rPr>
        <w:t>）</w:t>
      </w:r>
    </w:p>
    <w:p>
      <w:pPr>
        <w:pStyle w:val="Style32"/>
        <w:keepNext w:val="0"/>
        <w:keepLines w:val="0"/>
        <w:widowControl w:val="0"/>
        <w:shd w:val="clear" w:color="auto" w:fill="auto"/>
        <w:tabs>
          <w:tab w:pos="1195" w:val="left"/>
        </w:tabs>
        <w:bidi w:val="0"/>
        <w:spacing w:before="0" w:after="180" w:line="271" w:lineRule="auto"/>
        <w:ind w:left="0" w:right="0" w:firstLine="480"/>
        <w:jc w:val="both"/>
        <w:rPr>
          <w:sz w:val="24"/>
          <w:szCs w:val="24"/>
        </w:rPr>
      </w:pPr>
      <w:bookmarkStart w:id="615" w:name="bookmark615"/>
      <w:r>
        <w:rPr>
          <w:rFonts w:ascii="Times New Roman" w:eastAsia="Times New Roman" w:hAnsi="Times New Roman" w:cs="Times New Roman"/>
          <w:color w:val="000000"/>
          <w:spacing w:val="0"/>
          <w:w w:val="100"/>
          <w:position w:val="0"/>
          <w:sz w:val="24"/>
          <w:szCs w:val="24"/>
        </w:rPr>
        <w:t>（</w:t>
      </w:r>
      <w:bookmarkEnd w:id="615"/>
      <w:r>
        <w:rPr>
          <w:rFonts w:ascii="Times New Roman" w:eastAsia="Times New Roman" w:hAnsi="Times New Roman" w:cs="Times New Roman"/>
          <w:color w:val="000000"/>
          <w:spacing w:val="0"/>
          <w:w w:val="100"/>
          <w:position w:val="0"/>
          <w:sz w:val="24"/>
          <w:szCs w:val="24"/>
        </w:rPr>
        <w:t>b）</w:t>
        <w:tab/>
      </w:r>
      <w:r>
        <w:rPr>
          <w:color w:val="000000"/>
          <w:spacing w:val="0"/>
          <w:w w:val="100"/>
          <w:position w:val="0"/>
          <w:sz w:val="24"/>
          <w:szCs w:val="24"/>
        </w:rPr>
        <w:t>非同一控制下的企业合并</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续</w:t>
      </w:r>
      <w:r>
        <w:rPr>
          <w:color w:val="000000"/>
          <w:spacing w:val="0"/>
          <w:w w:val="100"/>
          <w:position w:val="0"/>
          <w:sz w:val="24"/>
          <w:szCs w:val="24"/>
        </w:rPr>
        <w:t>）</w:t>
      </w:r>
    </w:p>
    <w:p>
      <w:pPr>
        <w:pStyle w:val="Style32"/>
        <w:keepNext w:val="0"/>
        <w:keepLines w:val="0"/>
        <w:widowControl w:val="0"/>
        <w:shd w:val="clear" w:color="auto" w:fill="auto"/>
        <w:bidi w:val="0"/>
        <w:spacing w:before="0" w:after="240" w:line="312" w:lineRule="exact"/>
        <w:ind w:left="1180" w:right="0" w:firstLine="20"/>
        <w:jc w:val="both"/>
        <w:rPr>
          <w:sz w:val="24"/>
          <w:szCs w:val="24"/>
        </w:rPr>
      </w:pPr>
      <w:r>
        <w:rPr>
          <w:color w:val="000000"/>
          <w:spacing w:val="0"/>
          <w:w w:val="100"/>
          <w:position w:val="0"/>
          <w:sz w:val="24"/>
          <w:szCs w:val="24"/>
        </w:rPr>
        <w:t>通过多次交易分步实现的非同一控制下企业合并，在合并财务报表中，对于 购买日之前持有的被购买方的股权，按照该股权在购买日的公允价值进行重 新计量，公允价值与其账面价值之间的差额计入当期投资收益；购买日之前 持有的被购买方的股权涉及权益法核算下的其他综合收益以及除净损益、其 他综合收益和利润分配外的其他所有者权益变动的，与其相关的其他综合收 益、其他所有者权益变动应当转为购买日所属当期收益，由于被投资方重新 计量设定受益计划净负债或净资产变动而产生的其他综合收益除外。商誉为 之前持有的被购买方股权的公允价值与购买日支付对价的公允价值之和，与 取得的子公司可辨认净资产于购买日的公允价值份额的差额。</w:t>
      </w:r>
    </w:p>
    <w:p>
      <w:pPr>
        <w:pStyle w:val="Style32"/>
        <w:keepNext w:val="0"/>
        <w:keepLines w:val="0"/>
        <w:widowControl w:val="0"/>
        <w:shd w:val="clear" w:color="auto" w:fill="auto"/>
        <w:tabs>
          <w:tab w:pos="1195" w:val="left"/>
        </w:tabs>
        <w:bidi w:val="0"/>
        <w:spacing w:before="0" w:after="240" w:line="271" w:lineRule="auto"/>
        <w:ind w:left="0" w:right="0" w:firstLine="480"/>
        <w:jc w:val="both"/>
        <w:rPr>
          <w:sz w:val="24"/>
          <w:szCs w:val="24"/>
        </w:rPr>
      </w:pPr>
      <w:bookmarkStart w:id="616" w:name="bookmark616"/>
      <w:r>
        <w:rPr>
          <w:rFonts w:ascii="Times New Roman" w:eastAsia="Times New Roman" w:hAnsi="Times New Roman" w:cs="Times New Roman"/>
          <w:color w:val="000000"/>
          <w:spacing w:val="0"/>
          <w:w w:val="100"/>
          <w:position w:val="0"/>
          <w:sz w:val="24"/>
          <w:szCs w:val="24"/>
        </w:rPr>
        <w:t>（</w:t>
      </w:r>
      <w:bookmarkEnd w:id="616"/>
      <w:r>
        <w:rPr>
          <w:rFonts w:ascii="Times New Roman" w:eastAsia="Times New Roman" w:hAnsi="Times New Roman" w:cs="Times New Roman"/>
          <w:color w:val="000000"/>
          <w:spacing w:val="0"/>
          <w:w w:val="100"/>
          <w:position w:val="0"/>
          <w:sz w:val="24"/>
          <w:szCs w:val="24"/>
        </w:rPr>
        <w:t>c）</w:t>
        <w:tab/>
      </w:r>
      <w:r>
        <w:rPr>
          <w:color w:val="000000"/>
          <w:spacing w:val="0"/>
          <w:w w:val="100"/>
          <w:position w:val="0"/>
          <w:sz w:val="24"/>
          <w:szCs w:val="24"/>
        </w:rPr>
        <w:t>购买子公司少数股权</w:t>
      </w:r>
    </w:p>
    <w:p>
      <w:pPr>
        <w:pStyle w:val="Style32"/>
        <w:keepNext w:val="0"/>
        <w:keepLines w:val="0"/>
        <w:widowControl w:val="0"/>
        <w:shd w:val="clear" w:color="auto" w:fill="auto"/>
        <w:bidi w:val="0"/>
        <w:spacing w:before="0" w:after="240" w:line="310" w:lineRule="exact"/>
        <w:ind w:left="1180" w:right="0" w:firstLine="20"/>
        <w:jc w:val="both"/>
        <w:rPr>
          <w:sz w:val="24"/>
          <w:szCs w:val="24"/>
        </w:rPr>
      </w:pPr>
      <w:r>
        <w:rPr>
          <w:color w:val="000000"/>
          <w:spacing w:val="0"/>
          <w:w w:val="100"/>
          <w:position w:val="0"/>
          <w:sz w:val="24"/>
          <w:szCs w:val="24"/>
        </w:rPr>
        <w:t>在取得对子公司的控制权后，自子公司的少数股东处取得少数股东拥有的对 该子公司全部或部分少数股权，在合并财务报表中，子公司的资产、负债以 购买日或合并日开始持续计算的金额反映。因购买少数股权新增加的长期股 权投资与按照新增持股比例计算应享有子公司自购买日或合并日持续计算的 净资产份额之间的差额调整资本公积，资本公积</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股本溢价</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的金额不足冲减 的，调整留存收益。</w:t>
      </w:r>
    </w:p>
    <w:p>
      <w:pPr>
        <w:pStyle w:val="Style32"/>
        <w:keepNext w:val="0"/>
        <w:keepLines w:val="0"/>
        <w:widowControl w:val="0"/>
        <w:shd w:val="clear" w:color="auto" w:fill="auto"/>
        <w:tabs>
          <w:tab w:pos="1195" w:val="left"/>
        </w:tabs>
        <w:bidi w:val="0"/>
        <w:spacing w:before="0" w:after="240" w:line="311" w:lineRule="exact"/>
        <w:ind w:left="0" w:right="0" w:firstLine="480"/>
        <w:jc w:val="both"/>
        <w:rPr>
          <w:sz w:val="24"/>
          <w:szCs w:val="24"/>
        </w:rPr>
      </w:pPr>
      <w:bookmarkStart w:id="617" w:name="bookmark617"/>
      <w:r>
        <w:rPr>
          <w:rFonts w:ascii="Times New Roman" w:eastAsia="Times New Roman" w:hAnsi="Times New Roman" w:cs="Times New Roman"/>
          <w:color w:val="000000"/>
          <w:spacing w:val="0"/>
          <w:w w:val="100"/>
          <w:position w:val="0"/>
          <w:sz w:val="24"/>
          <w:szCs w:val="24"/>
        </w:rPr>
        <w:t>（</w:t>
      </w:r>
      <w:bookmarkEnd w:id="617"/>
      <w:r>
        <w:rPr>
          <w:rFonts w:ascii="Times New Roman" w:eastAsia="Times New Roman" w:hAnsi="Times New Roman" w:cs="Times New Roman"/>
          <w:color w:val="000000"/>
          <w:spacing w:val="0"/>
          <w:w w:val="100"/>
          <w:position w:val="0"/>
          <w:sz w:val="24"/>
          <w:szCs w:val="24"/>
        </w:rPr>
        <w:t>d）</w:t>
        <w:tab/>
      </w:r>
      <w:r>
        <w:rPr>
          <w:color w:val="000000"/>
          <w:spacing w:val="0"/>
          <w:w w:val="100"/>
          <w:position w:val="0"/>
          <w:sz w:val="24"/>
          <w:szCs w:val="24"/>
        </w:rPr>
        <w:t>因子公司的少数股东增资而稀释母公司拥有的股权比例</w:t>
      </w:r>
    </w:p>
    <w:p>
      <w:pPr>
        <w:pStyle w:val="Style32"/>
        <w:keepNext w:val="0"/>
        <w:keepLines w:val="0"/>
        <w:widowControl w:val="0"/>
        <w:shd w:val="clear" w:color="auto" w:fill="auto"/>
        <w:bidi w:val="0"/>
        <w:spacing w:before="0" w:after="240" w:line="311" w:lineRule="exact"/>
        <w:ind w:left="1180" w:right="0" w:firstLine="20"/>
        <w:jc w:val="both"/>
        <w:rPr>
          <w:sz w:val="24"/>
          <w:szCs w:val="24"/>
        </w:rPr>
        <w:sectPr>
          <w:footnotePr>
            <w:pos w:val="pageBottom"/>
            <w:numFmt w:val="decimal"/>
            <w:numRestart w:val="continuous"/>
          </w:footnotePr>
          <w:pgSz w:w="11900" w:h="16840"/>
          <w:pgMar w:top="1354" w:right="358" w:bottom="1450" w:left="1227" w:header="0" w:footer="3" w:gutter="0"/>
          <w:cols w:space="720"/>
          <w:noEndnote/>
          <w:rtlGutter w:val="0"/>
          <w:docGrid w:linePitch="360"/>
        </w:sectPr>
      </w:pPr>
      <w:r>
        <w:rPr>
          <w:color w:val="000000"/>
          <w:spacing w:val="0"/>
          <w:w w:val="100"/>
          <w:position w:val="0"/>
          <w:sz w:val="24"/>
          <w:szCs w:val="24"/>
        </w:rPr>
        <w:t>子公司的其他股东对子公司进行增资，由此稀释了母公司对子公司的股权比 例，在这种情况下，应当按照增资前的母公司股权比例计算其在增资前子公 司账面净资产中的份额，该份额与增资后按母公司持股比例计算的在增资后 子公司账面净资产份额之间的差额计入资本公积，资本公积不足冲减的，调 整留存收益。</w:t>
      </w:r>
    </w:p>
    <w:p>
      <w:pPr>
        <w:pStyle w:val="Style32"/>
        <w:keepNext w:val="0"/>
        <w:keepLines w:val="0"/>
        <w:widowControl w:val="0"/>
        <w:shd w:val="clear" w:color="auto" w:fill="auto"/>
        <w:bidi w:val="0"/>
        <w:spacing w:before="0" w:after="0" w:line="240" w:lineRule="auto"/>
        <w:ind w:left="1180" w:right="0" w:firstLine="0"/>
        <w:jc w:val="left"/>
        <w:rPr>
          <w:sz w:val="24"/>
          <w:szCs w:val="24"/>
        </w:rPr>
      </w:pPr>
      <w:r>
        <w:rPr>
          <w:b/>
          <w:bCs/>
          <w:color w:val="000000"/>
          <w:spacing w:val="0"/>
          <w:w w:val="100"/>
          <w:position w:val="0"/>
          <w:sz w:val="24"/>
          <w:szCs w:val="24"/>
        </w:rPr>
        <w:t>财务报表附注</w:t>
      </w:r>
    </w:p>
    <w:p>
      <w:pPr>
        <w:pStyle w:val="Style88"/>
        <w:keepNext/>
        <w:keepLines/>
        <w:widowControl w:val="0"/>
        <w:shd w:val="clear" w:color="auto" w:fill="auto"/>
        <w:bidi w:val="0"/>
        <w:spacing w:before="0" w:after="0" w:line="240" w:lineRule="auto"/>
        <w:ind w:left="1180" w:right="0" w:firstLine="0"/>
        <w:jc w:val="left"/>
      </w:pPr>
      <w:bookmarkStart w:id="618" w:name="bookmark618"/>
      <w:bookmarkStart w:id="619" w:name="bookmark619"/>
      <w:bookmarkStart w:id="620" w:name="bookmark620"/>
      <w:r>
        <w:rPr>
          <w:color w:val="000000"/>
          <w:spacing w:val="0"/>
          <w:w w:val="100"/>
          <w:position w:val="0"/>
          <w:sz w:val="24"/>
          <w:szCs w:val="24"/>
        </w:rPr>
        <w:t>2016</w:t>
      </w:r>
      <w:r>
        <w:rPr>
          <w:rFonts w:ascii="SimSun" w:eastAsia="SimSun" w:hAnsi="SimSun" w:cs="SimSun"/>
          <w:b/>
          <w:bCs/>
          <w:color w:val="000000"/>
          <w:spacing w:val="0"/>
          <w:w w:val="100"/>
          <w:position w:val="0"/>
          <w:sz w:val="24"/>
          <w:szCs w:val="24"/>
        </w:rPr>
        <w:t>年度</w:t>
      </w:r>
      <w:bookmarkEnd w:id="618"/>
      <w:bookmarkEnd w:id="619"/>
      <w:bookmarkEnd w:id="620"/>
    </w:p>
    <w:p>
      <w:pPr>
        <w:pStyle w:val="Style32"/>
        <w:keepNext w:val="0"/>
        <w:keepLines w:val="0"/>
        <w:widowControl w:val="0"/>
        <w:shd w:val="clear" w:color="auto" w:fill="auto"/>
        <w:bidi w:val="0"/>
        <w:spacing w:before="0" w:after="260" w:line="240" w:lineRule="auto"/>
        <w:ind w:left="1180" w:right="0" w:firstLine="0"/>
        <w:jc w:val="left"/>
        <w:rPr>
          <w:sz w:val="24"/>
          <w:szCs w:val="24"/>
        </w:rPr>
      </w:pPr>
      <w:r>
        <w:rPr>
          <w:rFonts w:ascii="Arial" w:eastAsia="Arial" w:hAnsi="Arial" w:cs="Arial"/>
          <w:color w:val="000000"/>
          <w:spacing w:val="0"/>
          <w:w w:val="100"/>
          <w:position w:val="0"/>
          <w:sz w:val="20"/>
          <w:szCs w:val="20"/>
        </w:rPr>
        <w:t>(</w:t>
      </w:r>
      <w:r>
        <w:rPr>
          <w:color w:val="000000"/>
          <w:spacing w:val="0"/>
          <w:w w:val="100"/>
          <w:position w:val="0"/>
          <w:sz w:val="20"/>
          <w:szCs w:val="20"/>
        </w:rPr>
        <w:t>除特别注明外，金额单位为人民币千元</w:t>
      </w:r>
      <w:r>
        <w:rPr>
          <w:color w:val="000000"/>
          <w:spacing w:val="0"/>
          <w:w w:val="100"/>
          <w:position w:val="0"/>
          <w:sz w:val="24"/>
          <w:szCs w:val="24"/>
        </w:rPr>
        <w:t>)</w:t>
      </w:r>
    </w:p>
    <w:p>
      <w:pPr>
        <w:pStyle w:val="Style32"/>
        <w:keepNext w:val="0"/>
        <w:keepLines w:val="0"/>
        <w:widowControl w:val="0"/>
        <w:shd w:val="clear" w:color="auto" w:fill="auto"/>
        <w:tabs>
          <w:tab w:pos="1174" w:val="left"/>
        </w:tabs>
        <w:bidi w:val="0"/>
        <w:spacing w:before="0" w:after="260" w:line="240" w:lineRule="auto"/>
        <w:ind w:left="0" w:right="0" w:firstLine="480"/>
        <w:jc w:val="both"/>
        <w:rPr>
          <w:sz w:val="24"/>
          <w:szCs w:val="24"/>
        </w:rPr>
      </w:pPr>
      <w:r>
        <w:rPr>
          <w:b/>
          <w:bCs/>
          <w:color w:val="000000"/>
          <w:spacing w:val="0"/>
          <w:w w:val="100"/>
          <w:position w:val="0"/>
          <w:sz w:val="24"/>
          <w:szCs w:val="24"/>
        </w:rPr>
        <w:t>二</w:t>
        <w:tab/>
        <w:t>主要会计政策和会计估计</w:t>
      </w:r>
      <w:r>
        <w:rPr>
          <w:rFonts w:ascii="Times New Roman" w:eastAsia="Times New Roman" w:hAnsi="Times New Roman" w:cs="Times New Roman"/>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4"/>
          <w:szCs w:val="24"/>
        </w:rPr>
        <w:t>)</w:t>
      </w:r>
    </w:p>
    <w:p>
      <w:pPr>
        <w:pStyle w:val="Style32"/>
        <w:keepNext w:val="0"/>
        <w:keepLines w:val="0"/>
        <w:widowControl w:val="0"/>
        <w:numPr>
          <w:ilvl w:val="0"/>
          <w:numId w:val="25"/>
        </w:numPr>
        <w:shd w:val="clear" w:color="auto" w:fill="auto"/>
        <w:tabs>
          <w:tab w:pos="1174" w:val="left"/>
        </w:tabs>
        <w:bidi w:val="0"/>
        <w:spacing w:before="0" w:after="260" w:line="240" w:lineRule="auto"/>
        <w:ind w:left="0" w:right="0" w:firstLine="480"/>
        <w:jc w:val="both"/>
        <w:rPr>
          <w:sz w:val="24"/>
          <w:szCs w:val="24"/>
        </w:rPr>
      </w:pPr>
      <w:bookmarkStart w:id="621" w:name="bookmark621"/>
      <w:bookmarkEnd w:id="621"/>
      <w:r>
        <w:rPr>
          <w:b/>
          <w:bCs/>
          <w:color w:val="000000"/>
          <w:spacing w:val="0"/>
          <w:w w:val="100"/>
          <w:position w:val="0"/>
          <w:sz w:val="24"/>
          <w:szCs w:val="24"/>
        </w:rPr>
        <w:t>合并财务报表的编制方法</w:t>
      </w:r>
    </w:p>
    <w:p>
      <w:pPr>
        <w:pStyle w:val="Style32"/>
        <w:keepNext w:val="0"/>
        <w:keepLines w:val="0"/>
        <w:widowControl w:val="0"/>
        <w:shd w:val="clear" w:color="auto" w:fill="auto"/>
        <w:bidi w:val="0"/>
        <w:spacing w:before="0" w:after="260" w:line="311" w:lineRule="exact"/>
        <w:ind w:left="1180" w:right="0" w:firstLine="20"/>
        <w:jc w:val="both"/>
        <w:rPr>
          <w:sz w:val="24"/>
          <w:szCs w:val="24"/>
        </w:rPr>
      </w:pPr>
      <w:r>
        <w:rPr>
          <w:color w:val="000000"/>
          <w:spacing w:val="0"/>
          <w:w w:val="100"/>
          <w:position w:val="0"/>
          <w:sz w:val="24"/>
          <w:szCs w:val="24"/>
        </w:rPr>
        <w:t>编制合并财务报表时，合并范围包括本公司及全部子公司。</w:t>
      </w:r>
    </w:p>
    <w:p>
      <w:pPr>
        <w:pStyle w:val="Style32"/>
        <w:keepNext w:val="0"/>
        <w:keepLines w:val="0"/>
        <w:widowControl w:val="0"/>
        <w:shd w:val="clear" w:color="auto" w:fill="auto"/>
        <w:bidi w:val="0"/>
        <w:spacing w:before="0" w:after="260" w:line="314" w:lineRule="exact"/>
        <w:ind w:left="1180" w:right="0" w:firstLine="20"/>
        <w:jc w:val="both"/>
        <w:rPr>
          <w:sz w:val="24"/>
          <w:szCs w:val="24"/>
        </w:rPr>
      </w:pPr>
      <w:r>
        <w:rPr>
          <w:color w:val="000000"/>
          <w:spacing w:val="0"/>
          <w:w w:val="100"/>
          <w:position w:val="0"/>
          <w:sz w:val="24"/>
          <w:szCs w:val="24"/>
        </w:rPr>
        <w:t>从取得子公司的实际控制权之日起，本集团开始将其纳入合并范围；从丧失 实际控制权之日起停止纳入合并范围。对于同一控制下企业合并取得的子公 司，自其与本公司同受最终控制方控制之日起纳入本公司合并范围，并将其 在合并日前实现的净利润在合并利润表中单列项目反映。</w:t>
      </w:r>
    </w:p>
    <w:p>
      <w:pPr>
        <w:pStyle w:val="Style32"/>
        <w:keepNext w:val="0"/>
        <w:keepLines w:val="0"/>
        <w:widowControl w:val="0"/>
        <w:shd w:val="clear" w:color="auto" w:fill="auto"/>
        <w:bidi w:val="0"/>
        <w:spacing w:before="0" w:after="260" w:line="307" w:lineRule="exact"/>
        <w:ind w:left="1180" w:right="0" w:firstLine="20"/>
        <w:jc w:val="both"/>
        <w:rPr>
          <w:sz w:val="24"/>
          <w:szCs w:val="24"/>
        </w:rPr>
      </w:pPr>
      <w:r>
        <w:rPr>
          <w:color w:val="000000"/>
          <w:spacing w:val="0"/>
          <w:w w:val="100"/>
          <w:position w:val="0"/>
          <w:sz w:val="24"/>
          <w:szCs w:val="24"/>
        </w:rPr>
        <w:t>在编制合并财务报表时，子公司与本公司采用的会计政策或会计期间不一致 的，按照本公司的会计政策和会计期间对子公司财务报表进行必要的调整。 对于非同一控制下企业合并取得的子公司，以购买日可辨认净资产公允价值 为基础对其财务报表进行调整。</w:t>
      </w:r>
    </w:p>
    <w:p>
      <w:pPr>
        <w:pStyle w:val="Style32"/>
        <w:keepNext w:val="0"/>
        <w:keepLines w:val="0"/>
        <w:widowControl w:val="0"/>
        <w:shd w:val="clear" w:color="auto" w:fill="auto"/>
        <w:bidi w:val="0"/>
        <w:spacing w:before="0" w:after="260" w:line="311" w:lineRule="exact"/>
        <w:ind w:left="1180" w:right="0" w:firstLine="20"/>
        <w:jc w:val="both"/>
        <w:rPr>
          <w:sz w:val="24"/>
          <w:szCs w:val="24"/>
        </w:rPr>
      </w:pPr>
      <w:r>
        <w:rPr>
          <w:color w:val="000000"/>
          <w:spacing w:val="0"/>
          <w:w w:val="100"/>
          <w:position w:val="0"/>
          <w:sz w:val="24"/>
          <w:szCs w:val="24"/>
        </w:rPr>
        <w:t>集团内所有重大往来余额、交易及未实现利润在合并财务报表编制时予以抵 销。子公司的股东权益、当期净损益及综合收益中不属于本公司所拥有的部 分分别作为少数股东权益、少数股东损益及归属于少数股东的综合收益总额 在合并财务报表中股东权益、净利润及综合收益总额项下单独列示。本公司 向子公司出售资产所发生的未实现内部交易损益，全额抵销归属于本公司股 东的净利润；子公司向本公司出售资产所发生的未实现内部交易损益，按本 公司对该子公司的分配比例在归属于本公司股东的净利润和少数股东损益之 间分配抵销。子公司之间出售资产所发生的未实现内部交易损益，按照本公 司对出售方子公司的分配比例在归属于本公司股东的净利润和少数股东损益 之间分配抵销。</w:t>
      </w:r>
    </w:p>
    <w:p>
      <w:pPr>
        <w:pStyle w:val="Style32"/>
        <w:keepNext w:val="0"/>
        <w:keepLines w:val="0"/>
        <w:widowControl w:val="0"/>
        <w:shd w:val="clear" w:color="auto" w:fill="auto"/>
        <w:bidi w:val="0"/>
        <w:spacing w:before="0" w:after="260" w:line="307" w:lineRule="exact"/>
        <w:ind w:left="1180" w:right="0" w:firstLine="20"/>
        <w:jc w:val="both"/>
        <w:rPr>
          <w:sz w:val="24"/>
          <w:szCs w:val="24"/>
        </w:rPr>
      </w:pPr>
      <w:r>
        <w:rPr>
          <w:color w:val="000000"/>
          <w:spacing w:val="0"/>
          <w:w w:val="100"/>
          <w:position w:val="0"/>
          <w:sz w:val="24"/>
          <w:szCs w:val="24"/>
        </w:rPr>
        <w:t>如果以本集团为会计主体与以本公司或子公司为会计主体对同一交易的认定 不同时，从本集团的角度对该交易予以调整。</w:t>
      </w:r>
    </w:p>
    <w:p>
      <w:pPr>
        <w:pStyle w:val="Style32"/>
        <w:keepNext w:val="0"/>
        <w:keepLines w:val="0"/>
        <w:widowControl w:val="0"/>
        <w:numPr>
          <w:ilvl w:val="0"/>
          <w:numId w:val="25"/>
        </w:numPr>
        <w:shd w:val="clear" w:color="auto" w:fill="auto"/>
        <w:tabs>
          <w:tab w:pos="1174" w:val="left"/>
        </w:tabs>
        <w:bidi w:val="0"/>
        <w:spacing w:before="0" w:after="260" w:line="240" w:lineRule="auto"/>
        <w:ind w:left="0" w:right="0" w:firstLine="480"/>
        <w:jc w:val="both"/>
        <w:rPr>
          <w:sz w:val="24"/>
          <w:szCs w:val="24"/>
        </w:rPr>
      </w:pPr>
      <w:bookmarkStart w:id="622" w:name="bookmark622"/>
      <w:bookmarkEnd w:id="622"/>
      <w:r>
        <w:rPr>
          <w:b/>
          <w:bCs/>
          <w:color w:val="000000"/>
          <w:spacing w:val="0"/>
          <w:w w:val="100"/>
          <w:position w:val="0"/>
          <w:sz w:val="24"/>
          <w:szCs w:val="24"/>
        </w:rPr>
        <w:t>现金及现金等价物</w:t>
      </w:r>
    </w:p>
    <w:p>
      <w:pPr>
        <w:pStyle w:val="Style32"/>
        <w:keepNext w:val="0"/>
        <w:keepLines w:val="0"/>
        <w:widowControl w:val="0"/>
        <w:shd w:val="clear" w:color="auto" w:fill="auto"/>
        <w:bidi w:val="0"/>
        <w:spacing w:before="0" w:after="260" w:line="312" w:lineRule="exact"/>
        <w:ind w:left="1180" w:right="0" w:firstLine="20"/>
        <w:jc w:val="both"/>
        <w:rPr>
          <w:sz w:val="24"/>
          <w:szCs w:val="24"/>
        </w:rPr>
        <w:sectPr>
          <w:footnotePr>
            <w:pos w:val="pageBottom"/>
            <w:numFmt w:val="decimal"/>
            <w:numRestart w:val="continuous"/>
          </w:footnotePr>
          <w:pgSz w:w="11900" w:h="16840"/>
          <w:pgMar w:top="1354" w:right="358" w:bottom="1354" w:left="1227" w:header="0" w:footer="3" w:gutter="0"/>
          <w:cols w:space="720"/>
          <w:noEndnote/>
          <w:rtlGutter w:val="0"/>
          <w:docGrid w:linePitch="360"/>
        </w:sectPr>
      </w:pPr>
      <w:r>
        <w:rPr>
          <w:color w:val="000000"/>
          <w:spacing w:val="0"/>
          <w:w w:val="100"/>
          <w:position w:val="0"/>
          <w:sz w:val="24"/>
          <w:szCs w:val="24"/>
        </w:rPr>
        <w:t>现金及现金等价物是指库存现金，可随时用于支付的存款，以及持有的期限 短、流动性强、易于转换为已知金额现金、价值变动风险很小的投资。</w:t>
      </w:r>
    </w:p>
    <w:p>
      <w:pPr>
        <w:pStyle w:val="Style32"/>
        <w:keepNext w:val="0"/>
        <w:keepLines w:val="0"/>
        <w:widowControl w:val="0"/>
        <w:shd w:val="clear" w:color="auto" w:fill="auto"/>
        <w:bidi w:val="0"/>
        <w:spacing w:before="0" w:after="0" w:line="240" w:lineRule="auto"/>
        <w:ind w:left="1180" w:right="0" w:firstLine="0"/>
        <w:jc w:val="left"/>
        <w:rPr>
          <w:sz w:val="24"/>
          <w:szCs w:val="24"/>
        </w:rPr>
      </w:pPr>
      <w:r>
        <w:rPr>
          <w:b/>
          <w:bCs/>
          <w:color w:val="000000"/>
          <w:spacing w:val="0"/>
          <w:w w:val="100"/>
          <w:position w:val="0"/>
          <w:sz w:val="24"/>
          <w:szCs w:val="24"/>
        </w:rPr>
        <w:t>财务报表附注</w:t>
      </w:r>
    </w:p>
    <w:p>
      <w:pPr>
        <w:pStyle w:val="Style88"/>
        <w:keepNext/>
        <w:keepLines/>
        <w:widowControl w:val="0"/>
        <w:shd w:val="clear" w:color="auto" w:fill="auto"/>
        <w:bidi w:val="0"/>
        <w:spacing w:before="0" w:after="0" w:line="240" w:lineRule="auto"/>
        <w:ind w:left="1180" w:right="0" w:firstLine="0"/>
        <w:jc w:val="left"/>
      </w:pPr>
      <w:bookmarkStart w:id="623" w:name="bookmark623"/>
      <w:bookmarkStart w:id="624" w:name="bookmark624"/>
      <w:bookmarkStart w:id="625" w:name="bookmark625"/>
      <w:r>
        <w:rPr>
          <w:color w:val="000000"/>
          <w:spacing w:val="0"/>
          <w:w w:val="100"/>
          <w:position w:val="0"/>
          <w:sz w:val="24"/>
          <w:szCs w:val="24"/>
        </w:rPr>
        <w:t>2016</w:t>
      </w:r>
      <w:r>
        <w:rPr>
          <w:rFonts w:ascii="SimSun" w:eastAsia="SimSun" w:hAnsi="SimSun" w:cs="SimSun"/>
          <w:b/>
          <w:bCs/>
          <w:color w:val="000000"/>
          <w:spacing w:val="0"/>
          <w:w w:val="100"/>
          <w:position w:val="0"/>
          <w:sz w:val="24"/>
          <w:szCs w:val="24"/>
        </w:rPr>
        <w:t>年度</w:t>
      </w:r>
      <w:bookmarkEnd w:id="623"/>
      <w:bookmarkEnd w:id="624"/>
      <w:bookmarkEnd w:id="625"/>
    </w:p>
    <w:p>
      <w:pPr>
        <w:pStyle w:val="Style32"/>
        <w:keepNext w:val="0"/>
        <w:keepLines w:val="0"/>
        <w:widowControl w:val="0"/>
        <w:shd w:val="clear" w:color="auto" w:fill="auto"/>
        <w:bidi w:val="0"/>
        <w:spacing w:before="0" w:after="240" w:line="240" w:lineRule="auto"/>
        <w:ind w:left="1180" w:right="0" w:firstLine="0"/>
        <w:jc w:val="left"/>
        <w:rPr>
          <w:sz w:val="24"/>
          <w:szCs w:val="24"/>
        </w:rPr>
      </w:pPr>
      <w:r>
        <w:rPr>
          <w:rFonts w:ascii="Arial" w:eastAsia="Arial" w:hAnsi="Arial" w:cs="Arial"/>
          <w:color w:val="000000"/>
          <w:spacing w:val="0"/>
          <w:w w:val="100"/>
          <w:position w:val="0"/>
          <w:sz w:val="20"/>
          <w:szCs w:val="20"/>
        </w:rPr>
        <w:t>(</w:t>
      </w:r>
      <w:r>
        <w:rPr>
          <w:color w:val="000000"/>
          <w:spacing w:val="0"/>
          <w:w w:val="100"/>
          <w:position w:val="0"/>
          <w:sz w:val="20"/>
          <w:szCs w:val="20"/>
        </w:rPr>
        <w:t>除特别注明外，金额单位为人民币千元</w:t>
      </w:r>
      <w:r>
        <w:rPr>
          <w:color w:val="000000"/>
          <w:spacing w:val="0"/>
          <w:w w:val="100"/>
          <w:position w:val="0"/>
          <w:sz w:val="24"/>
          <w:szCs w:val="24"/>
        </w:rPr>
        <w:t>)</w:t>
      </w:r>
    </w:p>
    <w:p>
      <w:pPr>
        <w:pStyle w:val="Style32"/>
        <w:keepNext w:val="0"/>
        <w:keepLines w:val="0"/>
        <w:widowControl w:val="0"/>
        <w:shd w:val="clear" w:color="auto" w:fill="auto"/>
        <w:tabs>
          <w:tab w:pos="1181" w:val="left"/>
        </w:tabs>
        <w:bidi w:val="0"/>
        <w:spacing w:before="0" w:after="240" w:line="240" w:lineRule="auto"/>
        <w:ind w:left="0" w:right="0" w:firstLine="480"/>
        <w:jc w:val="both"/>
        <w:rPr>
          <w:sz w:val="24"/>
          <w:szCs w:val="24"/>
        </w:rPr>
      </w:pPr>
      <w:r>
        <w:rPr>
          <w:b/>
          <w:bCs/>
          <w:color w:val="000000"/>
          <w:spacing w:val="0"/>
          <w:w w:val="100"/>
          <w:position w:val="0"/>
          <w:sz w:val="24"/>
          <w:szCs w:val="24"/>
        </w:rPr>
        <w:t>二</w:t>
        <w:tab/>
        <w:t>主要会计政策和会计估计</w:t>
      </w:r>
      <w:r>
        <w:rPr>
          <w:rFonts w:ascii="Times New Roman" w:eastAsia="Times New Roman" w:hAnsi="Times New Roman" w:cs="Times New Roman"/>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4"/>
          <w:szCs w:val="24"/>
        </w:rPr>
        <w:t>)</w:t>
      </w:r>
    </w:p>
    <w:p>
      <w:pPr>
        <w:pStyle w:val="Style32"/>
        <w:keepNext w:val="0"/>
        <w:keepLines w:val="0"/>
        <w:widowControl w:val="0"/>
        <w:numPr>
          <w:ilvl w:val="0"/>
          <w:numId w:val="25"/>
        </w:numPr>
        <w:shd w:val="clear" w:color="auto" w:fill="auto"/>
        <w:tabs>
          <w:tab w:pos="1181" w:val="left"/>
        </w:tabs>
        <w:bidi w:val="0"/>
        <w:spacing w:before="0" w:after="240" w:line="240" w:lineRule="auto"/>
        <w:ind w:left="0" w:right="0" w:firstLine="480"/>
        <w:jc w:val="both"/>
        <w:rPr>
          <w:sz w:val="24"/>
          <w:szCs w:val="24"/>
        </w:rPr>
      </w:pPr>
      <w:bookmarkStart w:id="626" w:name="bookmark626"/>
      <w:bookmarkEnd w:id="626"/>
      <w:r>
        <w:rPr>
          <w:b/>
          <w:bCs/>
          <w:color w:val="000000"/>
          <w:spacing w:val="0"/>
          <w:w w:val="100"/>
          <w:position w:val="0"/>
          <w:sz w:val="24"/>
          <w:szCs w:val="24"/>
        </w:rPr>
        <w:t>外币折算</w:t>
      </w:r>
    </w:p>
    <w:p>
      <w:pPr>
        <w:pStyle w:val="Style32"/>
        <w:keepNext w:val="0"/>
        <w:keepLines w:val="0"/>
        <w:widowControl w:val="0"/>
        <w:numPr>
          <w:ilvl w:val="0"/>
          <w:numId w:val="29"/>
        </w:numPr>
        <w:shd w:val="clear" w:color="auto" w:fill="auto"/>
        <w:tabs>
          <w:tab w:pos="1181" w:val="left"/>
        </w:tabs>
        <w:bidi w:val="0"/>
        <w:spacing w:before="0" w:after="240" w:line="271" w:lineRule="auto"/>
        <w:ind w:left="0" w:right="0" w:firstLine="480"/>
        <w:jc w:val="both"/>
        <w:rPr>
          <w:sz w:val="24"/>
          <w:szCs w:val="24"/>
        </w:rPr>
      </w:pPr>
      <w:bookmarkStart w:id="627" w:name="bookmark627"/>
      <w:bookmarkEnd w:id="627"/>
      <w:r>
        <w:rPr>
          <w:color w:val="000000"/>
          <w:spacing w:val="0"/>
          <w:w w:val="100"/>
          <w:position w:val="0"/>
          <w:sz w:val="24"/>
          <w:szCs w:val="24"/>
        </w:rPr>
        <w:t>外币交易</w:t>
      </w:r>
    </w:p>
    <w:p>
      <w:pPr>
        <w:pStyle w:val="Style32"/>
        <w:keepNext w:val="0"/>
        <w:keepLines w:val="0"/>
        <w:widowControl w:val="0"/>
        <w:shd w:val="clear" w:color="auto" w:fill="auto"/>
        <w:bidi w:val="0"/>
        <w:spacing w:before="0" w:after="240" w:line="312" w:lineRule="exact"/>
        <w:ind w:left="1180" w:right="0" w:firstLine="20"/>
        <w:jc w:val="both"/>
        <w:rPr>
          <w:sz w:val="24"/>
          <w:szCs w:val="24"/>
        </w:rPr>
      </w:pPr>
      <w:r>
        <w:rPr>
          <w:color w:val="000000"/>
          <w:spacing w:val="0"/>
          <w:w w:val="100"/>
          <w:position w:val="0"/>
          <w:sz w:val="24"/>
          <w:szCs w:val="24"/>
        </w:rPr>
        <w:t>外卜币交易按交易发生日的即期汇率将外币金额折算为人民币入账。</w:t>
      </w:r>
    </w:p>
    <w:p>
      <w:pPr>
        <w:pStyle w:val="Style32"/>
        <w:keepNext w:val="0"/>
        <w:keepLines w:val="0"/>
        <w:widowControl w:val="0"/>
        <w:shd w:val="clear" w:color="auto" w:fill="auto"/>
        <w:bidi w:val="0"/>
        <w:spacing w:before="0" w:after="240" w:line="311" w:lineRule="exact"/>
        <w:ind w:left="1180" w:right="0" w:firstLine="20"/>
        <w:jc w:val="both"/>
        <w:rPr>
          <w:sz w:val="24"/>
          <w:szCs w:val="24"/>
        </w:rPr>
      </w:pPr>
      <w:r>
        <w:rPr>
          <w:color w:val="000000"/>
          <w:spacing w:val="0"/>
          <w:w w:val="100"/>
          <w:position w:val="0"/>
          <w:sz w:val="24"/>
          <w:szCs w:val="24"/>
        </w:rPr>
        <w:t>于资产负债表日，外币货币性项目采用资产负债表日的即期汇率折算为人民 币。为购建符合借款费用资本化条件的资产而借入的外币专门借款产生的汇 兑差额在资本化期间内予以资本化；其他汇兑差额直接计入当期损益。以历 史成本计量的外币非货币性项目，采用交易发生日的即期汇率折算。汇率变 动对现金的影响额在现金流量表中单独列示。</w:t>
      </w:r>
    </w:p>
    <w:p>
      <w:pPr>
        <w:pStyle w:val="Style32"/>
        <w:keepNext w:val="0"/>
        <w:keepLines w:val="0"/>
        <w:widowControl w:val="0"/>
        <w:numPr>
          <w:ilvl w:val="0"/>
          <w:numId w:val="29"/>
        </w:numPr>
        <w:shd w:val="clear" w:color="auto" w:fill="auto"/>
        <w:tabs>
          <w:tab w:pos="1181" w:val="left"/>
        </w:tabs>
        <w:bidi w:val="0"/>
        <w:spacing w:before="0" w:after="240" w:line="271" w:lineRule="auto"/>
        <w:ind w:left="0" w:right="0" w:firstLine="480"/>
        <w:jc w:val="both"/>
        <w:rPr>
          <w:sz w:val="24"/>
          <w:szCs w:val="24"/>
        </w:rPr>
      </w:pPr>
      <w:bookmarkStart w:id="628" w:name="bookmark628"/>
      <w:bookmarkEnd w:id="628"/>
      <w:r>
        <w:rPr>
          <w:color w:val="000000"/>
          <w:spacing w:val="0"/>
          <w:w w:val="100"/>
          <w:position w:val="0"/>
          <w:sz w:val="24"/>
          <w:szCs w:val="24"/>
        </w:rPr>
        <w:t>外币财务报表的折算</w:t>
      </w:r>
    </w:p>
    <w:p>
      <w:pPr>
        <w:pStyle w:val="Style32"/>
        <w:keepNext w:val="0"/>
        <w:keepLines w:val="0"/>
        <w:widowControl w:val="0"/>
        <w:shd w:val="clear" w:color="auto" w:fill="auto"/>
        <w:bidi w:val="0"/>
        <w:spacing w:before="0" w:after="240" w:line="312" w:lineRule="exact"/>
        <w:ind w:left="1180" w:right="0" w:firstLine="20"/>
        <w:jc w:val="both"/>
        <w:rPr>
          <w:sz w:val="24"/>
          <w:szCs w:val="24"/>
        </w:rPr>
      </w:pPr>
      <w:r>
        <w:rPr>
          <w:color w:val="000000"/>
          <w:spacing w:val="0"/>
          <w:w w:val="100"/>
          <w:position w:val="0"/>
          <w:sz w:val="24"/>
          <w:szCs w:val="24"/>
        </w:rPr>
        <w:t>境外经营的资产负债表中的资产和负债项目，采用资产负债表日的即期汇率 折算，股东权益中除未分配利润项目外，其他项目采用发生时的即期汇率折 算。境外经营的利润表中的收入与费用项目，采用交易发生日的即期汇率折 算。上述折算产生的外币报表折算差额，计入其他综合收益。境外经营的现 金流量项目，采用现金流量发生日的即期汇率折算。汇率变动对现金的影响 额，在现金流量表中单独列示。</w:t>
      </w:r>
    </w:p>
    <w:p>
      <w:pPr>
        <w:pStyle w:val="Style32"/>
        <w:keepNext w:val="0"/>
        <w:keepLines w:val="0"/>
        <w:widowControl w:val="0"/>
        <w:numPr>
          <w:ilvl w:val="0"/>
          <w:numId w:val="25"/>
        </w:numPr>
        <w:shd w:val="clear" w:color="auto" w:fill="auto"/>
        <w:tabs>
          <w:tab w:pos="1181" w:val="left"/>
        </w:tabs>
        <w:bidi w:val="0"/>
        <w:spacing w:before="0" w:after="240" w:line="240" w:lineRule="auto"/>
        <w:ind w:left="0" w:right="0" w:firstLine="480"/>
        <w:jc w:val="both"/>
        <w:rPr>
          <w:sz w:val="24"/>
          <w:szCs w:val="24"/>
        </w:rPr>
      </w:pPr>
      <w:bookmarkStart w:id="629" w:name="bookmark629"/>
      <w:bookmarkEnd w:id="629"/>
      <w:r>
        <w:rPr>
          <w:b/>
          <w:bCs/>
          <w:color w:val="000000"/>
          <w:spacing w:val="0"/>
          <w:w w:val="100"/>
          <w:position w:val="0"/>
          <w:sz w:val="24"/>
          <w:szCs w:val="24"/>
        </w:rPr>
        <w:t>金融工具</w:t>
      </w:r>
    </w:p>
    <w:p>
      <w:pPr>
        <w:pStyle w:val="Style32"/>
        <w:keepNext w:val="0"/>
        <w:keepLines w:val="0"/>
        <w:widowControl w:val="0"/>
        <w:numPr>
          <w:ilvl w:val="0"/>
          <w:numId w:val="31"/>
        </w:numPr>
        <w:shd w:val="clear" w:color="auto" w:fill="auto"/>
        <w:tabs>
          <w:tab w:pos="1181" w:val="left"/>
        </w:tabs>
        <w:bidi w:val="0"/>
        <w:spacing w:before="0" w:after="240" w:line="271" w:lineRule="auto"/>
        <w:ind w:left="0" w:right="0" w:firstLine="480"/>
        <w:jc w:val="both"/>
        <w:rPr>
          <w:sz w:val="24"/>
          <w:szCs w:val="24"/>
        </w:rPr>
      </w:pPr>
      <w:bookmarkStart w:id="630" w:name="bookmark630"/>
      <w:bookmarkEnd w:id="630"/>
      <w:r>
        <w:rPr>
          <w:color w:val="000000"/>
          <w:spacing w:val="0"/>
          <w:w w:val="100"/>
          <w:position w:val="0"/>
          <w:sz w:val="24"/>
          <w:szCs w:val="24"/>
        </w:rPr>
        <w:t>金融资产</w:t>
      </w:r>
    </w:p>
    <w:p>
      <w:pPr>
        <w:pStyle w:val="Style32"/>
        <w:keepNext w:val="0"/>
        <w:keepLines w:val="0"/>
        <w:widowControl w:val="0"/>
        <w:numPr>
          <w:ilvl w:val="0"/>
          <w:numId w:val="33"/>
        </w:numPr>
        <w:shd w:val="clear" w:color="auto" w:fill="auto"/>
        <w:tabs>
          <w:tab w:pos="1181" w:val="left"/>
        </w:tabs>
        <w:bidi w:val="0"/>
        <w:spacing w:before="0" w:after="240" w:line="271" w:lineRule="auto"/>
        <w:ind w:left="0" w:right="0" w:firstLine="480"/>
        <w:jc w:val="both"/>
        <w:rPr>
          <w:sz w:val="24"/>
          <w:szCs w:val="24"/>
        </w:rPr>
      </w:pPr>
      <w:bookmarkStart w:id="631" w:name="bookmark631"/>
      <w:bookmarkEnd w:id="631"/>
      <w:r>
        <w:rPr>
          <w:color w:val="000000"/>
          <w:spacing w:val="0"/>
          <w:w w:val="100"/>
          <w:position w:val="0"/>
          <w:sz w:val="24"/>
          <w:szCs w:val="24"/>
        </w:rPr>
        <w:t>金融资产分类</w:t>
      </w:r>
    </w:p>
    <w:p>
      <w:pPr>
        <w:pStyle w:val="Style32"/>
        <w:keepNext w:val="0"/>
        <w:keepLines w:val="0"/>
        <w:widowControl w:val="0"/>
        <w:shd w:val="clear" w:color="auto" w:fill="auto"/>
        <w:bidi w:val="0"/>
        <w:spacing w:before="0" w:after="240" w:line="312" w:lineRule="exact"/>
        <w:ind w:left="1180" w:right="0" w:firstLine="20"/>
        <w:jc w:val="left"/>
        <w:rPr>
          <w:sz w:val="24"/>
          <w:szCs w:val="24"/>
        </w:rPr>
      </w:pPr>
      <w:r>
        <w:rPr>
          <w:color w:val="000000"/>
          <w:spacing w:val="0"/>
          <w:w w:val="100"/>
          <w:position w:val="0"/>
          <w:sz w:val="24"/>
          <w:szCs w:val="24"/>
        </w:rPr>
        <w:t>金融资产于初始确认时分类为：以公允价值计量且其变动计入当期损益的金 融资产、应收款项、可供出售金融资产和持有至到期投资。金融资产的分类 取决于本集团对金融资产的持有意图和持有能力。</w:t>
      </w:r>
    </w:p>
    <w:p>
      <w:pPr>
        <w:pStyle w:val="Style32"/>
        <w:keepNext w:val="0"/>
        <w:keepLines w:val="0"/>
        <w:widowControl w:val="0"/>
        <w:shd w:val="clear" w:color="auto" w:fill="auto"/>
        <w:bidi w:val="0"/>
        <w:spacing w:before="0" w:after="300" w:line="312" w:lineRule="exact"/>
        <w:ind w:left="1180" w:right="0" w:firstLine="20"/>
        <w:jc w:val="left"/>
        <w:rPr>
          <w:sz w:val="24"/>
          <w:szCs w:val="24"/>
        </w:rPr>
      </w:pPr>
      <w:r>
        <w:rPr>
          <w:color w:val="000000"/>
          <w:spacing w:val="0"/>
          <w:w w:val="100"/>
          <w:position w:val="0"/>
          <w:sz w:val="24"/>
          <w:szCs w:val="24"/>
        </w:rPr>
        <w:t>以公允价值计量且其变动计入当期损益的金融资产</w:t>
      </w:r>
    </w:p>
    <w:p>
      <w:pPr>
        <w:pStyle w:val="Style32"/>
        <w:keepNext w:val="0"/>
        <w:keepLines w:val="0"/>
        <w:widowControl w:val="0"/>
        <w:shd w:val="clear" w:color="auto" w:fill="auto"/>
        <w:bidi w:val="0"/>
        <w:spacing w:before="0" w:after="240" w:line="307" w:lineRule="exact"/>
        <w:ind w:left="1180" w:right="0" w:firstLine="20"/>
        <w:jc w:val="left"/>
        <w:rPr>
          <w:sz w:val="24"/>
          <w:szCs w:val="24"/>
        </w:rPr>
      </w:pPr>
      <w:r>
        <w:rPr>
          <w:color w:val="000000"/>
          <w:spacing w:val="0"/>
          <w:w w:val="100"/>
          <w:position w:val="0"/>
          <w:sz w:val="24"/>
          <w:szCs w:val="24"/>
        </w:rPr>
        <w:t>以公允价值计量且其变动计入当期损益的金融资产包括持有目的为短期内出 售的金融资产。</w:t>
      </w:r>
    </w:p>
    <w:p>
      <w:pPr>
        <w:pStyle w:val="Style32"/>
        <w:keepNext w:val="0"/>
        <w:keepLines w:val="0"/>
        <w:widowControl w:val="0"/>
        <w:shd w:val="clear" w:color="auto" w:fill="auto"/>
        <w:bidi w:val="0"/>
        <w:spacing w:before="0" w:after="300" w:line="312" w:lineRule="exact"/>
        <w:ind w:left="1180" w:right="0" w:firstLine="20"/>
        <w:jc w:val="left"/>
        <w:rPr>
          <w:sz w:val="24"/>
          <w:szCs w:val="24"/>
        </w:rPr>
      </w:pPr>
      <w:r>
        <w:rPr>
          <w:color w:val="000000"/>
          <w:spacing w:val="0"/>
          <w:w w:val="100"/>
          <w:position w:val="0"/>
          <w:sz w:val="24"/>
          <w:szCs w:val="24"/>
        </w:rPr>
        <w:t>应收款项</w:t>
      </w:r>
    </w:p>
    <w:p>
      <w:pPr>
        <w:pStyle w:val="Style32"/>
        <w:keepNext w:val="0"/>
        <w:keepLines w:val="0"/>
        <w:widowControl w:val="0"/>
        <w:shd w:val="clear" w:color="auto" w:fill="auto"/>
        <w:bidi w:val="0"/>
        <w:spacing w:before="0" w:after="240" w:line="312" w:lineRule="exact"/>
        <w:ind w:left="1180" w:right="0" w:firstLine="20"/>
        <w:jc w:val="left"/>
        <w:rPr>
          <w:sz w:val="24"/>
          <w:szCs w:val="24"/>
        </w:rPr>
      </w:pPr>
      <w:r>
        <w:rPr>
          <w:color w:val="000000"/>
          <w:spacing w:val="0"/>
          <w:w w:val="100"/>
          <w:position w:val="0"/>
          <w:sz w:val="24"/>
          <w:szCs w:val="24"/>
        </w:rPr>
        <w:t>应收款项及贷款是指在活跃市场中没有报价、回收金额固定或可确定的非衍 生金融资产。</w:t>
      </w:r>
    </w:p>
    <w:p>
      <w:pPr>
        <w:pStyle w:val="Style32"/>
        <w:keepNext w:val="0"/>
        <w:keepLines w:val="0"/>
        <w:widowControl w:val="0"/>
        <w:shd w:val="clear" w:color="auto" w:fill="auto"/>
        <w:bidi w:val="0"/>
        <w:spacing w:before="0" w:after="0" w:line="240" w:lineRule="auto"/>
        <w:ind w:left="1180" w:right="0" w:firstLine="0"/>
        <w:jc w:val="left"/>
        <w:rPr>
          <w:sz w:val="24"/>
          <w:szCs w:val="24"/>
        </w:rPr>
      </w:pPr>
      <w:r>
        <w:rPr>
          <w:b/>
          <w:bCs/>
          <w:color w:val="000000"/>
          <w:spacing w:val="0"/>
          <w:w w:val="100"/>
          <w:position w:val="0"/>
          <w:sz w:val="24"/>
          <w:szCs w:val="24"/>
        </w:rPr>
        <w:t>财务报表附注</w:t>
      </w:r>
    </w:p>
    <w:p>
      <w:pPr>
        <w:pStyle w:val="Style88"/>
        <w:keepNext/>
        <w:keepLines/>
        <w:widowControl w:val="0"/>
        <w:shd w:val="clear" w:color="auto" w:fill="auto"/>
        <w:bidi w:val="0"/>
        <w:spacing w:before="0" w:after="0" w:line="240" w:lineRule="auto"/>
        <w:ind w:left="1180" w:right="0" w:firstLine="0"/>
        <w:jc w:val="left"/>
      </w:pPr>
      <w:bookmarkStart w:id="632" w:name="bookmark632"/>
      <w:bookmarkStart w:id="633" w:name="bookmark633"/>
      <w:bookmarkStart w:id="634" w:name="bookmark634"/>
      <w:r>
        <w:rPr>
          <w:color w:val="000000"/>
          <w:spacing w:val="0"/>
          <w:w w:val="100"/>
          <w:position w:val="0"/>
          <w:sz w:val="24"/>
          <w:szCs w:val="24"/>
        </w:rPr>
        <w:t>2016</w:t>
      </w:r>
      <w:r>
        <w:rPr>
          <w:rFonts w:ascii="SimSun" w:eastAsia="SimSun" w:hAnsi="SimSun" w:cs="SimSun"/>
          <w:b/>
          <w:bCs/>
          <w:color w:val="000000"/>
          <w:spacing w:val="0"/>
          <w:w w:val="100"/>
          <w:position w:val="0"/>
          <w:sz w:val="24"/>
          <w:szCs w:val="24"/>
        </w:rPr>
        <w:t>年度</w:t>
      </w:r>
      <w:bookmarkEnd w:id="632"/>
      <w:bookmarkEnd w:id="633"/>
      <w:bookmarkEnd w:id="634"/>
    </w:p>
    <w:p>
      <w:pPr>
        <w:pStyle w:val="Style32"/>
        <w:keepNext w:val="0"/>
        <w:keepLines w:val="0"/>
        <w:widowControl w:val="0"/>
        <w:shd w:val="clear" w:color="auto" w:fill="auto"/>
        <w:bidi w:val="0"/>
        <w:spacing w:before="0" w:after="260" w:line="240" w:lineRule="auto"/>
        <w:ind w:left="1180" w:right="0" w:firstLine="0"/>
        <w:jc w:val="left"/>
        <w:rPr>
          <w:sz w:val="24"/>
          <w:szCs w:val="24"/>
        </w:rPr>
      </w:pPr>
      <w:r>
        <w:rPr>
          <w:rFonts w:ascii="Arial" w:eastAsia="Arial" w:hAnsi="Arial" w:cs="Arial"/>
          <w:color w:val="000000"/>
          <w:spacing w:val="0"/>
          <w:w w:val="100"/>
          <w:position w:val="0"/>
          <w:sz w:val="20"/>
          <w:szCs w:val="20"/>
        </w:rPr>
        <w:t>（</w:t>
      </w:r>
      <w:r>
        <w:rPr>
          <w:color w:val="000000"/>
          <w:spacing w:val="0"/>
          <w:w w:val="100"/>
          <w:position w:val="0"/>
          <w:sz w:val="20"/>
          <w:szCs w:val="20"/>
        </w:rPr>
        <w:t>除特别注明外，金额单位为人民币千元</w:t>
      </w:r>
      <w:r>
        <w:rPr>
          <w:color w:val="000000"/>
          <w:spacing w:val="0"/>
          <w:w w:val="100"/>
          <w:position w:val="0"/>
          <w:sz w:val="24"/>
          <w:szCs w:val="24"/>
        </w:rPr>
        <w:t>）</w:t>
      </w:r>
    </w:p>
    <w:p>
      <w:pPr>
        <w:pStyle w:val="Style32"/>
        <w:keepNext w:val="0"/>
        <w:keepLines w:val="0"/>
        <w:widowControl w:val="0"/>
        <w:shd w:val="clear" w:color="auto" w:fill="auto"/>
        <w:tabs>
          <w:tab w:pos="1179" w:val="left"/>
        </w:tabs>
        <w:bidi w:val="0"/>
        <w:spacing w:before="0" w:after="260" w:line="240" w:lineRule="auto"/>
        <w:ind w:left="0" w:right="0" w:firstLine="480"/>
        <w:jc w:val="both"/>
        <w:rPr>
          <w:sz w:val="24"/>
          <w:szCs w:val="24"/>
        </w:rPr>
      </w:pPr>
      <w:r>
        <w:rPr>
          <w:b/>
          <w:bCs/>
          <w:color w:val="000000"/>
          <w:spacing w:val="0"/>
          <w:w w:val="100"/>
          <w:position w:val="0"/>
          <w:sz w:val="24"/>
          <w:szCs w:val="24"/>
        </w:rPr>
        <w:t>二</w:t>
        <w:tab/>
        <w:t>主要会计政策和会计估计</w:t>
      </w:r>
      <w:r>
        <w:rPr>
          <w:rFonts w:ascii="Times New Roman" w:eastAsia="Times New Roman" w:hAnsi="Times New Roman" w:cs="Times New Roman"/>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4"/>
          <w:szCs w:val="24"/>
        </w:rPr>
        <w:t>）</w:t>
      </w:r>
    </w:p>
    <w:p>
      <w:pPr>
        <w:pStyle w:val="Style53"/>
        <w:keepNext w:val="0"/>
        <w:keepLines w:val="0"/>
        <w:widowControl w:val="0"/>
        <w:shd w:val="clear" w:color="auto" w:fill="auto"/>
        <w:tabs>
          <w:tab w:pos="1179" w:val="left"/>
        </w:tabs>
        <w:bidi w:val="0"/>
        <w:spacing w:before="0" w:after="220" w:line="271" w:lineRule="auto"/>
        <w:ind w:left="0" w:right="0" w:firstLine="480"/>
        <w:jc w:val="both"/>
        <w:rPr>
          <w:sz w:val="24"/>
          <w:szCs w:val="24"/>
        </w:rPr>
      </w:pPr>
      <w:r>
        <w:rPr>
          <w:color w:val="000000"/>
          <w:spacing w:val="0"/>
          <w:w w:val="100"/>
          <w:position w:val="0"/>
          <w:sz w:val="24"/>
          <w:szCs w:val="24"/>
        </w:rPr>
        <w:t>（9）</w:t>
        <w:tab/>
      </w:r>
      <w:r>
        <w:rPr>
          <w:rFonts w:ascii="SimSun" w:eastAsia="SimSun" w:hAnsi="SimSun" w:cs="SimSun"/>
          <w:b/>
          <w:bCs/>
          <w:color w:val="000000"/>
          <w:spacing w:val="0"/>
          <w:w w:val="100"/>
          <w:position w:val="0"/>
          <w:sz w:val="24"/>
          <w:szCs w:val="24"/>
        </w:rPr>
        <w:t>金融工具</w:t>
      </w:r>
      <w:r>
        <w:rPr>
          <w:color w:val="000000"/>
          <w:spacing w:val="0"/>
          <w:w w:val="100"/>
          <w:position w:val="0"/>
          <w:sz w:val="24"/>
          <w:szCs w:val="24"/>
        </w:rPr>
        <w:t>（</w:t>
      </w:r>
      <w:r>
        <w:rPr>
          <w:rFonts w:ascii="SimSun" w:eastAsia="SimSun" w:hAnsi="SimSun" w:cs="SimSun"/>
          <w:b/>
          <w:bCs/>
          <w:color w:val="000000"/>
          <w:spacing w:val="0"/>
          <w:w w:val="100"/>
          <w:position w:val="0"/>
          <w:sz w:val="24"/>
          <w:szCs w:val="24"/>
        </w:rPr>
        <w:t>续</w:t>
      </w:r>
      <w:r>
        <w:rPr>
          <w:rFonts w:ascii="SimSun" w:eastAsia="SimSun" w:hAnsi="SimSun" w:cs="SimSun"/>
          <w:color w:val="000000"/>
          <w:spacing w:val="0"/>
          <w:w w:val="100"/>
          <w:position w:val="0"/>
          <w:sz w:val="24"/>
          <w:szCs w:val="24"/>
        </w:rPr>
        <w:t>）</w:t>
      </w:r>
    </w:p>
    <w:p>
      <w:pPr>
        <w:pStyle w:val="Style53"/>
        <w:keepNext w:val="0"/>
        <w:keepLines w:val="0"/>
        <w:widowControl w:val="0"/>
        <w:shd w:val="clear" w:color="auto" w:fill="auto"/>
        <w:tabs>
          <w:tab w:pos="1179" w:val="left"/>
        </w:tabs>
        <w:bidi w:val="0"/>
        <w:spacing w:before="0" w:after="220" w:line="271" w:lineRule="auto"/>
        <w:ind w:left="0" w:right="0" w:firstLine="480"/>
        <w:jc w:val="both"/>
        <w:rPr>
          <w:sz w:val="24"/>
          <w:szCs w:val="24"/>
        </w:rPr>
      </w:pPr>
      <w:bookmarkStart w:id="635" w:name="bookmark635"/>
      <w:r>
        <w:rPr>
          <w:color w:val="000000"/>
          <w:spacing w:val="0"/>
          <w:w w:val="100"/>
          <w:position w:val="0"/>
          <w:sz w:val="24"/>
          <w:szCs w:val="24"/>
        </w:rPr>
        <w:t>（</w:t>
      </w:r>
      <w:bookmarkEnd w:id="635"/>
      <w:r>
        <w:rPr>
          <w:color w:val="000000"/>
          <w:spacing w:val="0"/>
          <w:w w:val="100"/>
          <w:position w:val="0"/>
          <w:sz w:val="24"/>
          <w:szCs w:val="24"/>
        </w:rPr>
        <w:t>a）</w:t>
        <w:tab/>
      </w:r>
      <w:r>
        <w:rPr>
          <w:rFonts w:ascii="SimSun" w:eastAsia="SimSun" w:hAnsi="SimSun" w:cs="SimSun"/>
          <w:color w:val="000000"/>
          <w:spacing w:val="0"/>
          <w:w w:val="100"/>
          <w:position w:val="0"/>
          <w:sz w:val="24"/>
          <w:szCs w:val="24"/>
        </w:rPr>
        <w:t>金融资产</w:t>
      </w:r>
      <w:r>
        <w:rPr>
          <w:color w:val="000000"/>
          <w:spacing w:val="0"/>
          <w:w w:val="100"/>
          <w:position w:val="0"/>
          <w:sz w:val="24"/>
          <w:szCs w:val="24"/>
        </w:rPr>
        <w:t>（</w:t>
      </w:r>
      <w:r>
        <w:rPr>
          <w:rFonts w:ascii="SimSun" w:eastAsia="SimSun" w:hAnsi="SimSun" w:cs="SimSun"/>
          <w:color w:val="000000"/>
          <w:spacing w:val="0"/>
          <w:w w:val="100"/>
          <w:position w:val="0"/>
          <w:sz w:val="24"/>
          <w:szCs w:val="24"/>
        </w:rPr>
        <w:t>续</w:t>
      </w:r>
      <w:r>
        <w:rPr>
          <w:rFonts w:ascii="SimSun" w:eastAsia="SimSun" w:hAnsi="SimSun" w:cs="SimSun"/>
          <w:color w:val="000000"/>
          <w:spacing w:val="0"/>
          <w:w w:val="100"/>
          <w:position w:val="0"/>
          <w:sz w:val="24"/>
          <w:szCs w:val="24"/>
        </w:rPr>
        <w:t>）</w:t>
      </w:r>
    </w:p>
    <w:p>
      <w:pPr>
        <w:pStyle w:val="Style32"/>
        <w:keepNext w:val="0"/>
        <w:keepLines w:val="0"/>
        <w:widowControl w:val="0"/>
        <w:shd w:val="clear" w:color="auto" w:fill="auto"/>
        <w:tabs>
          <w:tab w:pos="1179" w:val="left"/>
        </w:tabs>
        <w:bidi w:val="0"/>
        <w:spacing w:before="0" w:after="220" w:line="271" w:lineRule="auto"/>
        <w:ind w:left="0" w:right="0" w:firstLine="480"/>
        <w:jc w:val="both"/>
        <w:rPr>
          <w:sz w:val="24"/>
          <w:szCs w:val="24"/>
        </w:rPr>
      </w:pPr>
      <w:bookmarkStart w:id="636" w:name="bookmark636"/>
      <w:r>
        <w:rPr>
          <w:rFonts w:ascii="Times New Roman" w:eastAsia="Times New Roman" w:hAnsi="Times New Roman" w:cs="Times New Roman"/>
          <w:color w:val="000000"/>
          <w:spacing w:val="0"/>
          <w:w w:val="100"/>
          <w:position w:val="0"/>
          <w:sz w:val="24"/>
          <w:szCs w:val="24"/>
        </w:rPr>
        <w:t>（</w:t>
      </w:r>
      <w:bookmarkEnd w:id="636"/>
      <w:r>
        <w:rPr>
          <w:rFonts w:ascii="Times New Roman" w:eastAsia="Times New Roman" w:hAnsi="Times New Roman" w:cs="Times New Roman"/>
          <w:color w:val="000000"/>
          <w:spacing w:val="0"/>
          <w:w w:val="100"/>
          <w:position w:val="0"/>
          <w:sz w:val="24"/>
          <w:szCs w:val="24"/>
        </w:rPr>
        <w:t>i）</w:t>
        <w:tab/>
      </w:r>
      <w:r>
        <w:rPr>
          <w:color w:val="000000"/>
          <w:spacing w:val="0"/>
          <w:w w:val="100"/>
          <w:position w:val="0"/>
          <w:sz w:val="24"/>
          <w:szCs w:val="24"/>
        </w:rPr>
        <w:t>金融资产分类</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续</w:t>
      </w:r>
      <w:r>
        <w:rPr>
          <w:color w:val="000000"/>
          <w:spacing w:val="0"/>
          <w:w w:val="100"/>
          <w:position w:val="0"/>
          <w:sz w:val="24"/>
          <w:szCs w:val="24"/>
        </w:rPr>
        <w:t>）</w:t>
      </w:r>
    </w:p>
    <w:p>
      <w:pPr>
        <w:pStyle w:val="Style32"/>
        <w:keepNext w:val="0"/>
        <w:keepLines w:val="0"/>
        <w:widowControl w:val="0"/>
        <w:shd w:val="clear" w:color="auto" w:fill="auto"/>
        <w:bidi w:val="0"/>
        <w:spacing w:before="0" w:after="260" w:line="310" w:lineRule="exact"/>
        <w:ind w:left="1180" w:right="0" w:firstLine="20"/>
        <w:jc w:val="both"/>
        <w:rPr>
          <w:sz w:val="24"/>
          <w:szCs w:val="24"/>
        </w:rPr>
      </w:pPr>
      <w:r>
        <w:rPr>
          <w:color w:val="000000"/>
          <w:spacing w:val="0"/>
          <w:w w:val="100"/>
          <w:position w:val="0"/>
          <w:sz w:val="24"/>
          <w:szCs w:val="24"/>
        </w:rPr>
        <w:t>可供出售金融资产</w:t>
      </w:r>
    </w:p>
    <w:p>
      <w:pPr>
        <w:pStyle w:val="Style32"/>
        <w:keepNext w:val="0"/>
        <w:keepLines w:val="0"/>
        <w:widowControl w:val="0"/>
        <w:shd w:val="clear" w:color="auto" w:fill="auto"/>
        <w:bidi w:val="0"/>
        <w:spacing w:before="0" w:after="220" w:line="310" w:lineRule="exact"/>
        <w:ind w:left="1180" w:right="0" w:firstLine="20"/>
        <w:jc w:val="both"/>
        <w:rPr>
          <w:sz w:val="24"/>
          <w:szCs w:val="24"/>
        </w:rPr>
      </w:pPr>
      <w:r>
        <w:rPr>
          <w:color w:val="000000"/>
          <w:spacing w:val="0"/>
          <w:w w:val="100"/>
          <w:position w:val="0"/>
          <w:sz w:val="24"/>
          <w:szCs w:val="24"/>
        </w:rPr>
        <w:t>可供出售金融资产包括初始确认时即被指定为可供出售的非衍生金融资产及 未被划分为其他类的金融资产。自资产负债表日起</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个月内将出售的可供 出售金融资产在资产负债表中列示为其他流动资产。</w:t>
      </w:r>
    </w:p>
    <w:p>
      <w:pPr>
        <w:pStyle w:val="Style32"/>
        <w:keepNext w:val="0"/>
        <w:keepLines w:val="0"/>
        <w:widowControl w:val="0"/>
        <w:shd w:val="clear" w:color="auto" w:fill="auto"/>
        <w:bidi w:val="0"/>
        <w:spacing w:before="0" w:after="260" w:line="310" w:lineRule="exact"/>
        <w:ind w:left="1180" w:right="0" w:firstLine="20"/>
        <w:jc w:val="both"/>
        <w:rPr>
          <w:sz w:val="24"/>
          <w:szCs w:val="24"/>
        </w:rPr>
      </w:pPr>
      <w:r>
        <w:rPr>
          <w:color w:val="000000"/>
          <w:spacing w:val="0"/>
          <w:w w:val="100"/>
          <w:position w:val="0"/>
          <w:sz w:val="24"/>
          <w:szCs w:val="24"/>
        </w:rPr>
        <w:t>持有至到期投资</w:t>
      </w:r>
    </w:p>
    <w:p>
      <w:pPr>
        <w:pStyle w:val="Style32"/>
        <w:keepNext w:val="0"/>
        <w:keepLines w:val="0"/>
        <w:widowControl w:val="0"/>
        <w:shd w:val="clear" w:color="auto" w:fill="auto"/>
        <w:bidi w:val="0"/>
        <w:spacing w:before="0" w:after="220" w:line="314" w:lineRule="exact"/>
        <w:ind w:left="1180" w:right="0" w:firstLine="20"/>
        <w:jc w:val="both"/>
        <w:rPr>
          <w:sz w:val="24"/>
          <w:szCs w:val="24"/>
        </w:rPr>
      </w:pPr>
      <w:r>
        <w:rPr>
          <w:color w:val="000000"/>
          <w:spacing w:val="0"/>
          <w:w w:val="100"/>
          <w:position w:val="0"/>
          <w:sz w:val="24"/>
          <w:szCs w:val="24"/>
        </w:rPr>
        <w:t>持有至到期投资是指到期日固定、回收金额固定或可确定，且管理层有明确 意图和能力持有至到期的非衍生金融资产。取得时期限超过</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个月但自资 产负债表日起</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个月</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含</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个月</w:t>
      </w:r>
      <w:r>
        <w:rPr>
          <w:color w:val="000000"/>
          <w:spacing w:val="0"/>
          <w:w w:val="100"/>
          <w:position w:val="0"/>
          <w:sz w:val="24"/>
          <w:szCs w:val="24"/>
        </w:rPr>
        <w:t>）</w:t>
      </w:r>
      <w:r>
        <w:rPr>
          <w:color w:val="000000"/>
          <w:spacing w:val="0"/>
          <w:w w:val="100"/>
          <w:position w:val="0"/>
          <w:sz w:val="24"/>
          <w:szCs w:val="24"/>
        </w:rPr>
        <w:t>内到期的持有至到期投资，列示为一年内 到期的非流动资产；取得时期限在</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个月之内</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含</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个月</w:t>
      </w:r>
      <w:r>
        <w:rPr>
          <w:color w:val="000000"/>
          <w:spacing w:val="0"/>
          <w:w w:val="100"/>
          <w:position w:val="0"/>
          <w:sz w:val="24"/>
          <w:szCs w:val="24"/>
        </w:rPr>
        <w:t>）</w:t>
      </w:r>
      <w:r>
        <w:rPr>
          <w:color w:val="000000"/>
          <w:spacing w:val="0"/>
          <w:w w:val="100"/>
          <w:position w:val="0"/>
          <w:sz w:val="24"/>
          <w:szCs w:val="24"/>
        </w:rPr>
        <w:t>的持有至到期投 资，列示为其他流动资产。于</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年度及</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sz w:val="24"/>
          <w:szCs w:val="24"/>
        </w:rPr>
        <w:t>年度，本集团无此类金融资 产。</w:t>
      </w:r>
    </w:p>
    <w:p>
      <w:pPr>
        <w:pStyle w:val="Style32"/>
        <w:keepNext w:val="0"/>
        <w:keepLines w:val="0"/>
        <w:widowControl w:val="0"/>
        <w:shd w:val="clear" w:color="auto" w:fill="auto"/>
        <w:tabs>
          <w:tab w:pos="1179" w:val="left"/>
        </w:tabs>
        <w:bidi w:val="0"/>
        <w:spacing w:before="0" w:after="220" w:line="271" w:lineRule="auto"/>
        <w:ind w:left="0" w:right="0" w:firstLine="480"/>
        <w:jc w:val="both"/>
        <w:rPr>
          <w:sz w:val="24"/>
          <w:szCs w:val="24"/>
        </w:rPr>
      </w:pPr>
      <w:bookmarkStart w:id="637" w:name="bookmark637"/>
      <w:r>
        <w:rPr>
          <w:rFonts w:ascii="Times New Roman" w:eastAsia="Times New Roman" w:hAnsi="Times New Roman" w:cs="Times New Roman"/>
          <w:color w:val="000000"/>
          <w:spacing w:val="0"/>
          <w:w w:val="100"/>
          <w:position w:val="0"/>
          <w:sz w:val="24"/>
          <w:szCs w:val="24"/>
        </w:rPr>
        <w:t>（</w:t>
      </w:r>
      <w:bookmarkEnd w:id="637"/>
      <w:r>
        <w:rPr>
          <w:rFonts w:ascii="Times New Roman" w:eastAsia="Times New Roman" w:hAnsi="Times New Roman" w:cs="Times New Roman"/>
          <w:color w:val="000000"/>
          <w:spacing w:val="0"/>
          <w:w w:val="100"/>
          <w:position w:val="0"/>
          <w:sz w:val="24"/>
          <w:szCs w:val="24"/>
        </w:rPr>
        <w:t>ii）</w:t>
        <w:tab/>
      </w:r>
      <w:r>
        <w:rPr>
          <w:color w:val="000000"/>
          <w:spacing w:val="0"/>
          <w:w w:val="100"/>
          <w:position w:val="0"/>
          <w:sz w:val="24"/>
          <w:szCs w:val="24"/>
        </w:rPr>
        <w:t>确认和计量</w:t>
      </w:r>
    </w:p>
    <w:p>
      <w:pPr>
        <w:pStyle w:val="Style32"/>
        <w:keepNext w:val="0"/>
        <w:keepLines w:val="0"/>
        <w:widowControl w:val="0"/>
        <w:shd w:val="clear" w:color="auto" w:fill="auto"/>
        <w:bidi w:val="0"/>
        <w:spacing w:before="0" w:after="260" w:line="310" w:lineRule="exact"/>
        <w:ind w:left="1180" w:right="0" w:firstLine="20"/>
        <w:jc w:val="both"/>
        <w:rPr>
          <w:sz w:val="24"/>
          <w:szCs w:val="24"/>
        </w:rPr>
      </w:pPr>
      <w:r>
        <w:rPr>
          <w:color w:val="000000"/>
          <w:spacing w:val="0"/>
          <w:w w:val="100"/>
          <w:position w:val="0"/>
          <w:sz w:val="24"/>
          <w:szCs w:val="24"/>
        </w:rPr>
        <w:t>金融资产于本集团成为金融工具合同的一方时，按公允价值在资产负债表内 确认。以公允价值计量且其变动计入当期损益的金融资产，取得时发生的相 关交易费用计入当期损益；其他金融资产的相关交易费用计入初始确认金 额。</w:t>
      </w:r>
    </w:p>
    <w:p>
      <w:pPr>
        <w:pStyle w:val="Style32"/>
        <w:keepNext w:val="0"/>
        <w:keepLines w:val="0"/>
        <w:widowControl w:val="0"/>
        <w:shd w:val="clear" w:color="auto" w:fill="auto"/>
        <w:bidi w:val="0"/>
        <w:spacing w:before="0" w:after="220" w:line="301" w:lineRule="exact"/>
        <w:ind w:left="1180" w:right="0" w:firstLine="20"/>
        <w:jc w:val="both"/>
        <w:rPr>
          <w:sz w:val="24"/>
          <w:szCs w:val="24"/>
        </w:rPr>
        <w:sectPr>
          <w:footnotePr>
            <w:pos w:val="pageBottom"/>
            <w:numFmt w:val="decimal"/>
            <w:numRestart w:val="continuous"/>
          </w:footnotePr>
          <w:pgSz w:w="11900" w:h="16840"/>
          <w:pgMar w:top="1354" w:right="358" w:bottom="1839" w:left="1227" w:header="0" w:footer="3" w:gutter="0"/>
          <w:cols w:space="720"/>
          <w:noEndnote/>
          <w:rtlGutter w:val="0"/>
          <w:docGrid w:linePitch="360"/>
        </w:sectPr>
      </w:pPr>
      <w:r>
        <w:rPr>
          <w:color w:val="000000"/>
          <w:spacing w:val="0"/>
          <w:w w:val="100"/>
          <w:position w:val="0"/>
          <w:sz w:val="24"/>
          <w:szCs w:val="24"/>
        </w:rPr>
        <w:t>以公允价值计量且其变动计入当期损益的金融资产和可供出售金融资产按照 公允价值进行后续计量，但在活跃市场中没有报价且其公允价值不能可靠计 量的权益工具投资，按照成本计量；应收款项以及持有至到期投资采用实际 利率法，以摊余成本计量。</w:t>
      </w:r>
    </w:p>
    <w:p>
      <w:pPr>
        <w:pStyle w:val="Style32"/>
        <w:keepNext w:val="0"/>
        <w:keepLines w:val="0"/>
        <w:widowControl w:val="0"/>
        <w:shd w:val="clear" w:color="auto" w:fill="auto"/>
        <w:bidi w:val="0"/>
        <w:spacing w:before="0" w:after="0" w:line="240" w:lineRule="auto"/>
        <w:ind w:left="1180" w:right="0" w:firstLine="0"/>
        <w:jc w:val="left"/>
        <w:rPr>
          <w:sz w:val="24"/>
          <w:szCs w:val="24"/>
        </w:rPr>
      </w:pPr>
      <w:r>
        <w:rPr>
          <w:b/>
          <w:bCs/>
          <w:color w:val="000000"/>
          <w:spacing w:val="0"/>
          <w:w w:val="100"/>
          <w:position w:val="0"/>
          <w:sz w:val="24"/>
          <w:szCs w:val="24"/>
        </w:rPr>
        <w:t>财务报表附注</w:t>
      </w:r>
    </w:p>
    <w:p>
      <w:pPr>
        <w:pStyle w:val="Style88"/>
        <w:keepNext/>
        <w:keepLines/>
        <w:widowControl w:val="0"/>
        <w:shd w:val="clear" w:color="auto" w:fill="auto"/>
        <w:bidi w:val="0"/>
        <w:spacing w:before="0" w:after="0" w:line="240" w:lineRule="auto"/>
        <w:ind w:left="1180" w:right="0" w:firstLine="0"/>
        <w:jc w:val="left"/>
      </w:pPr>
      <w:bookmarkStart w:id="638" w:name="bookmark638"/>
      <w:bookmarkStart w:id="639" w:name="bookmark639"/>
      <w:bookmarkStart w:id="640" w:name="bookmark640"/>
      <w:r>
        <w:rPr>
          <w:color w:val="000000"/>
          <w:spacing w:val="0"/>
          <w:w w:val="100"/>
          <w:position w:val="0"/>
          <w:sz w:val="24"/>
          <w:szCs w:val="24"/>
        </w:rPr>
        <w:t>2016</w:t>
      </w:r>
      <w:r>
        <w:rPr>
          <w:rFonts w:ascii="SimSun" w:eastAsia="SimSun" w:hAnsi="SimSun" w:cs="SimSun"/>
          <w:b/>
          <w:bCs/>
          <w:color w:val="000000"/>
          <w:spacing w:val="0"/>
          <w:w w:val="100"/>
          <w:position w:val="0"/>
          <w:sz w:val="24"/>
          <w:szCs w:val="24"/>
        </w:rPr>
        <w:t>年度</w:t>
      </w:r>
      <w:bookmarkEnd w:id="638"/>
      <w:bookmarkEnd w:id="639"/>
      <w:bookmarkEnd w:id="640"/>
    </w:p>
    <w:p>
      <w:pPr>
        <w:pStyle w:val="Style32"/>
        <w:keepNext w:val="0"/>
        <w:keepLines w:val="0"/>
        <w:widowControl w:val="0"/>
        <w:shd w:val="clear" w:color="auto" w:fill="auto"/>
        <w:bidi w:val="0"/>
        <w:spacing w:before="0" w:after="260" w:line="240" w:lineRule="auto"/>
        <w:ind w:left="1180" w:right="0" w:firstLine="0"/>
        <w:jc w:val="left"/>
        <w:rPr>
          <w:sz w:val="24"/>
          <w:szCs w:val="24"/>
        </w:rPr>
      </w:pPr>
      <w:r>
        <w:rPr>
          <w:rFonts w:ascii="Arial" w:eastAsia="Arial" w:hAnsi="Arial" w:cs="Arial"/>
          <w:color w:val="000000"/>
          <w:spacing w:val="0"/>
          <w:w w:val="100"/>
          <w:position w:val="0"/>
          <w:sz w:val="20"/>
          <w:szCs w:val="20"/>
        </w:rPr>
        <w:t>（</w:t>
      </w:r>
      <w:r>
        <w:rPr>
          <w:color w:val="000000"/>
          <w:spacing w:val="0"/>
          <w:w w:val="100"/>
          <w:position w:val="0"/>
          <w:sz w:val="20"/>
          <w:szCs w:val="20"/>
        </w:rPr>
        <w:t>除特别注明外，金额单位为人民币千元</w:t>
      </w:r>
      <w:r>
        <w:rPr>
          <w:color w:val="000000"/>
          <w:spacing w:val="0"/>
          <w:w w:val="100"/>
          <w:position w:val="0"/>
          <w:sz w:val="24"/>
          <w:szCs w:val="24"/>
        </w:rPr>
        <w:t>）</w:t>
      </w:r>
    </w:p>
    <w:p>
      <w:pPr>
        <w:pStyle w:val="Style32"/>
        <w:keepNext w:val="0"/>
        <w:keepLines w:val="0"/>
        <w:widowControl w:val="0"/>
        <w:shd w:val="clear" w:color="auto" w:fill="auto"/>
        <w:tabs>
          <w:tab w:pos="1134" w:val="left"/>
        </w:tabs>
        <w:bidi w:val="0"/>
        <w:spacing w:before="0" w:after="260" w:line="240" w:lineRule="auto"/>
        <w:ind w:left="0" w:right="0" w:firstLine="480"/>
        <w:jc w:val="both"/>
        <w:rPr>
          <w:sz w:val="24"/>
          <w:szCs w:val="24"/>
        </w:rPr>
      </w:pPr>
      <w:r>
        <w:rPr>
          <w:b/>
          <w:bCs/>
          <w:color w:val="000000"/>
          <w:spacing w:val="0"/>
          <w:w w:val="100"/>
          <w:position w:val="0"/>
          <w:sz w:val="24"/>
          <w:szCs w:val="24"/>
        </w:rPr>
        <w:t>二</w:t>
        <w:tab/>
        <w:t>主要会计政策和会计估计</w:t>
      </w:r>
      <w:r>
        <w:rPr>
          <w:rFonts w:ascii="Times New Roman" w:eastAsia="Times New Roman" w:hAnsi="Times New Roman" w:cs="Times New Roman"/>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4"/>
          <w:szCs w:val="24"/>
        </w:rPr>
        <w:t>）</w:t>
      </w:r>
    </w:p>
    <w:p>
      <w:pPr>
        <w:pStyle w:val="Style53"/>
        <w:keepNext w:val="0"/>
        <w:keepLines w:val="0"/>
        <w:widowControl w:val="0"/>
        <w:shd w:val="clear" w:color="auto" w:fill="auto"/>
        <w:tabs>
          <w:tab w:pos="1134" w:val="left"/>
        </w:tabs>
        <w:bidi w:val="0"/>
        <w:spacing w:before="0" w:after="220" w:line="271" w:lineRule="auto"/>
        <w:ind w:left="0" w:right="0" w:firstLine="480"/>
        <w:jc w:val="both"/>
        <w:rPr>
          <w:sz w:val="24"/>
          <w:szCs w:val="24"/>
        </w:rPr>
      </w:pPr>
      <w:r>
        <w:rPr>
          <w:color w:val="000000"/>
          <w:spacing w:val="0"/>
          <w:w w:val="100"/>
          <w:position w:val="0"/>
          <w:sz w:val="24"/>
          <w:szCs w:val="24"/>
        </w:rPr>
        <w:t>（9）</w:t>
        <w:tab/>
      </w:r>
      <w:r>
        <w:rPr>
          <w:rFonts w:ascii="SimSun" w:eastAsia="SimSun" w:hAnsi="SimSun" w:cs="SimSun"/>
          <w:b/>
          <w:bCs/>
          <w:color w:val="000000"/>
          <w:spacing w:val="0"/>
          <w:w w:val="100"/>
          <w:position w:val="0"/>
          <w:sz w:val="24"/>
          <w:szCs w:val="24"/>
        </w:rPr>
        <w:t>金融工具</w:t>
      </w:r>
      <w:r>
        <w:rPr>
          <w:color w:val="000000"/>
          <w:spacing w:val="0"/>
          <w:w w:val="100"/>
          <w:position w:val="0"/>
          <w:sz w:val="24"/>
          <w:szCs w:val="24"/>
        </w:rPr>
        <w:t>（</w:t>
      </w:r>
      <w:r>
        <w:rPr>
          <w:rFonts w:ascii="SimSun" w:eastAsia="SimSun" w:hAnsi="SimSun" w:cs="SimSun"/>
          <w:b/>
          <w:bCs/>
          <w:color w:val="000000"/>
          <w:spacing w:val="0"/>
          <w:w w:val="100"/>
          <w:position w:val="0"/>
          <w:sz w:val="24"/>
          <w:szCs w:val="24"/>
        </w:rPr>
        <w:t>续</w:t>
      </w:r>
      <w:r>
        <w:rPr>
          <w:rFonts w:ascii="SimSun" w:eastAsia="SimSun" w:hAnsi="SimSun" w:cs="SimSun"/>
          <w:color w:val="000000"/>
          <w:spacing w:val="0"/>
          <w:w w:val="100"/>
          <w:position w:val="0"/>
          <w:sz w:val="24"/>
          <w:szCs w:val="24"/>
        </w:rPr>
        <w:t>）</w:t>
      </w:r>
    </w:p>
    <w:p>
      <w:pPr>
        <w:pStyle w:val="Style53"/>
        <w:keepNext w:val="0"/>
        <w:keepLines w:val="0"/>
        <w:widowControl w:val="0"/>
        <w:shd w:val="clear" w:color="auto" w:fill="auto"/>
        <w:tabs>
          <w:tab w:pos="1134" w:val="left"/>
        </w:tabs>
        <w:bidi w:val="0"/>
        <w:spacing w:before="0" w:after="220" w:line="271" w:lineRule="auto"/>
        <w:ind w:left="0" w:right="0" w:firstLine="480"/>
        <w:jc w:val="both"/>
        <w:rPr>
          <w:sz w:val="24"/>
          <w:szCs w:val="24"/>
        </w:rPr>
      </w:pPr>
      <w:bookmarkStart w:id="641" w:name="bookmark641"/>
      <w:r>
        <w:rPr>
          <w:color w:val="000000"/>
          <w:spacing w:val="0"/>
          <w:w w:val="100"/>
          <w:position w:val="0"/>
          <w:sz w:val="24"/>
          <w:szCs w:val="24"/>
        </w:rPr>
        <w:t>（</w:t>
      </w:r>
      <w:bookmarkEnd w:id="641"/>
      <w:r>
        <w:rPr>
          <w:color w:val="000000"/>
          <w:spacing w:val="0"/>
          <w:w w:val="100"/>
          <w:position w:val="0"/>
          <w:sz w:val="24"/>
          <w:szCs w:val="24"/>
        </w:rPr>
        <w:t>a）</w:t>
        <w:tab/>
      </w:r>
      <w:r>
        <w:rPr>
          <w:rFonts w:ascii="SimSun" w:eastAsia="SimSun" w:hAnsi="SimSun" w:cs="SimSun"/>
          <w:color w:val="000000"/>
          <w:spacing w:val="0"/>
          <w:w w:val="100"/>
          <w:position w:val="0"/>
          <w:sz w:val="24"/>
          <w:szCs w:val="24"/>
        </w:rPr>
        <w:t>金融资产</w:t>
      </w:r>
      <w:r>
        <w:rPr>
          <w:color w:val="000000"/>
          <w:spacing w:val="0"/>
          <w:w w:val="100"/>
          <w:position w:val="0"/>
          <w:sz w:val="24"/>
          <w:szCs w:val="24"/>
        </w:rPr>
        <w:t>（</w:t>
      </w:r>
      <w:r>
        <w:rPr>
          <w:rFonts w:ascii="SimSun" w:eastAsia="SimSun" w:hAnsi="SimSun" w:cs="SimSun"/>
          <w:color w:val="000000"/>
          <w:spacing w:val="0"/>
          <w:w w:val="100"/>
          <w:position w:val="0"/>
          <w:sz w:val="24"/>
          <w:szCs w:val="24"/>
        </w:rPr>
        <w:t>续</w:t>
      </w:r>
      <w:r>
        <w:rPr>
          <w:rFonts w:ascii="SimSun" w:eastAsia="SimSun" w:hAnsi="SimSun" w:cs="SimSun"/>
          <w:color w:val="000000"/>
          <w:spacing w:val="0"/>
          <w:w w:val="100"/>
          <w:position w:val="0"/>
          <w:sz w:val="24"/>
          <w:szCs w:val="24"/>
        </w:rPr>
        <w:t>）</w:t>
      </w:r>
    </w:p>
    <w:p>
      <w:pPr>
        <w:pStyle w:val="Style53"/>
        <w:keepNext w:val="0"/>
        <w:keepLines w:val="0"/>
        <w:widowControl w:val="0"/>
        <w:shd w:val="clear" w:color="auto" w:fill="auto"/>
        <w:tabs>
          <w:tab w:pos="1134" w:val="left"/>
        </w:tabs>
        <w:bidi w:val="0"/>
        <w:spacing w:before="0" w:after="220" w:line="271" w:lineRule="auto"/>
        <w:ind w:left="0" w:right="0" w:firstLine="480"/>
        <w:jc w:val="both"/>
        <w:rPr>
          <w:sz w:val="24"/>
          <w:szCs w:val="24"/>
        </w:rPr>
      </w:pPr>
      <w:bookmarkStart w:id="642" w:name="bookmark642"/>
      <w:r>
        <w:rPr>
          <w:color w:val="000000"/>
          <w:spacing w:val="0"/>
          <w:w w:val="100"/>
          <w:position w:val="0"/>
          <w:sz w:val="24"/>
          <w:szCs w:val="24"/>
        </w:rPr>
        <w:t>（</w:t>
      </w:r>
      <w:bookmarkEnd w:id="642"/>
      <w:r>
        <w:rPr>
          <w:color w:val="000000"/>
          <w:spacing w:val="0"/>
          <w:w w:val="100"/>
          <w:position w:val="0"/>
          <w:sz w:val="24"/>
          <w:szCs w:val="24"/>
        </w:rPr>
        <w:t>ii）</w:t>
        <w:tab/>
      </w:r>
      <w:r>
        <w:rPr>
          <w:rFonts w:ascii="SimSun" w:eastAsia="SimSun" w:hAnsi="SimSun" w:cs="SimSun"/>
          <w:color w:val="000000"/>
          <w:spacing w:val="0"/>
          <w:w w:val="100"/>
          <w:position w:val="0"/>
          <w:sz w:val="24"/>
          <w:szCs w:val="24"/>
        </w:rPr>
        <w:t>确认和计量</w:t>
      </w:r>
      <w:r>
        <w:rPr>
          <w:color w:val="000000"/>
          <w:spacing w:val="0"/>
          <w:w w:val="100"/>
          <w:position w:val="0"/>
          <w:sz w:val="24"/>
          <w:szCs w:val="24"/>
        </w:rPr>
        <w:t>（</w:t>
      </w:r>
      <w:r>
        <w:rPr>
          <w:rFonts w:ascii="SimSun" w:eastAsia="SimSun" w:hAnsi="SimSun" w:cs="SimSun"/>
          <w:color w:val="000000"/>
          <w:spacing w:val="0"/>
          <w:w w:val="100"/>
          <w:position w:val="0"/>
          <w:sz w:val="24"/>
          <w:szCs w:val="24"/>
        </w:rPr>
        <w:t>续</w:t>
      </w:r>
      <w:r>
        <w:rPr>
          <w:rFonts w:ascii="SimSun" w:eastAsia="SimSun" w:hAnsi="SimSun" w:cs="SimSun"/>
          <w:color w:val="000000"/>
          <w:spacing w:val="0"/>
          <w:w w:val="100"/>
          <w:position w:val="0"/>
          <w:sz w:val="24"/>
          <w:szCs w:val="24"/>
        </w:rPr>
        <w:t>）</w:t>
      </w:r>
    </w:p>
    <w:p>
      <w:pPr>
        <w:pStyle w:val="Style32"/>
        <w:keepNext w:val="0"/>
        <w:keepLines w:val="0"/>
        <w:widowControl w:val="0"/>
        <w:shd w:val="clear" w:color="auto" w:fill="auto"/>
        <w:bidi w:val="0"/>
        <w:spacing w:before="0" w:after="260" w:line="307" w:lineRule="exact"/>
        <w:ind w:left="1180" w:right="0" w:firstLine="20"/>
        <w:jc w:val="both"/>
        <w:rPr>
          <w:sz w:val="24"/>
          <w:szCs w:val="24"/>
        </w:rPr>
      </w:pPr>
      <w:r>
        <w:rPr>
          <w:color w:val="000000"/>
          <w:spacing w:val="0"/>
          <w:w w:val="100"/>
          <w:position w:val="0"/>
          <w:sz w:val="24"/>
          <w:szCs w:val="24"/>
        </w:rPr>
        <w:t>以公允价值计量且其变动计入当期损益的金融资产的公允价值变动作为公允 价值变动损益计入当期损益；在资产持有期间所取得的利息或现金股利以及 处置时产生的处置损益计入当期损益。</w:t>
      </w:r>
    </w:p>
    <w:p>
      <w:pPr>
        <w:pStyle w:val="Style32"/>
        <w:keepNext w:val="0"/>
        <w:keepLines w:val="0"/>
        <w:widowControl w:val="0"/>
        <w:shd w:val="clear" w:color="auto" w:fill="auto"/>
        <w:bidi w:val="0"/>
        <w:spacing w:before="0" w:after="220" w:line="312" w:lineRule="exact"/>
        <w:ind w:left="1180" w:right="0" w:firstLine="20"/>
        <w:jc w:val="both"/>
        <w:rPr>
          <w:sz w:val="24"/>
          <w:szCs w:val="24"/>
        </w:rPr>
      </w:pPr>
      <w:r>
        <w:rPr>
          <w:color w:val="000000"/>
          <w:spacing w:val="0"/>
          <w:w w:val="100"/>
          <w:position w:val="0"/>
          <w:sz w:val="24"/>
          <w:szCs w:val="24"/>
        </w:rPr>
        <w:t>除减值损失及外币货币性金融资产形成的汇兑损益外，可供出售金融资产公 允价值变动直接计入股东权益，待该金融资产终止确认时，原直接计入权益 的公允价值变动累计额转入当期损益。可供出售债务工具投资在持有期间按 实际利率法计算的利息，以及被投资单位已宣告发放的与可供出售权益工具 投资相关的现金股利，作为投资收益计入当期损益。</w:t>
      </w:r>
    </w:p>
    <w:p>
      <w:pPr>
        <w:pStyle w:val="Style32"/>
        <w:keepNext w:val="0"/>
        <w:keepLines w:val="0"/>
        <w:widowControl w:val="0"/>
        <w:shd w:val="clear" w:color="auto" w:fill="auto"/>
        <w:tabs>
          <w:tab w:pos="1134" w:val="left"/>
        </w:tabs>
        <w:bidi w:val="0"/>
        <w:spacing w:before="0" w:after="220" w:line="271" w:lineRule="auto"/>
        <w:ind w:left="0" w:right="0" w:firstLine="480"/>
        <w:jc w:val="both"/>
        <w:rPr>
          <w:sz w:val="24"/>
          <w:szCs w:val="24"/>
        </w:rPr>
      </w:pPr>
      <w:bookmarkStart w:id="643" w:name="bookmark643"/>
      <w:r>
        <w:rPr>
          <w:rFonts w:ascii="Times New Roman" w:eastAsia="Times New Roman" w:hAnsi="Times New Roman" w:cs="Times New Roman"/>
          <w:color w:val="000000"/>
          <w:spacing w:val="0"/>
          <w:w w:val="100"/>
          <w:position w:val="0"/>
          <w:sz w:val="24"/>
          <w:szCs w:val="24"/>
        </w:rPr>
        <w:t>（</w:t>
      </w:r>
      <w:bookmarkEnd w:id="643"/>
      <w:r>
        <w:rPr>
          <w:rFonts w:ascii="Times New Roman" w:eastAsia="Times New Roman" w:hAnsi="Times New Roman" w:cs="Times New Roman"/>
          <w:color w:val="000000"/>
          <w:spacing w:val="0"/>
          <w:w w:val="100"/>
          <w:position w:val="0"/>
          <w:sz w:val="24"/>
          <w:szCs w:val="24"/>
        </w:rPr>
        <w:t>iii）</w:t>
        <w:tab/>
      </w:r>
      <w:r>
        <w:rPr>
          <w:color w:val="000000"/>
          <w:spacing w:val="0"/>
          <w:w w:val="100"/>
          <w:position w:val="0"/>
          <w:sz w:val="24"/>
          <w:szCs w:val="24"/>
        </w:rPr>
        <w:t>金融资产减值</w:t>
      </w:r>
    </w:p>
    <w:p>
      <w:pPr>
        <w:pStyle w:val="Style32"/>
        <w:keepNext w:val="0"/>
        <w:keepLines w:val="0"/>
        <w:widowControl w:val="0"/>
        <w:shd w:val="clear" w:color="auto" w:fill="auto"/>
        <w:bidi w:val="0"/>
        <w:spacing w:before="0" w:after="260" w:line="310" w:lineRule="exact"/>
        <w:ind w:left="1180" w:right="0" w:firstLine="20"/>
        <w:jc w:val="both"/>
        <w:rPr>
          <w:sz w:val="24"/>
          <w:szCs w:val="24"/>
        </w:rPr>
      </w:pPr>
      <w:r>
        <w:rPr>
          <w:color w:val="000000"/>
          <w:spacing w:val="0"/>
          <w:w w:val="100"/>
          <w:position w:val="0"/>
          <w:sz w:val="24"/>
          <w:szCs w:val="24"/>
        </w:rPr>
        <w:t>除以公允价值计量且其变动计入当期损益的金融资产外，本集团于资产负债 表日对金融资产的账面价值进行检查，如果有客观证据表明某项金融资产发 生减值的，计提减值准备。</w:t>
      </w:r>
    </w:p>
    <w:p>
      <w:pPr>
        <w:pStyle w:val="Style32"/>
        <w:keepNext w:val="0"/>
        <w:keepLines w:val="0"/>
        <w:widowControl w:val="0"/>
        <w:shd w:val="clear" w:color="auto" w:fill="auto"/>
        <w:bidi w:val="0"/>
        <w:spacing w:before="0" w:after="260" w:line="310" w:lineRule="exact"/>
        <w:ind w:left="1180" w:right="0" w:firstLine="20"/>
        <w:jc w:val="both"/>
        <w:rPr>
          <w:sz w:val="24"/>
          <w:szCs w:val="24"/>
        </w:rPr>
      </w:pPr>
      <w:r>
        <w:rPr>
          <w:color w:val="000000"/>
          <w:spacing w:val="0"/>
          <w:w w:val="100"/>
          <w:position w:val="0"/>
          <w:sz w:val="24"/>
          <w:szCs w:val="24"/>
        </w:rPr>
        <w:t>表明金融资产发生减值的客观证据，是指金融资产初始确认后实际发生的、 对该金融资产的预计未来现金流量有影响，且本集团能够对该影响进行可靠 计量的事项。</w:t>
      </w:r>
    </w:p>
    <w:p>
      <w:pPr>
        <w:pStyle w:val="Style32"/>
        <w:keepNext w:val="0"/>
        <w:keepLines w:val="0"/>
        <w:widowControl w:val="0"/>
        <w:shd w:val="clear" w:color="auto" w:fill="auto"/>
        <w:bidi w:val="0"/>
        <w:spacing w:before="0" w:after="220" w:line="312" w:lineRule="exact"/>
        <w:ind w:left="1180" w:right="0" w:firstLine="20"/>
        <w:jc w:val="both"/>
        <w:rPr>
          <w:sz w:val="24"/>
          <w:szCs w:val="24"/>
        </w:rPr>
      </w:pPr>
      <w:r>
        <w:rPr>
          <w:color w:val="000000"/>
          <w:spacing w:val="0"/>
          <w:w w:val="100"/>
          <w:position w:val="0"/>
          <w:sz w:val="24"/>
          <w:szCs w:val="24"/>
        </w:rPr>
        <w:t>表明可供出售权益工具投资发生减值的客观证据包括权益工具投资的公允价 值发生严重或非暂时性下跌。本集团于资产负债表日对各项可供出售权益工 具投资单独进行检查，若该权益工具投资于资产负债表日的公允价值低于其 初始投资成本超过</w:t>
      </w:r>
      <w:r>
        <w:rPr>
          <w:rFonts w:ascii="Times New Roman" w:eastAsia="Times New Roman" w:hAnsi="Times New Roman" w:cs="Times New Roman"/>
          <w:color w:val="000000"/>
          <w:spacing w:val="0"/>
          <w:w w:val="100"/>
          <w:position w:val="0"/>
          <w:sz w:val="24"/>
          <w:szCs w:val="24"/>
        </w:rPr>
        <w:t>50%（</w:t>
      </w:r>
      <w:r>
        <w:rPr>
          <w:color w:val="000000"/>
          <w:spacing w:val="0"/>
          <w:w w:val="100"/>
          <w:position w:val="0"/>
          <w:sz w:val="24"/>
          <w:szCs w:val="24"/>
        </w:rPr>
        <w:t>含</w:t>
      </w:r>
      <w:r>
        <w:rPr>
          <w:rFonts w:ascii="Times New Roman" w:eastAsia="Times New Roman" w:hAnsi="Times New Roman" w:cs="Times New Roman"/>
          <w:color w:val="000000"/>
          <w:spacing w:val="0"/>
          <w:w w:val="100"/>
          <w:position w:val="0"/>
          <w:sz w:val="24"/>
          <w:szCs w:val="24"/>
        </w:rPr>
        <w:t>50%）</w:t>
      </w:r>
      <w:r>
        <w:rPr>
          <w:color w:val="000000"/>
          <w:spacing w:val="0"/>
          <w:w w:val="100"/>
          <w:position w:val="0"/>
          <w:sz w:val="24"/>
          <w:szCs w:val="24"/>
        </w:rPr>
        <w:t>或低于其初始投资成本持续时间超过一年</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含 一年</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的，则表明其发生减值；若该权益工具投资于资产负债表日的公允价值 低于其初始投资成本超过</w:t>
      </w:r>
      <w:r>
        <w:rPr>
          <w:rFonts w:ascii="Times New Roman" w:eastAsia="Times New Roman" w:hAnsi="Times New Roman" w:cs="Times New Roman"/>
          <w:color w:val="000000"/>
          <w:spacing w:val="0"/>
          <w:w w:val="100"/>
          <w:position w:val="0"/>
          <w:sz w:val="24"/>
          <w:szCs w:val="24"/>
        </w:rPr>
        <w:t>20%（</w:t>
      </w:r>
      <w:r>
        <w:rPr>
          <w:color w:val="000000"/>
          <w:spacing w:val="0"/>
          <w:w w:val="100"/>
          <w:position w:val="0"/>
          <w:sz w:val="24"/>
          <w:szCs w:val="24"/>
        </w:rPr>
        <w:t>含</w:t>
      </w:r>
      <w:r>
        <w:rPr>
          <w:rFonts w:ascii="Times New Roman" w:eastAsia="Times New Roman" w:hAnsi="Times New Roman" w:cs="Times New Roman"/>
          <w:color w:val="000000"/>
          <w:spacing w:val="0"/>
          <w:w w:val="100"/>
          <w:position w:val="0"/>
          <w:sz w:val="24"/>
          <w:szCs w:val="24"/>
        </w:rPr>
        <w:t>20%）</w:t>
      </w:r>
      <w:r>
        <w:rPr>
          <w:color w:val="000000"/>
          <w:spacing w:val="0"/>
          <w:w w:val="100"/>
          <w:position w:val="0"/>
          <w:sz w:val="24"/>
          <w:szCs w:val="24"/>
        </w:rPr>
        <w:t>但尚未达到</w:t>
      </w:r>
      <w:r>
        <w:rPr>
          <w:rFonts w:ascii="Times New Roman" w:eastAsia="Times New Roman" w:hAnsi="Times New Roman" w:cs="Times New Roman"/>
          <w:color w:val="000000"/>
          <w:spacing w:val="0"/>
          <w:w w:val="100"/>
          <w:position w:val="0"/>
          <w:sz w:val="24"/>
          <w:szCs w:val="24"/>
        </w:rPr>
        <w:t>50%</w:t>
      </w:r>
      <w:r>
        <w:rPr>
          <w:color w:val="000000"/>
          <w:spacing w:val="0"/>
          <w:w w:val="100"/>
          <w:position w:val="0"/>
          <w:sz w:val="24"/>
          <w:szCs w:val="24"/>
        </w:rPr>
        <w:t>的，本集团会综合考 虑其他相关因素诸如价格波动率等，判断该权益工具投资是否发生减值。本 集团以个别认定法计算可供出售权益工具投资的初始投资成本。</w:t>
      </w:r>
    </w:p>
    <w:p>
      <w:pPr>
        <w:pStyle w:val="Style32"/>
        <w:keepNext w:val="0"/>
        <w:keepLines w:val="0"/>
        <w:widowControl w:val="0"/>
        <w:shd w:val="clear" w:color="auto" w:fill="auto"/>
        <w:bidi w:val="0"/>
        <w:spacing w:before="0" w:after="0" w:line="240" w:lineRule="auto"/>
        <w:ind w:left="1140" w:right="0" w:firstLine="0"/>
        <w:jc w:val="left"/>
        <w:rPr>
          <w:sz w:val="24"/>
          <w:szCs w:val="24"/>
        </w:rPr>
      </w:pPr>
      <w:r>
        <w:rPr>
          <w:b/>
          <w:bCs/>
          <w:color w:val="000000"/>
          <w:spacing w:val="0"/>
          <w:w w:val="100"/>
          <w:position w:val="0"/>
          <w:sz w:val="24"/>
          <w:szCs w:val="24"/>
        </w:rPr>
        <w:t>财务报表附注</w:t>
      </w:r>
    </w:p>
    <w:p>
      <w:pPr>
        <w:pStyle w:val="Style88"/>
        <w:keepNext/>
        <w:keepLines/>
        <w:widowControl w:val="0"/>
        <w:shd w:val="clear" w:color="auto" w:fill="auto"/>
        <w:bidi w:val="0"/>
        <w:spacing w:before="0" w:after="0" w:line="240" w:lineRule="auto"/>
        <w:ind w:left="1140" w:right="0" w:firstLine="0"/>
        <w:jc w:val="left"/>
      </w:pPr>
      <w:bookmarkStart w:id="644" w:name="bookmark644"/>
      <w:bookmarkStart w:id="645" w:name="bookmark645"/>
      <w:bookmarkStart w:id="646" w:name="bookmark646"/>
      <w:r>
        <w:rPr>
          <w:color w:val="000000"/>
          <w:spacing w:val="0"/>
          <w:w w:val="100"/>
          <w:position w:val="0"/>
          <w:sz w:val="24"/>
          <w:szCs w:val="24"/>
        </w:rPr>
        <w:t>2016</w:t>
      </w:r>
      <w:r>
        <w:rPr>
          <w:rFonts w:ascii="SimSun" w:eastAsia="SimSun" w:hAnsi="SimSun" w:cs="SimSun"/>
          <w:b/>
          <w:bCs/>
          <w:color w:val="000000"/>
          <w:spacing w:val="0"/>
          <w:w w:val="100"/>
          <w:position w:val="0"/>
          <w:sz w:val="24"/>
          <w:szCs w:val="24"/>
        </w:rPr>
        <w:t>年度</w:t>
      </w:r>
      <w:bookmarkEnd w:id="644"/>
      <w:bookmarkEnd w:id="645"/>
      <w:bookmarkEnd w:id="646"/>
    </w:p>
    <w:p>
      <w:pPr>
        <w:pStyle w:val="Style32"/>
        <w:keepNext w:val="0"/>
        <w:keepLines w:val="0"/>
        <w:widowControl w:val="0"/>
        <w:shd w:val="clear" w:color="auto" w:fill="auto"/>
        <w:bidi w:val="0"/>
        <w:spacing w:before="0" w:after="260" w:line="240" w:lineRule="auto"/>
        <w:ind w:left="1140" w:right="0" w:firstLine="0"/>
        <w:jc w:val="left"/>
        <w:rPr>
          <w:sz w:val="24"/>
          <w:szCs w:val="24"/>
        </w:rPr>
      </w:pPr>
      <w:r>
        <w:rPr>
          <w:rFonts w:ascii="Arial" w:eastAsia="Arial" w:hAnsi="Arial" w:cs="Arial"/>
          <w:color w:val="000000"/>
          <w:spacing w:val="0"/>
          <w:w w:val="100"/>
          <w:position w:val="0"/>
          <w:sz w:val="20"/>
          <w:szCs w:val="20"/>
        </w:rPr>
        <w:t>（</w:t>
      </w:r>
      <w:r>
        <w:rPr>
          <w:color w:val="000000"/>
          <w:spacing w:val="0"/>
          <w:w w:val="100"/>
          <w:position w:val="0"/>
          <w:sz w:val="20"/>
          <w:szCs w:val="20"/>
        </w:rPr>
        <w:t>除特别注明外，金额单位为人民币千元</w:t>
      </w:r>
      <w:r>
        <w:rPr>
          <w:color w:val="000000"/>
          <w:spacing w:val="0"/>
          <w:w w:val="100"/>
          <w:position w:val="0"/>
          <w:sz w:val="24"/>
          <w:szCs w:val="24"/>
        </w:rPr>
        <w:t>）</w:t>
      </w:r>
    </w:p>
    <w:p>
      <w:pPr>
        <w:pStyle w:val="Style32"/>
        <w:keepNext w:val="0"/>
        <w:keepLines w:val="0"/>
        <w:widowControl w:val="0"/>
        <w:shd w:val="clear" w:color="auto" w:fill="auto"/>
        <w:tabs>
          <w:tab w:pos="1138" w:val="left"/>
        </w:tabs>
        <w:bidi w:val="0"/>
        <w:spacing w:before="0" w:after="260" w:line="240" w:lineRule="auto"/>
        <w:ind w:left="0" w:right="0" w:firstLine="480"/>
        <w:jc w:val="both"/>
        <w:rPr>
          <w:sz w:val="24"/>
          <w:szCs w:val="24"/>
        </w:rPr>
      </w:pPr>
      <w:r>
        <w:rPr>
          <w:b/>
          <w:bCs/>
          <w:color w:val="000000"/>
          <w:spacing w:val="0"/>
          <w:w w:val="100"/>
          <w:position w:val="0"/>
          <w:sz w:val="24"/>
          <w:szCs w:val="24"/>
        </w:rPr>
        <w:t>二</w:t>
        <w:tab/>
        <w:t>主要会计政策和会计估计</w:t>
      </w:r>
      <w:r>
        <w:rPr>
          <w:rFonts w:ascii="Times New Roman" w:eastAsia="Times New Roman" w:hAnsi="Times New Roman" w:cs="Times New Roman"/>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4"/>
          <w:szCs w:val="24"/>
        </w:rPr>
        <w:t>）</w:t>
      </w:r>
    </w:p>
    <w:p>
      <w:pPr>
        <w:pStyle w:val="Style53"/>
        <w:keepNext w:val="0"/>
        <w:keepLines w:val="0"/>
        <w:widowControl w:val="0"/>
        <w:shd w:val="clear" w:color="auto" w:fill="auto"/>
        <w:tabs>
          <w:tab w:pos="1138" w:val="left"/>
        </w:tabs>
        <w:bidi w:val="0"/>
        <w:spacing w:before="0" w:after="220" w:line="271" w:lineRule="auto"/>
        <w:ind w:left="0" w:right="0" w:firstLine="480"/>
        <w:jc w:val="both"/>
        <w:rPr>
          <w:sz w:val="24"/>
          <w:szCs w:val="24"/>
        </w:rPr>
      </w:pPr>
      <w:r>
        <w:rPr>
          <w:color w:val="000000"/>
          <w:spacing w:val="0"/>
          <w:w w:val="100"/>
          <w:position w:val="0"/>
          <w:sz w:val="24"/>
          <w:szCs w:val="24"/>
        </w:rPr>
        <w:t>（9）</w:t>
        <w:tab/>
      </w:r>
      <w:r>
        <w:rPr>
          <w:rFonts w:ascii="SimSun" w:eastAsia="SimSun" w:hAnsi="SimSun" w:cs="SimSun"/>
          <w:b/>
          <w:bCs/>
          <w:color w:val="000000"/>
          <w:spacing w:val="0"/>
          <w:w w:val="100"/>
          <w:position w:val="0"/>
          <w:sz w:val="24"/>
          <w:szCs w:val="24"/>
        </w:rPr>
        <w:t>金融工具</w:t>
      </w:r>
      <w:r>
        <w:rPr>
          <w:color w:val="000000"/>
          <w:spacing w:val="0"/>
          <w:w w:val="100"/>
          <w:position w:val="0"/>
          <w:sz w:val="24"/>
          <w:szCs w:val="24"/>
        </w:rPr>
        <w:t>（</w:t>
      </w:r>
      <w:r>
        <w:rPr>
          <w:rFonts w:ascii="SimSun" w:eastAsia="SimSun" w:hAnsi="SimSun" w:cs="SimSun"/>
          <w:b/>
          <w:bCs/>
          <w:color w:val="000000"/>
          <w:spacing w:val="0"/>
          <w:w w:val="100"/>
          <w:position w:val="0"/>
          <w:sz w:val="24"/>
          <w:szCs w:val="24"/>
        </w:rPr>
        <w:t>续</w:t>
      </w:r>
      <w:r>
        <w:rPr>
          <w:rFonts w:ascii="SimSun" w:eastAsia="SimSun" w:hAnsi="SimSun" w:cs="SimSun"/>
          <w:color w:val="000000"/>
          <w:spacing w:val="0"/>
          <w:w w:val="100"/>
          <w:position w:val="0"/>
          <w:sz w:val="24"/>
          <w:szCs w:val="24"/>
        </w:rPr>
        <w:t>）</w:t>
      </w:r>
    </w:p>
    <w:p>
      <w:pPr>
        <w:pStyle w:val="Style53"/>
        <w:keepNext w:val="0"/>
        <w:keepLines w:val="0"/>
        <w:widowControl w:val="0"/>
        <w:shd w:val="clear" w:color="auto" w:fill="auto"/>
        <w:tabs>
          <w:tab w:pos="1138" w:val="left"/>
        </w:tabs>
        <w:bidi w:val="0"/>
        <w:spacing w:before="0" w:after="220" w:line="271" w:lineRule="auto"/>
        <w:ind w:left="0" w:right="0" w:firstLine="480"/>
        <w:jc w:val="both"/>
        <w:rPr>
          <w:sz w:val="24"/>
          <w:szCs w:val="24"/>
        </w:rPr>
      </w:pPr>
      <w:bookmarkStart w:id="647" w:name="bookmark647"/>
      <w:r>
        <w:rPr>
          <w:color w:val="000000"/>
          <w:spacing w:val="0"/>
          <w:w w:val="100"/>
          <w:position w:val="0"/>
          <w:sz w:val="24"/>
          <w:szCs w:val="24"/>
        </w:rPr>
        <w:t>（</w:t>
      </w:r>
      <w:bookmarkEnd w:id="647"/>
      <w:r>
        <w:rPr>
          <w:color w:val="000000"/>
          <w:spacing w:val="0"/>
          <w:w w:val="100"/>
          <w:position w:val="0"/>
          <w:sz w:val="24"/>
          <w:szCs w:val="24"/>
        </w:rPr>
        <w:t>a）</w:t>
        <w:tab/>
      </w:r>
      <w:r>
        <w:rPr>
          <w:rFonts w:ascii="SimSun" w:eastAsia="SimSun" w:hAnsi="SimSun" w:cs="SimSun"/>
          <w:color w:val="000000"/>
          <w:spacing w:val="0"/>
          <w:w w:val="100"/>
          <w:position w:val="0"/>
          <w:sz w:val="24"/>
          <w:szCs w:val="24"/>
        </w:rPr>
        <w:t>金融资产</w:t>
      </w:r>
      <w:r>
        <w:rPr>
          <w:color w:val="000000"/>
          <w:spacing w:val="0"/>
          <w:w w:val="100"/>
          <w:position w:val="0"/>
          <w:sz w:val="24"/>
          <w:szCs w:val="24"/>
        </w:rPr>
        <w:t>（</w:t>
      </w:r>
      <w:r>
        <w:rPr>
          <w:rFonts w:ascii="SimSun" w:eastAsia="SimSun" w:hAnsi="SimSun" w:cs="SimSun"/>
          <w:color w:val="000000"/>
          <w:spacing w:val="0"/>
          <w:w w:val="100"/>
          <w:position w:val="0"/>
          <w:sz w:val="24"/>
          <w:szCs w:val="24"/>
        </w:rPr>
        <w:t>续</w:t>
      </w:r>
      <w:r>
        <w:rPr>
          <w:rFonts w:ascii="SimSun" w:eastAsia="SimSun" w:hAnsi="SimSun" w:cs="SimSun"/>
          <w:color w:val="000000"/>
          <w:spacing w:val="0"/>
          <w:w w:val="100"/>
          <w:position w:val="0"/>
          <w:sz w:val="24"/>
          <w:szCs w:val="24"/>
        </w:rPr>
        <w:t>）</w:t>
      </w:r>
    </w:p>
    <w:p>
      <w:pPr>
        <w:pStyle w:val="Style53"/>
        <w:keepNext w:val="0"/>
        <w:keepLines w:val="0"/>
        <w:widowControl w:val="0"/>
        <w:shd w:val="clear" w:color="auto" w:fill="auto"/>
        <w:tabs>
          <w:tab w:pos="1138" w:val="left"/>
        </w:tabs>
        <w:bidi w:val="0"/>
        <w:spacing w:before="0" w:after="220" w:line="271" w:lineRule="auto"/>
        <w:ind w:left="0" w:right="0" w:firstLine="480"/>
        <w:jc w:val="both"/>
        <w:rPr>
          <w:sz w:val="24"/>
          <w:szCs w:val="24"/>
        </w:rPr>
      </w:pPr>
      <w:bookmarkStart w:id="648" w:name="bookmark648"/>
      <w:r>
        <w:rPr>
          <w:color w:val="000000"/>
          <w:spacing w:val="0"/>
          <w:w w:val="100"/>
          <w:position w:val="0"/>
          <w:sz w:val="24"/>
          <w:szCs w:val="24"/>
        </w:rPr>
        <w:t>（</w:t>
      </w:r>
      <w:bookmarkEnd w:id="648"/>
      <w:r>
        <w:rPr>
          <w:color w:val="000000"/>
          <w:spacing w:val="0"/>
          <w:w w:val="100"/>
          <w:position w:val="0"/>
          <w:sz w:val="24"/>
          <w:szCs w:val="24"/>
        </w:rPr>
        <w:t>iii）</w:t>
        <w:tab/>
      </w:r>
      <w:r>
        <w:rPr>
          <w:rFonts w:ascii="SimSun" w:eastAsia="SimSun" w:hAnsi="SimSun" w:cs="SimSun"/>
          <w:color w:val="000000"/>
          <w:spacing w:val="0"/>
          <w:w w:val="100"/>
          <w:position w:val="0"/>
          <w:sz w:val="24"/>
          <w:szCs w:val="24"/>
        </w:rPr>
        <w:t>金融资产减值</w:t>
      </w:r>
      <w:r>
        <w:rPr>
          <w:color w:val="000000"/>
          <w:spacing w:val="0"/>
          <w:w w:val="100"/>
          <w:position w:val="0"/>
          <w:sz w:val="24"/>
          <w:szCs w:val="24"/>
        </w:rPr>
        <w:t>（</w:t>
      </w:r>
      <w:r>
        <w:rPr>
          <w:rFonts w:ascii="SimSun" w:eastAsia="SimSun" w:hAnsi="SimSun" w:cs="SimSun"/>
          <w:color w:val="000000"/>
          <w:spacing w:val="0"/>
          <w:w w:val="100"/>
          <w:position w:val="0"/>
          <w:sz w:val="24"/>
          <w:szCs w:val="24"/>
        </w:rPr>
        <w:t>续</w:t>
      </w:r>
      <w:r>
        <w:rPr>
          <w:rFonts w:ascii="SimSun" w:eastAsia="SimSun" w:hAnsi="SimSun" w:cs="SimSun"/>
          <w:color w:val="000000"/>
          <w:spacing w:val="0"/>
          <w:w w:val="100"/>
          <w:position w:val="0"/>
          <w:sz w:val="24"/>
          <w:szCs w:val="24"/>
        </w:rPr>
        <w:t>）</w:t>
      </w:r>
    </w:p>
    <w:p>
      <w:pPr>
        <w:pStyle w:val="Style32"/>
        <w:keepNext w:val="0"/>
        <w:keepLines w:val="0"/>
        <w:widowControl w:val="0"/>
        <w:shd w:val="clear" w:color="auto" w:fill="auto"/>
        <w:bidi w:val="0"/>
        <w:spacing w:before="0" w:after="260" w:line="310" w:lineRule="exact"/>
        <w:ind w:left="1140" w:right="0" w:firstLine="0"/>
        <w:jc w:val="both"/>
        <w:rPr>
          <w:sz w:val="24"/>
          <w:szCs w:val="24"/>
        </w:rPr>
      </w:pPr>
      <w:r>
        <w:rPr>
          <w:color w:val="000000"/>
          <w:spacing w:val="0"/>
          <w:w w:val="100"/>
          <w:position w:val="0"/>
          <w:sz w:val="24"/>
          <w:szCs w:val="24"/>
        </w:rPr>
        <w:t>以摊余成本计量的金融资产发生减值时，按预计未来现金流量</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不包括尚未发 生的未来信用损失</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现值低于账面价值的差额，计提减值准备。如果有客观证 据表明该金融资产价值已恢复，且客观上与确认该损失后发生的事项有关， 原确认的减值损失予以转回，计入当期损益。</w:t>
      </w:r>
    </w:p>
    <w:p>
      <w:pPr>
        <w:pStyle w:val="Style32"/>
        <w:keepNext w:val="0"/>
        <w:keepLines w:val="0"/>
        <w:widowControl w:val="0"/>
        <w:shd w:val="clear" w:color="auto" w:fill="auto"/>
        <w:bidi w:val="0"/>
        <w:spacing w:before="0" w:after="220" w:line="310" w:lineRule="exact"/>
        <w:ind w:left="1140" w:right="0" w:firstLine="0"/>
        <w:jc w:val="both"/>
        <w:rPr>
          <w:sz w:val="24"/>
          <w:szCs w:val="24"/>
        </w:rPr>
      </w:pPr>
      <w:r>
        <w:rPr>
          <w:color w:val="000000"/>
          <w:spacing w:val="0"/>
          <w:w w:val="100"/>
          <w:position w:val="0"/>
          <w:sz w:val="24"/>
          <w:szCs w:val="24"/>
        </w:rPr>
        <w:t>以公允价值计量的可供出售金融资产发生减值时，原直接计入股东权益的因 公允价值下降形成的累计损失予以转出并计入减值损失。对已确认减值损失 的可供出售债务工具投资，在期后公允价值上升且客观上与确认原减值损失 后发生的事项有关的，原确认的减值损失予以转回并计入当期损益。对已确 认减值损失的可供出售权益工具投资，期后公允价值上升直接计入股东权 益。</w:t>
      </w:r>
    </w:p>
    <w:p>
      <w:pPr>
        <w:pStyle w:val="Style32"/>
        <w:keepNext w:val="0"/>
        <w:keepLines w:val="0"/>
        <w:widowControl w:val="0"/>
        <w:shd w:val="clear" w:color="auto" w:fill="auto"/>
        <w:bidi w:val="0"/>
        <w:spacing w:before="0" w:after="260" w:line="331" w:lineRule="exact"/>
        <w:ind w:left="1140" w:right="0" w:firstLine="0"/>
        <w:jc w:val="both"/>
        <w:rPr>
          <w:sz w:val="24"/>
          <w:szCs w:val="24"/>
        </w:rPr>
      </w:pPr>
      <w:r>
        <w:rPr>
          <w:color w:val="000000"/>
          <w:spacing w:val="0"/>
          <w:w w:val="100"/>
          <w:position w:val="0"/>
          <w:sz w:val="24"/>
          <w:szCs w:val="24"/>
        </w:rPr>
        <w:t>以成本计量的可供出售金融资产发生减值时，将其账面价值与按照类似金融 资产当时市场收益率对未来现金流量折现确定的现值之间的差额，确认为减 值损失，计入当期损益。已发生的减值损失以后期间不再转回。</w:t>
      </w:r>
    </w:p>
    <w:p>
      <w:pPr>
        <w:pStyle w:val="Style32"/>
        <w:keepNext w:val="0"/>
        <w:keepLines w:val="0"/>
        <w:widowControl w:val="0"/>
        <w:shd w:val="clear" w:color="auto" w:fill="auto"/>
        <w:tabs>
          <w:tab w:pos="1138" w:val="left"/>
        </w:tabs>
        <w:bidi w:val="0"/>
        <w:spacing w:before="0" w:after="220" w:line="271" w:lineRule="auto"/>
        <w:ind w:left="0" w:right="0" w:firstLine="480"/>
        <w:jc w:val="both"/>
        <w:rPr>
          <w:sz w:val="24"/>
          <w:szCs w:val="24"/>
        </w:rPr>
      </w:pPr>
      <w:bookmarkStart w:id="649" w:name="bookmark649"/>
      <w:r>
        <w:rPr>
          <w:rFonts w:ascii="Times New Roman" w:eastAsia="Times New Roman" w:hAnsi="Times New Roman" w:cs="Times New Roman"/>
          <w:color w:val="000000"/>
          <w:spacing w:val="0"/>
          <w:w w:val="100"/>
          <w:position w:val="0"/>
          <w:sz w:val="24"/>
          <w:szCs w:val="24"/>
        </w:rPr>
        <w:t>（</w:t>
      </w:r>
      <w:bookmarkEnd w:id="649"/>
      <w:r>
        <w:rPr>
          <w:rFonts w:ascii="Times New Roman" w:eastAsia="Times New Roman" w:hAnsi="Times New Roman" w:cs="Times New Roman"/>
          <w:color w:val="000000"/>
          <w:spacing w:val="0"/>
          <w:w w:val="100"/>
          <w:position w:val="0"/>
          <w:sz w:val="24"/>
          <w:szCs w:val="24"/>
        </w:rPr>
        <w:t>iv）</w:t>
        <w:tab/>
      </w:r>
      <w:r>
        <w:rPr>
          <w:color w:val="000000"/>
          <w:spacing w:val="0"/>
          <w:w w:val="100"/>
          <w:position w:val="0"/>
          <w:sz w:val="24"/>
          <w:szCs w:val="24"/>
        </w:rPr>
        <w:t>金融资产的终止确认</w:t>
      </w:r>
    </w:p>
    <w:p>
      <w:pPr>
        <w:pStyle w:val="Style32"/>
        <w:keepNext w:val="0"/>
        <w:keepLines w:val="0"/>
        <w:widowControl w:val="0"/>
        <w:shd w:val="clear" w:color="auto" w:fill="auto"/>
        <w:bidi w:val="0"/>
        <w:spacing w:before="0" w:after="220" w:line="312" w:lineRule="exact"/>
        <w:ind w:left="1140" w:right="0" w:firstLine="0"/>
        <w:jc w:val="both"/>
        <w:rPr>
          <w:sz w:val="24"/>
          <w:szCs w:val="24"/>
        </w:rPr>
      </w:pPr>
      <w:r>
        <w:rPr>
          <w:color w:val="000000"/>
          <w:spacing w:val="0"/>
          <w:w w:val="100"/>
          <w:position w:val="0"/>
          <w:sz w:val="24"/>
          <w:szCs w:val="24"/>
        </w:rPr>
        <w:t>金融资产满足下列条件之一的，予以终止确认：</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收取该金融资产现金流量 的合同权利终止；</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该金融资产已转移，且本集团将金融资产所有权上几乎 所有的风险和报酬转移给转入方；或者</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该金融资产已转移，虽然本集团既 没有转移也没有保留金融资产所有权上几乎所有的风险和报酬，但是放弃了 对该金融资产控制。</w:t>
      </w:r>
    </w:p>
    <w:p>
      <w:pPr>
        <w:pStyle w:val="Style32"/>
        <w:keepNext w:val="0"/>
        <w:keepLines w:val="0"/>
        <w:widowControl w:val="0"/>
        <w:shd w:val="clear" w:color="auto" w:fill="auto"/>
        <w:bidi w:val="0"/>
        <w:spacing w:before="0" w:after="220" w:line="312" w:lineRule="exact"/>
        <w:ind w:left="1140" w:right="0" w:firstLine="0"/>
        <w:jc w:val="both"/>
        <w:rPr>
          <w:sz w:val="24"/>
          <w:szCs w:val="24"/>
        </w:rPr>
        <w:sectPr>
          <w:footnotePr>
            <w:pos w:val="pageBottom"/>
            <w:numFmt w:val="decimal"/>
            <w:numRestart w:val="continuous"/>
          </w:footnotePr>
          <w:pgSz w:w="11900" w:h="16840"/>
          <w:pgMar w:top="1354" w:right="358" w:bottom="3528" w:left="1227" w:header="0" w:footer="3" w:gutter="0"/>
          <w:cols w:space="720"/>
          <w:noEndnote/>
          <w:rtlGutter w:val="0"/>
          <w:docGrid w:linePitch="360"/>
        </w:sectPr>
      </w:pPr>
      <w:r>
        <w:rPr>
          <w:color w:val="000000"/>
          <w:spacing w:val="0"/>
          <w:w w:val="100"/>
          <w:position w:val="0"/>
          <w:sz w:val="24"/>
          <w:szCs w:val="24"/>
        </w:rPr>
        <w:t>金融资产终止确认时，其账面价值与收到的对价以及原直接计入股东权益的 公允价值变动累计额之和的差额，计入当期损益。</w:t>
      </w:r>
    </w:p>
    <w:p>
      <w:pPr>
        <w:pStyle w:val="Style32"/>
        <w:keepNext w:val="0"/>
        <w:keepLines w:val="0"/>
        <w:widowControl w:val="0"/>
        <w:shd w:val="clear" w:color="auto" w:fill="auto"/>
        <w:bidi w:val="0"/>
        <w:spacing w:before="0" w:after="0" w:line="240" w:lineRule="auto"/>
        <w:ind w:left="1140" w:right="0" w:firstLine="0"/>
        <w:jc w:val="left"/>
        <w:rPr>
          <w:sz w:val="24"/>
          <w:szCs w:val="24"/>
        </w:rPr>
      </w:pPr>
      <w:r>
        <w:rPr>
          <w:b/>
          <w:bCs/>
          <w:color w:val="000000"/>
          <w:spacing w:val="0"/>
          <w:w w:val="100"/>
          <w:position w:val="0"/>
          <w:sz w:val="24"/>
          <w:szCs w:val="24"/>
        </w:rPr>
        <w:t>财务报表附注</w:t>
      </w:r>
    </w:p>
    <w:p>
      <w:pPr>
        <w:pStyle w:val="Style88"/>
        <w:keepNext/>
        <w:keepLines/>
        <w:widowControl w:val="0"/>
        <w:shd w:val="clear" w:color="auto" w:fill="auto"/>
        <w:bidi w:val="0"/>
        <w:spacing w:before="0" w:after="0" w:line="240" w:lineRule="auto"/>
        <w:ind w:left="1140" w:right="0" w:firstLine="0"/>
        <w:jc w:val="left"/>
      </w:pPr>
      <w:bookmarkStart w:id="650" w:name="bookmark650"/>
      <w:bookmarkStart w:id="651" w:name="bookmark651"/>
      <w:bookmarkStart w:id="652" w:name="bookmark652"/>
      <w:r>
        <w:rPr>
          <w:color w:val="000000"/>
          <w:spacing w:val="0"/>
          <w:w w:val="100"/>
          <w:position w:val="0"/>
          <w:sz w:val="24"/>
          <w:szCs w:val="24"/>
        </w:rPr>
        <w:t>2016</w:t>
      </w:r>
      <w:r>
        <w:rPr>
          <w:rFonts w:ascii="SimSun" w:eastAsia="SimSun" w:hAnsi="SimSun" w:cs="SimSun"/>
          <w:b/>
          <w:bCs/>
          <w:color w:val="000000"/>
          <w:spacing w:val="0"/>
          <w:w w:val="100"/>
          <w:position w:val="0"/>
          <w:sz w:val="24"/>
          <w:szCs w:val="24"/>
        </w:rPr>
        <w:t>年度</w:t>
      </w:r>
      <w:bookmarkEnd w:id="650"/>
      <w:bookmarkEnd w:id="651"/>
      <w:bookmarkEnd w:id="652"/>
    </w:p>
    <w:p>
      <w:pPr>
        <w:pStyle w:val="Style32"/>
        <w:keepNext w:val="0"/>
        <w:keepLines w:val="0"/>
        <w:widowControl w:val="0"/>
        <w:shd w:val="clear" w:color="auto" w:fill="auto"/>
        <w:bidi w:val="0"/>
        <w:spacing w:before="0" w:after="240" w:line="240" w:lineRule="auto"/>
        <w:ind w:left="1140" w:right="0" w:firstLine="0"/>
        <w:jc w:val="left"/>
        <w:rPr>
          <w:sz w:val="24"/>
          <w:szCs w:val="24"/>
        </w:rPr>
      </w:pPr>
      <w:r>
        <w:rPr>
          <w:rFonts w:ascii="Arial" w:eastAsia="Arial" w:hAnsi="Arial" w:cs="Arial"/>
          <w:color w:val="000000"/>
          <w:spacing w:val="0"/>
          <w:w w:val="100"/>
          <w:position w:val="0"/>
          <w:sz w:val="20"/>
          <w:szCs w:val="20"/>
        </w:rPr>
        <w:t>（</w:t>
      </w:r>
      <w:r>
        <w:rPr>
          <w:color w:val="000000"/>
          <w:spacing w:val="0"/>
          <w:w w:val="100"/>
          <w:position w:val="0"/>
          <w:sz w:val="20"/>
          <w:szCs w:val="20"/>
        </w:rPr>
        <w:t>除特别注明外，金额单位为人民币千元</w:t>
      </w:r>
      <w:r>
        <w:rPr>
          <w:color w:val="000000"/>
          <w:spacing w:val="0"/>
          <w:w w:val="100"/>
          <w:position w:val="0"/>
          <w:sz w:val="24"/>
          <w:szCs w:val="24"/>
        </w:rPr>
        <w:t>）</w:t>
      </w:r>
    </w:p>
    <w:p>
      <w:pPr>
        <w:pStyle w:val="Style32"/>
        <w:keepNext w:val="0"/>
        <w:keepLines w:val="0"/>
        <w:widowControl w:val="0"/>
        <w:shd w:val="clear" w:color="auto" w:fill="auto"/>
        <w:tabs>
          <w:tab w:pos="1114" w:val="left"/>
        </w:tabs>
        <w:bidi w:val="0"/>
        <w:spacing w:before="0" w:after="240" w:line="240" w:lineRule="auto"/>
        <w:ind w:left="0" w:right="0" w:firstLine="420"/>
        <w:jc w:val="both"/>
        <w:rPr>
          <w:sz w:val="24"/>
          <w:szCs w:val="24"/>
        </w:rPr>
      </w:pPr>
      <w:r>
        <w:rPr>
          <w:b/>
          <w:bCs/>
          <w:color w:val="000000"/>
          <w:spacing w:val="0"/>
          <w:w w:val="100"/>
          <w:position w:val="0"/>
          <w:sz w:val="24"/>
          <w:szCs w:val="24"/>
        </w:rPr>
        <w:t>二</w:t>
        <w:tab/>
        <w:t>主要会计政策和会计估计</w:t>
      </w:r>
      <w:r>
        <w:rPr>
          <w:rFonts w:ascii="Times New Roman" w:eastAsia="Times New Roman" w:hAnsi="Times New Roman" w:cs="Times New Roman"/>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4"/>
          <w:szCs w:val="24"/>
        </w:rPr>
        <w:t>）</w:t>
      </w:r>
    </w:p>
    <w:p>
      <w:pPr>
        <w:pStyle w:val="Style53"/>
        <w:keepNext w:val="0"/>
        <w:keepLines w:val="0"/>
        <w:widowControl w:val="0"/>
        <w:shd w:val="clear" w:color="auto" w:fill="auto"/>
        <w:tabs>
          <w:tab w:pos="1114" w:val="left"/>
        </w:tabs>
        <w:bidi w:val="0"/>
        <w:spacing w:before="0" w:after="240" w:line="271" w:lineRule="auto"/>
        <w:ind w:left="0" w:right="0" w:firstLine="420"/>
        <w:jc w:val="both"/>
        <w:rPr>
          <w:sz w:val="24"/>
          <w:szCs w:val="24"/>
        </w:rPr>
      </w:pPr>
      <w:r>
        <w:rPr>
          <w:color w:val="000000"/>
          <w:spacing w:val="0"/>
          <w:w w:val="100"/>
          <w:position w:val="0"/>
          <w:sz w:val="24"/>
          <w:szCs w:val="24"/>
        </w:rPr>
        <w:t>（9）</w:t>
        <w:tab/>
      </w:r>
      <w:r>
        <w:rPr>
          <w:rFonts w:ascii="SimSun" w:eastAsia="SimSun" w:hAnsi="SimSun" w:cs="SimSun"/>
          <w:b/>
          <w:bCs/>
          <w:color w:val="000000"/>
          <w:spacing w:val="0"/>
          <w:w w:val="100"/>
          <w:position w:val="0"/>
          <w:sz w:val="24"/>
          <w:szCs w:val="24"/>
        </w:rPr>
        <w:t>金融工具</w:t>
      </w:r>
      <w:r>
        <w:rPr>
          <w:color w:val="000000"/>
          <w:spacing w:val="0"/>
          <w:w w:val="100"/>
          <w:position w:val="0"/>
          <w:sz w:val="24"/>
          <w:szCs w:val="24"/>
        </w:rPr>
        <w:t>（</w:t>
      </w:r>
      <w:r>
        <w:rPr>
          <w:rFonts w:ascii="SimSun" w:eastAsia="SimSun" w:hAnsi="SimSun" w:cs="SimSun"/>
          <w:b/>
          <w:bCs/>
          <w:color w:val="000000"/>
          <w:spacing w:val="0"/>
          <w:w w:val="100"/>
          <w:position w:val="0"/>
          <w:sz w:val="24"/>
          <w:szCs w:val="24"/>
        </w:rPr>
        <w:t>续</w:t>
      </w:r>
      <w:r>
        <w:rPr>
          <w:rFonts w:ascii="SimSun" w:eastAsia="SimSun" w:hAnsi="SimSun" w:cs="SimSun"/>
          <w:color w:val="000000"/>
          <w:spacing w:val="0"/>
          <w:w w:val="100"/>
          <w:position w:val="0"/>
          <w:sz w:val="24"/>
          <w:szCs w:val="24"/>
        </w:rPr>
        <w:t>）</w:t>
      </w:r>
    </w:p>
    <w:p>
      <w:pPr>
        <w:pStyle w:val="Style32"/>
        <w:keepNext w:val="0"/>
        <w:keepLines w:val="0"/>
        <w:widowControl w:val="0"/>
        <w:shd w:val="clear" w:color="auto" w:fill="auto"/>
        <w:tabs>
          <w:tab w:pos="1114" w:val="left"/>
        </w:tabs>
        <w:bidi w:val="0"/>
        <w:spacing w:before="0" w:after="240" w:line="271" w:lineRule="auto"/>
        <w:ind w:left="0" w:right="0" w:firstLine="420"/>
        <w:jc w:val="both"/>
        <w:rPr>
          <w:sz w:val="24"/>
          <w:szCs w:val="24"/>
        </w:rPr>
      </w:pPr>
      <w:bookmarkStart w:id="653" w:name="bookmark653"/>
      <w:r>
        <w:rPr>
          <w:rFonts w:ascii="Times New Roman" w:eastAsia="Times New Roman" w:hAnsi="Times New Roman" w:cs="Times New Roman"/>
          <w:color w:val="000000"/>
          <w:spacing w:val="0"/>
          <w:w w:val="100"/>
          <w:position w:val="0"/>
          <w:sz w:val="24"/>
          <w:szCs w:val="24"/>
        </w:rPr>
        <w:t>（</w:t>
      </w:r>
      <w:bookmarkEnd w:id="653"/>
      <w:r>
        <w:rPr>
          <w:rFonts w:ascii="Times New Roman" w:eastAsia="Times New Roman" w:hAnsi="Times New Roman" w:cs="Times New Roman"/>
          <w:color w:val="000000"/>
          <w:spacing w:val="0"/>
          <w:w w:val="100"/>
          <w:position w:val="0"/>
          <w:sz w:val="24"/>
          <w:szCs w:val="24"/>
        </w:rPr>
        <w:t>b）</w:t>
        <w:tab/>
      </w:r>
      <w:r>
        <w:rPr>
          <w:color w:val="000000"/>
          <w:spacing w:val="0"/>
          <w:w w:val="100"/>
          <w:position w:val="0"/>
          <w:sz w:val="24"/>
          <w:szCs w:val="24"/>
        </w:rPr>
        <w:t>金融负债</w:t>
      </w:r>
    </w:p>
    <w:p>
      <w:pPr>
        <w:pStyle w:val="Style32"/>
        <w:keepNext w:val="0"/>
        <w:keepLines w:val="0"/>
        <w:widowControl w:val="0"/>
        <w:shd w:val="clear" w:color="auto" w:fill="auto"/>
        <w:bidi w:val="0"/>
        <w:spacing w:before="0" w:after="240" w:line="309" w:lineRule="exact"/>
        <w:ind w:left="1140" w:right="0" w:firstLine="0"/>
        <w:jc w:val="both"/>
        <w:rPr>
          <w:sz w:val="24"/>
          <w:szCs w:val="24"/>
        </w:rPr>
      </w:pPr>
      <w:r>
        <w:rPr>
          <w:color w:val="000000"/>
          <w:spacing w:val="0"/>
          <w:w w:val="100"/>
          <w:position w:val="0"/>
          <w:sz w:val="24"/>
          <w:szCs w:val="24"/>
        </w:rPr>
        <w:t>金融负债于初始确认时分类为以公允价值计量且其变动计入当期损益的金融 负债和其他金融负债。本集团的金融负债主要为以公允价值计量且其变动计 入当期损益的金融负债和其他金融负债，包括投资者回售选择权、一年以上 的远期外汇合约、应付款项、借款及应付债券等。</w:t>
      </w:r>
    </w:p>
    <w:p>
      <w:pPr>
        <w:pStyle w:val="Style32"/>
        <w:keepNext w:val="0"/>
        <w:keepLines w:val="0"/>
        <w:widowControl w:val="0"/>
        <w:shd w:val="clear" w:color="auto" w:fill="auto"/>
        <w:bidi w:val="0"/>
        <w:spacing w:before="0" w:after="300" w:line="312" w:lineRule="exact"/>
        <w:ind w:left="1140" w:right="0" w:firstLine="0"/>
        <w:jc w:val="both"/>
        <w:rPr>
          <w:sz w:val="24"/>
          <w:szCs w:val="24"/>
        </w:rPr>
      </w:pPr>
      <w:r>
        <w:rPr>
          <w:color w:val="000000"/>
          <w:spacing w:val="0"/>
          <w:w w:val="100"/>
          <w:position w:val="0"/>
          <w:sz w:val="24"/>
          <w:szCs w:val="24"/>
        </w:rPr>
        <w:t>以公允价值计量且其变动计入当期损益的金融负债以公允价值进行初始计 量，并以公允价值进行后续计量。</w:t>
      </w:r>
    </w:p>
    <w:p>
      <w:pPr>
        <w:pStyle w:val="Style32"/>
        <w:keepNext w:val="0"/>
        <w:keepLines w:val="0"/>
        <w:widowControl w:val="0"/>
        <w:shd w:val="clear" w:color="auto" w:fill="auto"/>
        <w:bidi w:val="0"/>
        <w:spacing w:before="0" w:after="300" w:line="269" w:lineRule="exact"/>
        <w:ind w:left="1140" w:right="0" w:firstLine="0"/>
        <w:jc w:val="both"/>
        <w:rPr>
          <w:sz w:val="24"/>
          <w:szCs w:val="24"/>
        </w:rPr>
      </w:pPr>
      <w:r>
        <w:rPr>
          <w:color w:val="000000"/>
          <w:spacing w:val="0"/>
          <w:w w:val="100"/>
          <w:position w:val="0"/>
          <w:sz w:val="24"/>
          <w:szCs w:val="24"/>
        </w:rPr>
        <w:t>应付款项包括应付账款、其他应付款等，以公允价值进行初始计量，并采用 实际利率法按摊余成本进行后续计量。</w:t>
      </w:r>
    </w:p>
    <w:p>
      <w:pPr>
        <w:pStyle w:val="Style32"/>
        <w:keepNext w:val="0"/>
        <w:keepLines w:val="0"/>
        <w:widowControl w:val="0"/>
        <w:shd w:val="clear" w:color="auto" w:fill="auto"/>
        <w:bidi w:val="0"/>
        <w:spacing w:before="0" w:after="300" w:line="274" w:lineRule="exact"/>
        <w:ind w:left="1140" w:right="0" w:firstLine="0"/>
        <w:jc w:val="both"/>
        <w:rPr>
          <w:sz w:val="24"/>
          <w:szCs w:val="24"/>
        </w:rPr>
      </w:pPr>
      <w:r>
        <w:rPr>
          <w:color w:val="000000"/>
          <w:spacing w:val="0"/>
          <w:w w:val="100"/>
          <w:position w:val="0"/>
          <w:sz w:val="24"/>
          <w:szCs w:val="24"/>
        </w:rPr>
        <w:t>借款及应付债券按其公允价值扣除交易费用后的金额进行初始计量，并采用 实际利率法按摊余成本进行后续计量。</w:t>
      </w:r>
    </w:p>
    <w:p>
      <w:pPr>
        <w:pStyle w:val="Style32"/>
        <w:keepNext w:val="0"/>
        <w:keepLines w:val="0"/>
        <w:widowControl w:val="0"/>
        <w:shd w:val="clear" w:color="auto" w:fill="auto"/>
        <w:bidi w:val="0"/>
        <w:spacing w:before="0" w:after="240" w:line="312" w:lineRule="exact"/>
        <w:ind w:left="1140" w:right="0" w:firstLine="0"/>
        <w:jc w:val="both"/>
        <w:rPr>
          <w:sz w:val="24"/>
          <w:szCs w:val="24"/>
        </w:rPr>
      </w:pPr>
      <w:r>
        <w:rPr>
          <w:color w:val="000000"/>
          <w:spacing w:val="0"/>
          <w:w w:val="100"/>
          <w:position w:val="0"/>
          <w:sz w:val="24"/>
          <w:szCs w:val="24"/>
        </w:rPr>
        <w:t>其他金融负债期限在一年以下</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含一年</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的，列示为流动负债；期限在一年以 上但自资产负债表日起一年内</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含一年</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到期的，列示为一年内到期的非流动 负债；其余列示为非流动负债。</w:t>
      </w:r>
    </w:p>
    <w:p>
      <w:pPr>
        <w:pStyle w:val="Style32"/>
        <w:keepNext w:val="0"/>
        <w:keepLines w:val="0"/>
        <w:widowControl w:val="0"/>
        <w:shd w:val="clear" w:color="auto" w:fill="auto"/>
        <w:bidi w:val="0"/>
        <w:spacing w:before="0" w:after="240" w:line="312" w:lineRule="exact"/>
        <w:ind w:left="1140" w:right="0" w:firstLine="0"/>
        <w:jc w:val="both"/>
        <w:rPr>
          <w:sz w:val="24"/>
          <w:szCs w:val="24"/>
        </w:rPr>
        <w:sectPr>
          <w:footnotePr>
            <w:pos w:val="pageBottom"/>
            <w:numFmt w:val="decimal"/>
            <w:numRestart w:val="continuous"/>
          </w:footnotePr>
          <w:pgSz w:w="11900" w:h="16840"/>
          <w:pgMar w:top="1354" w:right="358" w:bottom="1354" w:left="1227" w:header="0" w:footer="3" w:gutter="0"/>
          <w:cols w:space="720"/>
          <w:noEndnote/>
          <w:rtlGutter w:val="0"/>
          <w:docGrid w:linePitch="360"/>
        </w:sectPr>
      </w:pPr>
      <w:r>
        <w:rPr>
          <w:color w:val="000000"/>
          <w:spacing w:val="0"/>
          <w:w w:val="100"/>
          <w:position w:val="0"/>
          <w:sz w:val="24"/>
          <w:szCs w:val="24"/>
        </w:rPr>
        <w:t>当金融负债的现时义务全部或部分已经解除时，终止确认该金融负债或义务 已解除的部分。终止确认部分的账面价值与支付的对价之间的差额，计入当 期损益。</w:t>
      </w:r>
    </w:p>
    <w:p>
      <w:pPr>
        <w:pStyle w:val="Style32"/>
        <w:keepNext w:val="0"/>
        <w:keepLines w:val="0"/>
        <w:widowControl w:val="0"/>
        <w:shd w:val="clear" w:color="auto" w:fill="auto"/>
        <w:bidi w:val="0"/>
        <w:spacing w:before="0" w:after="0" w:line="240" w:lineRule="auto"/>
        <w:ind w:left="1140" w:right="0" w:firstLine="0"/>
        <w:jc w:val="left"/>
        <w:rPr>
          <w:sz w:val="24"/>
          <w:szCs w:val="24"/>
        </w:rPr>
      </w:pPr>
      <w:r>
        <w:rPr>
          <w:b/>
          <w:bCs/>
          <w:color w:val="000000"/>
          <w:spacing w:val="0"/>
          <w:w w:val="100"/>
          <w:position w:val="0"/>
          <w:sz w:val="24"/>
          <w:szCs w:val="24"/>
        </w:rPr>
        <w:t>财务报表附注</w:t>
      </w:r>
    </w:p>
    <w:p>
      <w:pPr>
        <w:pStyle w:val="Style88"/>
        <w:keepNext/>
        <w:keepLines/>
        <w:widowControl w:val="0"/>
        <w:shd w:val="clear" w:color="auto" w:fill="auto"/>
        <w:bidi w:val="0"/>
        <w:spacing w:before="0" w:after="0" w:line="240" w:lineRule="auto"/>
        <w:ind w:left="1140" w:right="0" w:firstLine="0"/>
        <w:jc w:val="left"/>
      </w:pPr>
      <w:bookmarkStart w:id="654" w:name="bookmark654"/>
      <w:bookmarkStart w:id="655" w:name="bookmark655"/>
      <w:bookmarkStart w:id="656" w:name="bookmark656"/>
      <w:r>
        <w:rPr>
          <w:color w:val="000000"/>
          <w:spacing w:val="0"/>
          <w:w w:val="100"/>
          <w:position w:val="0"/>
          <w:sz w:val="24"/>
          <w:szCs w:val="24"/>
        </w:rPr>
        <w:t>2016</w:t>
      </w:r>
      <w:r>
        <w:rPr>
          <w:rFonts w:ascii="SimSun" w:eastAsia="SimSun" w:hAnsi="SimSun" w:cs="SimSun"/>
          <w:b/>
          <w:bCs/>
          <w:color w:val="000000"/>
          <w:spacing w:val="0"/>
          <w:w w:val="100"/>
          <w:position w:val="0"/>
          <w:sz w:val="24"/>
          <w:szCs w:val="24"/>
        </w:rPr>
        <w:t>年度</w:t>
      </w:r>
      <w:bookmarkEnd w:id="654"/>
      <w:bookmarkEnd w:id="655"/>
      <w:bookmarkEnd w:id="656"/>
    </w:p>
    <w:p>
      <w:pPr>
        <w:pStyle w:val="Style32"/>
        <w:keepNext w:val="0"/>
        <w:keepLines w:val="0"/>
        <w:widowControl w:val="0"/>
        <w:shd w:val="clear" w:color="auto" w:fill="auto"/>
        <w:bidi w:val="0"/>
        <w:spacing w:before="0" w:after="240" w:line="240" w:lineRule="auto"/>
        <w:ind w:left="1140" w:right="0" w:firstLine="0"/>
        <w:jc w:val="left"/>
        <w:rPr>
          <w:sz w:val="24"/>
          <w:szCs w:val="24"/>
        </w:rPr>
      </w:pPr>
      <w:r>
        <w:rPr>
          <w:rFonts w:ascii="Arial" w:eastAsia="Arial" w:hAnsi="Arial" w:cs="Arial"/>
          <w:color w:val="000000"/>
          <w:spacing w:val="0"/>
          <w:w w:val="100"/>
          <w:position w:val="0"/>
          <w:sz w:val="20"/>
          <w:szCs w:val="20"/>
        </w:rPr>
        <w:t>(</w:t>
      </w:r>
      <w:r>
        <w:rPr>
          <w:color w:val="000000"/>
          <w:spacing w:val="0"/>
          <w:w w:val="100"/>
          <w:position w:val="0"/>
          <w:sz w:val="20"/>
          <w:szCs w:val="20"/>
        </w:rPr>
        <w:t>除特别注明外，金额单位为人民币千元</w:t>
      </w:r>
      <w:r>
        <w:rPr>
          <w:color w:val="000000"/>
          <w:spacing w:val="0"/>
          <w:w w:val="100"/>
          <w:position w:val="0"/>
          <w:sz w:val="24"/>
          <w:szCs w:val="24"/>
        </w:rPr>
        <w:t>)</w:t>
      </w:r>
    </w:p>
    <w:p>
      <w:pPr>
        <w:pStyle w:val="Style32"/>
        <w:keepNext w:val="0"/>
        <w:keepLines w:val="0"/>
        <w:widowControl w:val="0"/>
        <w:shd w:val="clear" w:color="auto" w:fill="auto"/>
        <w:tabs>
          <w:tab w:pos="1116" w:val="left"/>
        </w:tabs>
        <w:bidi w:val="0"/>
        <w:spacing w:before="0" w:after="240" w:line="240" w:lineRule="auto"/>
        <w:ind w:left="0" w:right="0" w:firstLine="420"/>
        <w:jc w:val="both"/>
        <w:rPr>
          <w:sz w:val="24"/>
          <w:szCs w:val="24"/>
        </w:rPr>
      </w:pPr>
      <w:r>
        <w:rPr>
          <w:b/>
          <w:bCs/>
          <w:color w:val="000000"/>
          <w:spacing w:val="0"/>
          <w:w w:val="100"/>
          <w:position w:val="0"/>
          <w:sz w:val="24"/>
          <w:szCs w:val="24"/>
        </w:rPr>
        <w:t>二</w:t>
        <w:tab/>
        <w:t>主要会计政策和会计估计</w:t>
      </w:r>
      <w:r>
        <w:rPr>
          <w:rFonts w:ascii="Times New Roman" w:eastAsia="Times New Roman" w:hAnsi="Times New Roman" w:cs="Times New Roman"/>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4"/>
          <w:szCs w:val="24"/>
        </w:rPr>
        <w:t>)</w:t>
      </w:r>
    </w:p>
    <w:p>
      <w:pPr>
        <w:pStyle w:val="Style53"/>
        <w:keepNext w:val="0"/>
        <w:keepLines w:val="0"/>
        <w:widowControl w:val="0"/>
        <w:shd w:val="clear" w:color="auto" w:fill="auto"/>
        <w:tabs>
          <w:tab w:pos="1116" w:val="left"/>
        </w:tabs>
        <w:bidi w:val="0"/>
        <w:spacing w:before="0" w:after="240" w:line="271" w:lineRule="auto"/>
        <w:ind w:left="0" w:right="0" w:firstLine="420"/>
        <w:jc w:val="both"/>
        <w:rPr>
          <w:sz w:val="24"/>
          <w:szCs w:val="24"/>
        </w:rPr>
      </w:pPr>
      <w:r>
        <w:rPr>
          <w:color w:val="000000"/>
          <w:spacing w:val="0"/>
          <w:w w:val="100"/>
          <w:position w:val="0"/>
          <w:sz w:val="24"/>
          <w:szCs w:val="24"/>
        </w:rPr>
        <w:t>(9)</w:t>
        <w:tab/>
      </w:r>
      <w:r>
        <w:rPr>
          <w:rFonts w:ascii="SimSun" w:eastAsia="SimSun" w:hAnsi="SimSun" w:cs="SimSun"/>
          <w:b/>
          <w:bCs/>
          <w:color w:val="000000"/>
          <w:spacing w:val="0"/>
          <w:w w:val="100"/>
          <w:position w:val="0"/>
          <w:sz w:val="24"/>
          <w:szCs w:val="24"/>
        </w:rPr>
        <w:t>金融工具</w:t>
      </w:r>
      <w:r>
        <w:rPr>
          <w:color w:val="000000"/>
          <w:spacing w:val="0"/>
          <w:w w:val="100"/>
          <w:position w:val="0"/>
          <w:sz w:val="24"/>
          <w:szCs w:val="24"/>
        </w:rPr>
        <w:t>(</w:t>
      </w:r>
      <w:r>
        <w:rPr>
          <w:rFonts w:ascii="SimSun" w:eastAsia="SimSun" w:hAnsi="SimSun" w:cs="SimSun"/>
          <w:b/>
          <w:bCs/>
          <w:color w:val="000000"/>
          <w:spacing w:val="0"/>
          <w:w w:val="100"/>
          <w:position w:val="0"/>
          <w:sz w:val="24"/>
          <w:szCs w:val="24"/>
        </w:rPr>
        <w:t>续</w:t>
      </w:r>
      <w:r>
        <w:rPr>
          <w:rFonts w:ascii="SimSun" w:eastAsia="SimSun" w:hAnsi="SimSun" w:cs="SimSun"/>
          <w:color w:val="000000"/>
          <w:spacing w:val="0"/>
          <w:w w:val="100"/>
          <w:position w:val="0"/>
          <w:sz w:val="24"/>
          <w:szCs w:val="24"/>
        </w:rPr>
        <w:t>)</w:t>
      </w:r>
    </w:p>
    <w:p>
      <w:pPr>
        <w:pStyle w:val="Style32"/>
        <w:keepNext w:val="0"/>
        <w:keepLines w:val="0"/>
        <w:widowControl w:val="0"/>
        <w:numPr>
          <w:ilvl w:val="0"/>
          <w:numId w:val="29"/>
        </w:numPr>
        <w:shd w:val="clear" w:color="auto" w:fill="auto"/>
        <w:tabs>
          <w:tab w:pos="1116" w:val="left"/>
        </w:tabs>
        <w:bidi w:val="0"/>
        <w:spacing w:before="0" w:after="240" w:line="271" w:lineRule="auto"/>
        <w:ind w:left="0" w:right="0" w:firstLine="420"/>
        <w:jc w:val="both"/>
        <w:rPr>
          <w:sz w:val="24"/>
          <w:szCs w:val="24"/>
        </w:rPr>
      </w:pPr>
      <w:bookmarkStart w:id="657" w:name="bookmark657"/>
      <w:bookmarkEnd w:id="657"/>
      <w:r>
        <w:rPr>
          <w:color w:val="000000"/>
          <w:spacing w:val="0"/>
          <w:w w:val="100"/>
          <w:position w:val="0"/>
          <w:sz w:val="24"/>
          <w:szCs w:val="24"/>
        </w:rPr>
        <w:t>金融工具的公允价值确定</w:t>
      </w:r>
    </w:p>
    <w:p>
      <w:pPr>
        <w:pStyle w:val="Style32"/>
        <w:keepNext w:val="0"/>
        <w:keepLines w:val="0"/>
        <w:widowControl w:val="0"/>
        <w:shd w:val="clear" w:color="auto" w:fill="auto"/>
        <w:bidi w:val="0"/>
        <w:spacing w:before="0" w:after="240" w:line="314" w:lineRule="exact"/>
        <w:ind w:left="1140" w:right="0" w:firstLine="0"/>
        <w:jc w:val="both"/>
        <w:rPr>
          <w:sz w:val="24"/>
          <w:szCs w:val="24"/>
        </w:rPr>
      </w:pPr>
      <w:r>
        <w:rPr>
          <w:color w:val="000000"/>
          <w:spacing w:val="0"/>
          <w:w w:val="100"/>
          <w:position w:val="0"/>
          <w:sz w:val="24"/>
          <w:szCs w:val="24"/>
        </w:rPr>
        <w:t>存在活跃市场的金融工具，以活跃市场中的报价确定其公允价值。不存在活 跃市场的金融工具，采用估值技术确定其公允价值。在估值时，本集团采用 在当前情况下适用并且有足够可利用数据和其他信息支持的估值技术，选择 与市场参与者在相关资产或负债的交易中所考虑的资产或负债特征相一致的 输入值，并尽可能优先使用相关可观察输入值。在相关可观察输入值无法取 得或取得不切实可行的情况下，使用不可观察输入值。</w:t>
      </w:r>
    </w:p>
    <w:p>
      <w:pPr>
        <w:pStyle w:val="Style32"/>
        <w:keepNext w:val="0"/>
        <w:keepLines w:val="0"/>
        <w:widowControl w:val="0"/>
        <w:numPr>
          <w:ilvl w:val="0"/>
          <w:numId w:val="29"/>
        </w:numPr>
        <w:shd w:val="clear" w:color="auto" w:fill="auto"/>
        <w:tabs>
          <w:tab w:pos="1116" w:val="left"/>
        </w:tabs>
        <w:bidi w:val="0"/>
        <w:spacing w:before="0" w:after="240" w:line="271" w:lineRule="auto"/>
        <w:ind w:left="0" w:right="0" w:firstLine="420"/>
        <w:jc w:val="both"/>
        <w:rPr>
          <w:sz w:val="24"/>
          <w:szCs w:val="24"/>
        </w:rPr>
      </w:pPr>
      <w:bookmarkStart w:id="658" w:name="bookmark658"/>
      <w:bookmarkEnd w:id="658"/>
      <w:r>
        <w:rPr>
          <w:color w:val="000000"/>
          <w:spacing w:val="0"/>
          <w:w w:val="100"/>
          <w:position w:val="0"/>
          <w:sz w:val="24"/>
          <w:szCs w:val="24"/>
        </w:rPr>
        <w:t>衍生金融工具及套期活动</w:t>
      </w:r>
    </w:p>
    <w:p>
      <w:pPr>
        <w:pStyle w:val="Style32"/>
        <w:keepNext w:val="0"/>
        <w:keepLines w:val="0"/>
        <w:widowControl w:val="0"/>
        <w:shd w:val="clear" w:color="auto" w:fill="auto"/>
        <w:bidi w:val="0"/>
        <w:spacing w:before="0" w:after="280" w:line="311" w:lineRule="exact"/>
        <w:ind w:left="1140" w:right="0" w:firstLine="0"/>
        <w:jc w:val="both"/>
        <w:rPr>
          <w:sz w:val="24"/>
          <w:szCs w:val="24"/>
        </w:rPr>
      </w:pPr>
      <w:r>
        <w:rPr>
          <w:color w:val="000000"/>
          <w:spacing w:val="0"/>
          <w:w w:val="100"/>
          <w:position w:val="0"/>
          <w:sz w:val="24"/>
          <w:szCs w:val="24"/>
        </w:rPr>
        <w:t>衍生工具初始需按衍生工具合同订立日的公允价值确认，后续按其公允价值 重新计量。衍生工具公允价值变动形成的利得或损失的处理方法取决于该衍 生工具是否指定为套期工具，若指定为套期工具，则取决于其所套期项目的 性质。本集团指定若干衍生工具作为现金流量套期，即套期与已确认资产或 负债、很可能发生的预期交易有关的某类特定风险。</w:t>
      </w:r>
    </w:p>
    <w:p>
      <w:pPr>
        <w:pStyle w:val="Style32"/>
        <w:keepNext w:val="0"/>
        <w:keepLines w:val="0"/>
        <w:widowControl w:val="0"/>
        <w:shd w:val="clear" w:color="auto" w:fill="auto"/>
        <w:bidi w:val="0"/>
        <w:spacing w:before="0" w:after="240" w:line="310" w:lineRule="exact"/>
        <w:ind w:left="1140" w:right="0" w:firstLine="0"/>
        <w:jc w:val="both"/>
        <w:rPr>
          <w:sz w:val="24"/>
          <w:szCs w:val="24"/>
        </w:rPr>
      </w:pPr>
      <w:r>
        <w:rPr>
          <w:color w:val="000000"/>
          <w:spacing w:val="0"/>
          <w:w w:val="100"/>
          <w:position w:val="0"/>
          <w:sz w:val="24"/>
          <w:szCs w:val="24"/>
        </w:rPr>
        <w:t>在套期开始时，本集团对套期工具和被套期项目之间的关系有正式指定，并 准备了关于套期关系、风险管理目标和套期策略的正式书面文件。本集团亦 于套期开始及以后期间，持续评估该等用于套期交易的衍生工具，是否高度 有效地抵消套期指定期间被套期风险引起的公允价值或现金流量变动。</w:t>
      </w:r>
    </w:p>
    <w:p>
      <w:pPr>
        <w:pStyle w:val="Style32"/>
        <w:keepNext w:val="0"/>
        <w:keepLines w:val="0"/>
        <w:widowControl w:val="0"/>
        <w:shd w:val="clear" w:color="auto" w:fill="auto"/>
        <w:bidi w:val="0"/>
        <w:spacing w:before="0" w:after="280" w:line="311" w:lineRule="exact"/>
        <w:ind w:left="1140" w:right="0" w:firstLine="0"/>
        <w:jc w:val="both"/>
        <w:rPr>
          <w:sz w:val="24"/>
          <w:szCs w:val="24"/>
        </w:rPr>
      </w:pPr>
      <w:r>
        <w:rPr>
          <w:color w:val="000000"/>
          <w:spacing w:val="0"/>
          <w:w w:val="100"/>
          <w:position w:val="0"/>
          <w:sz w:val="24"/>
          <w:szCs w:val="24"/>
        </w:rPr>
        <w:t>现金流量套期</w:t>
      </w:r>
    </w:p>
    <w:p>
      <w:pPr>
        <w:pStyle w:val="Style32"/>
        <w:keepNext w:val="0"/>
        <w:keepLines w:val="0"/>
        <w:widowControl w:val="0"/>
        <w:shd w:val="clear" w:color="auto" w:fill="auto"/>
        <w:bidi w:val="0"/>
        <w:spacing w:before="0" w:after="240" w:line="310" w:lineRule="exact"/>
        <w:ind w:left="1140" w:right="0" w:firstLine="0"/>
        <w:jc w:val="both"/>
        <w:rPr>
          <w:sz w:val="24"/>
          <w:szCs w:val="24"/>
        </w:rPr>
      </w:pPr>
      <w:r>
        <w:rPr>
          <w:color w:val="000000"/>
          <w:spacing w:val="0"/>
          <w:w w:val="100"/>
          <w:position w:val="0"/>
          <w:sz w:val="24"/>
          <w:szCs w:val="24"/>
        </w:rPr>
        <w:t>被指定并符合条件作为现金流量套期的衍生工具的公允价值变动中属于有效 套期的部分，应当直接确认为所有者权益，并单列项目反映。套期工具利得 或损失中属于无效套期的部分应当计入当期损益。</w:t>
      </w:r>
    </w:p>
    <w:p>
      <w:pPr>
        <w:pStyle w:val="Style32"/>
        <w:keepNext w:val="0"/>
        <w:keepLines w:val="0"/>
        <w:widowControl w:val="0"/>
        <w:shd w:val="clear" w:color="auto" w:fill="auto"/>
        <w:bidi w:val="0"/>
        <w:spacing w:before="0" w:after="240" w:line="310" w:lineRule="exact"/>
        <w:ind w:left="1140" w:right="0" w:firstLine="0"/>
        <w:jc w:val="both"/>
        <w:rPr>
          <w:sz w:val="24"/>
          <w:szCs w:val="24"/>
        </w:rPr>
      </w:pPr>
      <w:r>
        <w:rPr>
          <w:color w:val="000000"/>
          <w:spacing w:val="0"/>
          <w:w w:val="100"/>
          <w:position w:val="0"/>
          <w:sz w:val="24"/>
          <w:szCs w:val="24"/>
        </w:rPr>
        <w:t>原直接计入所有者权益中的套期工具利得或损失，应当在被套期预期交易形 成的资产或负债影响损益的相同期间转出，计入当期损益，但预期净损失在 未来期间不能弥补时，立刻将不能弥补的部分转出，计入当期损益。</w:t>
      </w:r>
    </w:p>
    <w:p>
      <w:pPr>
        <w:pStyle w:val="Style32"/>
        <w:keepNext w:val="0"/>
        <w:keepLines w:val="0"/>
        <w:widowControl w:val="0"/>
        <w:shd w:val="clear" w:color="auto" w:fill="auto"/>
        <w:bidi w:val="0"/>
        <w:spacing w:before="0" w:after="240" w:line="316" w:lineRule="exact"/>
        <w:ind w:left="1140" w:right="0" w:firstLine="0"/>
        <w:jc w:val="both"/>
        <w:rPr>
          <w:sz w:val="24"/>
          <w:szCs w:val="24"/>
        </w:rPr>
      </w:pPr>
      <w:r>
        <w:rPr>
          <w:color w:val="000000"/>
          <w:spacing w:val="0"/>
          <w:w w:val="100"/>
          <w:position w:val="0"/>
          <w:sz w:val="24"/>
          <w:szCs w:val="24"/>
        </w:rPr>
        <w:t>当套期工具已到期、被出售、合同终止或已行使，或该套期不再满足运用套 期会计方法的条件时，在套期有效期间直接计入所有者权益中的套期工具利 得或损失不应当转出，直至预期交易影响损益的相同期间转出，计入当期损 益；预期交易预计不会发生的，原直接计入所有者权益中的套期工具利得或 损失应当转出，计入当期损益。</w:t>
      </w:r>
    </w:p>
    <w:p>
      <w:pPr>
        <w:pStyle w:val="Style32"/>
        <w:keepNext w:val="0"/>
        <w:keepLines w:val="0"/>
        <w:widowControl w:val="0"/>
        <w:shd w:val="clear" w:color="auto" w:fill="auto"/>
        <w:bidi w:val="0"/>
        <w:spacing w:before="0" w:after="0" w:line="240" w:lineRule="auto"/>
        <w:ind w:left="1120" w:right="0" w:firstLine="0"/>
        <w:jc w:val="left"/>
        <w:rPr>
          <w:sz w:val="24"/>
          <w:szCs w:val="24"/>
        </w:rPr>
      </w:pPr>
      <w:r>
        <w:rPr>
          <w:b/>
          <w:bCs/>
          <w:color w:val="000000"/>
          <w:spacing w:val="0"/>
          <w:w w:val="100"/>
          <w:position w:val="0"/>
          <w:sz w:val="24"/>
          <w:szCs w:val="24"/>
        </w:rPr>
        <w:t>财务报表附注</w:t>
      </w:r>
    </w:p>
    <w:p>
      <w:pPr>
        <w:pStyle w:val="Style88"/>
        <w:keepNext/>
        <w:keepLines/>
        <w:widowControl w:val="0"/>
        <w:shd w:val="clear" w:color="auto" w:fill="auto"/>
        <w:bidi w:val="0"/>
        <w:spacing w:before="0" w:after="0" w:line="240" w:lineRule="auto"/>
        <w:ind w:left="1120" w:right="0" w:firstLine="0"/>
        <w:jc w:val="left"/>
      </w:pPr>
      <w:bookmarkStart w:id="659" w:name="bookmark659"/>
      <w:bookmarkStart w:id="660" w:name="bookmark660"/>
      <w:bookmarkStart w:id="661" w:name="bookmark661"/>
      <w:r>
        <w:rPr>
          <w:color w:val="000000"/>
          <w:spacing w:val="0"/>
          <w:w w:val="100"/>
          <w:position w:val="0"/>
          <w:sz w:val="24"/>
          <w:szCs w:val="24"/>
        </w:rPr>
        <w:t>2016</w:t>
      </w:r>
      <w:r>
        <w:rPr>
          <w:rFonts w:ascii="SimSun" w:eastAsia="SimSun" w:hAnsi="SimSun" w:cs="SimSun"/>
          <w:b/>
          <w:bCs/>
          <w:color w:val="000000"/>
          <w:spacing w:val="0"/>
          <w:w w:val="100"/>
          <w:position w:val="0"/>
          <w:sz w:val="24"/>
          <w:szCs w:val="24"/>
        </w:rPr>
        <w:t>年度</w:t>
      </w:r>
      <w:bookmarkEnd w:id="659"/>
      <w:bookmarkEnd w:id="660"/>
      <w:bookmarkEnd w:id="661"/>
    </w:p>
    <w:p>
      <w:pPr>
        <w:pStyle w:val="Style32"/>
        <w:keepNext w:val="0"/>
        <w:keepLines w:val="0"/>
        <w:widowControl w:val="0"/>
        <w:shd w:val="clear" w:color="auto" w:fill="auto"/>
        <w:bidi w:val="0"/>
        <w:spacing w:before="0" w:after="260" w:line="240" w:lineRule="auto"/>
        <w:ind w:left="1120" w:right="0" w:firstLine="0"/>
        <w:jc w:val="left"/>
        <w:rPr>
          <w:sz w:val="24"/>
          <w:szCs w:val="24"/>
        </w:rPr>
      </w:pPr>
      <w:r>
        <w:rPr>
          <w:rFonts w:ascii="Arial" w:eastAsia="Arial" w:hAnsi="Arial" w:cs="Arial"/>
          <w:color w:val="000000"/>
          <w:spacing w:val="0"/>
          <w:w w:val="100"/>
          <w:position w:val="0"/>
          <w:sz w:val="20"/>
          <w:szCs w:val="20"/>
        </w:rPr>
        <w:t>(</w:t>
      </w:r>
      <w:r>
        <w:rPr>
          <w:color w:val="000000"/>
          <w:spacing w:val="0"/>
          <w:w w:val="100"/>
          <w:position w:val="0"/>
          <w:sz w:val="20"/>
          <w:szCs w:val="20"/>
        </w:rPr>
        <w:t>除特别注明外，金额单位为人民币千元</w:t>
      </w:r>
      <w:r>
        <w:rPr>
          <w:color w:val="000000"/>
          <w:spacing w:val="0"/>
          <w:w w:val="100"/>
          <w:position w:val="0"/>
          <w:sz w:val="24"/>
          <w:szCs w:val="24"/>
        </w:rPr>
        <w:t>)</w:t>
      </w:r>
    </w:p>
    <w:p>
      <w:pPr>
        <w:pStyle w:val="Style32"/>
        <w:keepNext w:val="0"/>
        <w:keepLines w:val="0"/>
        <w:widowControl w:val="0"/>
        <w:shd w:val="clear" w:color="auto" w:fill="auto"/>
        <w:tabs>
          <w:tab w:pos="1120" w:val="left"/>
        </w:tabs>
        <w:bidi w:val="0"/>
        <w:spacing w:before="0" w:after="260" w:line="240" w:lineRule="auto"/>
        <w:ind w:left="0" w:right="0" w:firstLine="420"/>
        <w:jc w:val="both"/>
        <w:rPr>
          <w:sz w:val="24"/>
          <w:szCs w:val="24"/>
        </w:rPr>
      </w:pPr>
      <w:r>
        <w:rPr>
          <w:b/>
          <w:bCs/>
          <w:color w:val="000000"/>
          <w:spacing w:val="0"/>
          <w:w w:val="100"/>
          <w:position w:val="0"/>
          <w:sz w:val="24"/>
          <w:szCs w:val="24"/>
        </w:rPr>
        <w:t>二</w:t>
        <w:tab/>
        <w:t>主要会计政策和会计估计</w:t>
      </w:r>
      <w:r>
        <w:rPr>
          <w:rFonts w:ascii="Times New Roman" w:eastAsia="Times New Roman" w:hAnsi="Times New Roman" w:cs="Times New Roman"/>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4"/>
          <w:szCs w:val="24"/>
        </w:rPr>
        <w:t>)</w:t>
      </w:r>
    </w:p>
    <w:p>
      <w:pPr>
        <w:pStyle w:val="Style32"/>
        <w:keepNext w:val="0"/>
        <w:keepLines w:val="0"/>
        <w:widowControl w:val="0"/>
        <w:shd w:val="clear" w:color="auto" w:fill="auto"/>
        <w:tabs>
          <w:tab w:pos="1120" w:val="left"/>
        </w:tabs>
        <w:bidi w:val="0"/>
        <w:spacing w:before="0" w:after="260" w:line="240" w:lineRule="auto"/>
        <w:ind w:left="0" w:right="0" w:firstLine="420"/>
        <w:jc w:val="both"/>
        <w:rPr>
          <w:sz w:val="24"/>
          <w:szCs w:val="24"/>
        </w:rPr>
      </w:pPr>
      <w:r>
        <w:rPr>
          <w:rFonts w:ascii="Times New Roman" w:eastAsia="Times New Roman" w:hAnsi="Times New Roman" w:cs="Times New Roman"/>
          <w:color w:val="000000"/>
          <w:spacing w:val="0"/>
          <w:w w:val="100"/>
          <w:position w:val="0"/>
          <w:sz w:val="24"/>
          <w:szCs w:val="24"/>
        </w:rPr>
        <w:t>(10)</w:t>
        <w:tab/>
      </w:r>
      <w:r>
        <w:rPr>
          <w:b/>
          <w:bCs/>
          <w:color w:val="000000"/>
          <w:spacing w:val="0"/>
          <w:w w:val="100"/>
          <w:position w:val="0"/>
          <w:sz w:val="24"/>
          <w:szCs w:val="24"/>
        </w:rPr>
        <w:t>应收款项</w:t>
      </w:r>
    </w:p>
    <w:p>
      <w:pPr>
        <w:pStyle w:val="Style32"/>
        <w:keepNext w:val="0"/>
        <w:keepLines w:val="0"/>
        <w:widowControl w:val="0"/>
        <w:shd w:val="clear" w:color="auto" w:fill="auto"/>
        <w:bidi w:val="0"/>
        <w:spacing w:before="0" w:after="260" w:line="312" w:lineRule="exact"/>
        <w:ind w:left="1120" w:right="0" w:firstLine="20"/>
        <w:jc w:val="both"/>
        <w:rPr>
          <w:sz w:val="24"/>
          <w:szCs w:val="24"/>
        </w:rPr>
      </w:pPr>
      <w:r>
        <w:rPr>
          <w:color w:val="000000"/>
          <w:spacing w:val="0"/>
          <w:w w:val="100"/>
          <w:position w:val="0"/>
          <w:sz w:val="24"/>
          <w:szCs w:val="24"/>
        </w:rPr>
        <w:t>应收款项包括应收账款、其他应收款、发放贷款和垫款等。本集团对外销售 商品或提供劳务形成的应收账款，按从购货方或劳务接受方应收的合同或协 议价款的公允价值作为初始确认金额。</w:t>
      </w:r>
    </w:p>
    <w:p>
      <w:pPr>
        <w:pStyle w:val="Style32"/>
        <w:keepNext w:val="0"/>
        <w:keepLines w:val="0"/>
        <w:widowControl w:val="0"/>
        <w:numPr>
          <w:ilvl w:val="0"/>
          <w:numId w:val="35"/>
        </w:numPr>
        <w:shd w:val="clear" w:color="auto" w:fill="auto"/>
        <w:tabs>
          <w:tab w:pos="1120" w:val="left"/>
        </w:tabs>
        <w:bidi w:val="0"/>
        <w:spacing w:before="0" w:after="260" w:line="312" w:lineRule="exact"/>
        <w:ind w:left="0" w:right="0" w:firstLine="420"/>
        <w:jc w:val="both"/>
        <w:rPr>
          <w:sz w:val="24"/>
          <w:szCs w:val="24"/>
        </w:rPr>
      </w:pPr>
      <w:bookmarkStart w:id="662" w:name="bookmark662"/>
      <w:bookmarkEnd w:id="662"/>
      <w:r>
        <w:rPr>
          <w:color w:val="000000"/>
          <w:spacing w:val="0"/>
          <w:w w:val="100"/>
          <w:position w:val="0"/>
          <w:sz w:val="24"/>
          <w:szCs w:val="24"/>
        </w:rPr>
        <w:t>单项金额重大并单独计提坏账准备的应收款项</w:t>
      </w:r>
    </w:p>
    <w:p>
      <w:pPr>
        <w:pStyle w:val="Style32"/>
        <w:keepNext w:val="0"/>
        <w:keepLines w:val="0"/>
        <w:widowControl w:val="0"/>
        <w:shd w:val="clear" w:color="auto" w:fill="auto"/>
        <w:bidi w:val="0"/>
        <w:spacing w:before="0" w:after="260" w:line="312" w:lineRule="exact"/>
        <w:ind w:left="1120" w:right="0" w:firstLine="20"/>
        <w:jc w:val="left"/>
        <w:rPr>
          <w:sz w:val="24"/>
          <w:szCs w:val="24"/>
        </w:rPr>
      </w:pPr>
      <w:r>
        <w:rPr>
          <w:color w:val="000000"/>
          <w:spacing w:val="0"/>
          <w:w w:val="100"/>
          <w:position w:val="0"/>
          <w:sz w:val="24"/>
          <w:szCs w:val="24"/>
        </w:rPr>
        <w:t>对于单项金额重大的应收款项，单独进行减值测试。当存在客观证据表明本 集团将无法按应收款项的原有条款收回款项时，计提坏账准备。</w:t>
      </w:r>
    </w:p>
    <w:p>
      <w:pPr>
        <w:pStyle w:val="Style32"/>
        <w:keepNext w:val="0"/>
        <w:keepLines w:val="0"/>
        <w:widowControl w:val="0"/>
        <w:shd w:val="clear" w:color="auto" w:fill="auto"/>
        <w:bidi w:val="0"/>
        <w:spacing w:before="0" w:after="260" w:line="312" w:lineRule="exact"/>
        <w:ind w:left="1120" w:right="0" w:firstLine="20"/>
        <w:jc w:val="left"/>
        <w:rPr>
          <w:sz w:val="24"/>
          <w:szCs w:val="24"/>
        </w:rPr>
      </w:pPr>
      <w:r>
        <w:rPr>
          <w:color w:val="000000"/>
          <w:spacing w:val="0"/>
          <w:w w:val="100"/>
          <w:position w:val="0"/>
          <w:sz w:val="24"/>
          <w:szCs w:val="24"/>
        </w:rPr>
        <w:t>单项金额重大的判断标准为：单项金额超过人民币</w:t>
      </w:r>
      <w:r>
        <w:rPr>
          <w:rFonts w:ascii="Times New Roman" w:eastAsia="Times New Roman" w:hAnsi="Times New Roman" w:cs="Times New Roman"/>
          <w:color w:val="000000"/>
          <w:spacing w:val="0"/>
          <w:w w:val="100"/>
          <w:position w:val="0"/>
          <w:sz w:val="24"/>
          <w:szCs w:val="24"/>
        </w:rPr>
        <w:t>100,000,000</w:t>
      </w:r>
      <w:r>
        <w:rPr>
          <w:color w:val="000000"/>
          <w:spacing w:val="0"/>
          <w:w w:val="100"/>
          <w:position w:val="0"/>
          <w:sz w:val="24"/>
          <w:szCs w:val="24"/>
        </w:rPr>
        <w:t>元。</w:t>
      </w:r>
    </w:p>
    <w:p>
      <w:pPr>
        <w:pStyle w:val="Style32"/>
        <w:keepNext w:val="0"/>
        <w:keepLines w:val="0"/>
        <w:widowControl w:val="0"/>
        <w:shd w:val="clear" w:color="auto" w:fill="auto"/>
        <w:bidi w:val="0"/>
        <w:spacing w:before="0" w:after="260" w:line="312" w:lineRule="exact"/>
        <w:ind w:left="1120" w:right="0" w:firstLine="20"/>
        <w:jc w:val="left"/>
        <w:rPr>
          <w:sz w:val="24"/>
          <w:szCs w:val="24"/>
        </w:rPr>
      </w:pPr>
      <w:r>
        <w:rPr>
          <w:color w:val="000000"/>
          <w:spacing w:val="0"/>
          <w:w w:val="100"/>
          <w:position w:val="0"/>
          <w:sz w:val="24"/>
          <w:szCs w:val="24"/>
        </w:rPr>
        <w:t>单项金额重大并单独计提坏账准备的计提方法为：根据应收款项的预计未来 现金流量现值低于其账面价值的差额进行计提。</w:t>
      </w:r>
    </w:p>
    <w:p>
      <w:pPr>
        <w:pStyle w:val="Style32"/>
        <w:keepNext w:val="0"/>
        <w:keepLines w:val="0"/>
        <w:widowControl w:val="0"/>
        <w:numPr>
          <w:ilvl w:val="0"/>
          <w:numId w:val="35"/>
        </w:numPr>
        <w:shd w:val="clear" w:color="auto" w:fill="auto"/>
        <w:tabs>
          <w:tab w:pos="1120" w:val="left"/>
        </w:tabs>
        <w:bidi w:val="0"/>
        <w:spacing w:before="0" w:after="260" w:line="271" w:lineRule="auto"/>
        <w:ind w:left="0" w:right="0" w:firstLine="420"/>
        <w:jc w:val="both"/>
        <w:rPr>
          <w:sz w:val="24"/>
          <w:szCs w:val="24"/>
        </w:rPr>
      </w:pPr>
      <w:bookmarkStart w:id="663" w:name="bookmark663"/>
      <w:bookmarkEnd w:id="663"/>
      <w:r>
        <w:rPr>
          <w:color w:val="000000"/>
          <w:spacing w:val="0"/>
          <w:w w:val="100"/>
          <w:position w:val="0"/>
          <w:sz w:val="24"/>
          <w:szCs w:val="24"/>
        </w:rPr>
        <w:t>按组合计提坏账准备的应收款项</w:t>
      </w:r>
    </w:p>
    <w:p>
      <w:pPr>
        <w:pStyle w:val="Style32"/>
        <w:keepNext w:val="0"/>
        <w:keepLines w:val="0"/>
        <w:widowControl w:val="0"/>
        <w:shd w:val="clear" w:color="auto" w:fill="auto"/>
        <w:bidi w:val="0"/>
        <w:spacing w:before="0" w:after="300" w:line="307" w:lineRule="exact"/>
        <w:ind w:left="1120" w:right="0" w:firstLine="20"/>
        <w:jc w:val="both"/>
        <w:rPr>
          <w:sz w:val="24"/>
          <w:szCs w:val="24"/>
        </w:rPr>
      </w:pPr>
      <w:r>
        <w:rPr>
          <w:color w:val="000000"/>
          <w:spacing w:val="0"/>
          <w:w w:val="100"/>
          <w:position w:val="0"/>
          <w:sz w:val="24"/>
          <w:szCs w:val="24"/>
        </w:rPr>
        <w:t>对于单项金额不重大的应收款项，与经单独测试后未减值的应收款项一起按 信用风险特征划分为若干组合，根据以前年度与之具有类似信用风险特征的 应收款项组合的实际损失率为基础，结合现时情况确定应计提的坏账准备。</w:t>
      </w:r>
    </w:p>
    <w:p>
      <w:pPr>
        <w:pStyle w:val="Style25"/>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确定组合的依据如下:</w:t>
      </w:r>
    </w:p>
    <w:tbl>
      <w:tblPr>
        <w:tblOverlap w:val="never"/>
        <w:jc w:val="center"/>
        <w:tblLayout w:type="fixed"/>
      </w:tblPr>
      <w:tblGrid>
        <w:gridCol w:w="3360"/>
        <w:gridCol w:w="4762"/>
      </w:tblGrid>
      <w:tr>
        <w:trPr>
          <w:trHeight w:val="1541" w:hRule="exact"/>
        </w:trPr>
        <w:tc>
          <w:tcPr>
            <w:tcBorders/>
            <w:shd w:val="clear" w:color="auto" w:fill="FFFFFF"/>
            <w:vAlign w:val="top"/>
          </w:tcPr>
          <w:p>
            <w:pPr>
              <w:pStyle w:val="Style28"/>
              <w:keepNext w:val="0"/>
              <w:keepLines w:val="0"/>
              <w:widowControl w:val="0"/>
              <w:shd w:val="clear" w:color="auto" w:fill="auto"/>
              <w:bidi w:val="0"/>
              <w:spacing w:before="0" w:after="0" w:line="302" w:lineRule="exact"/>
              <w:ind w:left="0" w:right="0" w:firstLine="0"/>
              <w:jc w:val="left"/>
              <w:rPr>
                <w:sz w:val="24"/>
                <w:szCs w:val="24"/>
              </w:rPr>
            </w:pPr>
            <w:r>
              <w:rPr>
                <w:color w:val="000000"/>
                <w:spacing w:val="0"/>
                <w:w w:val="100"/>
                <w:position w:val="0"/>
                <w:sz w:val="24"/>
                <w:szCs w:val="24"/>
              </w:rPr>
              <w:t>政府补贴组合</w:t>
            </w:r>
          </w:p>
          <w:p>
            <w:pPr>
              <w:pStyle w:val="Style28"/>
              <w:keepNext w:val="0"/>
              <w:keepLines w:val="0"/>
              <w:widowControl w:val="0"/>
              <w:shd w:val="clear" w:color="auto" w:fill="auto"/>
              <w:bidi w:val="0"/>
              <w:spacing w:before="0" w:after="0" w:line="302" w:lineRule="exact"/>
              <w:ind w:left="0" w:right="0" w:firstLine="0"/>
              <w:jc w:val="left"/>
              <w:rPr>
                <w:sz w:val="24"/>
                <w:szCs w:val="24"/>
              </w:rPr>
            </w:pPr>
            <w:r>
              <w:rPr>
                <w:color w:val="000000"/>
                <w:spacing w:val="0"/>
                <w:w w:val="100"/>
                <w:position w:val="0"/>
                <w:sz w:val="24"/>
                <w:szCs w:val="24"/>
              </w:rPr>
              <w:t>节能补贴组合 保本保收益理财产品组合 其他款项</w:t>
            </w:r>
          </w:p>
        </w:tc>
        <w:tc>
          <w:tcPr>
            <w:tcBorders/>
            <w:shd w:val="clear" w:color="auto" w:fill="FFFFFF"/>
            <w:vAlign w:val="top"/>
          </w:tcPr>
          <w:p>
            <w:pPr>
              <w:pStyle w:val="Style28"/>
              <w:keepNext w:val="0"/>
              <w:keepLines w:val="0"/>
              <w:widowControl w:val="0"/>
              <w:shd w:val="clear" w:color="auto" w:fill="auto"/>
              <w:bidi w:val="0"/>
              <w:spacing w:before="0" w:after="0" w:line="312" w:lineRule="exact"/>
              <w:ind w:left="0" w:right="0" w:firstLine="0"/>
              <w:jc w:val="left"/>
              <w:rPr>
                <w:sz w:val="24"/>
                <w:szCs w:val="24"/>
              </w:rPr>
            </w:pPr>
            <w:r>
              <w:rPr>
                <w:color w:val="000000"/>
                <w:spacing w:val="0"/>
                <w:w w:val="100"/>
                <w:position w:val="0"/>
                <w:sz w:val="24"/>
                <w:szCs w:val="24"/>
              </w:rPr>
              <w:t>所有应收的政府补贴款项</w:t>
            </w:r>
          </w:p>
          <w:p>
            <w:pPr>
              <w:pStyle w:val="Style28"/>
              <w:keepNext w:val="0"/>
              <w:keepLines w:val="0"/>
              <w:widowControl w:val="0"/>
              <w:shd w:val="clear" w:color="auto" w:fill="auto"/>
              <w:bidi w:val="0"/>
              <w:spacing w:before="0" w:after="0" w:line="312" w:lineRule="exact"/>
              <w:ind w:left="0" w:right="0" w:firstLine="0"/>
              <w:jc w:val="left"/>
              <w:rPr>
                <w:sz w:val="24"/>
                <w:szCs w:val="24"/>
              </w:rPr>
            </w:pPr>
            <w:r>
              <w:rPr>
                <w:color w:val="000000"/>
                <w:spacing w:val="0"/>
                <w:w w:val="100"/>
                <w:position w:val="0"/>
                <w:sz w:val="24"/>
                <w:szCs w:val="24"/>
              </w:rPr>
              <w:t>所有应收的节能补贴款项</w:t>
            </w:r>
          </w:p>
          <w:p>
            <w:pPr>
              <w:pStyle w:val="Style28"/>
              <w:keepNext w:val="0"/>
              <w:keepLines w:val="0"/>
              <w:widowControl w:val="0"/>
              <w:shd w:val="clear" w:color="auto" w:fill="auto"/>
              <w:bidi w:val="0"/>
              <w:spacing w:before="0" w:after="0" w:line="312" w:lineRule="exact"/>
              <w:ind w:left="0" w:right="0" w:firstLine="0"/>
              <w:jc w:val="left"/>
              <w:rPr>
                <w:sz w:val="24"/>
                <w:szCs w:val="24"/>
              </w:rPr>
            </w:pPr>
            <w:r>
              <w:rPr>
                <w:color w:val="000000"/>
                <w:spacing w:val="0"/>
                <w:w w:val="100"/>
                <w:position w:val="0"/>
                <w:sz w:val="24"/>
                <w:szCs w:val="24"/>
              </w:rPr>
              <w:t>所有应收的保本保收益理财产品款项 短期应收款项中除政府补贴、节能补贴</w:t>
            </w:r>
          </w:p>
          <w:p>
            <w:pPr>
              <w:pStyle w:val="Style28"/>
              <w:keepNext w:val="0"/>
              <w:keepLines w:val="0"/>
              <w:widowControl w:val="0"/>
              <w:shd w:val="clear" w:color="auto" w:fill="auto"/>
              <w:bidi w:val="0"/>
              <w:spacing w:before="0" w:after="0" w:line="312" w:lineRule="exact"/>
              <w:ind w:left="0" w:right="0" w:firstLine="340"/>
              <w:jc w:val="left"/>
              <w:rPr>
                <w:sz w:val="24"/>
                <w:szCs w:val="24"/>
              </w:rPr>
            </w:pPr>
            <w:r>
              <w:rPr>
                <w:color w:val="000000"/>
                <w:spacing w:val="0"/>
                <w:w w:val="100"/>
                <w:position w:val="0"/>
                <w:sz w:val="24"/>
                <w:szCs w:val="24"/>
              </w:rPr>
              <w:t>及保本保收益理财产品之外的其他款项</w:t>
            </w:r>
          </w:p>
        </w:tc>
      </w:tr>
      <w:tr>
        <w:trPr>
          <w:trHeight w:val="917" w:hRule="exact"/>
        </w:trPr>
        <w:tc>
          <w:tcPr>
            <w:tcBorders/>
            <w:shd w:val="clear" w:color="auto" w:fill="FFFFFF"/>
            <w:vAlign w:val="bottom"/>
          </w:tcPr>
          <w:p>
            <w:pPr>
              <w:pStyle w:val="Style28"/>
              <w:keepNext w:val="0"/>
              <w:keepLines w:val="0"/>
              <w:widowControl w:val="0"/>
              <w:shd w:val="clear" w:color="auto" w:fill="auto"/>
              <w:bidi w:val="0"/>
              <w:spacing w:before="0" w:after="0" w:line="293" w:lineRule="exact"/>
              <w:ind w:left="260" w:right="0" w:hanging="260"/>
              <w:jc w:val="left"/>
              <w:rPr>
                <w:sz w:val="24"/>
                <w:szCs w:val="24"/>
              </w:rPr>
            </w:pPr>
            <w:r>
              <w:rPr>
                <w:color w:val="000000"/>
                <w:spacing w:val="0"/>
                <w:w w:val="100"/>
                <w:position w:val="0"/>
                <w:sz w:val="24"/>
                <w:szCs w:val="24"/>
              </w:rPr>
              <w:t>房屋租赁保证金及采购保证金 组合</w:t>
            </w:r>
          </w:p>
          <w:p>
            <w:pPr>
              <w:pStyle w:val="Style28"/>
              <w:keepNext w:val="0"/>
              <w:keepLines w:val="0"/>
              <w:widowControl w:val="0"/>
              <w:shd w:val="clear" w:color="auto" w:fill="auto"/>
              <w:bidi w:val="0"/>
              <w:spacing w:before="0" w:after="0" w:line="293" w:lineRule="exact"/>
              <w:ind w:left="0" w:right="0" w:firstLine="0"/>
              <w:jc w:val="left"/>
              <w:rPr>
                <w:sz w:val="24"/>
                <w:szCs w:val="24"/>
              </w:rPr>
            </w:pPr>
            <w:r>
              <w:rPr>
                <w:color w:val="000000"/>
                <w:spacing w:val="0"/>
                <w:w w:val="100"/>
                <w:position w:val="0"/>
                <w:sz w:val="24"/>
                <w:szCs w:val="24"/>
              </w:rPr>
              <w:t>关联方非经常性交易组合</w:t>
            </w:r>
          </w:p>
        </w:tc>
        <w:tc>
          <w:tcPr>
            <w:tcBorders/>
            <w:shd w:val="clear" w:color="auto" w:fill="FFFFFF"/>
            <w:vAlign w:val="bottom"/>
          </w:tcPr>
          <w:p>
            <w:pPr>
              <w:pStyle w:val="Style28"/>
              <w:keepNext w:val="0"/>
              <w:keepLines w:val="0"/>
              <w:widowControl w:val="0"/>
              <w:shd w:val="clear" w:color="auto" w:fill="auto"/>
              <w:bidi w:val="0"/>
              <w:spacing w:before="0" w:after="0" w:line="302" w:lineRule="exact"/>
              <w:ind w:left="340" w:right="0" w:hanging="340"/>
              <w:jc w:val="left"/>
              <w:rPr>
                <w:sz w:val="24"/>
                <w:szCs w:val="24"/>
              </w:rPr>
            </w:pPr>
            <w:r>
              <w:rPr>
                <w:color w:val="000000"/>
                <w:spacing w:val="0"/>
                <w:w w:val="100"/>
                <w:position w:val="0"/>
                <w:sz w:val="24"/>
                <w:szCs w:val="24"/>
              </w:rPr>
              <w:t>所有长期应收款中的房屋租赁保证金及采购 保证金</w:t>
            </w:r>
          </w:p>
          <w:p>
            <w:pPr>
              <w:pStyle w:val="Style28"/>
              <w:keepNext w:val="0"/>
              <w:keepLines w:val="0"/>
              <w:widowControl w:val="0"/>
              <w:shd w:val="clear" w:color="auto" w:fill="auto"/>
              <w:bidi w:val="0"/>
              <w:spacing w:before="0" w:after="0" w:line="302" w:lineRule="exact"/>
              <w:ind w:left="0" w:right="0" w:firstLine="0"/>
              <w:jc w:val="left"/>
              <w:rPr>
                <w:sz w:val="24"/>
                <w:szCs w:val="24"/>
              </w:rPr>
            </w:pPr>
            <w:r>
              <w:rPr>
                <w:color w:val="000000"/>
                <w:spacing w:val="0"/>
                <w:w w:val="100"/>
                <w:position w:val="0"/>
                <w:sz w:val="24"/>
                <w:szCs w:val="24"/>
              </w:rPr>
              <w:t>所有应收关联方非经常交易款项</w:t>
            </w:r>
          </w:p>
        </w:tc>
      </w:tr>
    </w:tbl>
    <w:p>
      <w:pPr>
        <w:sectPr>
          <w:footnotePr>
            <w:pos w:val="pageBottom"/>
            <w:numFmt w:val="decimal"/>
            <w:numRestart w:val="continuous"/>
          </w:footnotePr>
          <w:pgSz w:w="11900" w:h="16840"/>
          <w:pgMar w:top="1354" w:right="358" w:bottom="1973" w:left="1227" w:header="0" w:footer="3" w:gutter="0"/>
          <w:cols w:space="720"/>
          <w:noEndnote/>
          <w:rtlGutter w:val="0"/>
          <w:docGrid w:linePitch="360"/>
        </w:sectPr>
      </w:pPr>
    </w:p>
    <w:p>
      <w:pPr>
        <w:pStyle w:val="Style32"/>
        <w:keepNext w:val="0"/>
        <w:keepLines w:val="0"/>
        <w:widowControl w:val="0"/>
        <w:shd w:val="clear" w:color="auto" w:fill="auto"/>
        <w:bidi w:val="0"/>
        <w:spacing w:before="0" w:after="0" w:line="240" w:lineRule="auto"/>
        <w:ind w:left="1140" w:right="0" w:firstLine="0"/>
        <w:jc w:val="left"/>
        <w:rPr>
          <w:sz w:val="24"/>
          <w:szCs w:val="24"/>
        </w:rPr>
      </w:pPr>
      <w:r>
        <w:rPr>
          <w:b/>
          <w:bCs/>
          <w:color w:val="000000"/>
          <w:spacing w:val="0"/>
          <w:w w:val="100"/>
          <w:position w:val="0"/>
          <w:sz w:val="24"/>
          <w:szCs w:val="24"/>
        </w:rPr>
        <w:t>财务报表附注</w:t>
      </w:r>
    </w:p>
    <w:p>
      <w:pPr>
        <w:pStyle w:val="Style88"/>
        <w:keepNext/>
        <w:keepLines/>
        <w:widowControl w:val="0"/>
        <w:shd w:val="clear" w:color="auto" w:fill="auto"/>
        <w:bidi w:val="0"/>
        <w:spacing w:before="0" w:after="0" w:line="240" w:lineRule="auto"/>
        <w:ind w:left="1140" w:right="0" w:firstLine="0"/>
        <w:jc w:val="left"/>
      </w:pPr>
      <w:bookmarkStart w:id="664" w:name="bookmark664"/>
      <w:bookmarkStart w:id="665" w:name="bookmark665"/>
      <w:bookmarkStart w:id="666" w:name="bookmark666"/>
      <w:r>
        <w:rPr>
          <w:color w:val="000000"/>
          <w:spacing w:val="0"/>
          <w:w w:val="100"/>
          <w:position w:val="0"/>
          <w:sz w:val="24"/>
          <w:szCs w:val="24"/>
        </w:rPr>
        <w:t>2016</w:t>
      </w:r>
      <w:r>
        <w:rPr>
          <w:rFonts w:ascii="SimSun" w:eastAsia="SimSun" w:hAnsi="SimSun" w:cs="SimSun"/>
          <w:b/>
          <w:bCs/>
          <w:color w:val="000000"/>
          <w:spacing w:val="0"/>
          <w:w w:val="100"/>
          <w:position w:val="0"/>
          <w:sz w:val="24"/>
          <w:szCs w:val="24"/>
        </w:rPr>
        <w:t>年度</w:t>
      </w:r>
      <w:bookmarkEnd w:id="664"/>
      <w:bookmarkEnd w:id="665"/>
      <w:bookmarkEnd w:id="666"/>
    </w:p>
    <w:p>
      <w:pPr>
        <w:pStyle w:val="Style32"/>
        <w:keepNext w:val="0"/>
        <w:keepLines w:val="0"/>
        <w:widowControl w:val="0"/>
        <w:shd w:val="clear" w:color="auto" w:fill="auto"/>
        <w:bidi w:val="0"/>
        <w:spacing w:before="0" w:after="280" w:line="240" w:lineRule="auto"/>
        <w:ind w:left="1140" w:right="0" w:firstLine="0"/>
        <w:jc w:val="left"/>
        <w:rPr>
          <w:sz w:val="24"/>
          <w:szCs w:val="24"/>
        </w:rPr>
      </w:pPr>
      <w:r>
        <w:rPr>
          <w:rFonts w:ascii="Arial" w:eastAsia="Arial" w:hAnsi="Arial" w:cs="Arial"/>
          <w:color w:val="000000"/>
          <w:spacing w:val="0"/>
          <w:w w:val="100"/>
          <w:position w:val="0"/>
          <w:sz w:val="20"/>
          <w:szCs w:val="20"/>
        </w:rPr>
        <w:t>（</w:t>
      </w:r>
      <w:r>
        <w:rPr>
          <w:color w:val="000000"/>
          <w:spacing w:val="0"/>
          <w:w w:val="100"/>
          <w:position w:val="0"/>
          <w:sz w:val="20"/>
          <w:szCs w:val="20"/>
        </w:rPr>
        <w:t>除特别注明外，金额单位为人民币千元</w:t>
      </w:r>
      <w:r>
        <w:rPr>
          <w:color w:val="000000"/>
          <w:spacing w:val="0"/>
          <w:w w:val="100"/>
          <w:position w:val="0"/>
          <w:sz w:val="24"/>
          <w:szCs w:val="24"/>
        </w:rPr>
        <w:t>）</w:t>
      </w:r>
    </w:p>
    <w:p>
      <w:pPr>
        <w:pStyle w:val="Style32"/>
        <w:keepNext w:val="0"/>
        <w:keepLines w:val="0"/>
        <w:widowControl w:val="0"/>
        <w:shd w:val="clear" w:color="auto" w:fill="auto"/>
        <w:tabs>
          <w:tab w:pos="1063" w:val="left"/>
        </w:tabs>
        <w:bidi w:val="0"/>
        <w:spacing w:before="0" w:after="280" w:line="240" w:lineRule="auto"/>
        <w:ind w:left="0" w:right="0" w:firstLine="480"/>
        <w:jc w:val="left"/>
        <w:rPr>
          <w:sz w:val="24"/>
          <w:szCs w:val="24"/>
        </w:rPr>
      </w:pPr>
      <w:r>
        <w:rPr>
          <w:b/>
          <w:bCs/>
          <w:color w:val="000000"/>
          <w:spacing w:val="0"/>
          <w:w w:val="100"/>
          <w:position w:val="0"/>
          <w:sz w:val="24"/>
          <w:szCs w:val="24"/>
        </w:rPr>
        <w:t>二</w:t>
        <w:tab/>
        <w:t>主要会计政策和会计估计</w:t>
      </w:r>
      <w:r>
        <w:rPr>
          <w:rFonts w:ascii="Times New Roman" w:eastAsia="Times New Roman" w:hAnsi="Times New Roman" w:cs="Times New Roman"/>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4"/>
          <w:szCs w:val="24"/>
        </w:rPr>
        <w:t>）</w:t>
      </w:r>
    </w:p>
    <w:p>
      <w:pPr>
        <w:pStyle w:val="Style53"/>
        <w:keepNext w:val="0"/>
        <w:keepLines w:val="0"/>
        <w:widowControl w:val="0"/>
        <w:shd w:val="clear" w:color="auto" w:fill="auto"/>
        <w:bidi w:val="0"/>
        <w:spacing w:before="0" w:after="280" w:line="240" w:lineRule="auto"/>
        <w:ind w:left="0" w:right="0" w:firstLine="480"/>
        <w:jc w:val="left"/>
        <w:rPr>
          <w:sz w:val="24"/>
          <w:szCs w:val="24"/>
        </w:rPr>
      </w:pPr>
      <w:r>
        <w:rPr>
          <w:color w:val="000000"/>
          <w:spacing w:val="0"/>
          <w:w w:val="100"/>
          <w:position w:val="0"/>
          <w:sz w:val="24"/>
          <w:szCs w:val="24"/>
        </w:rPr>
        <w:t>（10）</w:t>
      </w:r>
      <w:r>
        <w:rPr>
          <w:rFonts w:ascii="SimSun" w:eastAsia="SimSun" w:hAnsi="SimSun" w:cs="SimSun"/>
          <w:b/>
          <w:bCs/>
          <w:color w:val="000000"/>
          <w:spacing w:val="0"/>
          <w:w w:val="100"/>
          <w:position w:val="0"/>
          <w:sz w:val="24"/>
          <w:szCs w:val="24"/>
        </w:rPr>
        <w:t>应收款项</w:t>
      </w:r>
      <w:r>
        <w:rPr>
          <w:color w:val="000000"/>
          <w:spacing w:val="0"/>
          <w:w w:val="100"/>
          <w:position w:val="0"/>
          <w:sz w:val="24"/>
          <w:szCs w:val="24"/>
        </w:rPr>
        <w:t>（</w:t>
      </w:r>
      <w:r>
        <w:rPr>
          <w:rFonts w:ascii="SimSun" w:eastAsia="SimSun" w:hAnsi="SimSun" w:cs="SimSun"/>
          <w:b/>
          <w:bCs/>
          <w:color w:val="000000"/>
          <w:spacing w:val="0"/>
          <w:w w:val="100"/>
          <w:position w:val="0"/>
          <w:sz w:val="24"/>
          <w:szCs w:val="24"/>
        </w:rPr>
        <w:t>续</w:t>
      </w:r>
      <w:r>
        <w:rPr>
          <w:rFonts w:ascii="SimSun" w:eastAsia="SimSun" w:hAnsi="SimSun" w:cs="SimSun"/>
          <w:color w:val="000000"/>
          <w:spacing w:val="0"/>
          <w:w w:val="100"/>
          <w:position w:val="0"/>
          <w:sz w:val="24"/>
          <w:szCs w:val="24"/>
        </w:rPr>
        <w:t>）</w:t>
      </w:r>
    </w:p>
    <w:p>
      <w:pPr>
        <w:pStyle w:val="Style32"/>
        <w:keepNext w:val="0"/>
        <w:keepLines w:val="0"/>
        <w:widowControl w:val="0"/>
        <w:shd w:val="clear" w:color="auto" w:fill="auto"/>
        <w:tabs>
          <w:tab w:pos="1063" w:val="left"/>
        </w:tabs>
        <w:bidi w:val="0"/>
        <w:spacing w:before="0" w:after="280" w:line="240" w:lineRule="auto"/>
        <w:ind w:left="0" w:right="0" w:firstLine="480"/>
        <w:jc w:val="left"/>
        <w:rPr>
          <w:sz w:val="24"/>
          <w:szCs w:val="24"/>
        </w:rPr>
      </w:pPr>
      <w:bookmarkStart w:id="667" w:name="bookmark667"/>
      <w:r>
        <w:rPr>
          <w:rFonts w:ascii="Times New Roman" w:eastAsia="Times New Roman" w:hAnsi="Times New Roman" w:cs="Times New Roman"/>
          <w:color w:val="000000"/>
          <w:spacing w:val="0"/>
          <w:w w:val="100"/>
          <w:position w:val="0"/>
          <w:sz w:val="24"/>
          <w:szCs w:val="24"/>
        </w:rPr>
        <w:t>（</w:t>
      </w:r>
      <w:bookmarkEnd w:id="667"/>
      <w:r>
        <w:rPr>
          <w:rFonts w:ascii="Times New Roman" w:eastAsia="Times New Roman" w:hAnsi="Times New Roman" w:cs="Times New Roman"/>
          <w:color w:val="000000"/>
          <w:spacing w:val="0"/>
          <w:w w:val="100"/>
          <w:position w:val="0"/>
          <w:sz w:val="24"/>
          <w:szCs w:val="24"/>
        </w:rPr>
        <w:t>b）</w:t>
        <w:tab/>
      </w:r>
      <w:r>
        <w:rPr>
          <w:color w:val="000000"/>
          <w:spacing w:val="0"/>
          <w:w w:val="100"/>
          <w:position w:val="0"/>
          <w:sz w:val="24"/>
          <w:szCs w:val="24"/>
        </w:rPr>
        <w:t>按组合计提坏账准备的应收款项</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续</w:t>
      </w:r>
      <w:r>
        <w:rPr>
          <w:color w:val="000000"/>
          <w:spacing w:val="0"/>
          <w:w w:val="100"/>
          <w:position w:val="0"/>
          <w:sz w:val="24"/>
          <w:szCs w:val="24"/>
        </w:rPr>
        <w:t>）</w:t>
      </w:r>
    </w:p>
    <w:p>
      <w:pPr>
        <w:pStyle w:val="Style32"/>
        <w:keepNext w:val="0"/>
        <w:keepLines w:val="0"/>
        <w:widowControl w:val="0"/>
        <w:shd w:val="clear" w:color="auto" w:fill="auto"/>
        <w:bidi w:val="0"/>
        <w:spacing w:before="0" w:after="0" w:line="240" w:lineRule="auto"/>
        <w:ind w:left="1140" w:right="0" w:firstLine="0"/>
        <w:jc w:val="left"/>
        <w:rPr>
          <w:sz w:val="24"/>
          <w:szCs w:val="24"/>
        </w:rPr>
        <w:sectPr>
          <w:footnotePr>
            <w:pos w:val="pageBottom"/>
            <w:numFmt w:val="decimal"/>
            <w:numRestart w:val="continuous"/>
          </w:footnotePr>
          <w:pgSz w:w="11900" w:h="16840"/>
          <w:pgMar w:top="1326" w:right="358" w:bottom="2934" w:left="1227" w:header="0" w:footer="3" w:gutter="0"/>
          <w:cols w:space="720"/>
          <w:noEndnote/>
          <w:rtlGutter w:val="0"/>
          <w:docGrid w:linePitch="360"/>
        </w:sectPr>
      </w:pPr>
      <w:r>
        <w:rPr>
          <w:color w:val="000000"/>
          <w:spacing w:val="0"/>
          <w:w w:val="100"/>
          <w:position w:val="0"/>
          <w:sz w:val="24"/>
          <w:szCs w:val="24"/>
        </w:rPr>
        <w:t>按组合计提坏账准备的计提方法如下:</w:t>
      </w:r>
    </w:p>
    <w:p>
      <w:pPr>
        <w:widowControl w:val="0"/>
        <w:spacing w:line="166" w:lineRule="exact"/>
        <w:rPr>
          <w:sz w:val="13"/>
          <w:szCs w:val="13"/>
        </w:rPr>
      </w:pPr>
    </w:p>
    <w:p>
      <w:pPr>
        <w:widowControl w:val="0"/>
        <w:spacing w:line="1" w:lineRule="exact"/>
        <w:sectPr>
          <w:footnotePr>
            <w:pos w:val="pageBottom"/>
            <w:numFmt w:val="decimal"/>
            <w:numRestart w:val="continuous"/>
          </w:footnotePr>
          <w:type w:val="continuous"/>
          <w:pgSz w:w="11900" w:h="16840"/>
          <w:pgMar w:top="1326" w:right="0" w:bottom="2934" w:left="0" w:header="0" w:footer="3" w:gutter="0"/>
          <w:cols w:space="720"/>
          <w:noEndnote/>
          <w:rtlGutter w:val="0"/>
          <w:docGrid w:linePitch="360"/>
        </w:sectPr>
      </w:pPr>
    </w:p>
    <w:p>
      <w:pPr>
        <w:pStyle w:val="Style32"/>
        <w:keepNext w:val="0"/>
        <w:keepLines w:val="0"/>
        <w:widowControl w:val="0"/>
        <w:shd w:val="clear" w:color="auto" w:fill="auto"/>
        <w:bidi w:val="0"/>
        <w:spacing w:before="0" w:after="320" w:line="240" w:lineRule="auto"/>
        <w:ind w:left="0" w:right="0" w:firstLine="0"/>
        <w:jc w:val="left"/>
        <w:rPr>
          <w:sz w:val="24"/>
          <w:szCs w:val="24"/>
        </w:rPr>
      </w:pPr>
      <w:r>
        <w:rPr>
          <w:color w:val="000000"/>
          <w:spacing w:val="0"/>
          <w:w w:val="100"/>
          <w:position w:val="0"/>
          <w:sz w:val="24"/>
          <w:szCs w:val="24"/>
        </w:rPr>
        <w:t>政府补贴组合</w:t>
      </w:r>
    </w:p>
    <w:p>
      <w:pPr>
        <w:pStyle w:val="Style32"/>
        <w:keepNext w:val="0"/>
        <w:keepLines w:val="0"/>
        <w:widowControl w:val="0"/>
        <w:shd w:val="clear" w:color="auto" w:fill="auto"/>
        <w:bidi w:val="0"/>
        <w:spacing w:before="0" w:after="320" w:line="240" w:lineRule="auto"/>
        <w:ind w:left="0" w:right="0" w:firstLine="0"/>
        <w:jc w:val="left"/>
        <w:rPr>
          <w:sz w:val="24"/>
          <w:szCs w:val="24"/>
        </w:rPr>
      </w:pPr>
      <w:r>
        <w:rPr>
          <w:color w:val="000000"/>
          <w:spacing w:val="0"/>
          <w:w w:val="100"/>
          <w:position w:val="0"/>
          <w:sz w:val="24"/>
          <w:szCs w:val="24"/>
        </w:rPr>
        <w:t>节能补贴组合</w:t>
      </w:r>
    </w:p>
    <w:p>
      <w:pPr>
        <w:pStyle w:val="Style32"/>
        <w:keepNext w:val="0"/>
        <w:keepLines w:val="0"/>
        <w:widowControl w:val="0"/>
        <w:shd w:val="clear" w:color="auto" w:fill="auto"/>
        <w:bidi w:val="0"/>
        <w:spacing w:before="0" w:after="400" w:line="240" w:lineRule="auto"/>
        <w:ind w:left="0" w:right="0" w:firstLine="0"/>
        <w:jc w:val="left"/>
        <w:rPr>
          <w:sz w:val="24"/>
          <w:szCs w:val="24"/>
        </w:rPr>
      </w:pPr>
      <w:r>
        <w:rPr>
          <w:color w:val="000000"/>
          <w:spacing w:val="0"/>
          <w:w w:val="100"/>
          <w:position w:val="0"/>
          <w:sz w:val="24"/>
          <w:szCs w:val="24"/>
        </w:rPr>
        <w:t>保本保收益理财产品组合</w:t>
      </w:r>
    </w:p>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其他款项</w:t>
      </w:r>
    </w:p>
    <w:p>
      <w:pPr>
        <w:pStyle w:val="Style32"/>
        <w:keepNext w:val="0"/>
        <w:keepLines w:val="0"/>
        <w:widowControl w:val="0"/>
        <w:shd w:val="clear" w:color="auto" w:fill="auto"/>
        <w:bidi w:val="0"/>
        <w:spacing w:before="0" w:after="320" w:line="240" w:lineRule="auto"/>
        <w:ind w:left="0" w:right="0" w:firstLine="0"/>
        <w:jc w:val="left"/>
        <w:rPr>
          <w:sz w:val="24"/>
          <w:szCs w:val="24"/>
        </w:rPr>
      </w:pPr>
      <w:r>
        <w:rPr>
          <w:color w:val="000000"/>
          <w:spacing w:val="0"/>
          <w:w w:val="100"/>
          <w:position w:val="0"/>
          <w:sz w:val="24"/>
          <w:szCs w:val="24"/>
        </w:rPr>
        <w:t>房屋租赁保证金及采购保证金组合</w:t>
      </w:r>
    </w:p>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关联方非经常性交易组合</w:t>
      </w:r>
    </w:p>
    <w:p>
      <w:pPr>
        <w:pStyle w:val="Style32"/>
        <w:keepNext w:val="0"/>
        <w:keepLines w:val="0"/>
        <w:widowControl w:val="0"/>
        <w:shd w:val="clear" w:color="auto" w:fill="auto"/>
        <w:bidi w:val="0"/>
        <w:spacing w:before="0" w:after="0" w:line="309" w:lineRule="exact"/>
        <w:ind w:left="240" w:right="0" w:hanging="240"/>
        <w:jc w:val="both"/>
        <w:rPr>
          <w:sz w:val="24"/>
          <w:szCs w:val="24"/>
        </w:rPr>
      </w:pPr>
      <w:r>
        <w:rPr>
          <w:color w:val="000000"/>
          <w:spacing w:val="0"/>
          <w:w w:val="100"/>
          <w:position w:val="0"/>
          <w:sz w:val="24"/>
          <w:szCs w:val="24"/>
        </w:rPr>
        <w:t>依据以前年度实际损失率，结合现时情 况，确定计提比例为</w:t>
      </w:r>
      <w:r>
        <w:rPr>
          <w:rFonts w:ascii="Times New Roman" w:eastAsia="Times New Roman" w:hAnsi="Times New Roman" w:cs="Times New Roman"/>
          <w:color w:val="000000"/>
          <w:spacing w:val="0"/>
          <w:w w:val="100"/>
          <w:position w:val="0"/>
          <w:sz w:val="24"/>
          <w:szCs w:val="24"/>
        </w:rPr>
        <w:t>0%</w:t>
      </w:r>
    </w:p>
    <w:p>
      <w:pPr>
        <w:pStyle w:val="Style32"/>
        <w:keepNext w:val="0"/>
        <w:keepLines w:val="0"/>
        <w:widowControl w:val="0"/>
        <w:shd w:val="clear" w:color="auto" w:fill="auto"/>
        <w:bidi w:val="0"/>
        <w:spacing w:before="0" w:after="0" w:line="309" w:lineRule="exact"/>
        <w:ind w:left="240" w:right="0" w:hanging="240"/>
        <w:jc w:val="both"/>
        <w:rPr>
          <w:sz w:val="24"/>
          <w:szCs w:val="24"/>
        </w:rPr>
      </w:pPr>
      <w:r>
        <w:rPr>
          <w:color w:val="000000"/>
          <w:spacing w:val="0"/>
          <w:w w:val="100"/>
          <w:position w:val="0"/>
          <w:sz w:val="24"/>
          <w:szCs w:val="24"/>
        </w:rPr>
        <w:t>依据以前年度实际损失率，结合现时情 况，确定计提比例为</w:t>
      </w:r>
      <w:r>
        <w:rPr>
          <w:rFonts w:ascii="Times New Roman" w:eastAsia="Times New Roman" w:hAnsi="Times New Roman" w:cs="Times New Roman"/>
          <w:color w:val="000000"/>
          <w:spacing w:val="0"/>
          <w:w w:val="100"/>
          <w:position w:val="0"/>
          <w:sz w:val="24"/>
          <w:szCs w:val="24"/>
        </w:rPr>
        <w:t>0%</w:t>
      </w:r>
    </w:p>
    <w:p>
      <w:pPr>
        <w:pStyle w:val="Style32"/>
        <w:keepNext w:val="0"/>
        <w:keepLines w:val="0"/>
        <w:widowControl w:val="0"/>
        <w:shd w:val="clear" w:color="auto" w:fill="auto"/>
        <w:bidi w:val="0"/>
        <w:spacing w:before="0" w:after="0" w:line="309" w:lineRule="exact"/>
        <w:ind w:left="240" w:right="0" w:hanging="240"/>
        <w:jc w:val="both"/>
        <w:rPr>
          <w:sz w:val="24"/>
          <w:szCs w:val="24"/>
        </w:rPr>
      </w:pPr>
      <w:r>
        <w:rPr>
          <w:color w:val="000000"/>
          <w:spacing w:val="0"/>
          <w:w w:val="100"/>
          <w:position w:val="0"/>
          <w:sz w:val="24"/>
          <w:szCs w:val="24"/>
        </w:rPr>
        <w:t>依据以前年度实际损失率，结合现时情 况，确定计提比例为</w:t>
      </w:r>
      <w:r>
        <w:rPr>
          <w:rFonts w:ascii="Times New Roman" w:eastAsia="Times New Roman" w:hAnsi="Times New Roman" w:cs="Times New Roman"/>
          <w:color w:val="000000"/>
          <w:spacing w:val="0"/>
          <w:w w:val="100"/>
          <w:position w:val="0"/>
          <w:sz w:val="24"/>
          <w:szCs w:val="24"/>
        </w:rPr>
        <w:t>0%</w:t>
      </w:r>
    </w:p>
    <w:p>
      <w:pPr>
        <w:pStyle w:val="Style32"/>
        <w:keepNext w:val="0"/>
        <w:keepLines w:val="0"/>
        <w:widowControl w:val="0"/>
        <w:shd w:val="clear" w:color="auto" w:fill="auto"/>
        <w:bidi w:val="0"/>
        <w:spacing w:before="0" w:after="0" w:line="309" w:lineRule="exact"/>
        <w:ind w:left="0" w:right="0" w:firstLine="0"/>
        <w:jc w:val="left"/>
        <w:rPr>
          <w:sz w:val="24"/>
          <w:szCs w:val="24"/>
        </w:rPr>
      </w:pPr>
      <w:r>
        <w:rPr>
          <w:color w:val="000000"/>
          <w:spacing w:val="0"/>
          <w:w w:val="100"/>
          <w:position w:val="0"/>
          <w:sz w:val="24"/>
          <w:szCs w:val="24"/>
        </w:rPr>
        <w:t>账龄分析法 依据以前年度实际损失率，结合现时情 况，确定计提比例为</w:t>
      </w:r>
      <w:r>
        <w:rPr>
          <w:rFonts w:ascii="Times New Roman" w:eastAsia="Times New Roman" w:hAnsi="Times New Roman" w:cs="Times New Roman"/>
          <w:color w:val="000000"/>
          <w:spacing w:val="0"/>
          <w:w w:val="100"/>
          <w:position w:val="0"/>
          <w:sz w:val="24"/>
          <w:szCs w:val="24"/>
        </w:rPr>
        <w:t>0%</w:t>
      </w:r>
    </w:p>
    <w:p>
      <w:pPr>
        <w:pStyle w:val="Style32"/>
        <w:keepNext w:val="0"/>
        <w:keepLines w:val="0"/>
        <w:widowControl w:val="0"/>
        <w:shd w:val="clear" w:color="auto" w:fill="auto"/>
        <w:bidi w:val="0"/>
        <w:spacing w:before="0" w:after="0" w:line="309" w:lineRule="exact"/>
        <w:ind w:left="0" w:right="0" w:firstLine="0"/>
        <w:jc w:val="left"/>
        <w:rPr>
          <w:sz w:val="24"/>
          <w:szCs w:val="24"/>
        </w:rPr>
      </w:pPr>
      <w:r>
        <w:rPr>
          <w:color w:val="000000"/>
          <w:spacing w:val="0"/>
          <w:w w:val="100"/>
          <w:position w:val="0"/>
          <w:sz w:val="24"/>
          <w:szCs w:val="24"/>
        </w:rPr>
        <w:t>依据以前年度实际损失率，结合现时情</w:t>
      </w:r>
    </w:p>
    <w:p>
      <w:pPr>
        <w:pStyle w:val="Style32"/>
        <w:keepNext w:val="0"/>
        <w:keepLines w:val="0"/>
        <w:widowControl w:val="0"/>
        <w:shd w:val="clear" w:color="auto" w:fill="auto"/>
        <w:bidi w:val="0"/>
        <w:spacing w:before="0" w:after="0" w:line="309" w:lineRule="exact"/>
        <w:ind w:left="0" w:right="0" w:firstLine="240"/>
        <w:jc w:val="both"/>
        <w:rPr>
          <w:sz w:val="24"/>
          <w:szCs w:val="24"/>
        </w:rPr>
        <w:sectPr>
          <w:footnotePr>
            <w:pos w:val="pageBottom"/>
            <w:numFmt w:val="decimal"/>
            <w:numRestart w:val="continuous"/>
          </w:footnotePr>
          <w:type w:val="continuous"/>
          <w:pgSz w:w="11900" w:h="16840"/>
          <w:pgMar w:top="1326" w:right="1418" w:bottom="2934" w:left="2364" w:header="0" w:footer="3" w:gutter="0"/>
          <w:cols w:num="2" w:space="720" w:equalWidth="0">
            <w:col w:w="3638" w:space="245"/>
            <w:col w:w="4234"/>
          </w:cols>
          <w:noEndnote/>
          <w:rtlGutter w:val="0"/>
          <w:docGrid w:linePitch="360"/>
        </w:sectPr>
      </w:pPr>
      <w:r>
        <w:rPr>
          <w:color w:val="000000"/>
          <w:spacing w:val="0"/>
          <w:w w:val="100"/>
          <w:position w:val="0"/>
          <w:sz w:val="24"/>
          <w:szCs w:val="24"/>
        </w:rPr>
        <w:t>况，确定计提比例为</w:t>
      </w:r>
      <w:r>
        <w:rPr>
          <w:rFonts w:ascii="Times New Roman" w:eastAsia="Times New Roman" w:hAnsi="Times New Roman" w:cs="Times New Roman"/>
          <w:color w:val="000000"/>
          <w:spacing w:val="0"/>
          <w:w w:val="100"/>
          <w:position w:val="0"/>
          <w:sz w:val="24"/>
          <w:szCs w:val="24"/>
        </w:rPr>
        <w:t>0%</w:t>
      </w:r>
    </w:p>
    <w:p>
      <w:pPr>
        <w:widowControl w:val="0"/>
        <w:spacing w:line="163" w:lineRule="exact"/>
        <w:rPr>
          <w:sz w:val="13"/>
          <w:szCs w:val="13"/>
        </w:rPr>
      </w:pPr>
    </w:p>
    <w:p>
      <w:pPr>
        <w:widowControl w:val="0"/>
        <w:spacing w:line="1" w:lineRule="exact"/>
        <w:sectPr>
          <w:footnotePr>
            <w:pos w:val="pageBottom"/>
            <w:numFmt w:val="decimal"/>
            <w:numRestart w:val="continuous"/>
          </w:footnotePr>
          <w:type w:val="continuous"/>
          <w:pgSz w:w="11900" w:h="16840"/>
          <w:pgMar w:top="1326" w:right="0" w:bottom="2353" w:left="0" w:header="0" w:footer="3" w:gutter="0"/>
          <w:cols w:space="720"/>
          <w:noEndnote/>
          <w:rtlGutter w:val="0"/>
          <w:docGrid w:linePitch="360"/>
        </w:sectPr>
      </w:pPr>
    </w:p>
    <w:p>
      <w:pPr>
        <w:pStyle w:val="Style32"/>
        <w:keepNext w:val="0"/>
        <w:keepLines w:val="0"/>
        <w:widowControl w:val="0"/>
        <w:shd w:val="clear" w:color="auto" w:fill="auto"/>
        <w:bidi w:val="0"/>
        <w:spacing w:before="0" w:after="300" w:line="240" w:lineRule="auto"/>
        <w:ind w:left="0" w:right="0" w:firstLine="680"/>
        <w:jc w:val="left"/>
        <w:rPr>
          <w:sz w:val="24"/>
          <w:szCs w:val="24"/>
        </w:rPr>
      </w:pPr>
      <w:r>
        <w:rPr>
          <w:color w:val="000000"/>
          <w:spacing w:val="0"/>
          <w:w w:val="100"/>
          <w:position w:val="0"/>
          <w:sz w:val="24"/>
          <w:szCs w:val="24"/>
        </w:rPr>
        <w:t>组合中，采用账龄分析法的计提比例列示如下:</w:t>
      </w:r>
    </w:p>
    <w:p>
      <w:pPr>
        <w:pStyle w:val="Style32"/>
        <w:keepNext w:val="0"/>
        <w:keepLines w:val="0"/>
        <w:widowControl w:val="0"/>
        <w:shd w:val="clear" w:color="auto" w:fill="auto"/>
        <w:tabs>
          <w:tab w:pos="2486" w:val="left"/>
        </w:tabs>
        <w:bidi w:val="0"/>
        <w:spacing w:before="0" w:after="240" w:line="240" w:lineRule="auto"/>
        <w:ind w:left="0" w:right="0" w:firstLine="0"/>
        <w:jc w:val="right"/>
        <w:rPr>
          <w:sz w:val="24"/>
          <w:szCs w:val="24"/>
        </w:rPr>
      </w:pPr>
      <w:r>
        <w:rPr>
          <w:color w:val="000000"/>
          <w:spacing w:val="0"/>
          <w:w w:val="100"/>
          <w:position w:val="0"/>
          <w:sz w:val="24"/>
          <w:szCs w:val="24"/>
        </w:rPr>
        <w:t>应收账款计提比例</w:t>
        <w:tab/>
        <w:t>其他应收款计提比例</w:t>
      </w:r>
    </w:p>
    <w:p>
      <w:pPr>
        <w:pStyle w:val="Style53"/>
        <w:keepNext w:val="0"/>
        <w:keepLines w:val="0"/>
        <w:widowControl w:val="0"/>
        <w:shd w:val="clear" w:color="auto" w:fill="auto"/>
        <w:tabs>
          <w:tab w:pos="6013" w:val="right"/>
          <w:tab w:pos="8730" w:val="right"/>
        </w:tabs>
        <w:bidi w:val="0"/>
        <w:spacing w:before="0" w:after="0" w:line="240" w:lineRule="auto"/>
        <w:ind w:left="0" w:right="0" w:firstLine="680"/>
        <w:jc w:val="both"/>
        <w:rPr>
          <w:sz w:val="24"/>
          <w:szCs w:val="24"/>
        </w:rPr>
      </w:pPr>
      <w:r>
        <w:rPr>
          <w:rFonts w:ascii="SimSun" w:eastAsia="SimSun" w:hAnsi="SimSun" w:cs="SimSun"/>
          <w:color w:val="000000"/>
          <w:spacing w:val="0"/>
          <w:w w:val="100"/>
          <w:position w:val="0"/>
          <w:sz w:val="24"/>
          <w:szCs w:val="24"/>
        </w:rPr>
        <w:t>一年以内</w:t>
        <w:tab/>
      </w:r>
      <w:r>
        <w:rPr>
          <w:color w:val="000000"/>
          <w:spacing w:val="0"/>
          <w:w w:val="100"/>
          <w:position w:val="0"/>
          <w:sz w:val="24"/>
          <w:szCs w:val="24"/>
        </w:rPr>
        <w:t>5%</w:t>
        <w:tab/>
        <w:t>5%</w:t>
      </w:r>
    </w:p>
    <w:p>
      <w:pPr>
        <w:pStyle w:val="Style53"/>
        <w:keepNext w:val="0"/>
        <w:keepLines w:val="0"/>
        <w:widowControl w:val="0"/>
        <w:shd w:val="clear" w:color="auto" w:fill="auto"/>
        <w:tabs>
          <w:tab w:pos="6013" w:val="right"/>
          <w:tab w:pos="8730" w:val="right"/>
        </w:tabs>
        <w:bidi w:val="0"/>
        <w:spacing w:before="0" w:after="0" w:line="240" w:lineRule="auto"/>
        <w:ind w:left="0" w:right="0" w:firstLine="680"/>
        <w:jc w:val="both"/>
        <w:rPr>
          <w:sz w:val="24"/>
          <w:szCs w:val="24"/>
        </w:rPr>
      </w:pPr>
      <w:r>
        <w:rPr>
          <w:rFonts w:ascii="SimSun" w:eastAsia="SimSun" w:hAnsi="SimSun" w:cs="SimSun"/>
          <w:color w:val="000000"/>
          <w:spacing w:val="0"/>
          <w:w w:val="100"/>
          <w:position w:val="0"/>
          <w:sz w:val="24"/>
          <w:szCs w:val="24"/>
        </w:rPr>
        <w:t>一到二年</w:t>
        <w:tab/>
      </w:r>
      <w:r>
        <w:rPr>
          <w:color w:val="000000"/>
          <w:spacing w:val="0"/>
          <w:w w:val="100"/>
          <w:position w:val="0"/>
          <w:sz w:val="24"/>
          <w:szCs w:val="24"/>
        </w:rPr>
        <w:t>10%</w:t>
        <w:tab/>
        <w:t>10%</w:t>
      </w:r>
    </w:p>
    <w:p>
      <w:pPr>
        <w:pStyle w:val="Style53"/>
        <w:keepNext w:val="0"/>
        <w:keepLines w:val="0"/>
        <w:widowControl w:val="0"/>
        <w:shd w:val="clear" w:color="auto" w:fill="auto"/>
        <w:tabs>
          <w:tab w:pos="6013" w:val="right"/>
          <w:tab w:pos="8730" w:val="right"/>
        </w:tabs>
        <w:bidi w:val="0"/>
        <w:spacing w:before="0" w:after="0" w:line="240" w:lineRule="auto"/>
        <w:ind w:left="0" w:right="0" w:firstLine="680"/>
        <w:jc w:val="both"/>
        <w:rPr>
          <w:sz w:val="24"/>
          <w:szCs w:val="24"/>
        </w:rPr>
      </w:pPr>
      <w:r>
        <w:rPr>
          <w:rFonts w:ascii="SimSun" w:eastAsia="SimSun" w:hAnsi="SimSun" w:cs="SimSun"/>
          <w:color w:val="000000"/>
          <w:spacing w:val="0"/>
          <w:w w:val="100"/>
          <w:position w:val="0"/>
          <w:sz w:val="24"/>
          <w:szCs w:val="24"/>
        </w:rPr>
        <w:t>二到三年</w:t>
        <w:tab/>
      </w:r>
      <w:r>
        <w:rPr>
          <w:color w:val="000000"/>
          <w:spacing w:val="0"/>
          <w:w w:val="100"/>
          <w:position w:val="0"/>
          <w:sz w:val="24"/>
          <w:szCs w:val="24"/>
        </w:rPr>
        <w:t>20%</w:t>
        <w:tab/>
        <w:t>20%</w:t>
      </w:r>
    </w:p>
    <w:p>
      <w:pPr>
        <w:pStyle w:val="Style53"/>
        <w:keepNext w:val="0"/>
        <w:keepLines w:val="0"/>
        <w:widowControl w:val="0"/>
        <w:shd w:val="clear" w:color="auto" w:fill="auto"/>
        <w:tabs>
          <w:tab w:pos="6013" w:val="right"/>
          <w:tab w:pos="8730" w:val="right"/>
        </w:tabs>
        <w:bidi w:val="0"/>
        <w:spacing w:before="0" w:after="0" w:line="240" w:lineRule="auto"/>
        <w:ind w:left="0" w:right="0" w:firstLine="680"/>
        <w:jc w:val="both"/>
        <w:rPr>
          <w:sz w:val="24"/>
          <w:szCs w:val="24"/>
        </w:rPr>
      </w:pPr>
      <w:r>
        <w:rPr>
          <w:rFonts w:ascii="SimSun" w:eastAsia="SimSun" w:hAnsi="SimSun" w:cs="SimSun"/>
          <w:color w:val="000000"/>
          <w:spacing w:val="0"/>
          <w:w w:val="100"/>
          <w:position w:val="0"/>
          <w:sz w:val="24"/>
          <w:szCs w:val="24"/>
        </w:rPr>
        <w:t>三到四年</w:t>
        <w:tab/>
      </w:r>
      <w:r>
        <w:rPr>
          <w:color w:val="000000"/>
          <w:spacing w:val="0"/>
          <w:w w:val="100"/>
          <w:position w:val="0"/>
          <w:sz w:val="24"/>
          <w:szCs w:val="24"/>
        </w:rPr>
        <w:t>30%</w:t>
        <w:tab/>
        <w:t>30%</w:t>
      </w:r>
    </w:p>
    <w:p>
      <w:pPr>
        <w:pStyle w:val="Style53"/>
        <w:keepNext w:val="0"/>
        <w:keepLines w:val="0"/>
        <w:widowControl w:val="0"/>
        <w:shd w:val="clear" w:color="auto" w:fill="auto"/>
        <w:tabs>
          <w:tab w:pos="6013" w:val="right"/>
          <w:tab w:pos="8730" w:val="right"/>
        </w:tabs>
        <w:bidi w:val="0"/>
        <w:spacing w:before="0" w:after="0" w:line="240" w:lineRule="auto"/>
        <w:ind w:left="0" w:right="0" w:firstLine="680"/>
        <w:jc w:val="both"/>
        <w:rPr>
          <w:sz w:val="24"/>
          <w:szCs w:val="24"/>
        </w:rPr>
      </w:pPr>
      <w:r>
        <w:rPr>
          <w:rFonts w:ascii="SimSun" w:eastAsia="SimSun" w:hAnsi="SimSun" w:cs="SimSun"/>
          <w:color w:val="000000"/>
          <w:spacing w:val="0"/>
          <w:w w:val="100"/>
          <w:position w:val="0"/>
          <w:sz w:val="24"/>
          <w:szCs w:val="24"/>
        </w:rPr>
        <w:t>四到五年</w:t>
        <w:tab/>
      </w:r>
      <w:r>
        <w:rPr>
          <w:color w:val="000000"/>
          <w:spacing w:val="0"/>
          <w:w w:val="100"/>
          <w:position w:val="0"/>
          <w:sz w:val="24"/>
          <w:szCs w:val="24"/>
        </w:rPr>
        <w:t>60%</w:t>
        <w:tab/>
        <w:t>60%</w:t>
      </w:r>
    </w:p>
    <w:p>
      <w:pPr>
        <w:pStyle w:val="Style53"/>
        <w:keepNext w:val="0"/>
        <w:keepLines w:val="0"/>
        <w:widowControl w:val="0"/>
        <w:shd w:val="clear" w:color="auto" w:fill="auto"/>
        <w:tabs>
          <w:tab w:pos="6013" w:val="right"/>
          <w:tab w:pos="8730" w:val="right"/>
        </w:tabs>
        <w:bidi w:val="0"/>
        <w:spacing w:before="0" w:after="240" w:line="240" w:lineRule="auto"/>
        <w:ind w:left="0" w:right="0" w:firstLine="680"/>
        <w:jc w:val="both"/>
        <w:rPr>
          <w:sz w:val="24"/>
          <w:szCs w:val="24"/>
        </w:rPr>
      </w:pPr>
      <w:r>
        <w:rPr>
          <w:rFonts w:ascii="SimSun" w:eastAsia="SimSun" w:hAnsi="SimSun" w:cs="SimSun"/>
          <w:color w:val="000000"/>
          <w:spacing w:val="0"/>
          <w:w w:val="100"/>
          <w:position w:val="0"/>
          <w:sz w:val="24"/>
          <w:szCs w:val="24"/>
        </w:rPr>
        <w:t>五年以上</w:t>
        <w:tab/>
      </w:r>
      <w:r>
        <w:rPr>
          <w:color w:val="000000"/>
          <w:spacing w:val="0"/>
          <w:w w:val="100"/>
          <w:position w:val="0"/>
          <w:sz w:val="24"/>
          <w:szCs w:val="24"/>
        </w:rPr>
        <w:t>100%</w:t>
        <w:tab/>
        <w:t>100%</w:t>
      </w:r>
    </w:p>
    <w:p>
      <w:pPr>
        <w:pStyle w:val="Style32"/>
        <w:keepNext w:val="0"/>
        <w:keepLines w:val="0"/>
        <w:widowControl w:val="0"/>
        <w:shd w:val="clear" w:color="auto" w:fill="auto"/>
        <w:tabs>
          <w:tab w:pos="677" w:val="left"/>
        </w:tabs>
        <w:bidi w:val="0"/>
        <w:spacing w:before="0" w:after="240" w:line="240" w:lineRule="auto"/>
        <w:ind w:left="0" w:right="0" w:firstLine="0"/>
        <w:jc w:val="left"/>
        <w:rPr>
          <w:sz w:val="24"/>
          <w:szCs w:val="24"/>
        </w:rPr>
      </w:pPr>
      <w:bookmarkStart w:id="668" w:name="bookmark668"/>
      <w:r>
        <w:rPr>
          <w:rFonts w:ascii="Times New Roman" w:eastAsia="Times New Roman" w:hAnsi="Times New Roman" w:cs="Times New Roman"/>
          <w:color w:val="000000"/>
          <w:spacing w:val="0"/>
          <w:w w:val="100"/>
          <w:position w:val="0"/>
          <w:sz w:val="24"/>
          <w:szCs w:val="24"/>
          <w:shd w:val="clear" w:color="auto" w:fill="FFFFFF"/>
        </w:rPr>
        <w:t>（</w:t>
      </w:r>
      <w:bookmarkEnd w:id="668"/>
      <w:r>
        <w:rPr>
          <w:rFonts w:ascii="Times New Roman" w:eastAsia="Times New Roman" w:hAnsi="Times New Roman" w:cs="Times New Roman"/>
          <w:color w:val="000000"/>
          <w:spacing w:val="0"/>
          <w:w w:val="100"/>
          <w:position w:val="0"/>
          <w:sz w:val="24"/>
          <w:szCs w:val="24"/>
          <w:shd w:val="clear" w:color="auto" w:fill="FFFFFF"/>
        </w:rPr>
        <w:t>c）</w:t>
      </w:r>
      <w:r>
        <w:rPr>
          <w:rFonts w:ascii="Times New Roman" w:eastAsia="Times New Roman" w:hAnsi="Times New Roman" w:cs="Times New Roman"/>
          <w:color w:val="000000"/>
          <w:spacing w:val="0"/>
          <w:w w:val="100"/>
          <w:position w:val="0"/>
          <w:sz w:val="24"/>
          <w:szCs w:val="24"/>
        </w:rPr>
        <w:tab/>
      </w:r>
      <w:r>
        <w:rPr>
          <w:color w:val="000000"/>
          <w:spacing w:val="0"/>
          <w:w w:val="100"/>
          <w:position w:val="0"/>
          <w:sz w:val="24"/>
          <w:szCs w:val="24"/>
        </w:rPr>
        <w:t>单项金额虽不重大但单项计提坏账准备的应收款项：</w:t>
      </w:r>
    </w:p>
    <w:p>
      <w:pPr>
        <w:pStyle w:val="Style32"/>
        <w:keepNext w:val="0"/>
        <w:keepLines w:val="0"/>
        <w:widowControl w:val="0"/>
        <w:shd w:val="clear" w:color="auto" w:fill="auto"/>
        <w:bidi w:val="0"/>
        <w:spacing w:before="0" w:after="240" w:line="317" w:lineRule="exact"/>
        <w:ind w:left="680" w:right="0" w:firstLine="0"/>
        <w:jc w:val="both"/>
        <w:rPr>
          <w:sz w:val="24"/>
          <w:szCs w:val="24"/>
        </w:rPr>
      </w:pPr>
      <w:r>
        <w:rPr>
          <w:color w:val="000000"/>
          <w:spacing w:val="0"/>
          <w:w w:val="100"/>
          <w:position w:val="0"/>
          <w:sz w:val="24"/>
          <w:szCs w:val="24"/>
        </w:rPr>
        <w:t>单项计提坏账准备的理由为：存在客观证据表明本集团将无法按应收款项的 原有条款收回款项。</w:t>
      </w:r>
    </w:p>
    <w:p>
      <w:pPr>
        <w:pStyle w:val="Style32"/>
        <w:keepNext w:val="0"/>
        <w:keepLines w:val="0"/>
        <w:widowControl w:val="0"/>
        <w:shd w:val="clear" w:color="auto" w:fill="auto"/>
        <w:bidi w:val="0"/>
        <w:spacing w:before="0" w:after="120" w:line="322" w:lineRule="exact"/>
        <w:ind w:left="680" w:right="0" w:firstLine="0"/>
        <w:jc w:val="both"/>
        <w:rPr>
          <w:sz w:val="24"/>
          <w:szCs w:val="24"/>
        </w:rPr>
      </w:pPr>
      <w:r>
        <w:rPr>
          <w:color w:val="000000"/>
          <w:spacing w:val="0"/>
          <w:w w:val="100"/>
          <w:position w:val="0"/>
          <w:sz w:val="24"/>
          <w:szCs w:val="24"/>
        </w:rPr>
        <w:t>坏账准备的计提方法为：根据应收款项的预计未来现金流量现值低于其账面 价值的差额进行计提。</w:t>
      </w:r>
    </w:p>
    <w:p>
      <w:pPr>
        <w:pStyle w:val="Style32"/>
        <w:keepNext w:val="0"/>
        <w:keepLines w:val="0"/>
        <w:widowControl w:val="0"/>
        <w:shd w:val="clear" w:color="auto" w:fill="auto"/>
        <w:bidi w:val="0"/>
        <w:spacing w:before="0" w:after="0" w:line="240" w:lineRule="auto"/>
        <w:ind w:left="0" w:right="0" w:firstLine="680"/>
        <w:jc w:val="left"/>
        <w:rPr>
          <w:sz w:val="24"/>
          <w:szCs w:val="24"/>
        </w:rPr>
      </w:pPr>
      <w:r>
        <w:rPr>
          <w:b/>
          <w:bCs/>
          <w:color w:val="000000"/>
          <w:spacing w:val="0"/>
          <w:w w:val="100"/>
          <w:position w:val="0"/>
          <w:sz w:val="24"/>
          <w:szCs w:val="24"/>
        </w:rPr>
        <w:t>财务报表附注</w:t>
      </w:r>
    </w:p>
    <w:p>
      <w:pPr>
        <w:pStyle w:val="Style88"/>
        <w:keepNext/>
        <w:keepLines/>
        <w:widowControl w:val="0"/>
        <w:shd w:val="clear" w:color="auto" w:fill="auto"/>
        <w:bidi w:val="0"/>
        <w:spacing w:before="0" w:after="0" w:line="240" w:lineRule="auto"/>
        <w:ind w:left="0" w:right="0" w:firstLine="680"/>
        <w:jc w:val="left"/>
      </w:pPr>
      <w:bookmarkStart w:id="669" w:name="bookmark669"/>
      <w:bookmarkStart w:id="670" w:name="bookmark670"/>
      <w:bookmarkStart w:id="671" w:name="bookmark671"/>
      <w:r>
        <w:rPr>
          <w:color w:val="000000"/>
          <w:spacing w:val="0"/>
          <w:w w:val="100"/>
          <w:position w:val="0"/>
          <w:sz w:val="24"/>
          <w:szCs w:val="24"/>
        </w:rPr>
        <w:t>2016</w:t>
      </w:r>
      <w:r>
        <w:rPr>
          <w:rFonts w:ascii="SimSun" w:eastAsia="SimSun" w:hAnsi="SimSun" w:cs="SimSun"/>
          <w:b/>
          <w:bCs/>
          <w:color w:val="000000"/>
          <w:spacing w:val="0"/>
          <w:w w:val="100"/>
          <w:position w:val="0"/>
          <w:sz w:val="24"/>
          <w:szCs w:val="24"/>
        </w:rPr>
        <w:t>年度</w:t>
      </w:r>
      <w:bookmarkEnd w:id="669"/>
      <w:bookmarkEnd w:id="670"/>
      <w:bookmarkEnd w:id="671"/>
    </w:p>
    <w:p>
      <w:pPr>
        <w:pStyle w:val="Style32"/>
        <w:keepNext w:val="0"/>
        <w:keepLines w:val="0"/>
        <w:widowControl w:val="0"/>
        <w:shd w:val="clear" w:color="auto" w:fill="auto"/>
        <w:bidi w:val="0"/>
        <w:spacing w:before="0" w:after="260" w:line="240" w:lineRule="auto"/>
        <w:ind w:left="0" w:right="0" w:firstLine="680"/>
        <w:jc w:val="left"/>
        <w:rPr>
          <w:sz w:val="24"/>
          <w:szCs w:val="24"/>
        </w:rPr>
      </w:pPr>
      <w:r>
        <w:rPr>
          <w:rFonts w:ascii="Arial" w:eastAsia="Arial" w:hAnsi="Arial" w:cs="Arial"/>
          <w:color w:val="000000"/>
          <w:spacing w:val="0"/>
          <w:w w:val="100"/>
          <w:position w:val="0"/>
          <w:sz w:val="20"/>
          <w:szCs w:val="20"/>
        </w:rPr>
        <w:t>(</w:t>
      </w:r>
      <w:r>
        <w:rPr>
          <w:color w:val="000000"/>
          <w:spacing w:val="0"/>
          <w:w w:val="100"/>
          <w:position w:val="0"/>
          <w:sz w:val="20"/>
          <w:szCs w:val="20"/>
        </w:rPr>
        <w:t>除特别注明外，金额单位为人民币千元</w:t>
      </w:r>
      <w:r>
        <w:rPr>
          <w:color w:val="000000"/>
          <w:spacing w:val="0"/>
          <w:w w:val="100"/>
          <w:position w:val="0"/>
          <w:sz w:val="24"/>
          <w:szCs w:val="24"/>
        </w:rPr>
        <w:t>)</w:t>
      </w:r>
    </w:p>
    <w:p>
      <w:pPr>
        <w:pStyle w:val="Style32"/>
        <w:keepNext w:val="0"/>
        <w:keepLines w:val="0"/>
        <w:widowControl w:val="0"/>
        <w:shd w:val="clear" w:color="auto" w:fill="auto"/>
        <w:tabs>
          <w:tab w:pos="670" w:val="left"/>
        </w:tabs>
        <w:bidi w:val="0"/>
        <w:spacing w:before="0" w:after="260" w:line="240" w:lineRule="auto"/>
        <w:ind w:left="0" w:right="0" w:firstLine="0"/>
        <w:jc w:val="both"/>
        <w:rPr>
          <w:sz w:val="24"/>
          <w:szCs w:val="24"/>
        </w:rPr>
      </w:pPr>
      <w:r>
        <w:rPr>
          <w:b/>
          <w:bCs/>
          <w:color w:val="000000"/>
          <w:spacing w:val="0"/>
          <w:w w:val="100"/>
          <w:position w:val="0"/>
          <w:sz w:val="24"/>
          <w:szCs w:val="24"/>
        </w:rPr>
        <w:t>二</w:t>
        <w:tab/>
        <w:t>主要会计政策和会计估计</w:t>
      </w:r>
      <w:r>
        <w:rPr>
          <w:rFonts w:ascii="Times New Roman" w:eastAsia="Times New Roman" w:hAnsi="Times New Roman" w:cs="Times New Roman"/>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4"/>
          <w:szCs w:val="24"/>
        </w:rPr>
        <w:t>)</w:t>
      </w:r>
    </w:p>
    <w:p>
      <w:pPr>
        <w:pStyle w:val="Style53"/>
        <w:keepNext w:val="0"/>
        <w:keepLines w:val="0"/>
        <w:widowControl w:val="0"/>
        <w:numPr>
          <w:ilvl w:val="0"/>
          <w:numId w:val="25"/>
        </w:numPr>
        <w:shd w:val="clear" w:color="auto" w:fill="auto"/>
        <w:tabs>
          <w:tab w:pos="670" w:val="left"/>
        </w:tabs>
        <w:bidi w:val="0"/>
        <w:spacing w:before="0" w:after="260" w:line="269" w:lineRule="auto"/>
        <w:ind w:left="0" w:right="0" w:firstLine="0"/>
        <w:jc w:val="both"/>
        <w:rPr>
          <w:sz w:val="24"/>
          <w:szCs w:val="24"/>
        </w:rPr>
      </w:pPr>
      <w:bookmarkStart w:id="672" w:name="bookmark672"/>
      <w:bookmarkEnd w:id="672"/>
      <w:r>
        <w:rPr>
          <w:rFonts w:ascii="SimSun" w:eastAsia="SimSun" w:hAnsi="SimSun" w:cs="SimSun"/>
          <w:b/>
          <w:bCs/>
          <w:color w:val="000000"/>
          <w:spacing w:val="0"/>
          <w:w w:val="100"/>
          <w:position w:val="0"/>
          <w:sz w:val="24"/>
          <w:szCs w:val="24"/>
        </w:rPr>
        <w:t>应收款项</w:t>
      </w:r>
      <w:r>
        <w:rPr>
          <w:color w:val="000000"/>
          <w:spacing w:val="0"/>
          <w:w w:val="100"/>
          <w:position w:val="0"/>
          <w:sz w:val="24"/>
          <w:szCs w:val="24"/>
        </w:rPr>
        <w:t>(</w:t>
      </w:r>
      <w:r>
        <w:rPr>
          <w:rFonts w:ascii="SimSun" w:eastAsia="SimSun" w:hAnsi="SimSun" w:cs="SimSun"/>
          <w:b/>
          <w:bCs/>
          <w:color w:val="000000"/>
          <w:spacing w:val="0"/>
          <w:w w:val="100"/>
          <w:position w:val="0"/>
          <w:sz w:val="24"/>
          <w:szCs w:val="24"/>
        </w:rPr>
        <w:t>续</w:t>
      </w:r>
      <w:r>
        <w:rPr>
          <w:rFonts w:ascii="SimSun" w:eastAsia="SimSun" w:hAnsi="SimSun" w:cs="SimSun"/>
          <w:color w:val="000000"/>
          <w:spacing w:val="0"/>
          <w:w w:val="100"/>
          <w:position w:val="0"/>
          <w:sz w:val="24"/>
          <w:szCs w:val="24"/>
        </w:rPr>
        <w:t>)</w:t>
      </w:r>
    </w:p>
    <w:p>
      <w:pPr>
        <w:pStyle w:val="Style32"/>
        <w:keepNext w:val="0"/>
        <w:keepLines w:val="0"/>
        <w:widowControl w:val="0"/>
        <w:numPr>
          <w:ilvl w:val="0"/>
          <w:numId w:val="37"/>
        </w:numPr>
        <w:shd w:val="clear" w:color="auto" w:fill="auto"/>
        <w:tabs>
          <w:tab w:pos="670" w:val="left"/>
        </w:tabs>
        <w:bidi w:val="0"/>
        <w:spacing w:before="0" w:after="300" w:line="307" w:lineRule="exact"/>
        <w:ind w:left="680" w:right="0" w:hanging="680"/>
        <w:jc w:val="both"/>
        <w:rPr>
          <w:sz w:val="24"/>
          <w:szCs w:val="24"/>
        </w:rPr>
      </w:pPr>
      <w:bookmarkStart w:id="673" w:name="bookmark673"/>
      <w:bookmarkEnd w:id="673"/>
      <w:r>
        <w:rPr>
          <w:color w:val="000000"/>
          <w:spacing w:val="0"/>
          <w:w w:val="100"/>
          <w:position w:val="0"/>
          <w:sz w:val="24"/>
          <w:szCs w:val="24"/>
        </w:rPr>
        <w:t>对于发放贷款和垫款，对于单项金额重大的发放贷款和垫款余额，单独进行 减值测试。当存在客观证据表明本集团将无法按发放贷款和垫款的原有条款 收回款项时，计提贷款损失准备。对于单项金额不重大的发放贷款和垫款， 与经单独测试后未减值的发放贷款和垫款一起按信用风险特征划分为若干组 合，根据以前年度与之具有类似信用风险特征的发放贷款和垫款组合的实际 损失率为基础，结合现时情况确定应计提的贷款损失准备。</w:t>
      </w:r>
    </w:p>
    <w:p>
      <w:pPr>
        <w:pStyle w:val="Style32"/>
        <w:keepNext w:val="0"/>
        <w:keepLines w:val="0"/>
        <w:widowControl w:val="0"/>
        <w:numPr>
          <w:ilvl w:val="0"/>
          <w:numId w:val="37"/>
        </w:numPr>
        <w:shd w:val="clear" w:color="auto" w:fill="auto"/>
        <w:tabs>
          <w:tab w:pos="670" w:val="left"/>
        </w:tabs>
        <w:bidi w:val="0"/>
        <w:spacing w:before="0" w:after="300" w:line="312" w:lineRule="exact"/>
        <w:ind w:left="680" w:right="0" w:hanging="680"/>
        <w:jc w:val="both"/>
        <w:rPr>
          <w:sz w:val="24"/>
          <w:szCs w:val="24"/>
        </w:rPr>
      </w:pPr>
      <w:bookmarkStart w:id="674" w:name="bookmark674"/>
      <w:bookmarkEnd w:id="674"/>
      <w:r>
        <w:rPr>
          <w:color w:val="000000"/>
          <w:spacing w:val="0"/>
          <w:w w:val="100"/>
          <w:position w:val="0"/>
          <w:sz w:val="24"/>
          <w:szCs w:val="24"/>
        </w:rPr>
        <w:t>本集团向金融机构以不附追索权方式转让应收款项的，按交易款项扣除已转 销应收账款的账面价值和相关税费后的差额计入当期损益。</w:t>
      </w:r>
    </w:p>
    <w:p>
      <w:pPr>
        <w:pStyle w:val="Style53"/>
        <w:keepNext w:val="0"/>
        <w:keepLines w:val="0"/>
        <w:widowControl w:val="0"/>
        <w:numPr>
          <w:ilvl w:val="0"/>
          <w:numId w:val="25"/>
        </w:numPr>
        <w:shd w:val="clear" w:color="auto" w:fill="auto"/>
        <w:tabs>
          <w:tab w:pos="670" w:val="left"/>
        </w:tabs>
        <w:bidi w:val="0"/>
        <w:spacing w:before="0" w:after="260" w:line="269" w:lineRule="auto"/>
        <w:ind w:left="0" w:right="0" w:firstLine="0"/>
        <w:jc w:val="left"/>
        <w:rPr>
          <w:sz w:val="24"/>
          <w:szCs w:val="24"/>
        </w:rPr>
      </w:pPr>
      <w:bookmarkStart w:id="675" w:name="bookmark675"/>
      <w:bookmarkEnd w:id="675"/>
      <w:r>
        <w:rPr>
          <w:rFonts w:ascii="SimSun" w:eastAsia="SimSun" w:hAnsi="SimSun" w:cs="SimSun"/>
          <w:b/>
          <w:bCs/>
          <w:color w:val="000000"/>
          <w:spacing w:val="0"/>
          <w:w w:val="100"/>
          <w:position w:val="0"/>
          <w:sz w:val="24"/>
          <w:szCs w:val="24"/>
        </w:rPr>
        <w:t>存货</w:t>
      </w:r>
    </w:p>
    <w:p>
      <w:pPr>
        <w:pStyle w:val="Style53"/>
        <w:keepNext w:val="0"/>
        <w:keepLines w:val="0"/>
        <w:widowControl w:val="0"/>
        <w:numPr>
          <w:ilvl w:val="0"/>
          <w:numId w:val="39"/>
        </w:numPr>
        <w:shd w:val="clear" w:color="auto" w:fill="auto"/>
        <w:tabs>
          <w:tab w:pos="670" w:val="left"/>
        </w:tabs>
        <w:bidi w:val="0"/>
        <w:spacing w:before="0" w:after="260" w:line="269" w:lineRule="auto"/>
        <w:ind w:left="0" w:right="0" w:firstLine="0"/>
        <w:jc w:val="left"/>
        <w:rPr>
          <w:sz w:val="24"/>
          <w:szCs w:val="24"/>
        </w:rPr>
      </w:pPr>
      <w:bookmarkStart w:id="676" w:name="bookmark676"/>
      <w:bookmarkEnd w:id="676"/>
      <w:r>
        <w:rPr>
          <w:rFonts w:ascii="SimSun" w:eastAsia="SimSun" w:hAnsi="SimSun" w:cs="SimSun"/>
          <w:color w:val="000000"/>
          <w:spacing w:val="0"/>
          <w:w w:val="100"/>
          <w:position w:val="0"/>
          <w:sz w:val="24"/>
          <w:szCs w:val="24"/>
        </w:rPr>
        <w:t>分类</w:t>
      </w:r>
    </w:p>
    <w:p>
      <w:pPr>
        <w:pStyle w:val="Style32"/>
        <w:keepNext w:val="0"/>
        <w:keepLines w:val="0"/>
        <w:widowControl w:val="0"/>
        <w:shd w:val="clear" w:color="auto" w:fill="auto"/>
        <w:bidi w:val="0"/>
        <w:spacing w:before="0" w:after="300" w:line="307" w:lineRule="exact"/>
        <w:ind w:left="680" w:right="0" w:firstLine="0"/>
        <w:jc w:val="both"/>
        <w:rPr>
          <w:sz w:val="24"/>
          <w:szCs w:val="24"/>
        </w:rPr>
      </w:pPr>
      <w:r>
        <w:rPr>
          <w:color w:val="000000"/>
          <w:spacing w:val="0"/>
          <w:w w:val="100"/>
          <w:position w:val="0"/>
          <w:sz w:val="24"/>
          <w:szCs w:val="24"/>
        </w:rPr>
        <w:t>存货包括库存商品、安装维修用备件、房地产开发成本和房地产开发产品， 按成本与可变现净值孰低计量。房地产开发成本是指尚未建成、以出售为目 的的物业；房地产开发产品是指已建成、待出售的物业。</w:t>
      </w:r>
    </w:p>
    <w:p>
      <w:pPr>
        <w:pStyle w:val="Style32"/>
        <w:keepNext w:val="0"/>
        <w:keepLines w:val="0"/>
        <w:widowControl w:val="0"/>
        <w:numPr>
          <w:ilvl w:val="0"/>
          <w:numId w:val="39"/>
        </w:numPr>
        <w:shd w:val="clear" w:color="auto" w:fill="auto"/>
        <w:tabs>
          <w:tab w:pos="670" w:val="left"/>
        </w:tabs>
        <w:bidi w:val="0"/>
        <w:spacing w:before="0" w:after="260" w:line="269" w:lineRule="auto"/>
        <w:ind w:left="0" w:right="0" w:firstLine="0"/>
        <w:jc w:val="left"/>
        <w:rPr>
          <w:sz w:val="24"/>
          <w:szCs w:val="24"/>
        </w:rPr>
      </w:pPr>
      <w:bookmarkStart w:id="677" w:name="bookmark677"/>
      <w:bookmarkEnd w:id="677"/>
      <w:r>
        <w:rPr>
          <w:color w:val="000000"/>
          <w:spacing w:val="0"/>
          <w:w w:val="100"/>
          <w:position w:val="0"/>
          <w:sz w:val="24"/>
          <w:szCs w:val="24"/>
        </w:rPr>
        <w:t>发出存货的计价方法</w:t>
      </w:r>
    </w:p>
    <w:p>
      <w:pPr>
        <w:pStyle w:val="Style32"/>
        <w:keepNext w:val="0"/>
        <w:keepLines w:val="0"/>
        <w:widowControl w:val="0"/>
        <w:shd w:val="clear" w:color="auto" w:fill="auto"/>
        <w:bidi w:val="0"/>
        <w:spacing w:before="0" w:after="260" w:line="312" w:lineRule="exact"/>
        <w:ind w:left="680" w:right="0" w:firstLine="0"/>
        <w:jc w:val="both"/>
        <w:rPr>
          <w:sz w:val="24"/>
          <w:szCs w:val="24"/>
        </w:rPr>
      </w:pPr>
      <w:r>
        <w:rPr>
          <w:color w:val="000000"/>
          <w:spacing w:val="0"/>
          <w:w w:val="100"/>
          <w:position w:val="0"/>
          <w:sz w:val="24"/>
          <w:szCs w:val="24"/>
        </w:rPr>
        <w:t>库存商品销售时的成本按先进先出法核算。房地产开发成本和房地产开发产 品的成本包括与房地产开发相关的土地成本、建筑成本、符合资本化条件的 借款费用、其他直接和间接开发费用等。房地产开发成本于完工后按实际成 本结转为开发产品；房地产开发产品结转成本时按个别认定法核算。</w:t>
      </w:r>
    </w:p>
    <w:p>
      <w:pPr>
        <w:pStyle w:val="Style32"/>
        <w:keepNext w:val="0"/>
        <w:keepLines w:val="0"/>
        <w:widowControl w:val="0"/>
        <w:numPr>
          <w:ilvl w:val="0"/>
          <w:numId w:val="39"/>
        </w:numPr>
        <w:shd w:val="clear" w:color="auto" w:fill="auto"/>
        <w:tabs>
          <w:tab w:pos="670" w:val="left"/>
        </w:tabs>
        <w:bidi w:val="0"/>
        <w:spacing w:before="0" w:after="300" w:line="308" w:lineRule="exact"/>
        <w:ind w:left="0" w:right="0" w:firstLine="0"/>
        <w:jc w:val="left"/>
        <w:rPr>
          <w:sz w:val="24"/>
          <w:szCs w:val="24"/>
        </w:rPr>
      </w:pPr>
      <w:bookmarkStart w:id="678" w:name="bookmark678"/>
      <w:bookmarkEnd w:id="678"/>
      <w:r>
        <w:rPr>
          <w:color w:val="000000"/>
          <w:spacing w:val="0"/>
          <w:w w:val="100"/>
          <w:position w:val="0"/>
          <w:sz w:val="24"/>
          <w:szCs w:val="24"/>
        </w:rPr>
        <w:t>存货可变现净值的确定依据及存货跌价准备的计提方法</w:t>
      </w:r>
    </w:p>
    <w:p>
      <w:pPr>
        <w:pStyle w:val="Style32"/>
        <w:keepNext w:val="0"/>
        <w:keepLines w:val="0"/>
        <w:widowControl w:val="0"/>
        <w:shd w:val="clear" w:color="auto" w:fill="auto"/>
        <w:bidi w:val="0"/>
        <w:spacing w:before="0" w:after="260" w:line="310" w:lineRule="exact"/>
        <w:ind w:left="680" w:right="0" w:firstLine="0"/>
        <w:jc w:val="both"/>
        <w:rPr>
          <w:sz w:val="24"/>
          <w:szCs w:val="24"/>
        </w:rPr>
      </w:pPr>
      <w:r>
        <w:rPr>
          <w:color w:val="000000"/>
          <w:spacing w:val="0"/>
          <w:w w:val="100"/>
          <w:position w:val="0"/>
          <w:sz w:val="24"/>
          <w:szCs w:val="24"/>
        </w:rPr>
        <w:t>存货跌价准备按存货成本高于其可变现净值的差额计提。可变现净值按日常 活动中，以存货的估计售价减去至完工时估计将要发生的成本、估计的销售 费用以及相关税费后的金额确定。</w:t>
      </w:r>
    </w:p>
    <w:p>
      <w:pPr>
        <w:pStyle w:val="Style32"/>
        <w:keepNext w:val="0"/>
        <w:keepLines w:val="0"/>
        <w:widowControl w:val="0"/>
        <w:numPr>
          <w:ilvl w:val="0"/>
          <w:numId w:val="39"/>
        </w:numPr>
        <w:shd w:val="clear" w:color="auto" w:fill="auto"/>
        <w:tabs>
          <w:tab w:pos="670" w:val="left"/>
        </w:tabs>
        <w:bidi w:val="0"/>
        <w:spacing w:before="0" w:after="260" w:line="269" w:lineRule="auto"/>
        <w:ind w:left="0" w:right="0" w:firstLine="0"/>
        <w:jc w:val="left"/>
        <w:rPr>
          <w:sz w:val="24"/>
          <w:szCs w:val="24"/>
        </w:rPr>
      </w:pPr>
      <w:bookmarkStart w:id="679" w:name="bookmark679"/>
      <w:bookmarkEnd w:id="679"/>
      <w:r>
        <w:rPr>
          <w:color w:val="000000"/>
          <w:spacing w:val="0"/>
          <w:w w:val="100"/>
          <w:position w:val="0"/>
          <w:sz w:val="24"/>
          <w:szCs w:val="24"/>
        </w:rPr>
        <w:t>安装维修用备件的摊销方法</w:t>
      </w:r>
    </w:p>
    <w:p>
      <w:pPr>
        <w:pStyle w:val="Style32"/>
        <w:keepNext w:val="0"/>
        <w:keepLines w:val="0"/>
        <w:widowControl w:val="0"/>
        <w:shd w:val="clear" w:color="auto" w:fill="auto"/>
        <w:bidi w:val="0"/>
        <w:spacing w:before="0" w:after="260" w:line="308" w:lineRule="exact"/>
        <w:ind w:left="0" w:right="0" w:firstLine="680"/>
        <w:jc w:val="left"/>
        <w:rPr>
          <w:sz w:val="24"/>
          <w:szCs w:val="24"/>
        </w:rPr>
      </w:pPr>
      <w:r>
        <w:rPr>
          <w:color w:val="000000"/>
          <w:spacing w:val="0"/>
          <w:w w:val="100"/>
          <w:position w:val="0"/>
          <w:sz w:val="24"/>
          <w:szCs w:val="24"/>
        </w:rPr>
        <w:t>安装维修用备件采用一次转销法进行摊销。</w:t>
      </w:r>
    </w:p>
    <w:p>
      <w:pPr>
        <w:pStyle w:val="Style32"/>
        <w:keepNext w:val="0"/>
        <w:keepLines w:val="0"/>
        <w:widowControl w:val="0"/>
        <w:numPr>
          <w:ilvl w:val="0"/>
          <w:numId w:val="39"/>
        </w:numPr>
        <w:shd w:val="clear" w:color="auto" w:fill="auto"/>
        <w:tabs>
          <w:tab w:pos="670" w:val="left"/>
        </w:tabs>
        <w:bidi w:val="0"/>
        <w:spacing w:before="0" w:after="260" w:line="308" w:lineRule="exact"/>
        <w:ind w:left="0" w:right="0" w:firstLine="0"/>
        <w:jc w:val="left"/>
        <w:rPr>
          <w:sz w:val="24"/>
          <w:szCs w:val="24"/>
        </w:rPr>
      </w:pPr>
      <w:bookmarkStart w:id="680" w:name="bookmark680"/>
      <w:bookmarkEnd w:id="680"/>
      <w:r>
        <w:rPr>
          <w:color w:val="000000"/>
          <w:spacing w:val="0"/>
          <w:w w:val="100"/>
          <w:position w:val="0"/>
          <w:sz w:val="24"/>
          <w:szCs w:val="24"/>
        </w:rPr>
        <w:t>本集团的存货盘存制度采用永续盘存制。</w:t>
      </w:r>
    </w:p>
    <w:p>
      <w:pPr>
        <w:pStyle w:val="Style32"/>
        <w:keepNext w:val="0"/>
        <w:keepLines w:val="0"/>
        <w:widowControl w:val="0"/>
        <w:shd w:val="clear" w:color="auto" w:fill="auto"/>
        <w:bidi w:val="0"/>
        <w:spacing w:before="0" w:after="0" w:line="240" w:lineRule="auto"/>
        <w:ind w:left="0" w:right="0" w:firstLine="700"/>
        <w:jc w:val="left"/>
        <w:rPr>
          <w:sz w:val="24"/>
          <w:szCs w:val="24"/>
        </w:rPr>
      </w:pPr>
      <w:r>
        <w:rPr>
          <w:b/>
          <w:bCs/>
          <w:color w:val="000000"/>
          <w:spacing w:val="0"/>
          <w:w w:val="100"/>
          <w:position w:val="0"/>
          <w:sz w:val="24"/>
          <w:szCs w:val="24"/>
        </w:rPr>
        <w:t>财务报表附注</w:t>
      </w:r>
    </w:p>
    <w:p>
      <w:pPr>
        <w:pStyle w:val="Style88"/>
        <w:keepNext/>
        <w:keepLines/>
        <w:widowControl w:val="0"/>
        <w:shd w:val="clear" w:color="auto" w:fill="auto"/>
        <w:bidi w:val="0"/>
        <w:spacing w:before="0" w:after="0" w:line="240" w:lineRule="auto"/>
        <w:ind w:left="0" w:right="0"/>
        <w:jc w:val="left"/>
      </w:pPr>
      <w:bookmarkStart w:id="681" w:name="bookmark681"/>
      <w:bookmarkStart w:id="682" w:name="bookmark682"/>
      <w:bookmarkStart w:id="683" w:name="bookmark683"/>
      <w:r>
        <w:rPr>
          <w:color w:val="000000"/>
          <w:spacing w:val="0"/>
          <w:w w:val="100"/>
          <w:position w:val="0"/>
          <w:sz w:val="24"/>
          <w:szCs w:val="24"/>
        </w:rPr>
        <w:t>2016</w:t>
      </w:r>
      <w:r>
        <w:rPr>
          <w:rFonts w:ascii="SimSun" w:eastAsia="SimSun" w:hAnsi="SimSun" w:cs="SimSun"/>
          <w:b/>
          <w:bCs/>
          <w:color w:val="000000"/>
          <w:spacing w:val="0"/>
          <w:w w:val="100"/>
          <w:position w:val="0"/>
          <w:sz w:val="24"/>
          <w:szCs w:val="24"/>
        </w:rPr>
        <w:t>年度</w:t>
      </w:r>
      <w:bookmarkEnd w:id="681"/>
      <w:bookmarkEnd w:id="682"/>
      <w:bookmarkEnd w:id="683"/>
    </w:p>
    <w:p>
      <w:pPr>
        <w:pStyle w:val="Style32"/>
        <w:keepNext w:val="0"/>
        <w:keepLines w:val="0"/>
        <w:widowControl w:val="0"/>
        <w:shd w:val="clear" w:color="auto" w:fill="auto"/>
        <w:bidi w:val="0"/>
        <w:spacing w:before="0" w:after="260" w:line="240" w:lineRule="auto"/>
        <w:ind w:left="0" w:right="0" w:firstLine="700"/>
        <w:jc w:val="left"/>
        <w:rPr>
          <w:sz w:val="24"/>
          <w:szCs w:val="24"/>
        </w:rPr>
      </w:pPr>
      <w:r>
        <w:rPr>
          <w:rFonts w:ascii="Arial" w:eastAsia="Arial" w:hAnsi="Arial" w:cs="Arial"/>
          <w:color w:val="000000"/>
          <w:spacing w:val="0"/>
          <w:w w:val="100"/>
          <w:position w:val="0"/>
          <w:sz w:val="20"/>
          <w:szCs w:val="20"/>
        </w:rPr>
        <w:t>(</w:t>
      </w:r>
      <w:r>
        <w:rPr>
          <w:color w:val="000000"/>
          <w:spacing w:val="0"/>
          <w:w w:val="100"/>
          <w:position w:val="0"/>
          <w:sz w:val="20"/>
          <w:szCs w:val="20"/>
        </w:rPr>
        <w:t>除特别注明外，金额单位为人民币千元</w:t>
      </w:r>
      <w:r>
        <w:rPr>
          <w:color w:val="000000"/>
          <w:spacing w:val="0"/>
          <w:w w:val="100"/>
          <w:position w:val="0"/>
          <w:sz w:val="24"/>
          <w:szCs w:val="24"/>
        </w:rPr>
        <w:t>)</w:t>
      </w:r>
    </w:p>
    <w:p>
      <w:pPr>
        <w:pStyle w:val="Style32"/>
        <w:keepNext w:val="0"/>
        <w:keepLines w:val="0"/>
        <w:widowControl w:val="0"/>
        <w:shd w:val="clear" w:color="auto" w:fill="auto"/>
        <w:tabs>
          <w:tab w:pos="712" w:val="left"/>
        </w:tabs>
        <w:bidi w:val="0"/>
        <w:spacing w:before="0" w:after="260" w:line="240" w:lineRule="auto"/>
        <w:ind w:left="0" w:right="0" w:firstLine="0"/>
        <w:jc w:val="left"/>
        <w:rPr>
          <w:sz w:val="24"/>
          <w:szCs w:val="24"/>
        </w:rPr>
      </w:pPr>
      <w:r>
        <w:rPr>
          <w:b/>
          <w:bCs/>
          <w:color w:val="000000"/>
          <w:spacing w:val="0"/>
          <w:w w:val="100"/>
          <w:position w:val="0"/>
          <w:sz w:val="24"/>
          <w:szCs w:val="24"/>
        </w:rPr>
        <w:t>二</w:t>
        <w:tab/>
        <w:t>主要会计政策和会计估计</w:t>
      </w:r>
      <w:r>
        <w:rPr>
          <w:rFonts w:ascii="Times New Roman" w:eastAsia="Times New Roman" w:hAnsi="Times New Roman" w:cs="Times New Roman"/>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4"/>
          <w:szCs w:val="24"/>
        </w:rPr>
        <w:t>)</w:t>
      </w:r>
    </w:p>
    <w:p>
      <w:pPr>
        <w:pStyle w:val="Style32"/>
        <w:keepNext w:val="0"/>
        <w:keepLines w:val="0"/>
        <w:widowControl w:val="0"/>
        <w:shd w:val="clear" w:color="auto" w:fill="auto"/>
        <w:bidi w:val="0"/>
        <w:spacing w:before="0" w:after="26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(12)</w:t>
      </w:r>
      <w:r>
        <w:rPr>
          <w:b/>
          <w:bCs/>
          <w:color w:val="000000"/>
          <w:spacing w:val="0"/>
          <w:w w:val="100"/>
          <w:position w:val="0"/>
          <w:sz w:val="24"/>
          <w:szCs w:val="24"/>
        </w:rPr>
        <w:t>长期股权投资</w:t>
      </w:r>
    </w:p>
    <w:p>
      <w:pPr>
        <w:pStyle w:val="Style32"/>
        <w:keepNext w:val="0"/>
        <w:keepLines w:val="0"/>
        <w:widowControl w:val="0"/>
        <w:shd w:val="clear" w:color="auto" w:fill="auto"/>
        <w:bidi w:val="0"/>
        <w:spacing w:before="0" w:after="260" w:line="307" w:lineRule="exact"/>
        <w:ind w:left="700" w:right="0" w:firstLine="40"/>
        <w:jc w:val="both"/>
        <w:rPr>
          <w:sz w:val="24"/>
          <w:szCs w:val="24"/>
        </w:rPr>
      </w:pPr>
      <w:r>
        <w:rPr>
          <w:color w:val="000000"/>
          <w:spacing w:val="0"/>
          <w:w w:val="100"/>
          <w:position w:val="0"/>
          <w:sz w:val="24"/>
          <w:szCs w:val="24"/>
        </w:rPr>
        <w:t>长期股权投资包括：本公司对子公司的长期股权投资；本集团对合营企业和 联营企业的长期股权投资。</w:t>
      </w:r>
    </w:p>
    <w:p>
      <w:pPr>
        <w:pStyle w:val="Style32"/>
        <w:keepNext w:val="0"/>
        <w:keepLines w:val="0"/>
        <w:widowControl w:val="0"/>
        <w:shd w:val="clear" w:color="auto" w:fill="auto"/>
        <w:bidi w:val="0"/>
        <w:spacing w:before="0" w:after="260" w:line="312" w:lineRule="exact"/>
        <w:ind w:left="700" w:right="0" w:firstLine="40"/>
        <w:jc w:val="both"/>
        <w:rPr>
          <w:sz w:val="24"/>
          <w:szCs w:val="24"/>
        </w:rPr>
      </w:pPr>
      <w:r>
        <w:rPr>
          <w:color w:val="000000"/>
          <w:spacing w:val="0"/>
          <w:w w:val="100"/>
          <w:position w:val="0"/>
          <w:sz w:val="24"/>
          <w:szCs w:val="24"/>
        </w:rPr>
        <w:t>子公司为本公司能够对其实施控制的被投资单位。合营企业为本集团通过单 独主体达成，能够与其他方实施共同控制，且基于法律形式、合同条款及其 他事实与情况仅对其净资产享有权利的合营安排。联营企业为本集团能够对 其财务和经营决策具有重大影响的被投资单位。</w:t>
      </w:r>
    </w:p>
    <w:p>
      <w:pPr>
        <w:pStyle w:val="Style32"/>
        <w:keepNext w:val="0"/>
        <w:keepLines w:val="0"/>
        <w:widowControl w:val="0"/>
        <w:shd w:val="clear" w:color="auto" w:fill="auto"/>
        <w:bidi w:val="0"/>
        <w:spacing w:before="0" w:after="260" w:line="312" w:lineRule="exact"/>
        <w:ind w:left="700" w:right="0" w:firstLine="40"/>
        <w:jc w:val="both"/>
        <w:rPr>
          <w:sz w:val="24"/>
          <w:szCs w:val="24"/>
        </w:rPr>
      </w:pPr>
      <w:r>
        <w:rPr>
          <w:color w:val="000000"/>
          <w:spacing w:val="0"/>
          <w:w w:val="100"/>
          <w:position w:val="0"/>
          <w:sz w:val="24"/>
          <w:szCs w:val="24"/>
        </w:rPr>
        <w:t>对子公司的投资，在公司财务报表中按照成本法确定的金额列示，在编制合 并财务报表时按权益法调整后进行合并；对联营企业投资采用权益法核算。</w:t>
      </w:r>
    </w:p>
    <w:p>
      <w:pPr>
        <w:pStyle w:val="Style32"/>
        <w:keepNext w:val="0"/>
        <w:keepLines w:val="0"/>
        <w:widowControl w:val="0"/>
        <w:numPr>
          <w:ilvl w:val="0"/>
          <w:numId w:val="41"/>
        </w:numPr>
        <w:shd w:val="clear" w:color="auto" w:fill="auto"/>
        <w:tabs>
          <w:tab w:pos="712" w:val="left"/>
        </w:tabs>
        <w:bidi w:val="0"/>
        <w:spacing w:before="0" w:after="260" w:line="271" w:lineRule="auto"/>
        <w:ind w:left="0" w:right="0" w:firstLine="0"/>
        <w:jc w:val="left"/>
        <w:rPr>
          <w:sz w:val="24"/>
          <w:szCs w:val="24"/>
        </w:rPr>
      </w:pPr>
      <w:bookmarkStart w:id="684" w:name="bookmark684"/>
      <w:bookmarkEnd w:id="684"/>
      <w:r>
        <w:rPr>
          <w:color w:val="000000"/>
          <w:spacing w:val="0"/>
          <w:w w:val="100"/>
          <w:position w:val="0"/>
          <w:sz w:val="24"/>
          <w:szCs w:val="24"/>
        </w:rPr>
        <w:t>投资成本确定</w:t>
      </w:r>
    </w:p>
    <w:p>
      <w:pPr>
        <w:pStyle w:val="Style32"/>
        <w:keepNext w:val="0"/>
        <w:keepLines w:val="0"/>
        <w:widowControl w:val="0"/>
        <w:shd w:val="clear" w:color="auto" w:fill="auto"/>
        <w:bidi w:val="0"/>
        <w:spacing w:before="0" w:after="260" w:line="314" w:lineRule="exact"/>
        <w:ind w:left="700" w:right="0" w:firstLine="40"/>
        <w:jc w:val="both"/>
        <w:rPr>
          <w:sz w:val="24"/>
          <w:szCs w:val="24"/>
        </w:rPr>
      </w:pPr>
      <w:r>
        <w:rPr>
          <w:color w:val="000000"/>
          <w:spacing w:val="0"/>
          <w:w w:val="100"/>
          <w:position w:val="0"/>
          <w:sz w:val="24"/>
          <w:szCs w:val="24"/>
        </w:rPr>
        <w:t>对于企业合并形成的长期股权投资：同一控制下企业合并取得的长期股权投 资，在合并日按照取得被合并方所有者权益账面价值的份额作为投资成本； 非同一控制下企业合并取得的长期股权投资，按照合并成本作为长期股权投 资的投资成本。</w:t>
      </w:r>
    </w:p>
    <w:p>
      <w:pPr>
        <w:pStyle w:val="Style32"/>
        <w:keepNext w:val="0"/>
        <w:keepLines w:val="0"/>
        <w:widowControl w:val="0"/>
        <w:shd w:val="clear" w:color="auto" w:fill="auto"/>
        <w:bidi w:val="0"/>
        <w:spacing w:before="0" w:after="260" w:line="314" w:lineRule="exact"/>
        <w:ind w:left="700" w:right="0" w:firstLine="40"/>
        <w:jc w:val="both"/>
        <w:rPr>
          <w:sz w:val="24"/>
          <w:szCs w:val="24"/>
        </w:rPr>
      </w:pPr>
      <w:r>
        <w:rPr>
          <w:color w:val="000000"/>
          <w:spacing w:val="0"/>
          <w:w w:val="100"/>
          <w:position w:val="0"/>
          <w:sz w:val="24"/>
          <w:szCs w:val="24"/>
        </w:rPr>
        <w:t>对于以企业合并以外的其他方式取得的长期股权投资：支付现金取得的长期 股权投资，按照实际支付的购买价款作为初始投资成本；发行权益性证券取 得的长期股权投资，以发行权益性证券的公允价值作为初始投资成本。</w:t>
      </w:r>
    </w:p>
    <w:p>
      <w:pPr>
        <w:pStyle w:val="Style32"/>
        <w:keepNext w:val="0"/>
        <w:keepLines w:val="0"/>
        <w:widowControl w:val="0"/>
        <w:numPr>
          <w:ilvl w:val="0"/>
          <w:numId w:val="41"/>
        </w:numPr>
        <w:shd w:val="clear" w:color="auto" w:fill="auto"/>
        <w:tabs>
          <w:tab w:pos="712" w:val="left"/>
        </w:tabs>
        <w:bidi w:val="0"/>
        <w:spacing w:before="0" w:after="260" w:line="271" w:lineRule="auto"/>
        <w:ind w:left="0" w:right="0" w:firstLine="0"/>
        <w:jc w:val="left"/>
        <w:rPr>
          <w:sz w:val="24"/>
          <w:szCs w:val="24"/>
        </w:rPr>
      </w:pPr>
      <w:bookmarkStart w:id="685" w:name="bookmark685"/>
      <w:bookmarkEnd w:id="685"/>
      <w:r>
        <w:rPr>
          <w:color w:val="000000"/>
          <w:spacing w:val="0"/>
          <w:w w:val="100"/>
          <w:position w:val="0"/>
          <w:sz w:val="24"/>
          <w:szCs w:val="24"/>
        </w:rPr>
        <w:t>后续计量及损益确认方法</w:t>
      </w:r>
    </w:p>
    <w:p>
      <w:pPr>
        <w:pStyle w:val="Style32"/>
        <w:keepNext w:val="0"/>
        <w:keepLines w:val="0"/>
        <w:widowControl w:val="0"/>
        <w:shd w:val="clear" w:color="auto" w:fill="auto"/>
        <w:bidi w:val="0"/>
        <w:spacing w:before="0" w:after="260" w:line="312" w:lineRule="exact"/>
        <w:ind w:left="700" w:right="0" w:firstLine="40"/>
        <w:jc w:val="both"/>
        <w:rPr>
          <w:sz w:val="24"/>
          <w:szCs w:val="24"/>
        </w:rPr>
      </w:pPr>
      <w:r>
        <w:rPr>
          <w:color w:val="000000"/>
          <w:spacing w:val="0"/>
          <w:w w:val="100"/>
          <w:position w:val="0"/>
          <w:sz w:val="24"/>
          <w:szCs w:val="24"/>
        </w:rPr>
        <w:t>采用成本法核算的长期股权投资，按照初始投资成本计量，被投资单位宣告 分派的现金股利或利润，确认为投资收益计入当期损益。</w:t>
      </w:r>
    </w:p>
    <w:p>
      <w:pPr>
        <w:pStyle w:val="Style32"/>
        <w:keepNext w:val="0"/>
        <w:keepLines w:val="0"/>
        <w:widowControl w:val="0"/>
        <w:shd w:val="clear" w:color="auto" w:fill="auto"/>
        <w:bidi w:val="0"/>
        <w:spacing w:before="0" w:after="260" w:line="309" w:lineRule="exact"/>
        <w:ind w:left="700" w:right="0" w:firstLine="40"/>
        <w:jc w:val="both"/>
        <w:rPr>
          <w:sz w:val="24"/>
          <w:szCs w:val="24"/>
        </w:rPr>
      </w:pPr>
      <w:r>
        <w:rPr>
          <w:color w:val="000000"/>
          <w:spacing w:val="0"/>
          <w:w w:val="100"/>
          <w:position w:val="0"/>
          <w:sz w:val="24"/>
          <w:szCs w:val="24"/>
        </w:rPr>
        <w:t>采用权益法核算的长期股权投资，初始投资成本大于投资时应享有被投资单 位可辨认净资产公允价值份额的，以初始投资成本作为长期股权投资成本； 初始投资成本小于投资时应享有被投资单位可辨认净资产公允价值份额的， 其差额计入当期损益，并相应调增长期股权投资成本。</w:t>
      </w:r>
    </w:p>
    <w:p>
      <w:pPr>
        <w:pStyle w:val="Style32"/>
        <w:keepNext w:val="0"/>
        <w:keepLines w:val="0"/>
        <w:widowControl w:val="0"/>
        <w:shd w:val="clear" w:color="auto" w:fill="auto"/>
        <w:bidi w:val="0"/>
        <w:spacing w:before="0" w:after="0" w:line="240" w:lineRule="auto"/>
        <w:ind w:left="0" w:right="0" w:firstLine="700"/>
        <w:jc w:val="left"/>
        <w:rPr>
          <w:sz w:val="24"/>
          <w:szCs w:val="24"/>
        </w:rPr>
      </w:pPr>
      <w:r>
        <w:rPr>
          <w:b/>
          <w:bCs/>
          <w:color w:val="000000"/>
          <w:spacing w:val="0"/>
          <w:w w:val="100"/>
          <w:position w:val="0"/>
          <w:sz w:val="24"/>
          <w:szCs w:val="24"/>
        </w:rPr>
        <w:t>财务报表附注</w:t>
      </w:r>
    </w:p>
    <w:p>
      <w:pPr>
        <w:pStyle w:val="Style88"/>
        <w:keepNext/>
        <w:keepLines/>
        <w:widowControl w:val="0"/>
        <w:shd w:val="clear" w:color="auto" w:fill="auto"/>
        <w:bidi w:val="0"/>
        <w:spacing w:before="0" w:after="0" w:line="240" w:lineRule="auto"/>
        <w:ind w:left="0" w:right="0"/>
        <w:jc w:val="left"/>
      </w:pPr>
      <w:bookmarkStart w:id="686" w:name="bookmark686"/>
      <w:bookmarkStart w:id="687" w:name="bookmark687"/>
      <w:bookmarkStart w:id="688" w:name="bookmark688"/>
      <w:r>
        <w:rPr>
          <w:color w:val="000000"/>
          <w:spacing w:val="0"/>
          <w:w w:val="100"/>
          <w:position w:val="0"/>
          <w:sz w:val="24"/>
          <w:szCs w:val="24"/>
        </w:rPr>
        <w:t>2016</w:t>
      </w:r>
      <w:r>
        <w:rPr>
          <w:rFonts w:ascii="SimSun" w:eastAsia="SimSun" w:hAnsi="SimSun" w:cs="SimSun"/>
          <w:b/>
          <w:bCs/>
          <w:color w:val="000000"/>
          <w:spacing w:val="0"/>
          <w:w w:val="100"/>
          <w:position w:val="0"/>
          <w:sz w:val="24"/>
          <w:szCs w:val="24"/>
        </w:rPr>
        <w:t>年度</w:t>
      </w:r>
      <w:bookmarkEnd w:id="686"/>
      <w:bookmarkEnd w:id="687"/>
      <w:bookmarkEnd w:id="688"/>
    </w:p>
    <w:p>
      <w:pPr>
        <w:pStyle w:val="Style32"/>
        <w:keepNext w:val="0"/>
        <w:keepLines w:val="0"/>
        <w:widowControl w:val="0"/>
        <w:shd w:val="clear" w:color="auto" w:fill="auto"/>
        <w:bidi w:val="0"/>
        <w:spacing w:before="0" w:after="220" w:line="240" w:lineRule="auto"/>
        <w:ind w:left="0" w:right="0" w:firstLine="700"/>
        <w:jc w:val="left"/>
        <w:rPr>
          <w:sz w:val="24"/>
          <w:szCs w:val="24"/>
        </w:rPr>
      </w:pPr>
      <w:r>
        <w:rPr>
          <w:rFonts w:ascii="Arial" w:eastAsia="Arial" w:hAnsi="Arial" w:cs="Arial"/>
          <w:color w:val="000000"/>
          <w:spacing w:val="0"/>
          <w:w w:val="100"/>
          <w:position w:val="0"/>
          <w:sz w:val="20"/>
          <w:szCs w:val="20"/>
        </w:rPr>
        <w:t>(</w:t>
      </w:r>
      <w:r>
        <w:rPr>
          <w:color w:val="000000"/>
          <w:spacing w:val="0"/>
          <w:w w:val="100"/>
          <w:position w:val="0"/>
          <w:sz w:val="20"/>
          <w:szCs w:val="20"/>
        </w:rPr>
        <w:t>除特别注明外，金额单位为人民币千元</w:t>
      </w:r>
      <w:r>
        <w:rPr>
          <w:color w:val="000000"/>
          <w:spacing w:val="0"/>
          <w:w w:val="100"/>
          <w:position w:val="0"/>
          <w:sz w:val="24"/>
          <w:szCs w:val="24"/>
        </w:rPr>
        <w:t>)</w:t>
      </w:r>
    </w:p>
    <w:p>
      <w:pPr>
        <w:pStyle w:val="Style32"/>
        <w:keepNext w:val="0"/>
        <w:keepLines w:val="0"/>
        <w:widowControl w:val="0"/>
        <w:shd w:val="clear" w:color="auto" w:fill="auto"/>
        <w:tabs>
          <w:tab w:pos="713" w:val="left"/>
        </w:tabs>
        <w:bidi w:val="0"/>
        <w:spacing w:before="0" w:after="260" w:line="240" w:lineRule="auto"/>
        <w:ind w:left="0" w:right="0" w:firstLine="0"/>
        <w:jc w:val="left"/>
        <w:rPr>
          <w:sz w:val="24"/>
          <w:szCs w:val="24"/>
        </w:rPr>
      </w:pPr>
      <w:r>
        <w:rPr>
          <w:b/>
          <w:bCs/>
          <w:color w:val="000000"/>
          <w:spacing w:val="0"/>
          <w:w w:val="100"/>
          <w:position w:val="0"/>
          <w:sz w:val="24"/>
          <w:szCs w:val="24"/>
        </w:rPr>
        <w:t>二</w:t>
        <w:tab/>
        <w:t>主要会计政策和会计估计</w:t>
      </w:r>
      <w:r>
        <w:rPr>
          <w:rFonts w:ascii="Times New Roman" w:eastAsia="Times New Roman" w:hAnsi="Times New Roman" w:cs="Times New Roman"/>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4"/>
          <w:szCs w:val="24"/>
        </w:rPr>
        <w:t>)</w:t>
      </w:r>
    </w:p>
    <w:p>
      <w:pPr>
        <w:pStyle w:val="Style32"/>
        <w:keepNext w:val="0"/>
        <w:keepLines w:val="0"/>
        <w:widowControl w:val="0"/>
        <w:shd w:val="clear" w:color="auto" w:fill="auto"/>
        <w:bidi w:val="0"/>
        <w:spacing w:before="0" w:after="26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(12)</w:t>
      </w:r>
      <w:r>
        <w:rPr>
          <w:b/>
          <w:bCs/>
          <w:color w:val="000000"/>
          <w:spacing w:val="0"/>
          <w:w w:val="100"/>
          <w:position w:val="0"/>
          <w:sz w:val="24"/>
          <w:szCs w:val="24"/>
        </w:rPr>
        <w:t>长期股权投资</w:t>
      </w:r>
      <w:r>
        <w:rPr>
          <w:rFonts w:ascii="Times New Roman" w:eastAsia="Times New Roman" w:hAnsi="Times New Roman" w:cs="Times New Roman"/>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4"/>
          <w:szCs w:val="24"/>
        </w:rPr>
        <w:t>)</w:t>
      </w:r>
    </w:p>
    <w:p>
      <w:pPr>
        <w:pStyle w:val="Style32"/>
        <w:keepNext w:val="0"/>
        <w:keepLines w:val="0"/>
        <w:widowControl w:val="0"/>
        <w:numPr>
          <w:ilvl w:val="0"/>
          <w:numId w:val="31"/>
        </w:numPr>
        <w:shd w:val="clear" w:color="auto" w:fill="auto"/>
        <w:tabs>
          <w:tab w:pos="713" w:val="left"/>
        </w:tabs>
        <w:bidi w:val="0"/>
        <w:spacing w:before="0" w:after="220" w:line="271" w:lineRule="auto"/>
        <w:ind w:left="0" w:right="0" w:firstLine="0"/>
        <w:jc w:val="left"/>
        <w:rPr>
          <w:sz w:val="24"/>
          <w:szCs w:val="24"/>
        </w:rPr>
      </w:pPr>
      <w:bookmarkStart w:id="689" w:name="bookmark689"/>
      <w:bookmarkEnd w:id="689"/>
      <w:r>
        <w:rPr>
          <w:color w:val="000000"/>
          <w:spacing w:val="0"/>
          <w:w w:val="100"/>
          <w:position w:val="0"/>
          <w:sz w:val="24"/>
          <w:szCs w:val="24"/>
        </w:rPr>
        <w:t>后续计量及损益确认方法</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续</w:t>
      </w:r>
      <w:r>
        <w:rPr>
          <w:color w:val="000000"/>
          <w:spacing w:val="0"/>
          <w:w w:val="100"/>
          <w:position w:val="0"/>
          <w:sz w:val="24"/>
          <w:szCs w:val="24"/>
        </w:rPr>
        <w:t>)</w:t>
      </w:r>
    </w:p>
    <w:p>
      <w:pPr>
        <w:pStyle w:val="Style32"/>
        <w:keepNext w:val="0"/>
        <w:keepLines w:val="0"/>
        <w:widowControl w:val="0"/>
        <w:shd w:val="clear" w:color="auto" w:fill="auto"/>
        <w:bidi w:val="0"/>
        <w:spacing w:before="0" w:after="260" w:line="311" w:lineRule="exact"/>
        <w:ind w:left="700" w:right="0" w:firstLine="20"/>
        <w:jc w:val="both"/>
        <w:rPr>
          <w:sz w:val="24"/>
          <w:szCs w:val="24"/>
        </w:rPr>
      </w:pPr>
      <w:r>
        <w:rPr>
          <w:color w:val="000000"/>
          <w:spacing w:val="0"/>
          <w:w w:val="100"/>
          <w:position w:val="0"/>
          <w:sz w:val="24"/>
          <w:szCs w:val="24"/>
        </w:rPr>
        <w:t>采用权益法核算的长期股权投资，本集团按应享有或应分担的被投资单位的 净损益份额确认当期投资损益。确认被投资单位发生的净亏损，以长期股权 投资的账面价值以及其他实质上构成对被投资单位净投资的长期权益减记至 零为限，但本集团负有承担额外损失义务且符合或有事项准则所规定的预计 负债确认条件的，继续确认投资损失并作为预计负债核算。被投资单位除净 损益、其他综合收益和利润分配以外所有者权益的其他变动，调整长期股权 投资的账面价值并计入资本公积。被投资单位分派的利润或现金股利于宣告 分派时按照本集团应分得的部分，相应减少长期股权投资的账面价值。本集 团与被投资单位之间未实现的内部交易损益按照持股比例计算归属于本集团 的部分，予以抵销，在此基础上确认投资损益。本集团与被投资单位发生的 内部交易损失，其中属于资产减值损失的部分，相应的未实现损失不予抵 销。</w:t>
      </w:r>
    </w:p>
    <w:p>
      <w:pPr>
        <w:pStyle w:val="Style32"/>
        <w:keepNext w:val="0"/>
        <w:keepLines w:val="0"/>
        <w:widowControl w:val="0"/>
        <w:numPr>
          <w:ilvl w:val="0"/>
          <w:numId w:val="31"/>
        </w:numPr>
        <w:shd w:val="clear" w:color="auto" w:fill="auto"/>
        <w:tabs>
          <w:tab w:pos="713" w:val="left"/>
        </w:tabs>
        <w:bidi w:val="0"/>
        <w:spacing w:before="0" w:after="260" w:line="311" w:lineRule="exact"/>
        <w:ind w:left="0" w:right="0" w:firstLine="0"/>
        <w:jc w:val="left"/>
        <w:rPr>
          <w:sz w:val="24"/>
          <w:szCs w:val="24"/>
        </w:rPr>
      </w:pPr>
      <w:bookmarkStart w:id="690" w:name="bookmark690"/>
      <w:bookmarkEnd w:id="690"/>
      <w:r>
        <w:rPr>
          <w:color w:val="000000"/>
          <w:spacing w:val="0"/>
          <w:w w:val="100"/>
          <w:position w:val="0"/>
          <w:sz w:val="24"/>
          <w:szCs w:val="24"/>
        </w:rPr>
        <w:t>确定对被投资单位具有控制、共同控制、重大影响的依据</w:t>
      </w:r>
    </w:p>
    <w:p>
      <w:pPr>
        <w:pStyle w:val="Style32"/>
        <w:keepNext w:val="0"/>
        <w:keepLines w:val="0"/>
        <w:widowControl w:val="0"/>
        <w:shd w:val="clear" w:color="auto" w:fill="auto"/>
        <w:bidi w:val="0"/>
        <w:spacing w:before="0" w:after="260" w:line="312" w:lineRule="exact"/>
        <w:ind w:left="700" w:right="0" w:firstLine="20"/>
        <w:jc w:val="both"/>
        <w:rPr>
          <w:sz w:val="24"/>
          <w:szCs w:val="24"/>
        </w:rPr>
      </w:pPr>
      <w:r>
        <w:rPr>
          <w:color w:val="000000"/>
          <w:spacing w:val="0"/>
          <w:w w:val="100"/>
          <w:position w:val="0"/>
          <w:sz w:val="24"/>
          <w:szCs w:val="24"/>
        </w:rPr>
        <w:t>控制是指拥有对被投资单位的权力，通过参与被投资单位的相关活动而享有 可变回报，并且有能力运用对被投资单位的权力影响其回报金额。</w:t>
      </w:r>
    </w:p>
    <w:p>
      <w:pPr>
        <w:pStyle w:val="Style32"/>
        <w:keepNext w:val="0"/>
        <w:keepLines w:val="0"/>
        <w:widowControl w:val="0"/>
        <w:shd w:val="clear" w:color="auto" w:fill="auto"/>
        <w:bidi w:val="0"/>
        <w:spacing w:before="0" w:after="260" w:line="302" w:lineRule="exact"/>
        <w:ind w:left="700" w:right="0" w:firstLine="20"/>
        <w:jc w:val="both"/>
        <w:rPr>
          <w:sz w:val="24"/>
          <w:szCs w:val="24"/>
        </w:rPr>
      </w:pPr>
      <w:r>
        <w:rPr>
          <w:color w:val="000000"/>
          <w:spacing w:val="0"/>
          <w:w w:val="100"/>
          <w:position w:val="0"/>
          <w:sz w:val="24"/>
          <w:szCs w:val="24"/>
        </w:rPr>
        <w:t>共同控制是指按照相关约定对某项安排所共有的控制，并且该安排的相关活 动必须经过本集团及分享控制权的其他参与方一致同意后才能决策。</w:t>
      </w:r>
    </w:p>
    <w:p>
      <w:pPr>
        <w:pStyle w:val="Style32"/>
        <w:keepNext w:val="0"/>
        <w:keepLines w:val="0"/>
        <w:widowControl w:val="0"/>
        <w:shd w:val="clear" w:color="auto" w:fill="auto"/>
        <w:bidi w:val="0"/>
        <w:spacing w:before="0" w:after="260" w:line="312" w:lineRule="exact"/>
        <w:ind w:left="700" w:right="0" w:firstLine="20"/>
        <w:jc w:val="both"/>
        <w:rPr>
          <w:sz w:val="24"/>
          <w:szCs w:val="24"/>
        </w:rPr>
      </w:pPr>
      <w:r>
        <w:rPr>
          <w:color w:val="000000"/>
          <w:spacing w:val="0"/>
          <w:w w:val="100"/>
          <w:position w:val="0"/>
          <w:sz w:val="24"/>
          <w:szCs w:val="24"/>
        </w:rPr>
        <w:t>重大影响是指对被投资单位的财务和经营政策有参与决策的权力，但并不能 够控制或者与其他方一起共同控制这些政策的制定。</w:t>
      </w:r>
    </w:p>
    <w:p>
      <w:pPr>
        <w:pStyle w:val="Style32"/>
        <w:keepNext w:val="0"/>
        <w:keepLines w:val="0"/>
        <w:widowControl w:val="0"/>
        <w:numPr>
          <w:ilvl w:val="0"/>
          <w:numId w:val="31"/>
        </w:numPr>
        <w:shd w:val="clear" w:color="auto" w:fill="auto"/>
        <w:tabs>
          <w:tab w:pos="713" w:val="left"/>
        </w:tabs>
        <w:bidi w:val="0"/>
        <w:spacing w:before="0" w:after="220" w:line="271" w:lineRule="auto"/>
        <w:ind w:left="0" w:right="0" w:firstLine="0"/>
        <w:jc w:val="left"/>
        <w:rPr>
          <w:sz w:val="24"/>
          <w:szCs w:val="24"/>
        </w:rPr>
      </w:pPr>
      <w:bookmarkStart w:id="691" w:name="bookmark691"/>
      <w:bookmarkEnd w:id="691"/>
      <w:r>
        <w:rPr>
          <w:color w:val="000000"/>
          <w:spacing w:val="0"/>
          <w:w w:val="100"/>
          <w:position w:val="0"/>
          <w:sz w:val="24"/>
          <w:szCs w:val="24"/>
        </w:rPr>
        <w:t>长期股权投资减值</w:t>
      </w:r>
    </w:p>
    <w:p>
      <w:pPr>
        <w:pStyle w:val="Style32"/>
        <w:keepNext w:val="0"/>
        <w:keepLines w:val="0"/>
        <w:widowControl w:val="0"/>
        <w:shd w:val="clear" w:color="auto" w:fill="auto"/>
        <w:bidi w:val="0"/>
        <w:spacing w:before="0" w:after="260" w:line="317" w:lineRule="exact"/>
        <w:ind w:left="700" w:right="0" w:firstLine="20"/>
        <w:jc w:val="both"/>
        <w:rPr>
          <w:sz w:val="24"/>
          <w:szCs w:val="24"/>
        </w:rPr>
        <w:sectPr>
          <w:footnotePr>
            <w:pos w:val="pageBottom"/>
            <w:numFmt w:val="decimal"/>
            <w:numRestart w:val="continuous"/>
          </w:footnotePr>
          <w:type w:val="continuous"/>
          <w:pgSz w:w="11900" w:h="16840"/>
          <w:pgMar w:top="1326" w:right="1425" w:bottom="2353" w:left="1691" w:header="0" w:footer="3" w:gutter="0"/>
          <w:cols w:space="720"/>
          <w:noEndnote/>
          <w:rtlGutter w:val="0"/>
          <w:docGrid w:linePitch="360"/>
        </w:sectPr>
      </w:pPr>
      <w:r>
        <w:rPr>
          <w:color w:val="000000"/>
          <w:spacing w:val="0"/>
          <w:w w:val="100"/>
          <w:position w:val="0"/>
          <w:sz w:val="24"/>
          <w:szCs w:val="24"/>
        </w:rPr>
        <w:t>对子公司、合营企业、联营企业的长期股权投资，当其可收回金额低于其账 面价值时，账面价值减记至可收回金额</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附注二</w:t>
      </w:r>
      <w:r>
        <w:rPr>
          <w:rFonts w:ascii="Times New Roman" w:eastAsia="Times New Roman" w:hAnsi="Times New Roman" w:cs="Times New Roman"/>
          <w:color w:val="000000"/>
          <w:spacing w:val="0"/>
          <w:w w:val="100"/>
          <w:position w:val="0"/>
          <w:sz w:val="24"/>
          <w:szCs w:val="24"/>
        </w:rPr>
        <w:t>(19))</w:t>
      </w:r>
      <w:r>
        <w:rPr>
          <w:color w:val="000000"/>
          <w:spacing w:val="0"/>
          <w:w w:val="100"/>
          <w:position w:val="0"/>
          <w:sz w:val="24"/>
          <w:szCs w:val="24"/>
        </w:rPr>
        <w:t>。</w:t>
      </w:r>
    </w:p>
    <w:p>
      <w:pPr>
        <w:pStyle w:val="Style32"/>
        <w:keepNext w:val="0"/>
        <w:keepLines w:val="0"/>
        <w:widowControl w:val="0"/>
        <w:shd w:val="clear" w:color="auto" w:fill="auto"/>
        <w:bidi w:val="0"/>
        <w:spacing w:before="0" w:after="0" w:line="240" w:lineRule="auto"/>
        <w:ind w:left="0" w:right="0" w:firstLine="700"/>
        <w:jc w:val="left"/>
        <w:rPr>
          <w:sz w:val="24"/>
          <w:szCs w:val="24"/>
        </w:rPr>
      </w:pPr>
      <w:r>
        <w:rPr>
          <w:b/>
          <w:bCs/>
          <w:color w:val="000000"/>
          <w:spacing w:val="0"/>
          <w:w w:val="100"/>
          <w:position w:val="0"/>
          <w:sz w:val="24"/>
          <w:szCs w:val="24"/>
        </w:rPr>
        <w:t>财务报表附注</w:t>
      </w:r>
    </w:p>
    <w:p>
      <w:pPr>
        <w:pStyle w:val="Style88"/>
        <w:keepNext/>
        <w:keepLines/>
        <w:widowControl w:val="0"/>
        <w:shd w:val="clear" w:color="auto" w:fill="auto"/>
        <w:bidi w:val="0"/>
        <w:spacing w:before="0" w:after="0" w:line="240" w:lineRule="auto"/>
        <w:ind w:left="0" w:right="0"/>
        <w:jc w:val="left"/>
      </w:pPr>
      <w:bookmarkStart w:id="692" w:name="bookmark692"/>
      <w:bookmarkStart w:id="693" w:name="bookmark693"/>
      <w:bookmarkStart w:id="694" w:name="bookmark694"/>
      <w:r>
        <w:rPr>
          <w:color w:val="000000"/>
          <w:spacing w:val="0"/>
          <w:w w:val="100"/>
          <w:position w:val="0"/>
          <w:sz w:val="24"/>
          <w:szCs w:val="24"/>
        </w:rPr>
        <w:t>2016</w:t>
      </w:r>
      <w:r>
        <w:rPr>
          <w:rFonts w:ascii="SimSun" w:eastAsia="SimSun" w:hAnsi="SimSun" w:cs="SimSun"/>
          <w:b/>
          <w:bCs/>
          <w:color w:val="000000"/>
          <w:spacing w:val="0"/>
          <w:w w:val="100"/>
          <w:position w:val="0"/>
          <w:sz w:val="24"/>
          <w:szCs w:val="24"/>
        </w:rPr>
        <w:t>年度</w:t>
      </w:r>
      <w:bookmarkEnd w:id="692"/>
      <w:bookmarkEnd w:id="693"/>
      <w:bookmarkEnd w:id="694"/>
    </w:p>
    <w:p>
      <w:pPr>
        <w:pStyle w:val="Style32"/>
        <w:keepNext w:val="0"/>
        <w:keepLines w:val="0"/>
        <w:widowControl w:val="0"/>
        <w:shd w:val="clear" w:color="auto" w:fill="auto"/>
        <w:bidi w:val="0"/>
        <w:spacing w:before="0" w:after="260" w:line="240" w:lineRule="auto"/>
        <w:ind w:left="0" w:right="0" w:firstLine="700"/>
        <w:jc w:val="left"/>
        <w:rPr>
          <w:sz w:val="24"/>
          <w:szCs w:val="24"/>
        </w:rPr>
      </w:pPr>
      <w:r>
        <w:rPr>
          <w:rFonts w:ascii="Arial" w:eastAsia="Arial" w:hAnsi="Arial" w:cs="Arial"/>
          <w:color w:val="000000"/>
          <w:spacing w:val="0"/>
          <w:w w:val="100"/>
          <w:position w:val="0"/>
          <w:sz w:val="20"/>
          <w:szCs w:val="20"/>
        </w:rPr>
        <w:t>（</w:t>
      </w:r>
      <w:r>
        <w:rPr>
          <w:color w:val="000000"/>
          <w:spacing w:val="0"/>
          <w:w w:val="100"/>
          <w:position w:val="0"/>
          <w:sz w:val="20"/>
          <w:szCs w:val="20"/>
        </w:rPr>
        <w:t>除特别注明外，金额单位为人民币千元</w:t>
      </w:r>
      <w:r>
        <w:rPr>
          <w:color w:val="000000"/>
          <w:spacing w:val="0"/>
          <w:w w:val="100"/>
          <w:position w:val="0"/>
          <w:sz w:val="24"/>
          <w:szCs w:val="24"/>
        </w:rPr>
        <w:t>）</w:t>
      </w:r>
    </w:p>
    <w:p>
      <w:pPr>
        <w:pStyle w:val="Style32"/>
        <w:keepNext w:val="0"/>
        <w:keepLines w:val="0"/>
        <w:widowControl w:val="0"/>
        <w:shd w:val="clear" w:color="auto" w:fill="auto"/>
        <w:tabs>
          <w:tab w:pos="662" w:val="left"/>
        </w:tabs>
        <w:bidi w:val="0"/>
        <w:spacing w:before="0" w:after="220" w:line="240" w:lineRule="auto"/>
        <w:ind w:left="0" w:right="0" w:firstLine="0"/>
        <w:jc w:val="left"/>
        <w:rPr>
          <w:sz w:val="24"/>
          <w:szCs w:val="24"/>
        </w:rPr>
      </w:pPr>
      <w:r>
        <w:rPr>
          <w:b/>
          <w:bCs/>
          <w:color w:val="000000"/>
          <w:spacing w:val="0"/>
          <w:w w:val="100"/>
          <w:position w:val="0"/>
          <w:sz w:val="24"/>
          <w:szCs w:val="24"/>
        </w:rPr>
        <w:t>二</w:t>
        <w:tab/>
        <w:t>主要会计政策和会计估计</w:t>
      </w:r>
      <w:r>
        <w:rPr>
          <w:rFonts w:ascii="Times New Roman" w:eastAsia="Times New Roman" w:hAnsi="Times New Roman" w:cs="Times New Roman"/>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4"/>
          <w:szCs w:val="24"/>
        </w:rPr>
        <w:t>）</w:t>
      </w:r>
    </w:p>
    <w:p>
      <w:pPr>
        <w:pStyle w:val="Style32"/>
        <w:keepNext w:val="0"/>
        <w:keepLines w:val="0"/>
        <w:widowControl w:val="0"/>
        <w:shd w:val="clear" w:color="auto" w:fill="auto"/>
        <w:bidi w:val="0"/>
        <w:spacing w:before="0" w:after="22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（13）</w:t>
      </w:r>
      <w:r>
        <w:rPr>
          <w:b/>
          <w:bCs/>
          <w:color w:val="000000"/>
          <w:spacing w:val="0"/>
          <w:w w:val="100"/>
          <w:position w:val="0"/>
          <w:sz w:val="24"/>
          <w:szCs w:val="24"/>
        </w:rPr>
        <w:t>投资性房地产</w:t>
      </w:r>
    </w:p>
    <w:p>
      <w:pPr>
        <w:pStyle w:val="Style32"/>
        <w:keepNext w:val="0"/>
        <w:keepLines w:val="0"/>
        <w:widowControl w:val="0"/>
        <w:shd w:val="clear" w:color="auto" w:fill="auto"/>
        <w:bidi w:val="0"/>
        <w:spacing w:before="0" w:after="260" w:line="312" w:lineRule="exact"/>
        <w:ind w:left="700" w:right="0" w:firstLine="40"/>
        <w:jc w:val="both"/>
        <w:rPr>
          <w:sz w:val="24"/>
          <w:szCs w:val="24"/>
        </w:rPr>
      </w:pPr>
      <w:r>
        <w:rPr>
          <w:color w:val="000000"/>
          <w:spacing w:val="0"/>
          <w:w w:val="100"/>
          <w:position w:val="0"/>
          <w:sz w:val="24"/>
          <w:szCs w:val="24"/>
        </w:rPr>
        <w:t>投资性房地产包括已出租的土地使用权和以出租为目的的建筑物以及正在建 造或开发过程中将用于出租的建筑物，以成本进行初始计量。与投资性房地 产有关的后续支出，在相关的经济利益很可能流入本集团且其成本能够可靠 的计量时，计入投资性房地产成本；否则，于发生时计入当期损益。</w:t>
      </w:r>
    </w:p>
    <w:p>
      <w:pPr>
        <w:pStyle w:val="Style32"/>
        <w:keepNext w:val="0"/>
        <w:keepLines w:val="0"/>
        <w:widowControl w:val="0"/>
        <w:shd w:val="clear" w:color="auto" w:fill="auto"/>
        <w:bidi w:val="0"/>
        <w:spacing w:before="0" w:after="220" w:line="312" w:lineRule="exact"/>
        <w:ind w:left="700" w:right="0" w:firstLine="40"/>
        <w:jc w:val="both"/>
        <w:rPr>
          <w:sz w:val="24"/>
          <w:szCs w:val="24"/>
        </w:rPr>
      </w:pPr>
      <w:r>
        <w:rPr>
          <w:color w:val="000000"/>
          <w:spacing w:val="0"/>
          <w:w w:val="100"/>
          <w:position w:val="0"/>
          <w:sz w:val="24"/>
          <w:szCs w:val="24"/>
        </w:rPr>
        <w:t>本集团采用成本模式对所有投资性房地产进行后续计量，按其预计使用寿命 及净残值率采用年限平均法对投资性房地产计提折旧。投资性房地产的预计 使用寿命、净残值率及年折旧率列示如下：</w:t>
      </w:r>
    </w:p>
    <w:p>
      <w:pPr>
        <w:pStyle w:val="Style32"/>
        <w:keepNext w:val="0"/>
        <w:keepLines w:val="0"/>
        <w:widowControl w:val="0"/>
        <w:shd w:val="clear" w:color="auto" w:fill="auto"/>
        <w:tabs>
          <w:tab w:pos="2155" w:val="left"/>
          <w:tab w:pos="4483" w:val="left"/>
        </w:tabs>
        <w:bidi w:val="0"/>
        <w:spacing w:before="0" w:after="260" w:line="312" w:lineRule="exact"/>
        <w:ind w:left="0" w:right="0" w:firstLine="0"/>
        <w:jc w:val="right"/>
        <w:rPr>
          <w:sz w:val="24"/>
          <w:szCs w:val="24"/>
        </w:rPr>
      </w:pPr>
      <w:r>
        <w:rPr>
          <w:color w:val="000000"/>
          <w:spacing w:val="0"/>
          <w:w w:val="100"/>
          <w:position w:val="0"/>
          <w:sz w:val="24"/>
          <w:szCs w:val="24"/>
        </w:rPr>
        <w:t>预计使用寿命</w:t>
        <w:tab/>
        <w:t>预计净残值率</w:t>
        <w:tab/>
        <w:t>年折旧</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摊销</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率</w:t>
      </w:r>
    </w:p>
    <w:p>
      <w:pPr>
        <w:pStyle w:val="Style53"/>
        <w:keepNext w:val="0"/>
        <w:keepLines w:val="0"/>
        <w:widowControl w:val="0"/>
        <w:shd w:val="clear" w:color="auto" w:fill="auto"/>
        <w:tabs>
          <w:tab w:pos="2822" w:val="left"/>
          <w:tab w:pos="5860" w:val="left"/>
          <w:tab w:pos="7118" w:val="left"/>
        </w:tabs>
        <w:bidi w:val="0"/>
        <w:spacing w:before="0" w:after="260" w:line="312" w:lineRule="exact"/>
        <w:ind w:left="0" w:right="0" w:firstLine="700"/>
        <w:jc w:val="both"/>
        <w:rPr>
          <w:sz w:val="24"/>
          <w:szCs w:val="24"/>
        </w:rPr>
      </w:pPr>
      <w:r>
        <w:rPr>
          <w:rFonts w:ascii="SimSun" w:eastAsia="SimSun" w:hAnsi="SimSun" w:cs="SimSun"/>
          <w:color w:val="000000"/>
          <w:spacing w:val="0"/>
          <w:w w:val="100"/>
          <w:position w:val="0"/>
          <w:sz w:val="24"/>
          <w:szCs w:val="24"/>
        </w:rPr>
        <w:t>建筑物</w:t>
        <w:tab/>
      </w:r>
      <w:r>
        <w:rPr>
          <w:color w:val="000000"/>
          <w:spacing w:val="0"/>
          <w:w w:val="100"/>
          <w:position w:val="0"/>
          <w:sz w:val="24"/>
          <w:szCs w:val="24"/>
        </w:rPr>
        <w:t>20</w:t>
      </w:r>
      <w:r>
        <w:rPr>
          <w:rFonts w:ascii="SimSun" w:eastAsia="SimSun" w:hAnsi="SimSun" w:cs="SimSun"/>
          <w:color w:val="000000"/>
          <w:spacing w:val="0"/>
          <w:w w:val="100"/>
          <w:position w:val="0"/>
          <w:sz w:val="24"/>
          <w:szCs w:val="24"/>
        </w:rPr>
        <w:t>至</w:t>
      </w:r>
      <w:r>
        <w:rPr>
          <w:color w:val="000000"/>
          <w:spacing w:val="0"/>
          <w:w w:val="100"/>
          <w:position w:val="0"/>
          <w:sz w:val="24"/>
          <w:szCs w:val="24"/>
        </w:rPr>
        <w:t>40</w:t>
      </w:r>
      <w:r>
        <w:rPr>
          <w:rFonts w:ascii="SimSun" w:eastAsia="SimSun" w:hAnsi="SimSun" w:cs="SimSun"/>
          <w:color w:val="000000"/>
          <w:spacing w:val="0"/>
          <w:w w:val="100"/>
          <w:position w:val="0"/>
          <w:sz w:val="24"/>
          <w:szCs w:val="24"/>
        </w:rPr>
        <w:t>年</w:t>
        <w:tab/>
      </w:r>
      <w:r>
        <w:rPr>
          <w:color w:val="000000"/>
          <w:spacing w:val="0"/>
          <w:w w:val="100"/>
          <w:position w:val="0"/>
          <w:sz w:val="24"/>
          <w:szCs w:val="24"/>
        </w:rPr>
        <w:t>3%</w:t>
        <w:tab/>
        <w:t>2.43%</w:t>
      </w:r>
      <w:r>
        <w:rPr>
          <w:rFonts w:ascii="SimSun" w:eastAsia="SimSun" w:hAnsi="SimSun" w:cs="SimSun"/>
          <w:color w:val="000000"/>
          <w:spacing w:val="0"/>
          <w:w w:val="100"/>
          <w:position w:val="0"/>
          <w:sz w:val="24"/>
          <w:szCs w:val="24"/>
        </w:rPr>
        <w:t>至</w:t>
      </w:r>
      <w:r>
        <w:rPr>
          <w:color w:val="000000"/>
          <w:spacing w:val="0"/>
          <w:w w:val="100"/>
          <w:position w:val="0"/>
          <w:sz w:val="24"/>
          <w:szCs w:val="24"/>
        </w:rPr>
        <w:t>4.85%</w:t>
      </w:r>
    </w:p>
    <w:p>
      <w:pPr>
        <w:pStyle w:val="Style32"/>
        <w:keepNext w:val="0"/>
        <w:keepLines w:val="0"/>
        <w:widowControl w:val="0"/>
        <w:shd w:val="clear" w:color="auto" w:fill="auto"/>
        <w:bidi w:val="0"/>
        <w:spacing w:before="0" w:after="260" w:line="312" w:lineRule="exact"/>
        <w:ind w:left="700" w:right="0" w:firstLine="40"/>
        <w:jc w:val="both"/>
        <w:rPr>
          <w:sz w:val="24"/>
          <w:szCs w:val="24"/>
        </w:rPr>
      </w:pPr>
      <w:r>
        <w:rPr>
          <w:color w:val="000000"/>
          <w:spacing w:val="0"/>
          <w:w w:val="100"/>
          <w:position w:val="0"/>
          <w:sz w:val="24"/>
          <w:szCs w:val="24"/>
        </w:rPr>
        <w:t>对投资性房地产的预计使用寿命、预计净残值和折旧方法于每年年度终了进 行复核并作适当调整。</w:t>
      </w:r>
    </w:p>
    <w:p>
      <w:pPr>
        <w:pStyle w:val="Style32"/>
        <w:keepNext w:val="0"/>
        <w:keepLines w:val="0"/>
        <w:widowControl w:val="0"/>
        <w:shd w:val="clear" w:color="auto" w:fill="auto"/>
        <w:bidi w:val="0"/>
        <w:spacing w:before="0" w:after="260" w:line="312" w:lineRule="exact"/>
        <w:ind w:left="700" w:right="0" w:firstLine="40"/>
        <w:jc w:val="both"/>
        <w:rPr>
          <w:sz w:val="24"/>
          <w:szCs w:val="24"/>
        </w:rPr>
      </w:pPr>
      <w:r>
        <w:rPr>
          <w:color w:val="000000"/>
          <w:spacing w:val="0"/>
          <w:w w:val="100"/>
          <w:position w:val="0"/>
          <w:sz w:val="24"/>
          <w:szCs w:val="24"/>
        </w:rPr>
        <w:t>投资性房地产的用途改变为自用时，自改变之日起，将该投资性房地产转换 为固定资产或无形资产。自用房地产的用途改变为赚取租金或资本增值时， 自改变之日起，将固定资产或无形资产转换为投资性房地产。发生转换时， 以转换前的账面价值作为转换后的入账价值。</w:t>
      </w:r>
    </w:p>
    <w:p>
      <w:pPr>
        <w:pStyle w:val="Style32"/>
        <w:keepNext w:val="0"/>
        <w:keepLines w:val="0"/>
        <w:widowControl w:val="0"/>
        <w:shd w:val="clear" w:color="auto" w:fill="auto"/>
        <w:bidi w:val="0"/>
        <w:spacing w:before="0" w:after="260" w:line="312" w:lineRule="exact"/>
        <w:ind w:left="700" w:right="0" w:firstLine="40"/>
        <w:jc w:val="both"/>
        <w:rPr>
          <w:sz w:val="24"/>
          <w:szCs w:val="24"/>
        </w:rPr>
      </w:pPr>
      <w:r>
        <w:rPr>
          <w:color w:val="000000"/>
          <w:spacing w:val="0"/>
          <w:w w:val="100"/>
          <w:position w:val="0"/>
          <w:sz w:val="24"/>
          <w:szCs w:val="24"/>
        </w:rPr>
        <w:t>当投资性房地产被处置、或者永久退出使用且预计不能从其处置中取得经济 利益时，终止确认该项投资性房地产。投资性房地产出售、转让、报废或毁 损的处置收入扣除其账面价值和相关税费后计入当期损益。</w:t>
      </w:r>
    </w:p>
    <w:p>
      <w:pPr>
        <w:pStyle w:val="Style32"/>
        <w:keepNext w:val="0"/>
        <w:keepLines w:val="0"/>
        <w:widowControl w:val="0"/>
        <w:shd w:val="clear" w:color="auto" w:fill="auto"/>
        <w:bidi w:val="0"/>
        <w:spacing w:before="0" w:after="260" w:line="302" w:lineRule="exact"/>
        <w:ind w:left="700" w:right="0" w:firstLine="40"/>
        <w:jc w:val="both"/>
        <w:rPr>
          <w:sz w:val="24"/>
          <w:szCs w:val="24"/>
        </w:rPr>
        <w:sectPr>
          <w:footnotePr>
            <w:pos w:val="pageBottom"/>
            <w:numFmt w:val="decimal"/>
            <w:numRestart w:val="continuous"/>
          </w:footnotePr>
          <w:pgSz w:w="11900" w:h="16840"/>
          <w:pgMar w:top="1354" w:right="1441" w:bottom="1354" w:left="1704" w:header="0" w:footer="3" w:gutter="0"/>
          <w:cols w:space="720"/>
          <w:noEndnote/>
          <w:rtlGutter w:val="0"/>
          <w:docGrid w:linePitch="360"/>
        </w:sectPr>
      </w:pPr>
      <w:r>
        <w:rPr>
          <w:color w:val="000000"/>
          <w:spacing w:val="0"/>
          <w:w w:val="100"/>
          <w:position w:val="0"/>
          <w:sz w:val="24"/>
          <w:szCs w:val="24"/>
        </w:rPr>
        <w:t>当投资性房地产的可收回金额低于其账面价值时，账面价值减记至可收回金 额</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附注二</w:t>
      </w:r>
      <w:r>
        <w:rPr>
          <w:rFonts w:ascii="Times New Roman" w:eastAsia="Times New Roman" w:hAnsi="Times New Roman" w:cs="Times New Roman"/>
          <w:color w:val="000000"/>
          <w:spacing w:val="0"/>
          <w:w w:val="100"/>
          <w:position w:val="0"/>
          <w:sz w:val="24"/>
          <w:szCs w:val="24"/>
        </w:rPr>
        <w:t>（19））</w:t>
      </w:r>
      <w:r>
        <w:rPr>
          <w:color w:val="000000"/>
          <w:spacing w:val="0"/>
          <w:w w:val="100"/>
          <w:position w:val="0"/>
          <w:sz w:val="24"/>
          <w:szCs w:val="24"/>
        </w:rPr>
        <w:t>。</w:t>
      </w:r>
    </w:p>
    <w:p>
      <w:pPr>
        <w:pStyle w:val="Style32"/>
        <w:keepNext w:val="0"/>
        <w:keepLines w:val="0"/>
        <w:widowControl w:val="0"/>
        <w:shd w:val="clear" w:color="auto" w:fill="auto"/>
        <w:bidi w:val="0"/>
        <w:spacing w:before="0" w:after="0" w:line="240" w:lineRule="auto"/>
        <w:ind w:left="0" w:right="0" w:firstLine="700"/>
        <w:jc w:val="left"/>
        <w:rPr>
          <w:sz w:val="24"/>
          <w:szCs w:val="24"/>
        </w:rPr>
      </w:pPr>
      <w:r>
        <w:rPr>
          <w:b/>
          <w:bCs/>
          <w:color w:val="000000"/>
          <w:spacing w:val="0"/>
          <w:w w:val="100"/>
          <w:position w:val="0"/>
          <w:sz w:val="24"/>
          <w:szCs w:val="24"/>
        </w:rPr>
        <w:t>财务报表附注</w:t>
      </w:r>
    </w:p>
    <w:p>
      <w:pPr>
        <w:pStyle w:val="Style88"/>
        <w:keepNext/>
        <w:keepLines/>
        <w:widowControl w:val="0"/>
        <w:shd w:val="clear" w:color="auto" w:fill="auto"/>
        <w:bidi w:val="0"/>
        <w:spacing w:before="0" w:after="0" w:line="240" w:lineRule="auto"/>
        <w:ind w:left="0" w:right="0"/>
        <w:jc w:val="left"/>
      </w:pPr>
      <w:bookmarkStart w:id="695" w:name="bookmark695"/>
      <w:bookmarkStart w:id="696" w:name="bookmark696"/>
      <w:bookmarkStart w:id="697" w:name="bookmark697"/>
      <w:r>
        <w:rPr>
          <w:color w:val="000000"/>
          <w:spacing w:val="0"/>
          <w:w w:val="100"/>
          <w:position w:val="0"/>
          <w:sz w:val="24"/>
          <w:szCs w:val="24"/>
        </w:rPr>
        <w:t>2016</w:t>
      </w:r>
      <w:r>
        <w:rPr>
          <w:rFonts w:ascii="SimSun" w:eastAsia="SimSun" w:hAnsi="SimSun" w:cs="SimSun"/>
          <w:b/>
          <w:bCs/>
          <w:color w:val="000000"/>
          <w:spacing w:val="0"/>
          <w:w w:val="100"/>
          <w:position w:val="0"/>
          <w:sz w:val="24"/>
          <w:szCs w:val="24"/>
        </w:rPr>
        <w:t>年度</w:t>
      </w:r>
      <w:bookmarkEnd w:id="695"/>
      <w:bookmarkEnd w:id="696"/>
      <w:bookmarkEnd w:id="697"/>
    </w:p>
    <w:p>
      <w:pPr>
        <w:pStyle w:val="Style32"/>
        <w:keepNext w:val="0"/>
        <w:keepLines w:val="0"/>
        <w:widowControl w:val="0"/>
        <w:shd w:val="clear" w:color="auto" w:fill="auto"/>
        <w:bidi w:val="0"/>
        <w:spacing w:before="0" w:after="260" w:line="240" w:lineRule="auto"/>
        <w:ind w:left="0" w:right="0" w:firstLine="700"/>
        <w:jc w:val="left"/>
        <w:rPr>
          <w:sz w:val="24"/>
          <w:szCs w:val="24"/>
        </w:rPr>
      </w:pPr>
      <w:r>
        <w:rPr>
          <w:rFonts w:ascii="Arial" w:eastAsia="Arial" w:hAnsi="Arial" w:cs="Arial"/>
          <w:color w:val="000000"/>
          <w:spacing w:val="0"/>
          <w:w w:val="100"/>
          <w:position w:val="0"/>
          <w:sz w:val="20"/>
          <w:szCs w:val="20"/>
        </w:rPr>
        <w:t>(</w:t>
      </w:r>
      <w:r>
        <w:rPr>
          <w:color w:val="000000"/>
          <w:spacing w:val="0"/>
          <w:w w:val="100"/>
          <w:position w:val="0"/>
          <w:sz w:val="20"/>
          <w:szCs w:val="20"/>
        </w:rPr>
        <w:t>除特别注明外，金额单位为人民币千元</w:t>
      </w:r>
      <w:r>
        <w:rPr>
          <w:color w:val="000000"/>
          <w:spacing w:val="0"/>
          <w:w w:val="100"/>
          <w:position w:val="0"/>
          <w:sz w:val="24"/>
          <w:szCs w:val="24"/>
        </w:rPr>
        <w:t>)</w:t>
      </w:r>
    </w:p>
    <w:p>
      <w:pPr>
        <w:pStyle w:val="Style32"/>
        <w:keepNext w:val="0"/>
        <w:keepLines w:val="0"/>
        <w:widowControl w:val="0"/>
        <w:shd w:val="clear" w:color="auto" w:fill="auto"/>
        <w:tabs>
          <w:tab w:pos="709" w:val="left"/>
        </w:tabs>
        <w:bidi w:val="0"/>
        <w:spacing w:before="0" w:after="260" w:line="240" w:lineRule="auto"/>
        <w:ind w:left="0" w:right="0" w:firstLine="0"/>
        <w:jc w:val="left"/>
        <w:rPr>
          <w:sz w:val="24"/>
          <w:szCs w:val="24"/>
        </w:rPr>
      </w:pPr>
      <w:r>
        <w:rPr>
          <w:b/>
          <w:bCs/>
          <w:color w:val="000000"/>
          <w:spacing w:val="0"/>
          <w:w w:val="100"/>
          <w:position w:val="0"/>
          <w:sz w:val="24"/>
          <w:szCs w:val="24"/>
        </w:rPr>
        <w:t>二</w:t>
        <w:tab/>
        <w:t>主要会计政策和会计估计</w:t>
      </w:r>
      <w:r>
        <w:rPr>
          <w:rFonts w:ascii="Times New Roman" w:eastAsia="Times New Roman" w:hAnsi="Times New Roman" w:cs="Times New Roman"/>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4"/>
          <w:szCs w:val="24"/>
        </w:rPr>
        <w:t>)</w:t>
      </w:r>
    </w:p>
    <w:p>
      <w:pPr>
        <w:pStyle w:val="Style32"/>
        <w:keepNext w:val="0"/>
        <w:keepLines w:val="0"/>
        <w:widowControl w:val="0"/>
        <w:shd w:val="clear" w:color="auto" w:fill="auto"/>
        <w:bidi w:val="0"/>
        <w:spacing w:before="0" w:after="26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(14)</w:t>
      </w:r>
      <w:r>
        <w:rPr>
          <w:b/>
          <w:bCs/>
          <w:color w:val="000000"/>
          <w:spacing w:val="0"/>
          <w:w w:val="100"/>
          <w:position w:val="0"/>
          <w:sz w:val="24"/>
          <w:szCs w:val="24"/>
        </w:rPr>
        <w:t>固定资产</w:t>
      </w:r>
    </w:p>
    <w:p>
      <w:pPr>
        <w:pStyle w:val="Style32"/>
        <w:keepNext w:val="0"/>
        <w:keepLines w:val="0"/>
        <w:widowControl w:val="0"/>
        <w:numPr>
          <w:ilvl w:val="0"/>
          <w:numId w:val="43"/>
        </w:numPr>
        <w:shd w:val="clear" w:color="auto" w:fill="auto"/>
        <w:tabs>
          <w:tab w:pos="709" w:val="left"/>
        </w:tabs>
        <w:bidi w:val="0"/>
        <w:spacing w:before="0" w:after="300" w:line="240" w:lineRule="auto"/>
        <w:ind w:left="0" w:right="0" w:firstLine="0"/>
        <w:jc w:val="left"/>
        <w:rPr>
          <w:sz w:val="24"/>
          <w:szCs w:val="24"/>
        </w:rPr>
      </w:pPr>
      <w:bookmarkStart w:id="698" w:name="bookmark698"/>
      <w:bookmarkEnd w:id="698"/>
      <w:r>
        <w:rPr>
          <w:color w:val="000000"/>
          <w:spacing w:val="0"/>
          <w:w w:val="100"/>
          <w:position w:val="0"/>
          <w:sz w:val="24"/>
          <w:szCs w:val="24"/>
        </w:rPr>
        <w:t>固定资产确认及初始计量</w:t>
      </w:r>
    </w:p>
    <w:p>
      <w:pPr>
        <w:pStyle w:val="Style32"/>
        <w:keepNext w:val="0"/>
        <w:keepLines w:val="0"/>
        <w:widowControl w:val="0"/>
        <w:shd w:val="clear" w:color="auto" w:fill="auto"/>
        <w:bidi w:val="0"/>
        <w:spacing w:before="0" w:after="600" w:line="240" w:lineRule="auto"/>
        <w:ind w:left="0" w:right="0" w:firstLine="700"/>
        <w:jc w:val="both"/>
        <w:rPr>
          <w:sz w:val="24"/>
          <w:szCs w:val="24"/>
        </w:rPr>
      </w:pPr>
      <w:r>
        <w:rPr>
          <w:color w:val="000000"/>
          <w:spacing w:val="0"/>
          <w:w w:val="100"/>
          <w:position w:val="0"/>
          <w:sz w:val="24"/>
          <w:szCs w:val="24"/>
        </w:rPr>
        <w:t>固定资产包括房屋及建筑物、机器设备、运输工具、电子设备以及其他设备</w:t>
      </w:r>
    </w:p>
    <w:p>
      <w:pPr>
        <w:pStyle w:val="Style32"/>
        <w:keepNext w:val="0"/>
        <w:keepLines w:val="0"/>
        <w:widowControl w:val="0"/>
        <w:shd w:val="clear" w:color="auto" w:fill="auto"/>
        <w:bidi w:val="0"/>
        <w:spacing w:before="0" w:after="260" w:line="312" w:lineRule="exact"/>
        <w:ind w:left="700" w:right="0" w:firstLine="20"/>
        <w:jc w:val="both"/>
        <w:rPr>
          <w:sz w:val="24"/>
          <w:szCs w:val="24"/>
        </w:rPr>
      </w:pPr>
      <w:r>
        <w:rPr>
          <w:color w:val="000000"/>
          <w:spacing w:val="0"/>
          <w:w w:val="100"/>
          <w:position w:val="0"/>
          <w:sz w:val="24"/>
          <w:szCs w:val="24"/>
        </w:rPr>
        <w:t>固定资产在与其有关的经济利益很可能流入本集团、且其成本能够可靠计量 时予以确认。购置或新建的固定资产按取得时的成本进行初始计量。</w:t>
      </w:r>
    </w:p>
    <w:p>
      <w:pPr>
        <w:pStyle w:val="Style32"/>
        <w:keepNext w:val="0"/>
        <w:keepLines w:val="0"/>
        <w:widowControl w:val="0"/>
        <w:shd w:val="clear" w:color="auto" w:fill="auto"/>
        <w:bidi w:val="0"/>
        <w:spacing w:before="0" w:after="260" w:line="310" w:lineRule="exact"/>
        <w:ind w:left="700" w:right="0" w:firstLine="20"/>
        <w:jc w:val="both"/>
        <w:rPr>
          <w:sz w:val="24"/>
          <w:szCs w:val="24"/>
        </w:rPr>
      </w:pPr>
      <w:r>
        <w:rPr>
          <w:color w:val="000000"/>
          <w:spacing w:val="0"/>
          <w:w w:val="100"/>
          <w:position w:val="0"/>
          <w:sz w:val="24"/>
          <w:szCs w:val="24"/>
        </w:rPr>
        <w:t>与固定资产有关的后续支出，在与其有关的经济利益很可能流入本集团且其 成本能够可靠计量时，计入固定资产成本；对于被替换的部分，终止确认其 账面价值；所有其他后续支出于发生时计入当期损益。</w:t>
      </w:r>
    </w:p>
    <w:p>
      <w:pPr>
        <w:pStyle w:val="Style32"/>
        <w:keepNext w:val="0"/>
        <w:keepLines w:val="0"/>
        <w:widowControl w:val="0"/>
        <w:numPr>
          <w:ilvl w:val="0"/>
          <w:numId w:val="43"/>
        </w:numPr>
        <w:shd w:val="clear" w:color="auto" w:fill="auto"/>
        <w:tabs>
          <w:tab w:pos="709" w:val="left"/>
        </w:tabs>
        <w:bidi w:val="0"/>
        <w:spacing w:before="0" w:after="260" w:line="269" w:lineRule="auto"/>
        <w:ind w:left="0" w:right="0" w:firstLine="0"/>
        <w:jc w:val="left"/>
        <w:rPr>
          <w:sz w:val="24"/>
          <w:szCs w:val="24"/>
        </w:rPr>
      </w:pPr>
      <w:bookmarkStart w:id="699" w:name="bookmark699"/>
      <w:bookmarkEnd w:id="699"/>
      <w:r>
        <w:rPr>
          <w:color w:val="000000"/>
          <w:spacing w:val="0"/>
          <w:w w:val="100"/>
          <w:position w:val="0"/>
          <w:sz w:val="24"/>
          <w:szCs w:val="24"/>
        </w:rPr>
        <w:t>固定资产的折旧方法</w:t>
      </w:r>
    </w:p>
    <w:p>
      <w:pPr>
        <w:pStyle w:val="Style32"/>
        <w:keepNext w:val="0"/>
        <w:keepLines w:val="0"/>
        <w:widowControl w:val="0"/>
        <w:shd w:val="clear" w:color="auto" w:fill="auto"/>
        <w:bidi w:val="0"/>
        <w:spacing w:before="0" w:after="260" w:line="307" w:lineRule="exact"/>
        <w:ind w:left="700" w:right="0" w:firstLine="20"/>
        <w:jc w:val="both"/>
        <w:rPr>
          <w:sz w:val="24"/>
          <w:szCs w:val="24"/>
        </w:rPr>
      </w:pPr>
      <w:r>
        <w:rPr>
          <w:color w:val="000000"/>
          <w:spacing w:val="0"/>
          <w:w w:val="100"/>
          <w:position w:val="0"/>
          <w:sz w:val="24"/>
          <w:szCs w:val="24"/>
        </w:rPr>
        <w:t>固定资产折旧采用年限平均法并按其入账价值减去预计净残值后在预计使用 寿命内计提。对计提了减值准备的固定资产，则在未来期间按扣除减值准备 后的账面价值及依据尚可使用年限确定折旧额。</w:t>
      </w:r>
    </w:p>
    <w:p>
      <w:pPr>
        <w:pStyle w:val="Style32"/>
        <w:keepNext w:val="0"/>
        <w:keepLines w:val="0"/>
        <w:widowControl w:val="0"/>
        <w:shd w:val="clear" w:color="auto" w:fill="auto"/>
        <w:bidi w:val="0"/>
        <w:spacing w:before="0" w:after="300" w:line="310" w:lineRule="exact"/>
        <w:ind w:left="0" w:right="0" w:firstLine="700"/>
        <w:jc w:val="left"/>
        <w:rPr>
          <w:sz w:val="24"/>
          <w:szCs w:val="24"/>
        </w:rPr>
      </w:pPr>
      <w:r>
        <w:rPr>
          <w:color w:val="000000"/>
          <w:spacing w:val="0"/>
          <w:w w:val="100"/>
          <w:position w:val="0"/>
          <w:sz w:val="24"/>
          <w:szCs w:val="24"/>
        </w:rPr>
        <w:t>固定资产的预计使用寿命、净残值率及年折旧率列示如下：</w:t>
      </w:r>
    </w:p>
    <w:tbl>
      <w:tblPr>
        <w:tblOverlap w:val="never"/>
        <w:jc w:val="right"/>
        <w:tblLayout w:type="fixed"/>
      </w:tblPr>
      <w:tblGrid>
        <w:gridCol w:w="2078"/>
        <w:gridCol w:w="2213"/>
        <w:gridCol w:w="1771"/>
        <w:gridCol w:w="1963"/>
      </w:tblGrid>
      <w:tr>
        <w:trPr>
          <w:trHeight w:val="432"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预计使用寿命</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200" w:firstLine="0"/>
              <w:jc w:val="right"/>
              <w:rPr>
                <w:sz w:val="24"/>
                <w:szCs w:val="24"/>
              </w:rPr>
            </w:pPr>
            <w:r>
              <w:rPr>
                <w:color w:val="000000"/>
                <w:spacing w:val="0"/>
                <w:w w:val="100"/>
                <w:position w:val="0"/>
                <w:sz w:val="24"/>
                <w:szCs w:val="24"/>
              </w:rPr>
              <w:t>预计净残值率</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年折旧率</w:t>
            </w:r>
          </w:p>
        </w:tc>
      </w:tr>
      <w:tr>
        <w:trPr>
          <w:trHeight w:val="446"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房屋及建筑物</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20</w:t>
            </w:r>
            <w:r>
              <w:rPr>
                <w:color w:val="000000"/>
                <w:spacing w:val="0"/>
                <w:w w:val="100"/>
                <w:position w:val="0"/>
                <w:sz w:val="24"/>
                <w:szCs w:val="24"/>
              </w:rPr>
              <w:t>至</w:t>
            </w:r>
            <w:r>
              <w:rPr>
                <w:rFonts w:ascii="Times New Roman" w:eastAsia="Times New Roman" w:hAnsi="Times New Roman" w:cs="Times New Roman"/>
                <w:color w:val="000000"/>
                <w:spacing w:val="0"/>
                <w:w w:val="100"/>
                <w:position w:val="0"/>
                <w:sz w:val="24"/>
                <w:szCs w:val="24"/>
              </w:rPr>
              <w:t>40</w:t>
            </w:r>
            <w:r>
              <w:rPr>
                <w:color w:val="000000"/>
                <w:spacing w:val="0"/>
                <w:w w:val="100"/>
                <w:position w:val="0"/>
                <w:sz w:val="24"/>
                <w:szCs w:val="24"/>
              </w:rPr>
              <w:t>年</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200" w:firstLine="0"/>
              <w:jc w:val="right"/>
              <w:rPr>
                <w:sz w:val="24"/>
                <w:szCs w:val="24"/>
              </w:rPr>
            </w:pPr>
            <w:r>
              <w:rPr>
                <w:rFonts w:ascii="Times New Roman" w:eastAsia="Times New Roman" w:hAnsi="Times New Roman" w:cs="Times New Roman"/>
                <w:color w:val="000000"/>
                <w:spacing w:val="0"/>
                <w:w w:val="100"/>
                <w:position w:val="0"/>
                <w:sz w:val="24"/>
                <w:szCs w:val="24"/>
              </w:rPr>
              <w:t>3%</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2.43%</w:t>
            </w:r>
            <w:r>
              <w:rPr>
                <w:color w:val="000000"/>
                <w:spacing w:val="0"/>
                <w:w w:val="100"/>
                <w:position w:val="0"/>
                <w:sz w:val="24"/>
                <w:szCs w:val="24"/>
              </w:rPr>
              <w:t xml:space="preserve">至 </w:t>
            </w:r>
            <w:r>
              <w:rPr>
                <w:rFonts w:ascii="Times New Roman" w:eastAsia="Times New Roman" w:hAnsi="Times New Roman" w:cs="Times New Roman"/>
                <w:color w:val="000000"/>
                <w:spacing w:val="0"/>
                <w:w w:val="100"/>
                <w:position w:val="0"/>
                <w:sz w:val="24"/>
                <w:szCs w:val="24"/>
              </w:rPr>
              <w:t>4.85%</w:t>
            </w:r>
          </w:p>
        </w:tc>
      </w:tr>
      <w:tr>
        <w:trPr>
          <w:trHeight w:val="312"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机器设备</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年</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200" w:firstLine="0"/>
              <w:jc w:val="right"/>
              <w:rPr>
                <w:sz w:val="24"/>
                <w:szCs w:val="24"/>
              </w:rPr>
            </w:pPr>
            <w:r>
              <w:rPr>
                <w:rFonts w:ascii="Times New Roman" w:eastAsia="Times New Roman" w:hAnsi="Times New Roman" w:cs="Times New Roman"/>
                <w:color w:val="000000"/>
                <w:spacing w:val="0"/>
                <w:w w:val="100"/>
                <w:position w:val="0"/>
                <w:sz w:val="24"/>
                <w:szCs w:val="24"/>
              </w:rPr>
              <w:t>3%</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9.70%</w:t>
            </w:r>
          </w:p>
        </w:tc>
      </w:tr>
      <w:tr>
        <w:trPr>
          <w:trHeight w:val="312"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运输工具</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1660" w:right="0" w:firstLine="0"/>
              <w:jc w:val="left"/>
              <w:rPr>
                <w:sz w:val="24"/>
                <w:szCs w:val="24"/>
              </w:rPr>
            </w:pP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年</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200" w:firstLine="0"/>
              <w:jc w:val="right"/>
              <w:rPr>
                <w:sz w:val="24"/>
                <w:szCs w:val="24"/>
              </w:rPr>
            </w:pPr>
            <w:r>
              <w:rPr>
                <w:rFonts w:ascii="Times New Roman" w:eastAsia="Times New Roman" w:hAnsi="Times New Roman" w:cs="Times New Roman"/>
                <w:color w:val="000000"/>
                <w:spacing w:val="0"/>
                <w:w w:val="100"/>
                <w:position w:val="0"/>
                <w:sz w:val="24"/>
                <w:szCs w:val="24"/>
              </w:rPr>
              <w:t>3%</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19.40%</w:t>
            </w:r>
          </w:p>
        </w:tc>
      </w:tr>
      <w:tr>
        <w:trPr>
          <w:trHeight w:val="312"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电子设备</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至</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年</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200" w:firstLine="0"/>
              <w:jc w:val="right"/>
              <w:rPr>
                <w:sz w:val="24"/>
                <w:szCs w:val="24"/>
              </w:rPr>
            </w:pPr>
            <w:r>
              <w:rPr>
                <w:rFonts w:ascii="Times New Roman" w:eastAsia="Times New Roman" w:hAnsi="Times New Roman" w:cs="Times New Roman"/>
                <w:color w:val="000000"/>
                <w:spacing w:val="0"/>
                <w:w w:val="100"/>
                <w:position w:val="0"/>
                <w:sz w:val="24"/>
                <w:szCs w:val="24"/>
              </w:rPr>
              <w:t>3%</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19.40%</w:t>
            </w:r>
            <w:r>
              <w:rPr>
                <w:color w:val="000000"/>
                <w:spacing w:val="0"/>
                <w:w w:val="100"/>
                <w:position w:val="0"/>
                <w:sz w:val="24"/>
                <w:szCs w:val="24"/>
              </w:rPr>
              <w:t xml:space="preserve">至 </w:t>
            </w:r>
            <w:r>
              <w:rPr>
                <w:rFonts w:ascii="Times New Roman" w:eastAsia="Times New Roman" w:hAnsi="Times New Roman" w:cs="Times New Roman"/>
                <w:color w:val="000000"/>
                <w:spacing w:val="0"/>
                <w:w w:val="100"/>
                <w:position w:val="0"/>
                <w:sz w:val="24"/>
                <w:szCs w:val="24"/>
              </w:rPr>
              <w:t>32.33%</w:t>
            </w:r>
          </w:p>
        </w:tc>
      </w:tr>
      <w:tr>
        <w:trPr>
          <w:trHeight w:val="293"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其他设备</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660" w:right="0" w:firstLine="0"/>
              <w:jc w:val="left"/>
              <w:rPr>
                <w:sz w:val="24"/>
                <w:szCs w:val="24"/>
              </w:rPr>
            </w:pP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年</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200" w:firstLine="0"/>
              <w:jc w:val="right"/>
              <w:rPr>
                <w:sz w:val="24"/>
                <w:szCs w:val="24"/>
              </w:rPr>
            </w:pPr>
            <w:r>
              <w:rPr>
                <w:rFonts w:ascii="Times New Roman" w:eastAsia="Times New Roman" w:hAnsi="Times New Roman" w:cs="Times New Roman"/>
                <w:color w:val="000000"/>
                <w:spacing w:val="0"/>
                <w:w w:val="100"/>
                <w:position w:val="0"/>
                <w:sz w:val="24"/>
                <w:szCs w:val="24"/>
              </w:rPr>
              <w:t>3%</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19.40%</w:t>
            </w:r>
          </w:p>
        </w:tc>
      </w:tr>
    </w:tbl>
    <w:p>
      <w:pPr>
        <w:widowControl w:val="0"/>
        <w:spacing w:after="259" w:line="1" w:lineRule="exact"/>
      </w:pPr>
    </w:p>
    <w:p>
      <w:pPr>
        <w:pStyle w:val="Style32"/>
        <w:keepNext w:val="0"/>
        <w:keepLines w:val="0"/>
        <w:widowControl w:val="0"/>
        <w:shd w:val="clear" w:color="auto" w:fill="auto"/>
        <w:bidi w:val="0"/>
        <w:spacing w:before="0" w:after="260" w:line="307" w:lineRule="exact"/>
        <w:ind w:left="700" w:right="0" w:firstLine="20"/>
        <w:jc w:val="both"/>
        <w:rPr>
          <w:sz w:val="24"/>
          <w:szCs w:val="24"/>
        </w:rPr>
        <w:sectPr>
          <w:footnotePr>
            <w:pos w:val="pageBottom"/>
            <w:numFmt w:val="decimal"/>
            <w:numRestart w:val="continuous"/>
          </w:footnotePr>
          <w:pgSz w:w="11900" w:h="16840"/>
          <w:pgMar w:top="1354" w:right="1441" w:bottom="1354" w:left="1704" w:header="0" w:footer="3" w:gutter="0"/>
          <w:cols w:space="720"/>
          <w:noEndnote/>
          <w:rtlGutter w:val="0"/>
          <w:docGrid w:linePitch="360"/>
        </w:sectPr>
      </w:pPr>
      <w:r>
        <w:rPr>
          <w:color w:val="000000"/>
          <w:spacing w:val="0"/>
          <w:w w:val="100"/>
          <w:position w:val="0"/>
          <w:sz w:val="24"/>
          <w:szCs w:val="24"/>
        </w:rPr>
        <w:t>对固定资产的预计使用寿命、预计净残值和折旧方法于每年年度终了进行复 核并作适当调整。</w:t>
      </w:r>
    </w:p>
    <w:p>
      <w:pPr>
        <w:pStyle w:val="Style32"/>
        <w:keepNext w:val="0"/>
        <w:keepLines w:val="0"/>
        <w:widowControl w:val="0"/>
        <w:shd w:val="clear" w:color="auto" w:fill="auto"/>
        <w:bidi w:val="0"/>
        <w:spacing w:before="0" w:after="0" w:line="240" w:lineRule="auto"/>
        <w:ind w:left="0" w:right="0" w:firstLine="700"/>
        <w:jc w:val="left"/>
        <w:rPr>
          <w:sz w:val="24"/>
          <w:szCs w:val="24"/>
        </w:rPr>
      </w:pPr>
      <w:r>
        <w:rPr>
          <w:b/>
          <w:bCs/>
          <w:color w:val="000000"/>
          <w:spacing w:val="0"/>
          <w:w w:val="100"/>
          <w:position w:val="0"/>
          <w:sz w:val="24"/>
          <w:szCs w:val="24"/>
        </w:rPr>
        <w:t>财务报表附注</w:t>
      </w:r>
    </w:p>
    <w:p>
      <w:pPr>
        <w:pStyle w:val="Style88"/>
        <w:keepNext/>
        <w:keepLines/>
        <w:widowControl w:val="0"/>
        <w:shd w:val="clear" w:color="auto" w:fill="auto"/>
        <w:bidi w:val="0"/>
        <w:spacing w:before="0" w:after="0" w:line="240" w:lineRule="auto"/>
        <w:ind w:left="0" w:right="0"/>
        <w:jc w:val="left"/>
      </w:pPr>
      <w:bookmarkStart w:id="700" w:name="bookmark700"/>
      <w:bookmarkStart w:id="701" w:name="bookmark701"/>
      <w:bookmarkStart w:id="702" w:name="bookmark702"/>
      <w:r>
        <w:rPr>
          <w:color w:val="000000"/>
          <w:spacing w:val="0"/>
          <w:w w:val="100"/>
          <w:position w:val="0"/>
          <w:sz w:val="24"/>
          <w:szCs w:val="24"/>
        </w:rPr>
        <w:t>2016</w:t>
      </w:r>
      <w:r>
        <w:rPr>
          <w:rFonts w:ascii="SimSun" w:eastAsia="SimSun" w:hAnsi="SimSun" w:cs="SimSun"/>
          <w:b/>
          <w:bCs/>
          <w:color w:val="000000"/>
          <w:spacing w:val="0"/>
          <w:w w:val="100"/>
          <w:position w:val="0"/>
          <w:sz w:val="24"/>
          <w:szCs w:val="24"/>
        </w:rPr>
        <w:t>年度</w:t>
      </w:r>
      <w:bookmarkEnd w:id="700"/>
      <w:bookmarkEnd w:id="701"/>
      <w:bookmarkEnd w:id="702"/>
    </w:p>
    <w:p>
      <w:pPr>
        <w:pStyle w:val="Style32"/>
        <w:keepNext w:val="0"/>
        <w:keepLines w:val="0"/>
        <w:widowControl w:val="0"/>
        <w:shd w:val="clear" w:color="auto" w:fill="auto"/>
        <w:bidi w:val="0"/>
        <w:spacing w:before="0" w:after="220" w:line="240" w:lineRule="auto"/>
        <w:ind w:left="0" w:right="0" w:firstLine="700"/>
        <w:jc w:val="left"/>
        <w:rPr>
          <w:sz w:val="24"/>
          <w:szCs w:val="24"/>
        </w:rPr>
      </w:pPr>
      <w:r>
        <w:rPr>
          <w:rFonts w:ascii="Arial" w:eastAsia="Arial" w:hAnsi="Arial" w:cs="Arial"/>
          <w:color w:val="000000"/>
          <w:spacing w:val="0"/>
          <w:w w:val="100"/>
          <w:position w:val="0"/>
          <w:sz w:val="20"/>
          <w:szCs w:val="20"/>
        </w:rPr>
        <w:t>(</w:t>
      </w:r>
      <w:r>
        <w:rPr>
          <w:color w:val="000000"/>
          <w:spacing w:val="0"/>
          <w:w w:val="100"/>
          <w:position w:val="0"/>
          <w:sz w:val="20"/>
          <w:szCs w:val="20"/>
        </w:rPr>
        <w:t>除特别注明外，金额单位为人民币千元</w:t>
      </w:r>
      <w:r>
        <w:rPr>
          <w:color w:val="000000"/>
          <w:spacing w:val="0"/>
          <w:w w:val="100"/>
          <w:position w:val="0"/>
          <w:sz w:val="24"/>
          <w:szCs w:val="24"/>
        </w:rPr>
        <w:t>)</w:t>
      </w:r>
    </w:p>
    <w:p>
      <w:pPr>
        <w:pStyle w:val="Style32"/>
        <w:keepNext w:val="0"/>
        <w:keepLines w:val="0"/>
        <w:widowControl w:val="0"/>
        <w:shd w:val="clear" w:color="auto" w:fill="auto"/>
        <w:tabs>
          <w:tab w:pos="724" w:val="left"/>
        </w:tabs>
        <w:bidi w:val="0"/>
        <w:spacing w:before="0" w:after="260" w:line="240" w:lineRule="auto"/>
        <w:ind w:left="0" w:right="0" w:firstLine="0"/>
        <w:jc w:val="left"/>
        <w:rPr>
          <w:sz w:val="24"/>
          <w:szCs w:val="24"/>
        </w:rPr>
      </w:pPr>
      <w:r>
        <w:rPr>
          <w:b/>
          <w:bCs/>
          <w:color w:val="000000"/>
          <w:spacing w:val="0"/>
          <w:w w:val="100"/>
          <w:position w:val="0"/>
          <w:sz w:val="24"/>
          <w:szCs w:val="24"/>
        </w:rPr>
        <w:t>二</w:t>
        <w:tab/>
        <w:t>主要会计政策和会计估计</w:t>
      </w:r>
      <w:r>
        <w:rPr>
          <w:rFonts w:ascii="Times New Roman" w:eastAsia="Times New Roman" w:hAnsi="Times New Roman" w:cs="Times New Roman"/>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4"/>
          <w:szCs w:val="24"/>
        </w:rPr>
        <w:t>)</w:t>
      </w:r>
    </w:p>
    <w:p>
      <w:pPr>
        <w:pStyle w:val="Style53"/>
        <w:keepNext w:val="0"/>
        <w:keepLines w:val="0"/>
        <w:widowControl w:val="0"/>
        <w:numPr>
          <w:ilvl w:val="0"/>
          <w:numId w:val="45"/>
        </w:numPr>
        <w:shd w:val="clear" w:color="auto" w:fill="auto"/>
        <w:tabs>
          <w:tab w:pos="724" w:val="left"/>
        </w:tabs>
        <w:bidi w:val="0"/>
        <w:spacing w:before="0" w:after="220" w:line="269" w:lineRule="auto"/>
        <w:ind w:left="0" w:right="0" w:firstLine="0"/>
        <w:jc w:val="left"/>
        <w:rPr>
          <w:sz w:val="24"/>
          <w:szCs w:val="24"/>
        </w:rPr>
      </w:pPr>
      <w:bookmarkStart w:id="703" w:name="bookmark703"/>
      <w:bookmarkEnd w:id="703"/>
      <w:r>
        <w:rPr>
          <w:rFonts w:ascii="SimSun" w:eastAsia="SimSun" w:hAnsi="SimSun" w:cs="SimSun"/>
          <w:b/>
          <w:bCs/>
          <w:color w:val="000000"/>
          <w:spacing w:val="0"/>
          <w:w w:val="100"/>
          <w:position w:val="0"/>
          <w:sz w:val="24"/>
          <w:szCs w:val="24"/>
        </w:rPr>
        <w:t>固定资产</w:t>
      </w:r>
      <w:r>
        <w:rPr>
          <w:color w:val="000000"/>
          <w:spacing w:val="0"/>
          <w:w w:val="100"/>
          <w:position w:val="0"/>
          <w:sz w:val="24"/>
          <w:szCs w:val="24"/>
        </w:rPr>
        <w:t>(</w:t>
      </w:r>
      <w:r>
        <w:rPr>
          <w:rFonts w:ascii="SimSun" w:eastAsia="SimSun" w:hAnsi="SimSun" w:cs="SimSun"/>
          <w:b/>
          <w:bCs/>
          <w:color w:val="000000"/>
          <w:spacing w:val="0"/>
          <w:w w:val="100"/>
          <w:position w:val="0"/>
          <w:sz w:val="24"/>
          <w:szCs w:val="24"/>
        </w:rPr>
        <w:t>续</w:t>
      </w:r>
      <w:r>
        <w:rPr>
          <w:rFonts w:ascii="SimSun" w:eastAsia="SimSun" w:hAnsi="SimSun" w:cs="SimSun"/>
          <w:color w:val="000000"/>
          <w:spacing w:val="0"/>
          <w:w w:val="100"/>
          <w:position w:val="0"/>
          <w:sz w:val="24"/>
          <w:szCs w:val="24"/>
        </w:rPr>
        <w:t>)</w:t>
      </w:r>
    </w:p>
    <w:p>
      <w:pPr>
        <w:pStyle w:val="Style32"/>
        <w:keepNext w:val="0"/>
        <w:keepLines w:val="0"/>
        <w:widowControl w:val="0"/>
        <w:numPr>
          <w:ilvl w:val="0"/>
          <w:numId w:val="43"/>
        </w:numPr>
        <w:shd w:val="clear" w:color="auto" w:fill="auto"/>
        <w:tabs>
          <w:tab w:pos="724" w:val="left"/>
        </w:tabs>
        <w:bidi w:val="0"/>
        <w:spacing w:before="0" w:after="260" w:line="302" w:lineRule="exact"/>
        <w:ind w:left="700" w:right="0" w:hanging="700"/>
        <w:jc w:val="both"/>
        <w:rPr>
          <w:sz w:val="24"/>
          <w:szCs w:val="24"/>
        </w:rPr>
      </w:pPr>
      <w:bookmarkStart w:id="704" w:name="bookmark704"/>
      <w:bookmarkEnd w:id="704"/>
      <w:r>
        <w:rPr>
          <w:color w:val="000000"/>
          <w:spacing w:val="0"/>
          <w:w w:val="100"/>
          <w:position w:val="0"/>
          <w:sz w:val="24"/>
          <w:szCs w:val="24"/>
        </w:rPr>
        <w:t xml:space="preserve">当固定资产的可收回金额低于其账面价值时，账面价值减记至可收回金额 </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附注二</w:t>
      </w:r>
      <w:r>
        <w:rPr>
          <w:rFonts w:ascii="Times New Roman" w:eastAsia="Times New Roman" w:hAnsi="Times New Roman" w:cs="Times New Roman"/>
          <w:color w:val="000000"/>
          <w:spacing w:val="0"/>
          <w:w w:val="100"/>
          <w:position w:val="0"/>
          <w:sz w:val="24"/>
          <w:szCs w:val="24"/>
        </w:rPr>
        <w:t>(19))</w:t>
      </w:r>
      <w:r>
        <w:rPr>
          <w:color w:val="000000"/>
          <w:spacing w:val="0"/>
          <w:w w:val="100"/>
          <w:position w:val="0"/>
          <w:sz w:val="24"/>
          <w:szCs w:val="24"/>
        </w:rPr>
        <w:t>。</w:t>
      </w:r>
    </w:p>
    <w:p>
      <w:pPr>
        <w:pStyle w:val="Style32"/>
        <w:keepNext w:val="0"/>
        <w:keepLines w:val="0"/>
        <w:widowControl w:val="0"/>
        <w:numPr>
          <w:ilvl w:val="0"/>
          <w:numId w:val="43"/>
        </w:numPr>
        <w:shd w:val="clear" w:color="auto" w:fill="auto"/>
        <w:tabs>
          <w:tab w:pos="724" w:val="left"/>
        </w:tabs>
        <w:bidi w:val="0"/>
        <w:spacing w:before="0" w:after="220" w:line="269" w:lineRule="auto"/>
        <w:ind w:left="0" w:right="0" w:firstLine="0"/>
        <w:jc w:val="left"/>
        <w:rPr>
          <w:sz w:val="24"/>
          <w:szCs w:val="24"/>
        </w:rPr>
      </w:pPr>
      <w:bookmarkStart w:id="705" w:name="bookmark705"/>
      <w:bookmarkEnd w:id="705"/>
      <w:r>
        <w:rPr>
          <w:color w:val="000000"/>
          <w:spacing w:val="0"/>
          <w:w w:val="100"/>
          <w:position w:val="0"/>
          <w:sz w:val="24"/>
          <w:szCs w:val="24"/>
        </w:rPr>
        <w:t>固定资产的处置</w:t>
      </w:r>
    </w:p>
    <w:p>
      <w:pPr>
        <w:pStyle w:val="Style32"/>
        <w:keepNext w:val="0"/>
        <w:keepLines w:val="0"/>
        <w:widowControl w:val="0"/>
        <w:shd w:val="clear" w:color="auto" w:fill="auto"/>
        <w:bidi w:val="0"/>
        <w:spacing w:before="0" w:after="220" w:line="312" w:lineRule="exact"/>
        <w:ind w:left="700" w:right="0" w:firstLine="20"/>
        <w:jc w:val="both"/>
        <w:rPr>
          <w:sz w:val="24"/>
          <w:szCs w:val="24"/>
        </w:rPr>
      </w:pPr>
      <w:r>
        <w:rPr>
          <w:color w:val="000000"/>
          <w:spacing w:val="0"/>
          <w:w w:val="100"/>
          <w:position w:val="0"/>
          <w:sz w:val="24"/>
          <w:szCs w:val="24"/>
        </w:rPr>
        <w:t>当固定资产被处置、或者预期通过使用或处置不能产生经济利益时，终止确 认该固定资产。固定资产出售、转让、报废或毁损的处置收入扣除其账面价 值和相关税费后的金额计入当期损益。</w:t>
      </w:r>
    </w:p>
    <w:p>
      <w:pPr>
        <w:pStyle w:val="Style32"/>
        <w:keepNext w:val="0"/>
        <w:keepLines w:val="0"/>
        <w:widowControl w:val="0"/>
        <w:numPr>
          <w:ilvl w:val="0"/>
          <w:numId w:val="45"/>
        </w:numPr>
        <w:shd w:val="clear" w:color="auto" w:fill="auto"/>
        <w:tabs>
          <w:tab w:pos="724" w:val="left"/>
        </w:tabs>
        <w:bidi w:val="0"/>
        <w:spacing w:before="0" w:after="260" w:line="240" w:lineRule="auto"/>
        <w:ind w:left="0" w:right="0" w:firstLine="0"/>
        <w:jc w:val="left"/>
        <w:rPr>
          <w:sz w:val="24"/>
          <w:szCs w:val="24"/>
        </w:rPr>
      </w:pPr>
      <w:bookmarkStart w:id="706" w:name="bookmark706"/>
      <w:bookmarkEnd w:id="706"/>
      <w:r>
        <w:rPr>
          <w:b/>
          <w:bCs/>
          <w:color w:val="000000"/>
          <w:spacing w:val="0"/>
          <w:w w:val="100"/>
          <w:position w:val="0"/>
          <w:sz w:val="24"/>
          <w:szCs w:val="24"/>
        </w:rPr>
        <w:t>在建工程</w:t>
      </w:r>
    </w:p>
    <w:p>
      <w:pPr>
        <w:pStyle w:val="Style32"/>
        <w:keepNext w:val="0"/>
        <w:keepLines w:val="0"/>
        <w:widowControl w:val="0"/>
        <w:shd w:val="clear" w:color="auto" w:fill="auto"/>
        <w:bidi w:val="0"/>
        <w:spacing w:before="0" w:after="260" w:line="310" w:lineRule="exact"/>
        <w:ind w:left="700" w:right="0" w:firstLine="20"/>
        <w:jc w:val="both"/>
        <w:rPr>
          <w:sz w:val="24"/>
          <w:szCs w:val="24"/>
        </w:rPr>
      </w:pPr>
      <w:r>
        <w:rPr>
          <w:color w:val="000000"/>
          <w:spacing w:val="0"/>
          <w:w w:val="100"/>
          <w:position w:val="0"/>
          <w:sz w:val="24"/>
          <w:szCs w:val="24"/>
        </w:rPr>
        <w:t>在建工程按实际发生的成本计量。实际成本包括建筑成本、安装成本、符合 资本化条件的借款费用以及其他为使在建工程达到预定可使用状态所发生的 必要支出。在建工程在达到预定可使用状态时，转入固定资产并自次月起开 始计提折旧。当在建工程的可收回金额低于其账面价值时，账面价值减记至 可收回金额</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附注二</w:t>
      </w:r>
      <w:r>
        <w:rPr>
          <w:rFonts w:ascii="Times New Roman" w:eastAsia="Times New Roman" w:hAnsi="Times New Roman" w:cs="Times New Roman"/>
          <w:color w:val="000000"/>
          <w:spacing w:val="0"/>
          <w:w w:val="100"/>
          <w:position w:val="0"/>
          <w:sz w:val="24"/>
          <w:szCs w:val="24"/>
        </w:rPr>
        <w:t>(19))</w:t>
      </w:r>
      <w:r>
        <w:rPr>
          <w:color w:val="000000"/>
          <w:spacing w:val="0"/>
          <w:w w:val="100"/>
          <w:position w:val="0"/>
          <w:sz w:val="24"/>
          <w:szCs w:val="24"/>
        </w:rPr>
        <w:t>。</w:t>
      </w:r>
    </w:p>
    <w:p>
      <w:pPr>
        <w:pStyle w:val="Style32"/>
        <w:keepNext w:val="0"/>
        <w:keepLines w:val="0"/>
        <w:widowControl w:val="0"/>
        <w:numPr>
          <w:ilvl w:val="0"/>
          <w:numId w:val="45"/>
        </w:numPr>
        <w:shd w:val="clear" w:color="auto" w:fill="auto"/>
        <w:tabs>
          <w:tab w:pos="724" w:val="left"/>
        </w:tabs>
        <w:bidi w:val="0"/>
        <w:spacing w:before="0" w:after="260" w:line="240" w:lineRule="auto"/>
        <w:ind w:left="0" w:right="0" w:firstLine="0"/>
        <w:jc w:val="both"/>
        <w:rPr>
          <w:sz w:val="24"/>
          <w:szCs w:val="24"/>
        </w:rPr>
      </w:pPr>
      <w:bookmarkStart w:id="707" w:name="bookmark707"/>
      <w:bookmarkEnd w:id="707"/>
      <w:r>
        <w:rPr>
          <w:b/>
          <w:bCs/>
          <w:color w:val="000000"/>
          <w:spacing w:val="0"/>
          <w:w w:val="100"/>
          <w:position w:val="0"/>
          <w:sz w:val="24"/>
          <w:szCs w:val="24"/>
        </w:rPr>
        <w:t>借款费用</w:t>
      </w:r>
    </w:p>
    <w:p>
      <w:pPr>
        <w:pStyle w:val="Style32"/>
        <w:keepNext w:val="0"/>
        <w:keepLines w:val="0"/>
        <w:widowControl w:val="0"/>
        <w:shd w:val="clear" w:color="auto" w:fill="auto"/>
        <w:bidi w:val="0"/>
        <w:spacing w:before="0" w:after="260" w:line="309" w:lineRule="exact"/>
        <w:ind w:left="700" w:right="0" w:firstLine="20"/>
        <w:jc w:val="both"/>
        <w:rPr>
          <w:sz w:val="24"/>
          <w:szCs w:val="24"/>
        </w:rPr>
      </w:pPr>
      <w:r>
        <w:rPr>
          <w:color w:val="000000"/>
          <w:spacing w:val="0"/>
          <w:w w:val="100"/>
          <w:position w:val="0"/>
          <w:sz w:val="24"/>
          <w:szCs w:val="24"/>
        </w:rPr>
        <w:t>发生的可直接归属于需要经过相当长时间的购建活动才能达到预定可使用状 态之资产的购建的借款费用，在资产支出及借款费用已经发生、为使资产达 到预定可使用状态所必要的购建活动已经开始时，开始资本化并计入该资产 的成本。当购建的资产达到预定可使用状态时停止资本化，其后发生的借款 费用计入当期损益。如果资产的购建活动发生非正常中断，并且中断时间连 续超过</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个月，暂停借款费用的资本化，直至资产的购建活动重新开始。</w:t>
      </w:r>
    </w:p>
    <w:p>
      <w:pPr>
        <w:pStyle w:val="Style32"/>
        <w:keepNext w:val="0"/>
        <w:keepLines w:val="0"/>
        <w:widowControl w:val="0"/>
        <w:shd w:val="clear" w:color="auto" w:fill="auto"/>
        <w:bidi w:val="0"/>
        <w:spacing w:before="0" w:after="240" w:line="312" w:lineRule="exact"/>
        <w:ind w:left="700" w:right="0" w:firstLine="20"/>
        <w:jc w:val="both"/>
        <w:rPr>
          <w:sz w:val="24"/>
          <w:szCs w:val="24"/>
        </w:rPr>
        <w:sectPr>
          <w:footnotePr>
            <w:pos w:val="pageBottom"/>
            <w:numFmt w:val="decimal"/>
            <w:numRestart w:val="continuous"/>
          </w:footnotePr>
          <w:pgSz w:w="11900" w:h="16840"/>
          <w:pgMar w:top="1354" w:right="1446" w:bottom="1354" w:left="1704" w:header="0" w:footer="3" w:gutter="0"/>
          <w:cols w:space="720"/>
          <w:noEndnote/>
          <w:rtlGutter w:val="0"/>
          <w:docGrid w:linePitch="360"/>
        </w:sectPr>
      </w:pPr>
      <w:r>
        <w:rPr>
          <w:color w:val="000000"/>
          <w:spacing w:val="0"/>
          <w:w w:val="100"/>
          <w:position w:val="0"/>
          <w:sz w:val="24"/>
          <w:szCs w:val="24"/>
        </w:rPr>
        <w:t>对于为购建符合资本化条件的资产而借入的专门借款，以专门借款当期实际 发生的利息费用减去尚未动用的借款资金存入银行取得的利息收入或进行暂 时性投资取得的投资收益后的金额确定专门借款借款费用的资本化金额。</w:t>
      </w:r>
    </w:p>
    <w:p>
      <w:pPr>
        <w:pStyle w:val="Style32"/>
        <w:keepNext w:val="0"/>
        <w:keepLines w:val="0"/>
        <w:widowControl w:val="0"/>
        <w:shd w:val="clear" w:color="auto" w:fill="auto"/>
        <w:bidi w:val="0"/>
        <w:spacing w:before="0" w:after="0" w:line="240" w:lineRule="auto"/>
        <w:ind w:left="0" w:right="0" w:firstLine="700"/>
        <w:jc w:val="left"/>
        <w:rPr>
          <w:sz w:val="24"/>
          <w:szCs w:val="24"/>
        </w:rPr>
      </w:pPr>
      <w:r>
        <w:rPr>
          <w:b/>
          <w:bCs/>
          <w:color w:val="000000"/>
          <w:spacing w:val="0"/>
          <w:w w:val="100"/>
          <w:position w:val="0"/>
          <w:sz w:val="24"/>
          <w:szCs w:val="24"/>
        </w:rPr>
        <w:t>财务报表附注</w:t>
      </w:r>
    </w:p>
    <w:p>
      <w:pPr>
        <w:pStyle w:val="Style88"/>
        <w:keepNext/>
        <w:keepLines/>
        <w:widowControl w:val="0"/>
        <w:shd w:val="clear" w:color="auto" w:fill="auto"/>
        <w:bidi w:val="0"/>
        <w:spacing w:before="0" w:after="0" w:line="240" w:lineRule="auto"/>
        <w:ind w:left="0" w:right="0"/>
        <w:jc w:val="left"/>
      </w:pPr>
      <w:bookmarkStart w:id="708" w:name="bookmark708"/>
      <w:bookmarkStart w:id="709" w:name="bookmark709"/>
      <w:bookmarkStart w:id="710" w:name="bookmark710"/>
      <w:r>
        <w:rPr>
          <w:color w:val="000000"/>
          <w:spacing w:val="0"/>
          <w:w w:val="100"/>
          <w:position w:val="0"/>
          <w:sz w:val="24"/>
          <w:szCs w:val="24"/>
        </w:rPr>
        <w:t>2016</w:t>
      </w:r>
      <w:r>
        <w:rPr>
          <w:rFonts w:ascii="SimSun" w:eastAsia="SimSun" w:hAnsi="SimSun" w:cs="SimSun"/>
          <w:b/>
          <w:bCs/>
          <w:color w:val="000000"/>
          <w:spacing w:val="0"/>
          <w:w w:val="100"/>
          <w:position w:val="0"/>
          <w:sz w:val="24"/>
          <w:szCs w:val="24"/>
        </w:rPr>
        <w:t>年度</w:t>
      </w:r>
      <w:bookmarkEnd w:id="708"/>
      <w:bookmarkEnd w:id="709"/>
      <w:bookmarkEnd w:id="710"/>
    </w:p>
    <w:p>
      <w:pPr>
        <w:pStyle w:val="Style32"/>
        <w:keepNext w:val="0"/>
        <w:keepLines w:val="0"/>
        <w:widowControl w:val="0"/>
        <w:shd w:val="clear" w:color="auto" w:fill="auto"/>
        <w:bidi w:val="0"/>
        <w:spacing w:before="0" w:after="240" w:line="240" w:lineRule="auto"/>
        <w:ind w:left="0" w:right="0" w:firstLine="700"/>
        <w:jc w:val="left"/>
        <w:rPr>
          <w:sz w:val="24"/>
          <w:szCs w:val="24"/>
        </w:rPr>
      </w:pPr>
      <w:r>
        <w:rPr>
          <w:rFonts w:ascii="Arial" w:eastAsia="Arial" w:hAnsi="Arial" w:cs="Arial"/>
          <w:color w:val="000000"/>
          <w:spacing w:val="0"/>
          <w:w w:val="100"/>
          <w:position w:val="0"/>
          <w:sz w:val="20"/>
          <w:szCs w:val="20"/>
        </w:rPr>
        <w:t>(</w:t>
      </w:r>
      <w:r>
        <w:rPr>
          <w:color w:val="000000"/>
          <w:spacing w:val="0"/>
          <w:w w:val="100"/>
          <w:position w:val="0"/>
          <w:sz w:val="20"/>
          <w:szCs w:val="20"/>
        </w:rPr>
        <w:t>除特别注明外，金额单位为人民币千元</w:t>
      </w:r>
      <w:r>
        <w:rPr>
          <w:color w:val="000000"/>
          <w:spacing w:val="0"/>
          <w:w w:val="100"/>
          <w:position w:val="0"/>
          <w:sz w:val="24"/>
          <w:szCs w:val="24"/>
        </w:rPr>
        <w:t>)</w:t>
      </w:r>
    </w:p>
    <w:p>
      <w:pPr>
        <w:pStyle w:val="Style32"/>
        <w:keepNext w:val="0"/>
        <w:keepLines w:val="0"/>
        <w:widowControl w:val="0"/>
        <w:shd w:val="clear" w:color="auto" w:fill="auto"/>
        <w:tabs>
          <w:tab w:pos="723" w:val="left"/>
        </w:tabs>
        <w:bidi w:val="0"/>
        <w:spacing w:before="0" w:after="240" w:line="240" w:lineRule="auto"/>
        <w:ind w:left="0" w:right="0" w:firstLine="0"/>
        <w:jc w:val="left"/>
        <w:rPr>
          <w:sz w:val="24"/>
          <w:szCs w:val="24"/>
        </w:rPr>
      </w:pPr>
      <w:r>
        <w:rPr>
          <w:b/>
          <w:bCs/>
          <w:color w:val="000000"/>
          <w:spacing w:val="0"/>
          <w:w w:val="100"/>
          <w:position w:val="0"/>
          <w:sz w:val="24"/>
          <w:szCs w:val="24"/>
        </w:rPr>
        <w:t>二</w:t>
        <w:tab/>
        <w:t>主要会计政策和会计估计</w:t>
      </w:r>
      <w:r>
        <w:rPr>
          <w:rFonts w:ascii="Times New Roman" w:eastAsia="Times New Roman" w:hAnsi="Times New Roman" w:cs="Times New Roman"/>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4"/>
          <w:szCs w:val="24"/>
        </w:rPr>
        <w:t>)</w:t>
      </w:r>
    </w:p>
    <w:p>
      <w:pPr>
        <w:pStyle w:val="Style53"/>
        <w:keepNext w:val="0"/>
        <w:keepLines w:val="0"/>
        <w:widowControl w:val="0"/>
        <w:numPr>
          <w:ilvl w:val="0"/>
          <w:numId w:val="47"/>
        </w:numPr>
        <w:shd w:val="clear" w:color="auto" w:fill="auto"/>
        <w:tabs>
          <w:tab w:pos="723" w:val="left"/>
        </w:tabs>
        <w:bidi w:val="0"/>
        <w:spacing w:before="0" w:after="240" w:line="271" w:lineRule="auto"/>
        <w:ind w:left="0" w:right="0" w:firstLine="0"/>
        <w:jc w:val="left"/>
        <w:rPr>
          <w:sz w:val="24"/>
          <w:szCs w:val="24"/>
        </w:rPr>
      </w:pPr>
      <w:bookmarkStart w:id="711" w:name="bookmark711"/>
      <w:bookmarkEnd w:id="711"/>
      <w:r>
        <w:rPr>
          <w:rFonts w:ascii="SimSun" w:eastAsia="SimSun" w:hAnsi="SimSun" w:cs="SimSun"/>
          <w:b/>
          <w:bCs/>
          <w:color w:val="000000"/>
          <w:spacing w:val="0"/>
          <w:w w:val="100"/>
          <w:position w:val="0"/>
          <w:sz w:val="24"/>
          <w:szCs w:val="24"/>
        </w:rPr>
        <w:t>借款费用</w:t>
      </w:r>
      <w:r>
        <w:rPr>
          <w:color w:val="000000"/>
          <w:spacing w:val="0"/>
          <w:w w:val="100"/>
          <w:position w:val="0"/>
          <w:sz w:val="24"/>
          <w:szCs w:val="24"/>
        </w:rPr>
        <w:t>(</w:t>
      </w:r>
      <w:r>
        <w:rPr>
          <w:rFonts w:ascii="SimSun" w:eastAsia="SimSun" w:hAnsi="SimSun" w:cs="SimSun"/>
          <w:b/>
          <w:bCs/>
          <w:color w:val="000000"/>
          <w:spacing w:val="0"/>
          <w:w w:val="100"/>
          <w:position w:val="0"/>
          <w:sz w:val="24"/>
          <w:szCs w:val="24"/>
        </w:rPr>
        <w:t>续</w:t>
      </w:r>
      <w:r>
        <w:rPr>
          <w:rFonts w:ascii="SimSun" w:eastAsia="SimSun" w:hAnsi="SimSun" w:cs="SimSun"/>
          <w:color w:val="000000"/>
          <w:spacing w:val="0"/>
          <w:w w:val="100"/>
          <w:position w:val="0"/>
          <w:sz w:val="24"/>
          <w:szCs w:val="24"/>
        </w:rPr>
        <w:t>)</w:t>
      </w:r>
    </w:p>
    <w:p>
      <w:pPr>
        <w:pStyle w:val="Style32"/>
        <w:keepNext w:val="0"/>
        <w:keepLines w:val="0"/>
        <w:widowControl w:val="0"/>
        <w:shd w:val="clear" w:color="auto" w:fill="auto"/>
        <w:bidi w:val="0"/>
        <w:spacing w:before="0" w:after="240" w:line="311" w:lineRule="exact"/>
        <w:ind w:left="700" w:right="0" w:firstLine="40"/>
        <w:jc w:val="both"/>
        <w:rPr>
          <w:sz w:val="24"/>
          <w:szCs w:val="24"/>
        </w:rPr>
      </w:pPr>
      <w:r>
        <w:rPr>
          <w:color w:val="000000"/>
          <w:spacing w:val="0"/>
          <w:w w:val="100"/>
          <w:position w:val="0"/>
          <w:sz w:val="24"/>
          <w:szCs w:val="24"/>
        </w:rPr>
        <w:t>对于为购建符合资本化条件的资产而占用的一般借款，按照累计资产支出超 过专门借款部分的资本支出加权平均数乘以所占用一般借款的加权平均实际 利率计算确定一般借款借款费用的资本化金额。实际利率为将借款在预期存 续期间或适用的更短期间内的未来现金流量折现为该借款初始确认金额所使 用的利率。</w:t>
      </w:r>
    </w:p>
    <w:p>
      <w:pPr>
        <w:pStyle w:val="Style32"/>
        <w:keepNext w:val="0"/>
        <w:keepLines w:val="0"/>
        <w:widowControl w:val="0"/>
        <w:numPr>
          <w:ilvl w:val="0"/>
          <w:numId w:val="47"/>
        </w:numPr>
        <w:shd w:val="clear" w:color="auto" w:fill="auto"/>
        <w:tabs>
          <w:tab w:pos="723" w:val="left"/>
        </w:tabs>
        <w:bidi w:val="0"/>
        <w:spacing w:before="0" w:after="240" w:line="240" w:lineRule="auto"/>
        <w:ind w:left="0" w:right="0" w:firstLine="0"/>
        <w:jc w:val="left"/>
        <w:rPr>
          <w:sz w:val="24"/>
          <w:szCs w:val="24"/>
        </w:rPr>
      </w:pPr>
      <w:bookmarkStart w:id="712" w:name="bookmark712"/>
      <w:bookmarkEnd w:id="712"/>
      <w:r>
        <w:rPr>
          <w:b/>
          <w:bCs/>
          <w:color w:val="000000"/>
          <w:spacing w:val="0"/>
          <w:w w:val="100"/>
          <w:position w:val="0"/>
          <w:sz w:val="24"/>
          <w:szCs w:val="24"/>
        </w:rPr>
        <w:t>无形资产</w:t>
      </w:r>
    </w:p>
    <w:p>
      <w:pPr>
        <w:pStyle w:val="Style32"/>
        <w:keepNext w:val="0"/>
        <w:keepLines w:val="0"/>
        <w:widowControl w:val="0"/>
        <w:shd w:val="clear" w:color="auto" w:fill="auto"/>
        <w:bidi w:val="0"/>
        <w:spacing w:before="0" w:after="240" w:line="326" w:lineRule="exact"/>
        <w:ind w:left="700" w:right="0" w:firstLine="40"/>
        <w:jc w:val="both"/>
        <w:rPr>
          <w:sz w:val="24"/>
          <w:szCs w:val="24"/>
        </w:rPr>
      </w:pPr>
      <w:r>
        <w:rPr>
          <w:color w:val="000000"/>
          <w:spacing w:val="0"/>
          <w:w w:val="100"/>
          <w:position w:val="0"/>
          <w:sz w:val="24"/>
          <w:szCs w:val="24"/>
        </w:rPr>
        <w:t>无形资产包括土地使用权、软件、优惠承租权、商标及域名、客户关系及客 户清单等。</w:t>
      </w:r>
    </w:p>
    <w:p>
      <w:pPr>
        <w:pStyle w:val="Style32"/>
        <w:keepNext w:val="0"/>
        <w:keepLines w:val="0"/>
        <w:widowControl w:val="0"/>
        <w:numPr>
          <w:ilvl w:val="0"/>
          <w:numId w:val="49"/>
        </w:numPr>
        <w:shd w:val="clear" w:color="auto" w:fill="auto"/>
        <w:tabs>
          <w:tab w:pos="723" w:val="left"/>
        </w:tabs>
        <w:bidi w:val="0"/>
        <w:spacing w:before="0" w:after="240" w:line="271" w:lineRule="auto"/>
        <w:ind w:left="0" w:right="0" w:firstLine="0"/>
        <w:jc w:val="left"/>
        <w:rPr>
          <w:sz w:val="24"/>
          <w:szCs w:val="24"/>
        </w:rPr>
      </w:pPr>
      <w:bookmarkStart w:id="713" w:name="bookmark713"/>
      <w:bookmarkEnd w:id="713"/>
      <w:r>
        <w:rPr>
          <w:color w:val="000000"/>
          <w:spacing w:val="0"/>
          <w:w w:val="100"/>
          <w:position w:val="0"/>
          <w:sz w:val="24"/>
          <w:szCs w:val="24"/>
        </w:rPr>
        <w:t>土地使用权</w:t>
      </w:r>
    </w:p>
    <w:p>
      <w:pPr>
        <w:pStyle w:val="Style32"/>
        <w:keepNext w:val="0"/>
        <w:keepLines w:val="0"/>
        <w:widowControl w:val="0"/>
        <w:shd w:val="clear" w:color="auto" w:fill="auto"/>
        <w:bidi w:val="0"/>
        <w:spacing w:before="0" w:after="240" w:line="317" w:lineRule="exact"/>
        <w:ind w:left="700" w:right="0" w:firstLine="40"/>
        <w:jc w:val="both"/>
        <w:rPr>
          <w:sz w:val="24"/>
          <w:szCs w:val="24"/>
        </w:rPr>
      </w:pPr>
      <w:r>
        <w:rPr>
          <w:color w:val="000000"/>
          <w:spacing w:val="0"/>
          <w:w w:val="100"/>
          <w:position w:val="0"/>
          <w:sz w:val="24"/>
          <w:szCs w:val="24"/>
        </w:rPr>
        <w:t>土地使用权按使用年限</w:t>
      </w:r>
      <w:r>
        <w:rPr>
          <w:rFonts w:ascii="Times New Roman" w:eastAsia="Times New Roman" w:hAnsi="Times New Roman" w:cs="Times New Roman"/>
          <w:color w:val="000000"/>
          <w:spacing w:val="0"/>
          <w:w w:val="100"/>
          <w:position w:val="0"/>
          <w:sz w:val="24"/>
          <w:szCs w:val="24"/>
        </w:rPr>
        <w:t>40</w:t>
      </w:r>
      <w:r>
        <w:rPr>
          <w:color w:val="000000"/>
          <w:spacing w:val="0"/>
          <w:w w:val="100"/>
          <w:position w:val="0"/>
          <w:sz w:val="24"/>
          <w:szCs w:val="24"/>
        </w:rPr>
        <w:t>至</w:t>
      </w:r>
      <w:r>
        <w:rPr>
          <w:rFonts w:ascii="Times New Roman" w:eastAsia="Times New Roman" w:hAnsi="Times New Roman" w:cs="Times New Roman"/>
          <w:color w:val="000000"/>
          <w:spacing w:val="0"/>
          <w:w w:val="100"/>
          <w:position w:val="0"/>
          <w:sz w:val="24"/>
          <w:szCs w:val="24"/>
        </w:rPr>
        <w:t>70</w:t>
      </w:r>
      <w:r>
        <w:rPr>
          <w:color w:val="000000"/>
          <w:spacing w:val="0"/>
          <w:w w:val="100"/>
          <w:position w:val="0"/>
          <w:sz w:val="24"/>
          <w:szCs w:val="24"/>
        </w:rPr>
        <w:t>年平均摊销。外购土地及建筑物的价款难以 在土地使用权与建筑物之间合理分配的，全部作为固定资产。</w:t>
      </w:r>
    </w:p>
    <w:p>
      <w:pPr>
        <w:pStyle w:val="Style53"/>
        <w:keepNext w:val="0"/>
        <w:keepLines w:val="0"/>
        <w:widowControl w:val="0"/>
        <w:numPr>
          <w:ilvl w:val="0"/>
          <w:numId w:val="49"/>
        </w:numPr>
        <w:shd w:val="clear" w:color="auto" w:fill="auto"/>
        <w:tabs>
          <w:tab w:pos="723" w:val="left"/>
        </w:tabs>
        <w:bidi w:val="0"/>
        <w:spacing w:before="0" w:after="240" w:line="271" w:lineRule="auto"/>
        <w:ind w:left="0" w:right="0" w:firstLine="0"/>
        <w:jc w:val="left"/>
        <w:rPr>
          <w:sz w:val="24"/>
          <w:szCs w:val="24"/>
        </w:rPr>
      </w:pPr>
      <w:bookmarkStart w:id="714" w:name="bookmark714"/>
      <w:bookmarkEnd w:id="714"/>
      <w:r>
        <w:rPr>
          <w:rFonts w:ascii="SimSun" w:eastAsia="SimSun" w:hAnsi="SimSun" w:cs="SimSun"/>
          <w:color w:val="000000"/>
          <w:spacing w:val="0"/>
          <w:w w:val="100"/>
          <w:position w:val="0"/>
          <w:sz w:val="24"/>
          <w:szCs w:val="24"/>
        </w:rPr>
        <w:t>软件</w:t>
      </w:r>
    </w:p>
    <w:p>
      <w:pPr>
        <w:pStyle w:val="Style32"/>
        <w:keepNext w:val="0"/>
        <w:keepLines w:val="0"/>
        <w:widowControl w:val="0"/>
        <w:shd w:val="clear" w:color="auto" w:fill="auto"/>
        <w:bidi w:val="0"/>
        <w:spacing w:before="0" w:after="240" w:line="312" w:lineRule="exact"/>
        <w:ind w:left="0" w:right="0" w:firstLine="700"/>
        <w:jc w:val="left"/>
        <w:rPr>
          <w:sz w:val="24"/>
          <w:szCs w:val="24"/>
        </w:rPr>
      </w:pPr>
      <w:r>
        <w:rPr>
          <w:color w:val="000000"/>
          <w:spacing w:val="0"/>
          <w:w w:val="100"/>
          <w:position w:val="0"/>
          <w:sz w:val="24"/>
          <w:szCs w:val="24"/>
        </w:rPr>
        <w:t>软件以实际成本计量，按预计使用年限</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年平均摊销。</w:t>
      </w:r>
    </w:p>
    <w:p>
      <w:pPr>
        <w:pStyle w:val="Style32"/>
        <w:keepNext w:val="0"/>
        <w:keepLines w:val="0"/>
        <w:widowControl w:val="0"/>
        <w:numPr>
          <w:ilvl w:val="0"/>
          <w:numId w:val="49"/>
        </w:numPr>
        <w:shd w:val="clear" w:color="auto" w:fill="auto"/>
        <w:tabs>
          <w:tab w:pos="723" w:val="left"/>
        </w:tabs>
        <w:bidi w:val="0"/>
        <w:spacing w:before="0" w:after="240" w:line="271" w:lineRule="auto"/>
        <w:ind w:left="0" w:right="0" w:firstLine="0"/>
        <w:jc w:val="left"/>
        <w:rPr>
          <w:sz w:val="24"/>
          <w:szCs w:val="24"/>
        </w:rPr>
      </w:pPr>
      <w:bookmarkStart w:id="715" w:name="bookmark715"/>
      <w:bookmarkEnd w:id="715"/>
      <w:r>
        <w:rPr>
          <w:color w:val="000000"/>
          <w:spacing w:val="0"/>
          <w:w w:val="100"/>
          <w:position w:val="0"/>
          <w:sz w:val="24"/>
          <w:szCs w:val="24"/>
        </w:rPr>
        <w:t>优惠承租权</w:t>
      </w:r>
    </w:p>
    <w:p>
      <w:pPr>
        <w:pStyle w:val="Style32"/>
        <w:keepNext w:val="0"/>
        <w:keepLines w:val="0"/>
        <w:widowControl w:val="0"/>
        <w:shd w:val="clear" w:color="auto" w:fill="auto"/>
        <w:bidi w:val="0"/>
        <w:spacing w:before="0" w:after="240" w:line="307" w:lineRule="exact"/>
        <w:ind w:left="700" w:right="0" w:firstLine="40"/>
        <w:jc w:val="left"/>
        <w:rPr>
          <w:sz w:val="24"/>
          <w:szCs w:val="24"/>
        </w:rPr>
      </w:pPr>
      <w:r>
        <w:rPr>
          <w:color w:val="000000"/>
          <w:spacing w:val="0"/>
          <w:w w:val="100"/>
          <w:position w:val="0"/>
          <w:sz w:val="24"/>
          <w:szCs w:val="24"/>
        </w:rPr>
        <w:t>优惠承租权是在业务合并过程中确认的无形资产。优惠承租权以公允价值入 账，并按其预计受益期间分期平均摊销。</w:t>
      </w:r>
    </w:p>
    <w:p>
      <w:pPr>
        <w:pStyle w:val="Style32"/>
        <w:keepNext w:val="0"/>
        <w:keepLines w:val="0"/>
        <w:widowControl w:val="0"/>
        <w:numPr>
          <w:ilvl w:val="0"/>
          <w:numId w:val="49"/>
        </w:numPr>
        <w:shd w:val="clear" w:color="auto" w:fill="auto"/>
        <w:tabs>
          <w:tab w:pos="723" w:val="left"/>
        </w:tabs>
        <w:bidi w:val="0"/>
        <w:spacing w:before="0" w:after="240" w:line="271" w:lineRule="auto"/>
        <w:ind w:left="0" w:right="0" w:firstLine="0"/>
        <w:jc w:val="left"/>
        <w:rPr>
          <w:sz w:val="24"/>
          <w:szCs w:val="24"/>
        </w:rPr>
      </w:pPr>
      <w:bookmarkStart w:id="716" w:name="bookmark716"/>
      <w:bookmarkEnd w:id="716"/>
      <w:r>
        <w:rPr>
          <w:color w:val="000000"/>
          <w:spacing w:val="0"/>
          <w:w w:val="100"/>
          <w:position w:val="0"/>
          <w:sz w:val="24"/>
          <w:szCs w:val="24"/>
        </w:rPr>
        <w:t>商标及域名、客户关系及客户清单</w:t>
      </w:r>
    </w:p>
    <w:p>
      <w:pPr>
        <w:pStyle w:val="Style32"/>
        <w:keepNext w:val="0"/>
        <w:keepLines w:val="0"/>
        <w:widowControl w:val="0"/>
        <w:shd w:val="clear" w:color="auto" w:fill="auto"/>
        <w:bidi w:val="0"/>
        <w:spacing w:before="0" w:after="240" w:line="314" w:lineRule="exact"/>
        <w:ind w:left="700" w:right="0" w:firstLine="40"/>
        <w:jc w:val="both"/>
        <w:rPr>
          <w:sz w:val="24"/>
          <w:szCs w:val="24"/>
        </w:rPr>
      </w:pPr>
      <w:r>
        <w:rPr>
          <w:color w:val="000000"/>
          <w:spacing w:val="0"/>
          <w:w w:val="100"/>
          <w:position w:val="0"/>
          <w:sz w:val="24"/>
          <w:szCs w:val="24"/>
        </w:rPr>
        <w:t>商标及域名、客户关系及客户清单是在业务合并过程中确认的无形资产。商 标及域名、客户关系及客户清单以公允价值入账，并按其预计受益期间分期 平均摊销。</w:t>
      </w:r>
    </w:p>
    <w:p>
      <w:pPr>
        <w:pStyle w:val="Style32"/>
        <w:keepNext w:val="0"/>
        <w:keepLines w:val="0"/>
        <w:widowControl w:val="0"/>
        <w:numPr>
          <w:ilvl w:val="0"/>
          <w:numId w:val="49"/>
        </w:numPr>
        <w:shd w:val="clear" w:color="auto" w:fill="auto"/>
        <w:tabs>
          <w:tab w:pos="723" w:val="left"/>
        </w:tabs>
        <w:bidi w:val="0"/>
        <w:spacing w:before="0" w:after="240" w:line="271" w:lineRule="auto"/>
        <w:ind w:left="0" w:right="0" w:firstLine="0"/>
        <w:jc w:val="left"/>
        <w:rPr>
          <w:sz w:val="24"/>
          <w:szCs w:val="24"/>
        </w:rPr>
      </w:pPr>
      <w:bookmarkStart w:id="717" w:name="bookmark717"/>
      <w:bookmarkEnd w:id="717"/>
      <w:r>
        <w:rPr>
          <w:color w:val="000000"/>
          <w:spacing w:val="0"/>
          <w:w w:val="100"/>
          <w:position w:val="0"/>
          <w:sz w:val="24"/>
          <w:szCs w:val="24"/>
        </w:rPr>
        <w:t>定期复核使用寿命和摊销方法</w:t>
      </w:r>
    </w:p>
    <w:p>
      <w:pPr>
        <w:pStyle w:val="Style32"/>
        <w:keepNext w:val="0"/>
        <w:keepLines w:val="0"/>
        <w:widowControl w:val="0"/>
        <w:shd w:val="clear" w:color="auto" w:fill="auto"/>
        <w:bidi w:val="0"/>
        <w:spacing w:before="0" w:after="240" w:line="312" w:lineRule="exact"/>
        <w:ind w:left="700" w:right="0" w:firstLine="40"/>
        <w:jc w:val="both"/>
        <w:rPr>
          <w:sz w:val="24"/>
          <w:szCs w:val="24"/>
        </w:rPr>
      </w:pPr>
      <w:r>
        <w:rPr>
          <w:color w:val="000000"/>
          <w:spacing w:val="0"/>
          <w:w w:val="100"/>
          <w:position w:val="0"/>
          <w:sz w:val="24"/>
          <w:szCs w:val="24"/>
        </w:rPr>
        <w:t>对使用寿命有限的无形资产的预计使用寿命及摊销方法于每年年度终了进 行复核并作适当调整。</w:t>
      </w:r>
    </w:p>
    <w:p>
      <w:pPr>
        <w:pStyle w:val="Style32"/>
        <w:keepNext w:val="0"/>
        <w:keepLines w:val="0"/>
        <w:widowControl w:val="0"/>
        <w:shd w:val="clear" w:color="auto" w:fill="auto"/>
        <w:bidi w:val="0"/>
        <w:spacing w:before="0" w:after="0" w:line="240" w:lineRule="auto"/>
        <w:ind w:left="0" w:right="0" w:firstLine="700"/>
        <w:jc w:val="left"/>
        <w:rPr>
          <w:sz w:val="24"/>
          <w:szCs w:val="24"/>
        </w:rPr>
      </w:pPr>
      <w:r>
        <w:rPr>
          <w:b/>
          <w:bCs/>
          <w:color w:val="000000"/>
          <w:spacing w:val="0"/>
          <w:w w:val="100"/>
          <w:position w:val="0"/>
          <w:sz w:val="24"/>
          <w:szCs w:val="24"/>
        </w:rPr>
        <w:t>财务报表附注</w:t>
      </w:r>
    </w:p>
    <w:p>
      <w:pPr>
        <w:pStyle w:val="Style88"/>
        <w:keepNext/>
        <w:keepLines/>
        <w:widowControl w:val="0"/>
        <w:shd w:val="clear" w:color="auto" w:fill="auto"/>
        <w:bidi w:val="0"/>
        <w:spacing w:before="0" w:after="0" w:line="240" w:lineRule="auto"/>
        <w:ind w:left="0" w:right="0"/>
        <w:jc w:val="left"/>
      </w:pPr>
      <w:bookmarkStart w:id="718" w:name="bookmark718"/>
      <w:bookmarkStart w:id="719" w:name="bookmark719"/>
      <w:bookmarkStart w:id="720" w:name="bookmark720"/>
      <w:r>
        <w:rPr>
          <w:color w:val="000000"/>
          <w:spacing w:val="0"/>
          <w:w w:val="100"/>
          <w:position w:val="0"/>
          <w:sz w:val="24"/>
          <w:szCs w:val="24"/>
        </w:rPr>
        <w:t>2016</w:t>
      </w:r>
      <w:r>
        <w:rPr>
          <w:rFonts w:ascii="SimSun" w:eastAsia="SimSun" w:hAnsi="SimSun" w:cs="SimSun"/>
          <w:b/>
          <w:bCs/>
          <w:color w:val="000000"/>
          <w:spacing w:val="0"/>
          <w:w w:val="100"/>
          <w:position w:val="0"/>
          <w:sz w:val="24"/>
          <w:szCs w:val="24"/>
        </w:rPr>
        <w:t>年度</w:t>
      </w:r>
      <w:bookmarkEnd w:id="718"/>
      <w:bookmarkEnd w:id="719"/>
      <w:bookmarkEnd w:id="720"/>
    </w:p>
    <w:p>
      <w:pPr>
        <w:pStyle w:val="Style32"/>
        <w:keepNext w:val="0"/>
        <w:keepLines w:val="0"/>
        <w:widowControl w:val="0"/>
        <w:shd w:val="clear" w:color="auto" w:fill="auto"/>
        <w:bidi w:val="0"/>
        <w:spacing w:before="0" w:after="220" w:line="240" w:lineRule="auto"/>
        <w:ind w:left="0" w:right="0" w:firstLine="700"/>
        <w:jc w:val="left"/>
        <w:rPr>
          <w:sz w:val="24"/>
          <w:szCs w:val="24"/>
        </w:rPr>
      </w:pPr>
      <w:r>
        <w:rPr>
          <w:rFonts w:ascii="Arial" w:eastAsia="Arial" w:hAnsi="Arial" w:cs="Arial"/>
          <w:color w:val="000000"/>
          <w:spacing w:val="0"/>
          <w:w w:val="100"/>
          <w:position w:val="0"/>
          <w:sz w:val="20"/>
          <w:szCs w:val="20"/>
        </w:rPr>
        <w:t>(</w:t>
      </w:r>
      <w:r>
        <w:rPr>
          <w:color w:val="000000"/>
          <w:spacing w:val="0"/>
          <w:w w:val="100"/>
          <w:position w:val="0"/>
          <w:sz w:val="20"/>
          <w:szCs w:val="20"/>
        </w:rPr>
        <w:t>除特别注明外，金额单位为人民币千元</w:t>
      </w:r>
      <w:r>
        <w:rPr>
          <w:color w:val="000000"/>
          <w:spacing w:val="0"/>
          <w:w w:val="100"/>
          <w:position w:val="0"/>
          <w:sz w:val="24"/>
          <w:szCs w:val="24"/>
        </w:rPr>
        <w:t>)</w:t>
      </w:r>
    </w:p>
    <w:p>
      <w:pPr>
        <w:pStyle w:val="Style32"/>
        <w:keepNext w:val="0"/>
        <w:keepLines w:val="0"/>
        <w:widowControl w:val="0"/>
        <w:shd w:val="clear" w:color="auto" w:fill="auto"/>
        <w:tabs>
          <w:tab w:pos="719" w:val="left"/>
        </w:tabs>
        <w:bidi w:val="0"/>
        <w:spacing w:before="0" w:after="260" w:line="240" w:lineRule="auto"/>
        <w:ind w:left="0" w:right="0" w:firstLine="0"/>
        <w:jc w:val="left"/>
        <w:rPr>
          <w:sz w:val="24"/>
          <w:szCs w:val="24"/>
        </w:rPr>
      </w:pPr>
      <w:r>
        <w:rPr>
          <w:b/>
          <w:bCs/>
          <w:color w:val="000000"/>
          <w:spacing w:val="0"/>
          <w:w w:val="100"/>
          <w:position w:val="0"/>
          <w:sz w:val="24"/>
          <w:szCs w:val="24"/>
        </w:rPr>
        <w:t>二</w:t>
        <w:tab/>
        <w:t>主要会计政策和会计估计</w:t>
      </w:r>
      <w:r>
        <w:rPr>
          <w:rFonts w:ascii="Times New Roman" w:eastAsia="Times New Roman" w:hAnsi="Times New Roman" w:cs="Times New Roman"/>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4"/>
          <w:szCs w:val="24"/>
        </w:rPr>
        <w:t>)</w:t>
      </w:r>
    </w:p>
    <w:p>
      <w:pPr>
        <w:pStyle w:val="Style53"/>
        <w:keepNext w:val="0"/>
        <w:keepLines w:val="0"/>
        <w:widowControl w:val="0"/>
        <w:numPr>
          <w:ilvl w:val="0"/>
          <w:numId w:val="45"/>
        </w:numPr>
        <w:shd w:val="clear" w:color="auto" w:fill="auto"/>
        <w:tabs>
          <w:tab w:pos="719" w:val="left"/>
        </w:tabs>
        <w:bidi w:val="0"/>
        <w:spacing w:before="0" w:after="220" w:line="271" w:lineRule="auto"/>
        <w:ind w:left="0" w:right="0" w:firstLine="0"/>
        <w:jc w:val="left"/>
        <w:rPr>
          <w:sz w:val="24"/>
          <w:szCs w:val="24"/>
        </w:rPr>
      </w:pPr>
      <w:bookmarkStart w:id="721" w:name="bookmark721"/>
      <w:bookmarkEnd w:id="721"/>
      <w:r>
        <w:rPr>
          <w:rFonts w:ascii="SimSun" w:eastAsia="SimSun" w:hAnsi="SimSun" w:cs="SimSun"/>
          <w:b/>
          <w:bCs/>
          <w:color w:val="000000"/>
          <w:spacing w:val="0"/>
          <w:w w:val="100"/>
          <w:position w:val="0"/>
          <w:sz w:val="24"/>
          <w:szCs w:val="24"/>
        </w:rPr>
        <w:t>无形资产</w:t>
      </w:r>
      <w:r>
        <w:rPr>
          <w:color w:val="000000"/>
          <w:spacing w:val="0"/>
          <w:w w:val="100"/>
          <w:position w:val="0"/>
          <w:sz w:val="24"/>
          <w:szCs w:val="24"/>
        </w:rPr>
        <w:t>(</w:t>
      </w:r>
      <w:r>
        <w:rPr>
          <w:rFonts w:ascii="SimSun" w:eastAsia="SimSun" w:hAnsi="SimSun" w:cs="SimSun"/>
          <w:b/>
          <w:bCs/>
          <w:color w:val="000000"/>
          <w:spacing w:val="0"/>
          <w:w w:val="100"/>
          <w:position w:val="0"/>
          <w:sz w:val="24"/>
          <w:szCs w:val="24"/>
        </w:rPr>
        <w:t>续</w:t>
      </w:r>
      <w:r>
        <w:rPr>
          <w:rFonts w:ascii="SimSun" w:eastAsia="SimSun" w:hAnsi="SimSun" w:cs="SimSun"/>
          <w:color w:val="000000"/>
          <w:spacing w:val="0"/>
          <w:w w:val="100"/>
          <w:position w:val="0"/>
          <w:sz w:val="24"/>
          <w:szCs w:val="24"/>
        </w:rPr>
        <w:t>)</w:t>
      </w:r>
    </w:p>
    <w:p>
      <w:pPr>
        <w:pStyle w:val="Style32"/>
        <w:keepNext w:val="0"/>
        <w:keepLines w:val="0"/>
        <w:widowControl w:val="0"/>
        <w:numPr>
          <w:ilvl w:val="0"/>
          <w:numId w:val="49"/>
        </w:numPr>
        <w:shd w:val="clear" w:color="auto" w:fill="auto"/>
        <w:tabs>
          <w:tab w:pos="719" w:val="left"/>
        </w:tabs>
        <w:bidi w:val="0"/>
        <w:spacing w:before="0" w:after="220" w:line="271" w:lineRule="auto"/>
        <w:ind w:left="0" w:right="0" w:firstLine="0"/>
        <w:jc w:val="left"/>
        <w:rPr>
          <w:sz w:val="24"/>
          <w:szCs w:val="24"/>
        </w:rPr>
      </w:pPr>
      <w:bookmarkStart w:id="722" w:name="bookmark722"/>
      <w:bookmarkEnd w:id="722"/>
      <w:r>
        <w:rPr>
          <w:color w:val="000000"/>
          <w:spacing w:val="0"/>
          <w:w w:val="100"/>
          <w:position w:val="0"/>
          <w:sz w:val="24"/>
          <w:szCs w:val="24"/>
        </w:rPr>
        <w:t>研究与开发</w:t>
      </w:r>
    </w:p>
    <w:p>
      <w:pPr>
        <w:pStyle w:val="Style32"/>
        <w:keepNext w:val="0"/>
        <w:keepLines w:val="0"/>
        <w:widowControl w:val="0"/>
        <w:shd w:val="clear" w:color="auto" w:fill="auto"/>
        <w:bidi w:val="0"/>
        <w:spacing w:before="0" w:after="260" w:line="312" w:lineRule="exact"/>
        <w:ind w:left="700" w:right="0" w:firstLine="40"/>
        <w:jc w:val="both"/>
        <w:rPr>
          <w:sz w:val="24"/>
          <w:szCs w:val="24"/>
        </w:rPr>
      </w:pPr>
      <w:r>
        <w:rPr>
          <w:color w:val="000000"/>
          <w:spacing w:val="0"/>
          <w:w w:val="100"/>
          <w:position w:val="0"/>
          <w:sz w:val="24"/>
          <w:szCs w:val="24"/>
        </w:rPr>
        <w:t>本集团开展系统软件的研究与开发。研究开发项目支出根据其性质以及研发 活动最终形成无形资产是否具有较大不确定性，被分为研究阶段支出和开发 阶段支出。</w:t>
      </w:r>
    </w:p>
    <w:p>
      <w:pPr>
        <w:pStyle w:val="Style32"/>
        <w:keepNext w:val="0"/>
        <w:keepLines w:val="0"/>
        <w:widowControl w:val="0"/>
        <w:shd w:val="clear" w:color="auto" w:fill="auto"/>
        <w:bidi w:val="0"/>
        <w:spacing w:before="0" w:after="260" w:line="312" w:lineRule="exact"/>
        <w:ind w:left="700" w:right="0" w:firstLine="40"/>
        <w:jc w:val="both"/>
        <w:rPr>
          <w:sz w:val="24"/>
          <w:szCs w:val="24"/>
        </w:rPr>
      </w:pPr>
      <w:r>
        <w:rPr>
          <w:color w:val="000000"/>
          <w:spacing w:val="0"/>
          <w:w w:val="100"/>
          <w:position w:val="0"/>
          <w:sz w:val="24"/>
          <w:szCs w:val="24"/>
        </w:rPr>
        <w:t>为研究软件而进行的有计划的调查、评价和选择阶段的支出为研究阶段的支 出，于发生时计入当期损益；最终应用之前，针对软件最终应用的相关设 计、测试阶段的支出为开发阶段的支出，同时满足下列条件的，予以资本 化：</w:t>
      </w:r>
    </w:p>
    <w:p>
      <w:pPr>
        <w:pStyle w:val="Style32"/>
        <w:keepNext w:val="0"/>
        <w:keepLines w:val="0"/>
        <w:widowControl w:val="0"/>
        <w:shd w:val="clear" w:color="auto" w:fill="auto"/>
        <w:bidi w:val="0"/>
        <w:spacing w:before="0" w:after="0" w:line="254" w:lineRule="auto"/>
        <w:ind w:left="0" w:right="0" w:firstLine="700"/>
        <w:jc w:val="left"/>
        <w:rPr>
          <w:sz w:val="24"/>
          <w:szCs w:val="24"/>
        </w:rPr>
      </w:pPr>
      <w:r>
        <w:rPr>
          <w:rFonts w:ascii="Arial Unicode MS" w:eastAsia="Arial Unicode MS" w:hAnsi="Arial Unicode MS" w:cs="Arial Unicode MS"/>
          <w:color w:val="000000"/>
          <w:spacing w:val="0"/>
          <w:w w:val="100"/>
          <w:position w:val="0"/>
          <w:sz w:val="22"/>
          <w:szCs w:val="22"/>
        </w:rPr>
        <w:t>・</w:t>
      </w:r>
      <w:r>
        <w:rPr>
          <w:color w:val="000000"/>
          <w:spacing w:val="0"/>
          <w:w w:val="100"/>
          <w:position w:val="0"/>
          <w:sz w:val="24"/>
          <w:szCs w:val="24"/>
        </w:rPr>
        <w:t>软件的开发已经技术团队进行充分论证；</w:t>
      </w:r>
    </w:p>
    <w:p>
      <w:pPr>
        <w:pStyle w:val="Style32"/>
        <w:keepNext w:val="0"/>
        <w:keepLines w:val="0"/>
        <w:widowControl w:val="0"/>
        <w:shd w:val="clear" w:color="auto" w:fill="auto"/>
        <w:bidi w:val="0"/>
        <w:spacing w:before="0" w:after="0" w:line="254" w:lineRule="auto"/>
        <w:ind w:left="0" w:right="0" w:firstLine="700"/>
        <w:jc w:val="left"/>
        <w:rPr>
          <w:sz w:val="24"/>
          <w:szCs w:val="24"/>
        </w:rPr>
      </w:pPr>
      <w:r>
        <w:rPr>
          <w:rFonts w:ascii="Arial Unicode MS" w:eastAsia="Arial Unicode MS" w:hAnsi="Arial Unicode MS" w:cs="Arial Unicode MS"/>
          <w:color w:val="000000"/>
          <w:spacing w:val="0"/>
          <w:w w:val="100"/>
          <w:position w:val="0"/>
          <w:sz w:val="22"/>
          <w:szCs w:val="22"/>
        </w:rPr>
        <w:t>・</w:t>
      </w:r>
      <w:r>
        <w:rPr>
          <w:color w:val="000000"/>
          <w:spacing w:val="0"/>
          <w:w w:val="100"/>
          <w:position w:val="0"/>
          <w:sz w:val="24"/>
          <w:szCs w:val="24"/>
        </w:rPr>
        <w:t>管理层已批准软件开发的预算；</w:t>
      </w:r>
    </w:p>
    <w:p>
      <w:pPr>
        <w:pStyle w:val="Style32"/>
        <w:keepNext w:val="0"/>
        <w:keepLines w:val="0"/>
        <w:widowControl w:val="0"/>
        <w:shd w:val="clear" w:color="auto" w:fill="auto"/>
        <w:bidi w:val="0"/>
        <w:spacing w:before="0" w:after="0" w:line="312" w:lineRule="exact"/>
        <w:ind w:left="0" w:right="0" w:firstLine="700"/>
        <w:jc w:val="both"/>
        <w:rPr>
          <w:sz w:val="24"/>
          <w:szCs w:val="24"/>
        </w:rPr>
      </w:pPr>
      <w:r>
        <w:rPr>
          <w:rFonts w:ascii="Arial Unicode MS" w:eastAsia="Arial Unicode MS" w:hAnsi="Arial Unicode MS" w:cs="Arial Unicode MS"/>
          <w:color w:val="000000"/>
          <w:spacing w:val="0"/>
          <w:w w:val="100"/>
          <w:position w:val="0"/>
          <w:sz w:val="22"/>
          <w:szCs w:val="22"/>
        </w:rPr>
        <w:t>・</w:t>
      </w:r>
      <w:r>
        <w:rPr>
          <w:color w:val="000000"/>
          <w:spacing w:val="0"/>
          <w:w w:val="100"/>
          <w:position w:val="0"/>
          <w:sz w:val="24"/>
          <w:szCs w:val="24"/>
        </w:rPr>
        <w:t>前期市场调研的研究分析说明软件的使用将如何产生经济利益；</w:t>
      </w:r>
    </w:p>
    <w:p>
      <w:pPr>
        <w:pStyle w:val="Style32"/>
        <w:keepNext w:val="0"/>
        <w:keepLines w:val="0"/>
        <w:widowControl w:val="0"/>
        <w:shd w:val="clear" w:color="auto" w:fill="auto"/>
        <w:bidi w:val="0"/>
        <w:spacing w:before="0" w:after="0" w:line="288" w:lineRule="exact"/>
        <w:ind w:left="1060" w:right="0" w:hanging="320"/>
        <w:jc w:val="both"/>
        <w:rPr>
          <w:sz w:val="24"/>
          <w:szCs w:val="24"/>
        </w:rPr>
      </w:pPr>
      <w:r>
        <w:rPr>
          <w:rFonts w:ascii="Arial Unicode MS" w:eastAsia="Arial Unicode MS" w:hAnsi="Arial Unicode MS" w:cs="Arial Unicode MS"/>
          <w:color w:val="000000"/>
          <w:spacing w:val="0"/>
          <w:w w:val="100"/>
          <w:position w:val="0"/>
          <w:sz w:val="22"/>
          <w:szCs w:val="22"/>
        </w:rPr>
        <w:t>・</w:t>
      </w:r>
      <w:r>
        <w:rPr>
          <w:color w:val="000000"/>
          <w:spacing w:val="0"/>
          <w:w w:val="100"/>
          <w:position w:val="0"/>
          <w:sz w:val="24"/>
          <w:szCs w:val="24"/>
        </w:rPr>
        <w:t>有足够的技术和资金支持，以进行相关软件的开发活动及后续的使用； 以及</w:t>
      </w:r>
    </w:p>
    <w:p>
      <w:pPr>
        <w:pStyle w:val="Style32"/>
        <w:keepNext w:val="0"/>
        <w:keepLines w:val="0"/>
        <w:widowControl w:val="0"/>
        <w:shd w:val="clear" w:color="auto" w:fill="auto"/>
        <w:bidi w:val="0"/>
        <w:spacing w:before="0" w:after="220" w:line="254" w:lineRule="auto"/>
        <w:ind w:left="0" w:right="0" w:firstLine="700"/>
        <w:jc w:val="left"/>
        <w:rPr>
          <w:sz w:val="24"/>
          <w:szCs w:val="24"/>
        </w:rPr>
      </w:pPr>
      <w:r>
        <w:rPr>
          <w:rFonts w:ascii="Arial Unicode MS" w:eastAsia="Arial Unicode MS" w:hAnsi="Arial Unicode MS" w:cs="Arial Unicode MS"/>
          <w:color w:val="000000"/>
          <w:spacing w:val="0"/>
          <w:w w:val="100"/>
          <w:position w:val="0"/>
          <w:sz w:val="22"/>
          <w:szCs w:val="22"/>
        </w:rPr>
        <w:t>・</w:t>
      </w:r>
      <w:r>
        <w:rPr>
          <w:color w:val="000000"/>
          <w:spacing w:val="0"/>
          <w:w w:val="100"/>
          <w:position w:val="0"/>
          <w:sz w:val="24"/>
          <w:szCs w:val="24"/>
        </w:rPr>
        <w:t>软件开发的支出能够可靠地归集。</w:t>
      </w:r>
    </w:p>
    <w:p>
      <w:pPr>
        <w:pStyle w:val="Style32"/>
        <w:keepNext w:val="0"/>
        <w:keepLines w:val="0"/>
        <w:widowControl w:val="0"/>
        <w:shd w:val="clear" w:color="auto" w:fill="auto"/>
        <w:bidi w:val="0"/>
        <w:spacing w:before="0" w:after="260" w:line="315" w:lineRule="exact"/>
        <w:ind w:left="700" w:right="0" w:firstLine="40"/>
        <w:jc w:val="both"/>
        <w:rPr>
          <w:sz w:val="24"/>
          <w:szCs w:val="24"/>
        </w:rPr>
      </w:pPr>
      <w:r>
        <w:rPr>
          <w:color w:val="000000"/>
          <w:spacing w:val="0"/>
          <w:w w:val="100"/>
          <w:position w:val="0"/>
          <w:sz w:val="24"/>
          <w:szCs w:val="24"/>
        </w:rPr>
        <w:t>不满足上述条件的开发阶段的支出，于发生时计入当期损益。以前期间已计 入损益的开发支出不在以后期间重新确认为资产。已资本化的开发阶段的支 出在资产负债表上列示为开发支出，自该项目达到预定用途之日起转为无形 资产。</w:t>
      </w:r>
    </w:p>
    <w:p>
      <w:pPr>
        <w:pStyle w:val="Style32"/>
        <w:keepNext w:val="0"/>
        <w:keepLines w:val="0"/>
        <w:widowControl w:val="0"/>
        <w:numPr>
          <w:ilvl w:val="0"/>
          <w:numId w:val="49"/>
        </w:numPr>
        <w:shd w:val="clear" w:color="auto" w:fill="auto"/>
        <w:tabs>
          <w:tab w:pos="719" w:val="left"/>
        </w:tabs>
        <w:bidi w:val="0"/>
        <w:spacing w:before="0" w:after="220" w:line="271" w:lineRule="auto"/>
        <w:ind w:left="0" w:right="0" w:firstLine="0"/>
        <w:jc w:val="left"/>
        <w:rPr>
          <w:sz w:val="24"/>
          <w:szCs w:val="24"/>
        </w:rPr>
      </w:pPr>
      <w:bookmarkStart w:id="723" w:name="bookmark723"/>
      <w:bookmarkEnd w:id="723"/>
      <w:r>
        <w:rPr>
          <w:color w:val="000000"/>
          <w:spacing w:val="0"/>
          <w:w w:val="100"/>
          <w:position w:val="0"/>
          <w:sz w:val="24"/>
          <w:szCs w:val="24"/>
        </w:rPr>
        <w:t>无形资产减值</w:t>
      </w:r>
    </w:p>
    <w:p>
      <w:pPr>
        <w:pStyle w:val="Style32"/>
        <w:keepNext w:val="0"/>
        <w:keepLines w:val="0"/>
        <w:widowControl w:val="0"/>
        <w:shd w:val="clear" w:color="auto" w:fill="auto"/>
        <w:bidi w:val="0"/>
        <w:spacing w:before="0" w:after="260" w:line="298" w:lineRule="exact"/>
        <w:ind w:left="700" w:right="0" w:firstLine="40"/>
        <w:jc w:val="both"/>
        <w:rPr>
          <w:sz w:val="24"/>
          <w:szCs w:val="24"/>
        </w:rPr>
      </w:pPr>
      <w:r>
        <w:rPr>
          <w:color w:val="000000"/>
          <w:spacing w:val="0"/>
          <w:w w:val="100"/>
          <w:position w:val="0"/>
          <w:sz w:val="24"/>
          <w:szCs w:val="24"/>
        </w:rPr>
        <w:t xml:space="preserve">当无形资产的可收回金额低于其账面价值时，账面价值减记至可收回金额 </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附注二</w:t>
      </w:r>
      <w:r>
        <w:rPr>
          <w:rFonts w:ascii="Times New Roman" w:eastAsia="Times New Roman" w:hAnsi="Times New Roman" w:cs="Times New Roman"/>
          <w:color w:val="000000"/>
          <w:spacing w:val="0"/>
          <w:w w:val="100"/>
          <w:position w:val="0"/>
          <w:sz w:val="24"/>
          <w:szCs w:val="24"/>
        </w:rPr>
        <w:t>(19))</w:t>
      </w:r>
      <w:r>
        <w:rPr>
          <w:color w:val="000000"/>
          <w:spacing w:val="0"/>
          <w:w w:val="100"/>
          <w:position w:val="0"/>
          <w:sz w:val="24"/>
          <w:szCs w:val="24"/>
        </w:rPr>
        <w:t>。</w:t>
      </w:r>
    </w:p>
    <w:p>
      <w:pPr>
        <w:pStyle w:val="Style32"/>
        <w:keepNext w:val="0"/>
        <w:keepLines w:val="0"/>
        <w:widowControl w:val="0"/>
        <w:numPr>
          <w:ilvl w:val="0"/>
          <w:numId w:val="45"/>
        </w:numPr>
        <w:shd w:val="clear" w:color="auto" w:fill="auto"/>
        <w:tabs>
          <w:tab w:pos="719" w:val="left"/>
        </w:tabs>
        <w:bidi w:val="0"/>
        <w:spacing w:before="0" w:after="260" w:line="240" w:lineRule="auto"/>
        <w:ind w:left="0" w:right="0" w:firstLine="0"/>
        <w:jc w:val="left"/>
        <w:rPr>
          <w:sz w:val="24"/>
          <w:szCs w:val="24"/>
        </w:rPr>
      </w:pPr>
      <w:bookmarkStart w:id="724" w:name="bookmark724"/>
      <w:bookmarkEnd w:id="724"/>
      <w:r>
        <w:rPr>
          <w:b/>
          <w:bCs/>
          <w:color w:val="000000"/>
          <w:spacing w:val="0"/>
          <w:w w:val="100"/>
          <w:position w:val="0"/>
          <w:sz w:val="24"/>
          <w:szCs w:val="24"/>
        </w:rPr>
        <w:t>长期待摊费用</w:t>
      </w:r>
    </w:p>
    <w:p>
      <w:pPr>
        <w:pStyle w:val="Style32"/>
        <w:keepNext w:val="0"/>
        <w:keepLines w:val="0"/>
        <w:widowControl w:val="0"/>
        <w:shd w:val="clear" w:color="auto" w:fill="auto"/>
        <w:bidi w:val="0"/>
        <w:spacing w:before="0" w:after="220" w:line="312" w:lineRule="exact"/>
        <w:ind w:left="700" w:right="0" w:firstLine="40"/>
        <w:jc w:val="both"/>
        <w:rPr>
          <w:sz w:val="24"/>
          <w:szCs w:val="24"/>
        </w:rPr>
      </w:pPr>
      <w:r>
        <w:rPr>
          <w:color w:val="000000"/>
          <w:spacing w:val="0"/>
          <w:w w:val="100"/>
          <w:position w:val="0"/>
          <w:sz w:val="24"/>
          <w:szCs w:val="24"/>
        </w:rPr>
        <w:t>长期待摊费用包括经营租入固定资产改良及其他已经发生但应由本期和以后 各期负担的、分摊期限在一年以上的各项费用，按预计受益期间分期平均摊 销，并以实际支出减去累计摊销后的净额列示。</w:t>
      </w:r>
    </w:p>
    <w:p>
      <w:pPr>
        <w:pStyle w:val="Style32"/>
        <w:keepNext w:val="0"/>
        <w:keepLines w:val="0"/>
        <w:widowControl w:val="0"/>
        <w:shd w:val="clear" w:color="auto" w:fill="auto"/>
        <w:bidi w:val="0"/>
        <w:spacing w:before="0" w:after="0" w:line="240" w:lineRule="auto"/>
        <w:ind w:left="0" w:right="0" w:firstLine="700"/>
        <w:jc w:val="left"/>
        <w:rPr>
          <w:sz w:val="24"/>
          <w:szCs w:val="24"/>
        </w:rPr>
      </w:pPr>
      <w:r>
        <w:rPr>
          <w:b/>
          <w:bCs/>
          <w:color w:val="000000"/>
          <w:spacing w:val="0"/>
          <w:w w:val="100"/>
          <w:position w:val="0"/>
          <w:sz w:val="24"/>
          <w:szCs w:val="24"/>
        </w:rPr>
        <w:t>财务报表附注</w:t>
      </w:r>
    </w:p>
    <w:p>
      <w:pPr>
        <w:pStyle w:val="Style88"/>
        <w:keepNext/>
        <w:keepLines/>
        <w:widowControl w:val="0"/>
        <w:shd w:val="clear" w:color="auto" w:fill="auto"/>
        <w:bidi w:val="0"/>
        <w:spacing w:before="0" w:after="0" w:line="240" w:lineRule="auto"/>
        <w:ind w:left="0" w:right="0"/>
        <w:jc w:val="left"/>
      </w:pPr>
      <w:bookmarkStart w:id="725" w:name="bookmark725"/>
      <w:bookmarkStart w:id="726" w:name="bookmark726"/>
      <w:bookmarkStart w:id="727" w:name="bookmark727"/>
      <w:r>
        <w:rPr>
          <w:color w:val="000000"/>
          <w:spacing w:val="0"/>
          <w:w w:val="100"/>
          <w:position w:val="0"/>
          <w:sz w:val="24"/>
          <w:szCs w:val="24"/>
        </w:rPr>
        <w:t>2016</w:t>
      </w:r>
      <w:r>
        <w:rPr>
          <w:rFonts w:ascii="SimSun" w:eastAsia="SimSun" w:hAnsi="SimSun" w:cs="SimSun"/>
          <w:b/>
          <w:bCs/>
          <w:color w:val="000000"/>
          <w:spacing w:val="0"/>
          <w:w w:val="100"/>
          <w:position w:val="0"/>
          <w:sz w:val="24"/>
          <w:szCs w:val="24"/>
        </w:rPr>
        <w:t>年度</w:t>
      </w:r>
      <w:bookmarkEnd w:id="725"/>
      <w:bookmarkEnd w:id="726"/>
      <w:bookmarkEnd w:id="727"/>
    </w:p>
    <w:p>
      <w:pPr>
        <w:pStyle w:val="Style32"/>
        <w:keepNext w:val="0"/>
        <w:keepLines w:val="0"/>
        <w:widowControl w:val="0"/>
        <w:shd w:val="clear" w:color="auto" w:fill="auto"/>
        <w:bidi w:val="0"/>
        <w:spacing w:before="0" w:after="220" w:line="240" w:lineRule="auto"/>
        <w:ind w:left="0" w:right="0" w:firstLine="700"/>
        <w:jc w:val="left"/>
        <w:rPr>
          <w:sz w:val="24"/>
          <w:szCs w:val="24"/>
        </w:rPr>
      </w:pPr>
      <w:r>
        <w:rPr>
          <w:rFonts w:ascii="Arial" w:eastAsia="Arial" w:hAnsi="Arial" w:cs="Arial"/>
          <w:color w:val="000000"/>
          <w:spacing w:val="0"/>
          <w:w w:val="100"/>
          <w:position w:val="0"/>
          <w:sz w:val="20"/>
          <w:szCs w:val="20"/>
        </w:rPr>
        <w:t>(</w:t>
      </w:r>
      <w:r>
        <w:rPr>
          <w:color w:val="000000"/>
          <w:spacing w:val="0"/>
          <w:w w:val="100"/>
          <w:position w:val="0"/>
          <w:sz w:val="20"/>
          <w:szCs w:val="20"/>
        </w:rPr>
        <w:t>除特别注明外，金额单位为人民币千元</w:t>
      </w:r>
      <w:r>
        <w:rPr>
          <w:color w:val="000000"/>
          <w:spacing w:val="0"/>
          <w:w w:val="100"/>
          <w:position w:val="0"/>
          <w:sz w:val="24"/>
          <w:szCs w:val="24"/>
        </w:rPr>
        <w:t>)</w:t>
      </w:r>
    </w:p>
    <w:p>
      <w:pPr>
        <w:pStyle w:val="Style32"/>
        <w:keepNext w:val="0"/>
        <w:keepLines w:val="0"/>
        <w:widowControl w:val="0"/>
        <w:shd w:val="clear" w:color="auto" w:fill="auto"/>
        <w:tabs>
          <w:tab w:pos="708" w:val="left"/>
        </w:tabs>
        <w:bidi w:val="0"/>
        <w:spacing w:before="0" w:after="260" w:line="240" w:lineRule="auto"/>
        <w:ind w:left="0" w:right="0" w:firstLine="0"/>
        <w:jc w:val="left"/>
        <w:rPr>
          <w:sz w:val="24"/>
          <w:szCs w:val="24"/>
        </w:rPr>
      </w:pPr>
      <w:r>
        <w:rPr>
          <w:b/>
          <w:bCs/>
          <w:color w:val="000000"/>
          <w:spacing w:val="0"/>
          <w:w w:val="100"/>
          <w:position w:val="0"/>
          <w:sz w:val="24"/>
          <w:szCs w:val="24"/>
        </w:rPr>
        <w:t>二</w:t>
        <w:tab/>
        <w:t>主要会计政策和会计估计</w:t>
      </w:r>
      <w:r>
        <w:rPr>
          <w:rFonts w:ascii="Times New Roman" w:eastAsia="Times New Roman" w:hAnsi="Times New Roman" w:cs="Times New Roman"/>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4"/>
          <w:szCs w:val="24"/>
        </w:rPr>
        <w:t>)</w:t>
      </w:r>
    </w:p>
    <w:p>
      <w:pPr>
        <w:pStyle w:val="Style32"/>
        <w:keepNext w:val="0"/>
        <w:keepLines w:val="0"/>
        <w:widowControl w:val="0"/>
        <w:numPr>
          <w:ilvl w:val="0"/>
          <w:numId w:val="45"/>
        </w:numPr>
        <w:shd w:val="clear" w:color="auto" w:fill="auto"/>
        <w:tabs>
          <w:tab w:pos="708" w:val="left"/>
        </w:tabs>
        <w:bidi w:val="0"/>
        <w:spacing w:before="0" w:after="260" w:line="240" w:lineRule="auto"/>
        <w:ind w:left="0" w:right="0" w:firstLine="0"/>
        <w:jc w:val="left"/>
        <w:rPr>
          <w:sz w:val="24"/>
          <w:szCs w:val="24"/>
        </w:rPr>
      </w:pPr>
      <w:bookmarkStart w:id="728" w:name="bookmark728"/>
      <w:bookmarkEnd w:id="728"/>
      <w:r>
        <w:rPr>
          <w:b/>
          <w:bCs/>
          <w:color w:val="000000"/>
          <w:spacing w:val="0"/>
          <w:w w:val="100"/>
          <w:position w:val="0"/>
          <w:sz w:val="24"/>
          <w:szCs w:val="24"/>
        </w:rPr>
        <w:t>长期资产减值</w:t>
      </w:r>
    </w:p>
    <w:p>
      <w:pPr>
        <w:pStyle w:val="Style32"/>
        <w:keepNext w:val="0"/>
        <w:keepLines w:val="0"/>
        <w:widowControl w:val="0"/>
        <w:shd w:val="clear" w:color="auto" w:fill="auto"/>
        <w:bidi w:val="0"/>
        <w:spacing w:before="0" w:after="260" w:line="311" w:lineRule="exact"/>
        <w:ind w:left="700" w:right="0" w:firstLine="40"/>
        <w:jc w:val="both"/>
        <w:rPr>
          <w:sz w:val="24"/>
          <w:szCs w:val="24"/>
        </w:rPr>
      </w:pPr>
      <w:r>
        <w:rPr>
          <w:color w:val="000000"/>
          <w:spacing w:val="0"/>
          <w:w w:val="100"/>
          <w:position w:val="0"/>
          <w:sz w:val="24"/>
          <w:szCs w:val="24"/>
        </w:rPr>
        <w:t>固定资产、在建工程、使用寿命有限的无形资产、以成本模式计量的投资性 房地产及对子公司、合营企业、联营企业的长期股权投资等，于资产负债表 日存在减值迹象的，进行减值测试；尚未达到可使用状态的无形资产，无论 是否存在减值迹象，至少每年进行减值测试。减值测试结果表明资产的可收 回金额低于其账面价值的，按其差额计提减值准备并计入减值损失。可收回 金额为资产的公允价值减去处置费用后的净额与资产预计未来现金流量的现 值两者之间的较高者。资产减值准备按单项资产为基础计算并确认，如果难 以对单项资产的可收回金额进行估计的，以该资产所属的资产组确定资产组 的可收回金额。资产组是能够独立产生现金流入的最小资产组合。</w:t>
      </w:r>
    </w:p>
    <w:p>
      <w:pPr>
        <w:pStyle w:val="Style32"/>
        <w:keepNext w:val="0"/>
        <w:keepLines w:val="0"/>
        <w:widowControl w:val="0"/>
        <w:shd w:val="clear" w:color="auto" w:fill="auto"/>
        <w:bidi w:val="0"/>
        <w:spacing w:before="0" w:after="260" w:line="311" w:lineRule="exact"/>
        <w:ind w:left="700" w:right="0" w:firstLine="40"/>
        <w:jc w:val="both"/>
        <w:rPr>
          <w:sz w:val="24"/>
          <w:szCs w:val="24"/>
        </w:rPr>
      </w:pPr>
      <w:r>
        <w:rPr>
          <w:color w:val="000000"/>
          <w:spacing w:val="0"/>
          <w:w w:val="100"/>
          <w:position w:val="0"/>
          <w:sz w:val="24"/>
          <w:szCs w:val="24"/>
        </w:rPr>
        <w:t>在财务报表中单独列示的商誉，无论是否存在减值迹象，至少每年进行减值 测试。减值测试时，商誉的账面价值分摊至预期从企业合并的协同效应中受 益的资产组或资产组组合。测试结果表明包含分摊的商誉的资产组或资产组 组合的可收回金额低于其账面价值的，确认相应的减值损失。减值损失金额 先抵减分摊至该资产组或资产组组合的商誉的账面价值，再根据资产组或资 产组组合中除商誉以外的其他各项资产的账面价值所占比重，按比例抵减其 他各项资产的账面价值。</w:t>
      </w:r>
    </w:p>
    <w:p>
      <w:pPr>
        <w:pStyle w:val="Style32"/>
        <w:keepNext w:val="0"/>
        <w:keepLines w:val="0"/>
        <w:widowControl w:val="0"/>
        <w:shd w:val="clear" w:color="auto" w:fill="auto"/>
        <w:bidi w:val="0"/>
        <w:spacing w:before="0" w:after="260" w:line="311" w:lineRule="exact"/>
        <w:ind w:left="0" w:right="0" w:firstLine="700"/>
        <w:jc w:val="both"/>
        <w:rPr>
          <w:sz w:val="24"/>
          <w:szCs w:val="24"/>
        </w:rPr>
      </w:pPr>
      <w:r>
        <w:rPr>
          <w:color w:val="000000"/>
          <w:spacing w:val="0"/>
          <w:w w:val="100"/>
          <w:position w:val="0"/>
          <w:sz w:val="24"/>
          <w:szCs w:val="24"/>
        </w:rPr>
        <w:t>上述资产减值损失一经确认，以后期间不予转回价值得以恢复的部分。</w:t>
      </w:r>
    </w:p>
    <w:p>
      <w:pPr>
        <w:pStyle w:val="Style32"/>
        <w:keepNext w:val="0"/>
        <w:keepLines w:val="0"/>
        <w:widowControl w:val="0"/>
        <w:numPr>
          <w:ilvl w:val="0"/>
          <w:numId w:val="45"/>
        </w:numPr>
        <w:shd w:val="clear" w:color="auto" w:fill="auto"/>
        <w:tabs>
          <w:tab w:pos="708" w:val="left"/>
        </w:tabs>
        <w:bidi w:val="0"/>
        <w:spacing w:before="0" w:after="340" w:line="240" w:lineRule="auto"/>
        <w:ind w:left="0" w:right="0" w:firstLine="0"/>
        <w:jc w:val="left"/>
        <w:rPr>
          <w:sz w:val="24"/>
          <w:szCs w:val="24"/>
        </w:rPr>
      </w:pPr>
      <w:bookmarkStart w:id="729" w:name="bookmark729"/>
      <w:bookmarkEnd w:id="729"/>
      <w:r>
        <w:rPr>
          <w:b/>
          <w:bCs/>
          <w:color w:val="000000"/>
          <w:spacing w:val="0"/>
          <w:w w:val="100"/>
          <w:position w:val="0"/>
          <w:sz w:val="24"/>
          <w:szCs w:val="24"/>
        </w:rPr>
        <w:t>职工薪酬</w:t>
      </w:r>
    </w:p>
    <w:p>
      <w:pPr>
        <w:pStyle w:val="Style32"/>
        <w:keepNext w:val="0"/>
        <w:keepLines w:val="0"/>
        <w:widowControl w:val="0"/>
        <w:shd w:val="clear" w:color="auto" w:fill="auto"/>
        <w:bidi w:val="0"/>
        <w:spacing w:before="0" w:after="580" w:line="307" w:lineRule="exact"/>
        <w:ind w:left="700" w:right="0" w:firstLine="40"/>
        <w:jc w:val="both"/>
        <w:rPr>
          <w:sz w:val="24"/>
          <w:szCs w:val="24"/>
        </w:rPr>
      </w:pPr>
      <w:r>
        <w:rPr>
          <w:color w:val="000000"/>
          <w:spacing w:val="0"/>
          <w:w w:val="100"/>
          <w:position w:val="0"/>
          <w:sz w:val="24"/>
          <w:szCs w:val="24"/>
        </w:rPr>
        <w:t>职工薪酬是本集团为获得职工提供的服务或解除劳动关系而给予的各种形式 的报酬或补偿</w:t>
      </w:r>
      <w:r>
        <w:rPr>
          <w:color w:val="000000"/>
          <w:spacing w:val="0"/>
          <w:w w:val="100"/>
          <w:position w:val="0"/>
          <w:sz w:val="24"/>
          <w:szCs w:val="24"/>
        </w:rPr>
        <w:t>，</w:t>
      </w:r>
      <w:r>
        <w:rPr>
          <w:color w:val="000000"/>
          <w:spacing w:val="0"/>
          <w:w w:val="100"/>
          <w:position w:val="0"/>
          <w:sz w:val="24"/>
          <w:szCs w:val="24"/>
        </w:rPr>
        <w:t>包括短期薪酬、离职后福利、辞退福利和其他长期职工福利</w:t>
      </w:r>
    </w:p>
    <w:p>
      <w:pPr>
        <w:pStyle w:val="Style32"/>
        <w:keepNext w:val="0"/>
        <w:keepLines w:val="0"/>
        <w:widowControl w:val="0"/>
        <w:numPr>
          <w:ilvl w:val="0"/>
          <w:numId w:val="51"/>
        </w:numPr>
        <w:shd w:val="clear" w:color="auto" w:fill="auto"/>
        <w:tabs>
          <w:tab w:pos="708" w:val="left"/>
        </w:tabs>
        <w:bidi w:val="0"/>
        <w:spacing w:before="0" w:after="260" w:line="310" w:lineRule="exact"/>
        <w:ind w:left="0" w:right="0" w:firstLine="0"/>
        <w:jc w:val="left"/>
        <w:rPr>
          <w:sz w:val="24"/>
          <w:szCs w:val="24"/>
        </w:rPr>
      </w:pPr>
      <w:bookmarkStart w:id="730" w:name="bookmark730"/>
      <w:bookmarkEnd w:id="730"/>
      <w:r>
        <w:rPr>
          <w:color w:val="000000"/>
          <w:spacing w:val="0"/>
          <w:w w:val="100"/>
          <w:position w:val="0"/>
          <w:sz w:val="24"/>
          <w:szCs w:val="24"/>
        </w:rPr>
        <w:t>短期薪酬</w:t>
      </w:r>
    </w:p>
    <w:p>
      <w:pPr>
        <w:pStyle w:val="Style32"/>
        <w:keepNext w:val="0"/>
        <w:keepLines w:val="0"/>
        <w:widowControl w:val="0"/>
        <w:shd w:val="clear" w:color="auto" w:fill="auto"/>
        <w:bidi w:val="0"/>
        <w:spacing w:before="0" w:after="260" w:line="310" w:lineRule="exact"/>
        <w:ind w:left="700" w:right="0" w:firstLine="40"/>
        <w:jc w:val="both"/>
        <w:rPr>
          <w:sz w:val="24"/>
          <w:szCs w:val="24"/>
        </w:rPr>
      </w:pPr>
      <w:r>
        <w:rPr>
          <w:color w:val="000000"/>
          <w:spacing w:val="0"/>
          <w:w w:val="100"/>
          <w:position w:val="0"/>
          <w:sz w:val="24"/>
          <w:szCs w:val="24"/>
        </w:rPr>
        <w:t>短期薪酬包括工资、奖金、津贴和补贴、职工福利费、医疗保险费、工伤保 险费、生育保险费、住房公积金、工会和教育经费、短期带薪缺勤等。本集 团在职工提供服务的会计期间，将实际发生的短期薪酬确认为负债，并计入 当期损益或相关资产成本。其中，非货币性福利按照公允价值计量。</w:t>
      </w:r>
    </w:p>
    <w:p>
      <w:pPr>
        <w:pStyle w:val="Style32"/>
        <w:keepNext w:val="0"/>
        <w:keepLines w:val="0"/>
        <w:widowControl w:val="0"/>
        <w:shd w:val="clear" w:color="auto" w:fill="auto"/>
        <w:bidi w:val="0"/>
        <w:spacing w:before="0" w:after="0" w:line="240" w:lineRule="auto"/>
        <w:ind w:left="0" w:right="0" w:firstLine="700"/>
        <w:jc w:val="left"/>
        <w:rPr>
          <w:sz w:val="24"/>
          <w:szCs w:val="24"/>
        </w:rPr>
      </w:pPr>
      <w:r>
        <w:rPr>
          <w:b/>
          <w:bCs/>
          <w:color w:val="000000"/>
          <w:spacing w:val="0"/>
          <w:w w:val="100"/>
          <w:position w:val="0"/>
          <w:sz w:val="24"/>
          <w:szCs w:val="24"/>
        </w:rPr>
        <w:t>财务报表附注</w:t>
      </w:r>
    </w:p>
    <w:p>
      <w:pPr>
        <w:pStyle w:val="Style88"/>
        <w:keepNext/>
        <w:keepLines/>
        <w:widowControl w:val="0"/>
        <w:shd w:val="clear" w:color="auto" w:fill="auto"/>
        <w:bidi w:val="0"/>
        <w:spacing w:before="0" w:after="0" w:line="240" w:lineRule="auto"/>
        <w:ind w:left="0" w:right="0"/>
        <w:jc w:val="left"/>
      </w:pPr>
      <w:bookmarkStart w:id="731" w:name="bookmark731"/>
      <w:bookmarkStart w:id="732" w:name="bookmark732"/>
      <w:bookmarkStart w:id="733" w:name="bookmark733"/>
      <w:r>
        <w:rPr>
          <w:color w:val="000000"/>
          <w:spacing w:val="0"/>
          <w:w w:val="100"/>
          <w:position w:val="0"/>
          <w:sz w:val="24"/>
          <w:szCs w:val="24"/>
        </w:rPr>
        <w:t>2016</w:t>
      </w:r>
      <w:r>
        <w:rPr>
          <w:rFonts w:ascii="SimSun" w:eastAsia="SimSun" w:hAnsi="SimSun" w:cs="SimSun"/>
          <w:b/>
          <w:bCs/>
          <w:color w:val="000000"/>
          <w:spacing w:val="0"/>
          <w:w w:val="100"/>
          <w:position w:val="0"/>
          <w:sz w:val="24"/>
          <w:szCs w:val="24"/>
        </w:rPr>
        <w:t>年度</w:t>
      </w:r>
      <w:bookmarkEnd w:id="731"/>
      <w:bookmarkEnd w:id="732"/>
      <w:bookmarkEnd w:id="733"/>
    </w:p>
    <w:p>
      <w:pPr>
        <w:pStyle w:val="Style32"/>
        <w:keepNext w:val="0"/>
        <w:keepLines w:val="0"/>
        <w:widowControl w:val="0"/>
        <w:shd w:val="clear" w:color="auto" w:fill="auto"/>
        <w:bidi w:val="0"/>
        <w:spacing w:before="0" w:after="260" w:line="240" w:lineRule="auto"/>
        <w:ind w:left="0" w:right="0" w:firstLine="700"/>
        <w:jc w:val="left"/>
        <w:rPr>
          <w:sz w:val="24"/>
          <w:szCs w:val="24"/>
        </w:rPr>
      </w:pPr>
      <w:r>
        <w:rPr>
          <w:rFonts w:ascii="Arial" w:eastAsia="Arial" w:hAnsi="Arial" w:cs="Arial"/>
          <w:color w:val="000000"/>
          <w:spacing w:val="0"/>
          <w:w w:val="100"/>
          <w:position w:val="0"/>
          <w:sz w:val="20"/>
          <w:szCs w:val="20"/>
        </w:rPr>
        <w:t>（</w:t>
      </w:r>
      <w:r>
        <w:rPr>
          <w:color w:val="000000"/>
          <w:spacing w:val="0"/>
          <w:w w:val="100"/>
          <w:position w:val="0"/>
          <w:sz w:val="20"/>
          <w:szCs w:val="20"/>
        </w:rPr>
        <w:t>除特别注明外，金额单位为人民币千元</w:t>
      </w:r>
      <w:r>
        <w:rPr>
          <w:color w:val="000000"/>
          <w:spacing w:val="0"/>
          <w:w w:val="100"/>
          <w:position w:val="0"/>
          <w:sz w:val="24"/>
          <w:szCs w:val="24"/>
        </w:rPr>
        <w:t>）</w:t>
      </w:r>
    </w:p>
    <w:p>
      <w:pPr>
        <w:pStyle w:val="Style32"/>
        <w:keepNext w:val="0"/>
        <w:keepLines w:val="0"/>
        <w:widowControl w:val="0"/>
        <w:shd w:val="clear" w:color="auto" w:fill="auto"/>
        <w:tabs>
          <w:tab w:pos="691" w:val="left"/>
        </w:tabs>
        <w:bidi w:val="0"/>
        <w:spacing w:before="0" w:after="260" w:line="240" w:lineRule="auto"/>
        <w:ind w:left="0" w:right="0" w:firstLine="0"/>
        <w:jc w:val="left"/>
        <w:rPr>
          <w:sz w:val="24"/>
          <w:szCs w:val="24"/>
        </w:rPr>
      </w:pPr>
      <w:r>
        <w:rPr>
          <w:b/>
          <w:bCs/>
          <w:color w:val="000000"/>
          <w:spacing w:val="0"/>
          <w:w w:val="100"/>
          <w:position w:val="0"/>
          <w:sz w:val="24"/>
          <w:szCs w:val="24"/>
        </w:rPr>
        <w:t>二</w:t>
        <w:tab/>
        <w:t>主要会计政策和会计估计</w:t>
      </w:r>
      <w:r>
        <w:rPr>
          <w:rFonts w:ascii="Times New Roman" w:eastAsia="Times New Roman" w:hAnsi="Times New Roman" w:cs="Times New Roman"/>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4"/>
          <w:szCs w:val="24"/>
        </w:rPr>
        <w:t>）</w:t>
      </w:r>
    </w:p>
    <w:p>
      <w:pPr>
        <w:pStyle w:val="Style53"/>
        <w:keepNext w:val="0"/>
        <w:keepLines w:val="0"/>
        <w:widowControl w:val="0"/>
        <w:shd w:val="clear" w:color="auto" w:fill="auto"/>
        <w:tabs>
          <w:tab w:pos="691" w:val="left"/>
        </w:tabs>
        <w:bidi w:val="0"/>
        <w:spacing w:before="0" w:after="260" w:line="271" w:lineRule="auto"/>
        <w:ind w:left="0" w:right="0" w:firstLine="0"/>
        <w:jc w:val="left"/>
        <w:rPr>
          <w:sz w:val="24"/>
          <w:szCs w:val="24"/>
        </w:rPr>
      </w:pPr>
      <w:r>
        <w:rPr>
          <w:color w:val="000000"/>
          <w:spacing w:val="0"/>
          <w:w w:val="100"/>
          <w:position w:val="0"/>
          <w:sz w:val="24"/>
          <w:szCs w:val="24"/>
        </w:rPr>
        <w:t>（20）</w:t>
        <w:tab/>
      </w:r>
      <w:r>
        <w:rPr>
          <w:rFonts w:ascii="SimSun" w:eastAsia="SimSun" w:hAnsi="SimSun" w:cs="SimSun"/>
          <w:b/>
          <w:bCs/>
          <w:color w:val="000000"/>
          <w:spacing w:val="0"/>
          <w:w w:val="100"/>
          <w:position w:val="0"/>
          <w:sz w:val="24"/>
          <w:szCs w:val="24"/>
        </w:rPr>
        <w:t>职工薪酬</w:t>
      </w:r>
      <w:r>
        <w:rPr>
          <w:color w:val="000000"/>
          <w:spacing w:val="0"/>
          <w:w w:val="100"/>
          <w:position w:val="0"/>
          <w:sz w:val="24"/>
          <w:szCs w:val="24"/>
        </w:rPr>
        <w:t>（</w:t>
      </w:r>
      <w:r>
        <w:rPr>
          <w:rFonts w:ascii="SimSun" w:eastAsia="SimSun" w:hAnsi="SimSun" w:cs="SimSun"/>
          <w:b/>
          <w:bCs/>
          <w:color w:val="000000"/>
          <w:spacing w:val="0"/>
          <w:w w:val="100"/>
          <w:position w:val="0"/>
          <w:sz w:val="24"/>
          <w:szCs w:val="24"/>
        </w:rPr>
        <w:t>续</w:t>
      </w:r>
      <w:r>
        <w:rPr>
          <w:rFonts w:ascii="SimSun" w:eastAsia="SimSun" w:hAnsi="SimSun" w:cs="SimSun"/>
          <w:color w:val="000000"/>
          <w:spacing w:val="0"/>
          <w:w w:val="100"/>
          <w:position w:val="0"/>
          <w:sz w:val="24"/>
          <w:szCs w:val="24"/>
        </w:rPr>
        <w:t>）</w:t>
      </w:r>
    </w:p>
    <w:p>
      <w:pPr>
        <w:pStyle w:val="Style32"/>
        <w:keepNext w:val="0"/>
        <w:keepLines w:val="0"/>
        <w:widowControl w:val="0"/>
        <w:shd w:val="clear" w:color="auto" w:fill="auto"/>
        <w:tabs>
          <w:tab w:pos="691" w:val="left"/>
        </w:tabs>
        <w:bidi w:val="0"/>
        <w:spacing w:before="0" w:after="260" w:line="271" w:lineRule="auto"/>
        <w:ind w:left="0" w:right="0" w:firstLine="0"/>
        <w:jc w:val="left"/>
        <w:rPr>
          <w:sz w:val="24"/>
          <w:szCs w:val="24"/>
        </w:rPr>
      </w:pPr>
      <w:bookmarkStart w:id="734" w:name="bookmark734"/>
      <w:r>
        <w:rPr>
          <w:rFonts w:ascii="Times New Roman" w:eastAsia="Times New Roman" w:hAnsi="Times New Roman" w:cs="Times New Roman"/>
          <w:color w:val="000000"/>
          <w:spacing w:val="0"/>
          <w:w w:val="100"/>
          <w:position w:val="0"/>
          <w:sz w:val="24"/>
          <w:szCs w:val="24"/>
        </w:rPr>
        <w:t>（</w:t>
      </w:r>
      <w:bookmarkEnd w:id="734"/>
      <w:r>
        <w:rPr>
          <w:rFonts w:ascii="Times New Roman" w:eastAsia="Times New Roman" w:hAnsi="Times New Roman" w:cs="Times New Roman"/>
          <w:color w:val="000000"/>
          <w:spacing w:val="0"/>
          <w:w w:val="100"/>
          <w:position w:val="0"/>
          <w:sz w:val="24"/>
          <w:szCs w:val="24"/>
        </w:rPr>
        <w:t>b）</w:t>
        <w:tab/>
      </w:r>
      <w:r>
        <w:rPr>
          <w:color w:val="000000"/>
          <w:spacing w:val="0"/>
          <w:w w:val="100"/>
          <w:position w:val="0"/>
          <w:sz w:val="24"/>
          <w:szCs w:val="24"/>
        </w:rPr>
        <w:t>离职后福利</w:t>
      </w:r>
    </w:p>
    <w:p>
      <w:pPr>
        <w:pStyle w:val="Style32"/>
        <w:keepNext w:val="0"/>
        <w:keepLines w:val="0"/>
        <w:widowControl w:val="0"/>
        <w:shd w:val="clear" w:color="auto" w:fill="auto"/>
        <w:bidi w:val="0"/>
        <w:spacing w:before="0" w:after="260" w:line="310" w:lineRule="exact"/>
        <w:ind w:left="700" w:right="0" w:firstLine="20"/>
        <w:jc w:val="both"/>
        <w:rPr>
          <w:sz w:val="24"/>
          <w:szCs w:val="24"/>
        </w:rPr>
      </w:pPr>
      <w:r>
        <w:rPr>
          <w:color w:val="000000"/>
          <w:spacing w:val="0"/>
          <w:w w:val="100"/>
          <w:position w:val="0"/>
          <w:sz w:val="24"/>
          <w:szCs w:val="24"/>
        </w:rPr>
        <w:t>本集团将离职后福利计划分类为设定提存计划和设定受益计划。设定提存计 划是本集团向独立的基金缴存固定费用后，不再承担进一步支付义务的离职 后福利计划；设定受益计划是除设定提存计划以外的离职后福利计划。于报 告期内，本集团的离职后福利主要是为员工缴纳的基本养老保险和失业保 险。</w:t>
      </w:r>
    </w:p>
    <w:p>
      <w:pPr>
        <w:pStyle w:val="Style32"/>
        <w:keepNext w:val="0"/>
        <w:keepLines w:val="0"/>
        <w:widowControl w:val="0"/>
        <w:shd w:val="clear" w:color="auto" w:fill="auto"/>
        <w:bidi w:val="0"/>
        <w:spacing w:before="0" w:after="260" w:line="311" w:lineRule="exact"/>
        <w:ind w:left="0" w:right="0" w:firstLine="700"/>
        <w:jc w:val="left"/>
        <w:rPr>
          <w:sz w:val="24"/>
          <w:szCs w:val="24"/>
        </w:rPr>
      </w:pPr>
      <w:r>
        <w:rPr>
          <w:color w:val="000000"/>
          <w:spacing w:val="0"/>
          <w:w w:val="100"/>
          <w:position w:val="0"/>
          <w:sz w:val="24"/>
          <w:szCs w:val="24"/>
        </w:rPr>
        <w:t>基本养老保险</w:t>
      </w:r>
    </w:p>
    <w:p>
      <w:pPr>
        <w:pStyle w:val="Style32"/>
        <w:keepNext w:val="0"/>
        <w:keepLines w:val="0"/>
        <w:widowControl w:val="0"/>
        <w:shd w:val="clear" w:color="auto" w:fill="auto"/>
        <w:bidi w:val="0"/>
        <w:spacing w:before="0" w:after="260" w:line="312" w:lineRule="exact"/>
        <w:ind w:left="700" w:right="0" w:firstLine="20"/>
        <w:jc w:val="both"/>
        <w:rPr>
          <w:sz w:val="24"/>
          <w:szCs w:val="24"/>
        </w:rPr>
      </w:pPr>
      <w:r>
        <w:rPr>
          <w:color w:val="000000"/>
          <w:spacing w:val="0"/>
          <w:w w:val="100"/>
          <w:position w:val="0"/>
          <w:sz w:val="24"/>
          <w:szCs w:val="24"/>
        </w:rPr>
        <w:t>本集团职工参加了由当地劳动和社会保障部门组织实施的社会基本养老保 险。本集团以当地规定的社会基本养老保险缴纳基数和比例，按月向当地社 会基本养老保险经办机构缴纳养老保险费。职工退休后，当地劳动及社会保 障部门有责任向已退休员工支付社会基本养老金。本集团在职工提供服务的 会计期间，将根据上述社保规定计算应缴纳的金额确认为负债，并计入当期 损益或相关资产成本。</w:t>
      </w:r>
    </w:p>
    <w:p>
      <w:pPr>
        <w:pStyle w:val="Style32"/>
        <w:keepNext w:val="0"/>
        <w:keepLines w:val="0"/>
        <w:widowControl w:val="0"/>
        <w:shd w:val="clear" w:color="auto" w:fill="auto"/>
        <w:bidi w:val="0"/>
        <w:spacing w:before="0" w:after="260" w:line="310" w:lineRule="exact"/>
        <w:ind w:left="700" w:right="0" w:firstLine="20"/>
        <w:jc w:val="both"/>
        <w:rPr>
          <w:sz w:val="24"/>
          <w:szCs w:val="24"/>
        </w:rPr>
      </w:pPr>
      <w:r>
        <w:rPr>
          <w:color w:val="000000"/>
          <w:spacing w:val="0"/>
          <w:w w:val="100"/>
          <w:position w:val="0"/>
          <w:sz w:val="24"/>
          <w:szCs w:val="24"/>
        </w:rPr>
        <w:t>此外，本集团部分海外子公司还向其职工提供国家规定的保险制度外的补充 退休福利，该类补充退休福利属于设定受益计划。资产负债表上确认的设定 受益负债为设定受益义务的现值减去计划资产的公允价值。设定受益义务每 年由独立精算师采用与义务期限和币种相似的国债利率、以预期累积福利单 位法计算。与补充退休福利相关的服务费用</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包括当期服务成本、过去服务 成本和结算利得或损失</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和利息净额计入当期损益或相关资产成本，重新计 量设定受益计划净负债或净资产所产生的变动计入其他综合收益。</w:t>
      </w:r>
    </w:p>
    <w:p>
      <w:pPr>
        <w:pStyle w:val="Style32"/>
        <w:keepNext w:val="0"/>
        <w:keepLines w:val="0"/>
        <w:widowControl w:val="0"/>
        <w:shd w:val="clear" w:color="auto" w:fill="auto"/>
        <w:tabs>
          <w:tab w:pos="691" w:val="left"/>
        </w:tabs>
        <w:bidi w:val="0"/>
        <w:spacing w:before="0" w:after="260" w:line="271" w:lineRule="auto"/>
        <w:ind w:left="0" w:right="0" w:firstLine="0"/>
        <w:jc w:val="left"/>
        <w:rPr>
          <w:sz w:val="24"/>
          <w:szCs w:val="24"/>
        </w:rPr>
      </w:pPr>
      <w:bookmarkStart w:id="735" w:name="bookmark735"/>
      <w:r>
        <w:rPr>
          <w:rFonts w:ascii="Times New Roman" w:eastAsia="Times New Roman" w:hAnsi="Times New Roman" w:cs="Times New Roman"/>
          <w:color w:val="000000"/>
          <w:spacing w:val="0"/>
          <w:w w:val="100"/>
          <w:position w:val="0"/>
          <w:sz w:val="24"/>
          <w:szCs w:val="24"/>
        </w:rPr>
        <w:t>（</w:t>
      </w:r>
      <w:bookmarkEnd w:id="735"/>
      <w:r>
        <w:rPr>
          <w:rFonts w:ascii="Times New Roman" w:eastAsia="Times New Roman" w:hAnsi="Times New Roman" w:cs="Times New Roman"/>
          <w:color w:val="000000"/>
          <w:spacing w:val="0"/>
          <w:w w:val="100"/>
          <w:position w:val="0"/>
          <w:sz w:val="24"/>
          <w:szCs w:val="24"/>
        </w:rPr>
        <w:t>c）</w:t>
        <w:tab/>
      </w:r>
      <w:r>
        <w:rPr>
          <w:color w:val="000000"/>
          <w:spacing w:val="0"/>
          <w:w w:val="100"/>
          <w:position w:val="0"/>
          <w:sz w:val="24"/>
          <w:szCs w:val="24"/>
        </w:rPr>
        <w:t>辞退福利</w:t>
      </w:r>
    </w:p>
    <w:p>
      <w:pPr>
        <w:pStyle w:val="Style32"/>
        <w:keepNext w:val="0"/>
        <w:keepLines w:val="0"/>
        <w:widowControl w:val="0"/>
        <w:shd w:val="clear" w:color="auto" w:fill="auto"/>
        <w:bidi w:val="0"/>
        <w:spacing w:before="0" w:after="260" w:line="311" w:lineRule="exact"/>
        <w:ind w:left="700" w:right="0" w:firstLine="20"/>
        <w:jc w:val="both"/>
        <w:rPr>
          <w:sz w:val="24"/>
          <w:szCs w:val="24"/>
        </w:rPr>
      </w:pPr>
      <w:r>
        <w:rPr>
          <w:color w:val="000000"/>
          <w:spacing w:val="0"/>
          <w:w w:val="100"/>
          <w:position w:val="0"/>
          <w:sz w:val="24"/>
          <w:szCs w:val="24"/>
        </w:rPr>
        <w:t>本集团在职工劳动合同到期之前解除与职工的劳动关系、或者为鼓励职工自 愿接受裁减而提出给予补偿，在本集团不能单方面撤回解除劳动关系计划或 裁减建议时和确认与涉及支付辞退福利的重组相关的成本费用时两者孰早 日，确认因解除与职工的劳动关系给予补偿而产生的负债，同时计入当期损 益。</w:t>
      </w:r>
    </w:p>
    <w:p>
      <w:pPr>
        <w:pStyle w:val="Style32"/>
        <w:keepNext w:val="0"/>
        <w:keepLines w:val="0"/>
        <w:widowControl w:val="0"/>
        <w:shd w:val="clear" w:color="auto" w:fill="auto"/>
        <w:bidi w:val="0"/>
        <w:spacing w:before="0" w:after="260" w:line="311" w:lineRule="exact"/>
        <w:ind w:left="0" w:right="0" w:firstLine="700"/>
        <w:jc w:val="left"/>
        <w:rPr>
          <w:sz w:val="24"/>
          <w:szCs w:val="24"/>
        </w:rPr>
      </w:pPr>
      <w:r>
        <w:rPr>
          <w:color w:val="000000"/>
          <w:spacing w:val="0"/>
          <w:w w:val="100"/>
          <w:position w:val="0"/>
          <w:sz w:val="24"/>
          <w:szCs w:val="24"/>
        </w:rPr>
        <w:t>预期在资产负债表日起一年内需支付的辞退福利，列示为流动负债。</w:t>
      </w:r>
    </w:p>
    <w:p>
      <w:pPr>
        <w:pStyle w:val="Style32"/>
        <w:keepNext w:val="0"/>
        <w:keepLines w:val="0"/>
        <w:widowControl w:val="0"/>
        <w:shd w:val="clear" w:color="auto" w:fill="auto"/>
        <w:bidi w:val="0"/>
        <w:spacing w:before="0" w:after="0" w:line="240" w:lineRule="auto"/>
        <w:ind w:left="0" w:right="0" w:firstLine="700"/>
        <w:jc w:val="left"/>
        <w:rPr>
          <w:sz w:val="24"/>
          <w:szCs w:val="24"/>
        </w:rPr>
      </w:pPr>
      <w:r>
        <w:rPr>
          <w:b/>
          <w:bCs/>
          <w:color w:val="000000"/>
          <w:spacing w:val="0"/>
          <w:w w:val="100"/>
          <w:position w:val="0"/>
          <w:sz w:val="24"/>
          <w:szCs w:val="24"/>
        </w:rPr>
        <w:t>财务报表附注</w:t>
      </w:r>
    </w:p>
    <w:p>
      <w:pPr>
        <w:pStyle w:val="Style88"/>
        <w:keepNext/>
        <w:keepLines/>
        <w:widowControl w:val="0"/>
        <w:shd w:val="clear" w:color="auto" w:fill="auto"/>
        <w:bidi w:val="0"/>
        <w:spacing w:before="0" w:after="0" w:line="240" w:lineRule="auto"/>
        <w:ind w:left="0" w:right="0"/>
        <w:jc w:val="left"/>
      </w:pPr>
      <w:bookmarkStart w:id="736" w:name="bookmark736"/>
      <w:bookmarkStart w:id="737" w:name="bookmark737"/>
      <w:bookmarkStart w:id="738" w:name="bookmark738"/>
      <w:r>
        <w:rPr>
          <w:color w:val="000000"/>
          <w:spacing w:val="0"/>
          <w:w w:val="100"/>
          <w:position w:val="0"/>
          <w:sz w:val="24"/>
          <w:szCs w:val="24"/>
        </w:rPr>
        <w:t>2016</w:t>
      </w:r>
      <w:r>
        <w:rPr>
          <w:rFonts w:ascii="SimSun" w:eastAsia="SimSun" w:hAnsi="SimSun" w:cs="SimSun"/>
          <w:b/>
          <w:bCs/>
          <w:color w:val="000000"/>
          <w:spacing w:val="0"/>
          <w:w w:val="100"/>
          <w:position w:val="0"/>
          <w:sz w:val="24"/>
          <w:szCs w:val="24"/>
        </w:rPr>
        <w:t>年度</w:t>
      </w:r>
      <w:bookmarkEnd w:id="736"/>
      <w:bookmarkEnd w:id="737"/>
      <w:bookmarkEnd w:id="738"/>
    </w:p>
    <w:p>
      <w:pPr>
        <w:pStyle w:val="Style32"/>
        <w:keepNext w:val="0"/>
        <w:keepLines w:val="0"/>
        <w:widowControl w:val="0"/>
        <w:shd w:val="clear" w:color="auto" w:fill="auto"/>
        <w:bidi w:val="0"/>
        <w:spacing w:before="0" w:after="260" w:line="240" w:lineRule="auto"/>
        <w:ind w:left="0" w:right="0" w:firstLine="700"/>
        <w:jc w:val="left"/>
        <w:rPr>
          <w:sz w:val="24"/>
          <w:szCs w:val="24"/>
        </w:rPr>
      </w:pPr>
      <w:r>
        <w:rPr>
          <w:rFonts w:ascii="Arial" w:eastAsia="Arial" w:hAnsi="Arial" w:cs="Arial"/>
          <w:color w:val="000000"/>
          <w:spacing w:val="0"/>
          <w:w w:val="100"/>
          <w:position w:val="0"/>
          <w:sz w:val="20"/>
          <w:szCs w:val="20"/>
        </w:rPr>
        <w:t>(</w:t>
      </w:r>
      <w:r>
        <w:rPr>
          <w:color w:val="000000"/>
          <w:spacing w:val="0"/>
          <w:w w:val="100"/>
          <w:position w:val="0"/>
          <w:sz w:val="20"/>
          <w:szCs w:val="20"/>
        </w:rPr>
        <w:t>除特别注明外，金额单位为人民币千元</w:t>
      </w:r>
      <w:r>
        <w:rPr>
          <w:color w:val="000000"/>
          <w:spacing w:val="0"/>
          <w:w w:val="100"/>
          <w:position w:val="0"/>
          <w:sz w:val="24"/>
          <w:szCs w:val="24"/>
        </w:rPr>
        <w:t>)</w:t>
      </w:r>
    </w:p>
    <w:p>
      <w:pPr>
        <w:pStyle w:val="Style32"/>
        <w:keepNext w:val="0"/>
        <w:keepLines w:val="0"/>
        <w:widowControl w:val="0"/>
        <w:shd w:val="clear" w:color="auto" w:fill="auto"/>
        <w:tabs>
          <w:tab w:pos="718" w:val="left"/>
        </w:tabs>
        <w:bidi w:val="0"/>
        <w:spacing w:before="0" w:after="260" w:line="240" w:lineRule="auto"/>
        <w:ind w:left="0" w:right="0" w:firstLine="0"/>
        <w:jc w:val="left"/>
        <w:rPr>
          <w:sz w:val="24"/>
          <w:szCs w:val="24"/>
        </w:rPr>
      </w:pPr>
      <w:r>
        <w:rPr>
          <w:b/>
          <w:bCs/>
          <w:color w:val="000000"/>
          <w:spacing w:val="0"/>
          <w:w w:val="100"/>
          <w:position w:val="0"/>
          <w:sz w:val="24"/>
          <w:szCs w:val="24"/>
        </w:rPr>
        <w:t>二</w:t>
        <w:tab/>
        <w:t>主要会计政策和会计估计</w:t>
      </w:r>
      <w:r>
        <w:rPr>
          <w:rFonts w:ascii="Times New Roman" w:eastAsia="Times New Roman" w:hAnsi="Times New Roman" w:cs="Times New Roman"/>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4"/>
          <w:szCs w:val="24"/>
        </w:rPr>
        <w:t>)</w:t>
      </w:r>
    </w:p>
    <w:p>
      <w:pPr>
        <w:pStyle w:val="Style32"/>
        <w:keepNext w:val="0"/>
        <w:keepLines w:val="0"/>
        <w:widowControl w:val="0"/>
        <w:numPr>
          <w:ilvl w:val="0"/>
          <w:numId w:val="45"/>
        </w:numPr>
        <w:shd w:val="clear" w:color="auto" w:fill="auto"/>
        <w:tabs>
          <w:tab w:pos="718" w:val="left"/>
        </w:tabs>
        <w:bidi w:val="0"/>
        <w:spacing w:before="0" w:after="260" w:line="240" w:lineRule="auto"/>
        <w:ind w:left="0" w:right="0" w:firstLine="0"/>
        <w:jc w:val="left"/>
        <w:rPr>
          <w:sz w:val="24"/>
          <w:szCs w:val="24"/>
        </w:rPr>
      </w:pPr>
      <w:bookmarkStart w:id="739" w:name="bookmark739"/>
      <w:bookmarkEnd w:id="739"/>
      <w:r>
        <w:rPr>
          <w:b/>
          <w:bCs/>
          <w:color w:val="000000"/>
          <w:spacing w:val="0"/>
          <w:w w:val="100"/>
          <w:position w:val="0"/>
          <w:sz w:val="24"/>
          <w:szCs w:val="24"/>
        </w:rPr>
        <w:t>股利分配</w:t>
      </w:r>
    </w:p>
    <w:p>
      <w:pPr>
        <w:pStyle w:val="Style32"/>
        <w:keepNext w:val="0"/>
        <w:keepLines w:val="0"/>
        <w:widowControl w:val="0"/>
        <w:shd w:val="clear" w:color="auto" w:fill="auto"/>
        <w:bidi w:val="0"/>
        <w:spacing w:before="0" w:after="260" w:line="312" w:lineRule="exact"/>
        <w:ind w:left="0" w:right="0" w:firstLine="700"/>
        <w:jc w:val="left"/>
        <w:rPr>
          <w:sz w:val="24"/>
          <w:szCs w:val="24"/>
        </w:rPr>
      </w:pPr>
      <w:r>
        <w:rPr>
          <w:color w:val="000000"/>
          <w:spacing w:val="0"/>
          <w:w w:val="100"/>
          <w:position w:val="0"/>
          <w:sz w:val="24"/>
          <w:szCs w:val="24"/>
        </w:rPr>
        <w:t>现金股利于股东大会批准的当期，确认为负债。</w:t>
      </w:r>
    </w:p>
    <w:p>
      <w:pPr>
        <w:pStyle w:val="Style32"/>
        <w:keepNext w:val="0"/>
        <w:keepLines w:val="0"/>
        <w:widowControl w:val="0"/>
        <w:numPr>
          <w:ilvl w:val="0"/>
          <w:numId w:val="45"/>
        </w:numPr>
        <w:shd w:val="clear" w:color="auto" w:fill="auto"/>
        <w:tabs>
          <w:tab w:pos="718" w:val="left"/>
        </w:tabs>
        <w:bidi w:val="0"/>
        <w:spacing w:before="0" w:after="260" w:line="240" w:lineRule="auto"/>
        <w:ind w:left="0" w:right="0" w:firstLine="0"/>
        <w:jc w:val="left"/>
        <w:rPr>
          <w:sz w:val="24"/>
          <w:szCs w:val="24"/>
        </w:rPr>
      </w:pPr>
      <w:bookmarkStart w:id="740" w:name="bookmark740"/>
      <w:bookmarkEnd w:id="740"/>
      <w:r>
        <w:rPr>
          <w:b/>
          <w:bCs/>
          <w:color w:val="000000"/>
          <w:spacing w:val="0"/>
          <w:w w:val="100"/>
          <w:position w:val="0"/>
          <w:sz w:val="24"/>
          <w:szCs w:val="24"/>
        </w:rPr>
        <w:t>预计负债</w:t>
      </w:r>
    </w:p>
    <w:p>
      <w:pPr>
        <w:pStyle w:val="Style32"/>
        <w:keepNext w:val="0"/>
        <w:keepLines w:val="0"/>
        <w:widowControl w:val="0"/>
        <w:shd w:val="clear" w:color="auto" w:fill="auto"/>
        <w:bidi w:val="0"/>
        <w:spacing w:before="0" w:after="260" w:line="307" w:lineRule="exact"/>
        <w:ind w:left="700" w:right="0" w:firstLine="40"/>
        <w:jc w:val="both"/>
        <w:rPr>
          <w:sz w:val="24"/>
          <w:szCs w:val="24"/>
        </w:rPr>
      </w:pPr>
      <w:r>
        <w:rPr>
          <w:color w:val="000000"/>
          <w:spacing w:val="0"/>
          <w:w w:val="100"/>
          <w:position w:val="0"/>
          <w:sz w:val="24"/>
          <w:szCs w:val="24"/>
        </w:rPr>
        <w:t>因产品质量保证、亏损合同等形成的现时义务，当履行该义务很可能导致经 济利益的流出，且其金额能够可靠计量时，确认为预计负债。</w:t>
      </w:r>
    </w:p>
    <w:p>
      <w:pPr>
        <w:pStyle w:val="Style32"/>
        <w:keepNext w:val="0"/>
        <w:keepLines w:val="0"/>
        <w:widowControl w:val="0"/>
        <w:shd w:val="clear" w:color="auto" w:fill="auto"/>
        <w:bidi w:val="0"/>
        <w:spacing w:before="0" w:after="260" w:line="312" w:lineRule="exact"/>
        <w:ind w:left="700" w:right="0" w:firstLine="40"/>
        <w:jc w:val="both"/>
        <w:rPr>
          <w:sz w:val="24"/>
          <w:szCs w:val="24"/>
        </w:rPr>
      </w:pPr>
      <w:r>
        <w:rPr>
          <w:color w:val="000000"/>
          <w:spacing w:val="0"/>
          <w:w w:val="100"/>
          <w:position w:val="0"/>
          <w:sz w:val="24"/>
          <w:szCs w:val="24"/>
        </w:rPr>
        <w:t>预计负债按照履行相关现时义务所需支出的最佳估计数进行初始计量，并综 合考虑与或有事项有关的风险、不确定性和货币时间价值等因素。货币时间 价值影响重大的，通过对相关未来现金流出进行折现后确定最佳估计数；因 随着时间推移所进行的折现还原而导致的预计负债账面价值的增加金额，确 认为利息费用。</w:t>
      </w:r>
    </w:p>
    <w:p>
      <w:pPr>
        <w:pStyle w:val="Style32"/>
        <w:keepNext w:val="0"/>
        <w:keepLines w:val="0"/>
        <w:widowControl w:val="0"/>
        <w:shd w:val="clear" w:color="auto" w:fill="auto"/>
        <w:bidi w:val="0"/>
        <w:spacing w:before="0" w:after="260" w:line="312" w:lineRule="exact"/>
        <w:ind w:left="700" w:right="0" w:firstLine="40"/>
        <w:jc w:val="both"/>
        <w:rPr>
          <w:sz w:val="24"/>
          <w:szCs w:val="24"/>
        </w:rPr>
      </w:pPr>
      <w:r>
        <w:rPr>
          <w:color w:val="000000"/>
          <w:spacing w:val="0"/>
          <w:w w:val="100"/>
          <w:position w:val="0"/>
          <w:sz w:val="24"/>
          <w:szCs w:val="24"/>
        </w:rPr>
        <w:t>于资产负债表日，对预计负债的账面价值进行复核并作适当调整，以反映当 前的最佳估计数。</w:t>
      </w:r>
    </w:p>
    <w:p>
      <w:pPr>
        <w:pStyle w:val="Style32"/>
        <w:keepNext w:val="0"/>
        <w:keepLines w:val="0"/>
        <w:widowControl w:val="0"/>
        <w:shd w:val="clear" w:color="auto" w:fill="auto"/>
        <w:bidi w:val="0"/>
        <w:spacing w:before="0" w:after="260" w:line="312" w:lineRule="exact"/>
        <w:ind w:left="0" w:right="0" w:firstLine="700"/>
        <w:jc w:val="left"/>
        <w:rPr>
          <w:sz w:val="24"/>
          <w:szCs w:val="24"/>
        </w:rPr>
      </w:pPr>
      <w:r>
        <w:rPr>
          <w:color w:val="000000"/>
          <w:spacing w:val="0"/>
          <w:w w:val="100"/>
          <w:position w:val="0"/>
          <w:sz w:val="24"/>
          <w:szCs w:val="24"/>
        </w:rPr>
        <w:t>预期在资产负债表日起一年内需支付的预计负债，列示为流动负债。</w:t>
      </w:r>
    </w:p>
    <w:p>
      <w:pPr>
        <w:pStyle w:val="Style32"/>
        <w:keepNext w:val="0"/>
        <w:keepLines w:val="0"/>
        <w:widowControl w:val="0"/>
        <w:numPr>
          <w:ilvl w:val="0"/>
          <w:numId w:val="45"/>
        </w:numPr>
        <w:shd w:val="clear" w:color="auto" w:fill="auto"/>
        <w:tabs>
          <w:tab w:pos="718" w:val="left"/>
        </w:tabs>
        <w:bidi w:val="0"/>
        <w:spacing w:before="0" w:after="260" w:line="240" w:lineRule="auto"/>
        <w:ind w:left="0" w:right="0" w:firstLine="0"/>
        <w:jc w:val="left"/>
        <w:rPr>
          <w:sz w:val="24"/>
          <w:szCs w:val="24"/>
        </w:rPr>
      </w:pPr>
      <w:bookmarkStart w:id="741" w:name="bookmark741"/>
      <w:bookmarkEnd w:id="741"/>
      <w:r>
        <w:rPr>
          <w:b/>
          <w:bCs/>
          <w:color w:val="000000"/>
          <w:spacing w:val="0"/>
          <w:w w:val="100"/>
          <w:position w:val="0"/>
          <w:sz w:val="24"/>
          <w:szCs w:val="24"/>
        </w:rPr>
        <w:t>积分计划</w:t>
      </w:r>
    </w:p>
    <w:p>
      <w:pPr>
        <w:pStyle w:val="Style32"/>
        <w:keepNext w:val="0"/>
        <w:keepLines w:val="0"/>
        <w:widowControl w:val="0"/>
        <w:shd w:val="clear" w:color="auto" w:fill="auto"/>
        <w:bidi w:val="0"/>
        <w:spacing w:before="0" w:after="260" w:line="312" w:lineRule="exact"/>
        <w:ind w:left="700" w:right="0" w:firstLine="40"/>
        <w:jc w:val="both"/>
        <w:rPr>
          <w:sz w:val="24"/>
          <w:szCs w:val="24"/>
        </w:rPr>
      </w:pPr>
      <w:r>
        <w:rPr>
          <w:color w:val="000000"/>
          <w:spacing w:val="0"/>
          <w:w w:val="100"/>
          <w:position w:val="0"/>
          <w:sz w:val="24"/>
          <w:szCs w:val="24"/>
        </w:rPr>
        <w:t>本集团实施积分计划，顾客前次消费额产生的积分，可以在下次消费时抵 用。授予顾客的积分奖励作为销售交易的一部分。销售取得的货款或应收货 款在商品销售或劳务提供产生的收入与奖励积分的公允价值之间进行分配， 取得的货款或应收货款扣除奖励积分公允价值的部分后确认为收入，奖励积 分的公允价值确认为递延收益。奖励积分确认的递延收益以授予顾客的积分 为基准，并根据本集团已公布的积分使用方法和积分的预期兑付率后，按公 允价值确认。</w:t>
      </w:r>
    </w:p>
    <w:p>
      <w:pPr>
        <w:pStyle w:val="Style32"/>
        <w:keepNext w:val="0"/>
        <w:keepLines w:val="0"/>
        <w:widowControl w:val="0"/>
        <w:shd w:val="clear" w:color="auto" w:fill="auto"/>
        <w:bidi w:val="0"/>
        <w:spacing w:before="0" w:after="260" w:line="312" w:lineRule="exact"/>
        <w:ind w:left="700" w:right="0" w:firstLine="40"/>
        <w:jc w:val="both"/>
        <w:rPr>
          <w:sz w:val="24"/>
          <w:szCs w:val="24"/>
        </w:rPr>
      </w:pPr>
      <w:r>
        <w:rPr>
          <w:color w:val="000000"/>
          <w:spacing w:val="0"/>
          <w:w w:val="100"/>
          <w:position w:val="0"/>
          <w:sz w:val="24"/>
          <w:szCs w:val="24"/>
        </w:rPr>
        <w:t>在顾客兑换奖励积分时，将原计入递延收益的与所兑换积分相关的部分确认 为收入。</w:t>
      </w:r>
    </w:p>
    <w:p>
      <w:pPr>
        <w:pStyle w:val="Style32"/>
        <w:keepNext w:val="0"/>
        <w:keepLines w:val="0"/>
        <w:widowControl w:val="0"/>
        <w:numPr>
          <w:ilvl w:val="0"/>
          <w:numId w:val="45"/>
        </w:numPr>
        <w:shd w:val="clear" w:color="auto" w:fill="auto"/>
        <w:tabs>
          <w:tab w:pos="718" w:val="left"/>
        </w:tabs>
        <w:bidi w:val="0"/>
        <w:spacing w:before="0" w:after="260" w:line="240" w:lineRule="auto"/>
        <w:ind w:left="0" w:right="0" w:firstLine="0"/>
        <w:jc w:val="left"/>
        <w:rPr>
          <w:sz w:val="24"/>
          <w:szCs w:val="24"/>
        </w:rPr>
      </w:pPr>
      <w:bookmarkStart w:id="742" w:name="bookmark742"/>
      <w:bookmarkEnd w:id="742"/>
      <w:r>
        <w:rPr>
          <w:b/>
          <w:bCs/>
          <w:color w:val="000000"/>
          <w:spacing w:val="0"/>
          <w:w w:val="100"/>
          <w:position w:val="0"/>
          <w:sz w:val="24"/>
          <w:szCs w:val="24"/>
        </w:rPr>
        <w:t>收入确认</w:t>
      </w:r>
    </w:p>
    <w:p>
      <w:pPr>
        <w:pStyle w:val="Style32"/>
        <w:keepNext w:val="0"/>
        <w:keepLines w:val="0"/>
        <w:widowControl w:val="0"/>
        <w:shd w:val="clear" w:color="auto" w:fill="auto"/>
        <w:bidi w:val="0"/>
        <w:spacing w:before="0" w:after="260" w:line="312" w:lineRule="exact"/>
        <w:ind w:left="700" w:right="0" w:firstLine="40"/>
        <w:jc w:val="both"/>
        <w:rPr>
          <w:sz w:val="24"/>
          <w:szCs w:val="24"/>
        </w:rPr>
      </w:pPr>
      <w:r>
        <w:rPr>
          <w:color w:val="000000"/>
          <w:spacing w:val="0"/>
          <w:w w:val="100"/>
          <w:position w:val="0"/>
          <w:sz w:val="24"/>
          <w:szCs w:val="24"/>
        </w:rPr>
        <w:t>收入的金额按照本集团在日常经营活动中销售商品和提供劳务时，已收或应 收合同或协议价款的公允价值确定。收入按扣除销售折让及销售退回的净额 列示。</w:t>
      </w:r>
    </w:p>
    <w:p>
      <w:pPr>
        <w:pStyle w:val="Style32"/>
        <w:keepNext w:val="0"/>
        <w:keepLines w:val="0"/>
        <w:widowControl w:val="0"/>
        <w:shd w:val="clear" w:color="auto" w:fill="auto"/>
        <w:bidi w:val="0"/>
        <w:spacing w:before="0" w:after="260" w:line="302" w:lineRule="exact"/>
        <w:ind w:left="700" w:right="0" w:firstLine="40"/>
        <w:jc w:val="both"/>
        <w:rPr>
          <w:sz w:val="24"/>
          <w:szCs w:val="24"/>
        </w:rPr>
      </w:pPr>
      <w:r>
        <w:rPr>
          <w:color w:val="000000"/>
          <w:spacing w:val="0"/>
          <w:w w:val="100"/>
          <w:position w:val="0"/>
          <w:sz w:val="24"/>
          <w:szCs w:val="24"/>
        </w:rPr>
        <w:t>与交易相关的经济利益很可能流入本集团，相关的收入能够可靠计量且满足 下列各项经营活动的特定收入确认标准时，确认相关的收入：</w:t>
      </w:r>
    </w:p>
    <w:p>
      <w:pPr>
        <w:pStyle w:val="Style32"/>
        <w:keepNext w:val="0"/>
        <w:keepLines w:val="0"/>
        <w:widowControl w:val="0"/>
        <w:shd w:val="clear" w:color="auto" w:fill="auto"/>
        <w:bidi w:val="0"/>
        <w:spacing w:before="0" w:after="0" w:line="240" w:lineRule="auto"/>
        <w:ind w:left="0" w:right="0" w:firstLine="700"/>
        <w:jc w:val="left"/>
        <w:rPr>
          <w:sz w:val="24"/>
          <w:szCs w:val="24"/>
        </w:rPr>
      </w:pPr>
      <w:r>
        <w:rPr>
          <w:b/>
          <w:bCs/>
          <w:color w:val="000000"/>
          <w:spacing w:val="0"/>
          <w:w w:val="100"/>
          <w:position w:val="0"/>
          <w:sz w:val="24"/>
          <w:szCs w:val="24"/>
        </w:rPr>
        <w:t>财务报表附注</w:t>
      </w:r>
    </w:p>
    <w:p>
      <w:pPr>
        <w:pStyle w:val="Style88"/>
        <w:keepNext/>
        <w:keepLines/>
        <w:widowControl w:val="0"/>
        <w:shd w:val="clear" w:color="auto" w:fill="auto"/>
        <w:bidi w:val="0"/>
        <w:spacing w:before="0" w:after="0" w:line="240" w:lineRule="auto"/>
        <w:ind w:left="0" w:right="0"/>
        <w:jc w:val="left"/>
      </w:pPr>
      <w:bookmarkStart w:id="743" w:name="bookmark743"/>
      <w:bookmarkStart w:id="744" w:name="bookmark744"/>
      <w:bookmarkStart w:id="745" w:name="bookmark745"/>
      <w:r>
        <w:rPr>
          <w:color w:val="000000"/>
          <w:spacing w:val="0"/>
          <w:w w:val="100"/>
          <w:position w:val="0"/>
          <w:sz w:val="24"/>
          <w:szCs w:val="24"/>
        </w:rPr>
        <w:t>2016</w:t>
      </w:r>
      <w:r>
        <w:rPr>
          <w:rFonts w:ascii="SimSun" w:eastAsia="SimSun" w:hAnsi="SimSun" w:cs="SimSun"/>
          <w:b/>
          <w:bCs/>
          <w:color w:val="000000"/>
          <w:spacing w:val="0"/>
          <w:w w:val="100"/>
          <w:position w:val="0"/>
          <w:sz w:val="24"/>
          <w:szCs w:val="24"/>
        </w:rPr>
        <w:t>年度</w:t>
      </w:r>
      <w:bookmarkEnd w:id="743"/>
      <w:bookmarkEnd w:id="744"/>
      <w:bookmarkEnd w:id="745"/>
    </w:p>
    <w:p>
      <w:pPr>
        <w:pStyle w:val="Style32"/>
        <w:keepNext w:val="0"/>
        <w:keepLines w:val="0"/>
        <w:widowControl w:val="0"/>
        <w:shd w:val="clear" w:color="auto" w:fill="auto"/>
        <w:bidi w:val="0"/>
        <w:spacing w:before="0" w:after="220" w:line="240" w:lineRule="auto"/>
        <w:ind w:left="0" w:right="0" w:firstLine="700"/>
        <w:jc w:val="left"/>
        <w:rPr>
          <w:sz w:val="24"/>
          <w:szCs w:val="24"/>
        </w:rPr>
      </w:pPr>
      <w:r>
        <w:rPr>
          <w:rFonts w:ascii="Arial" w:eastAsia="Arial" w:hAnsi="Arial" w:cs="Arial"/>
          <w:color w:val="000000"/>
          <w:spacing w:val="0"/>
          <w:w w:val="100"/>
          <w:position w:val="0"/>
          <w:sz w:val="20"/>
          <w:szCs w:val="20"/>
        </w:rPr>
        <w:t>(</w:t>
      </w:r>
      <w:r>
        <w:rPr>
          <w:color w:val="000000"/>
          <w:spacing w:val="0"/>
          <w:w w:val="100"/>
          <w:position w:val="0"/>
          <w:sz w:val="20"/>
          <w:szCs w:val="20"/>
        </w:rPr>
        <w:t>除特别注明外，金额单位为人民币千元</w:t>
      </w:r>
      <w:r>
        <w:rPr>
          <w:color w:val="000000"/>
          <w:spacing w:val="0"/>
          <w:w w:val="100"/>
          <w:position w:val="0"/>
          <w:sz w:val="24"/>
          <w:szCs w:val="24"/>
        </w:rPr>
        <w:t>)</w:t>
      </w:r>
    </w:p>
    <w:p>
      <w:pPr>
        <w:pStyle w:val="Style32"/>
        <w:keepNext w:val="0"/>
        <w:keepLines w:val="0"/>
        <w:widowControl w:val="0"/>
        <w:shd w:val="clear" w:color="auto" w:fill="auto"/>
        <w:tabs>
          <w:tab w:pos="718" w:val="left"/>
        </w:tabs>
        <w:bidi w:val="0"/>
        <w:spacing w:before="0" w:after="260" w:line="240" w:lineRule="auto"/>
        <w:ind w:left="0" w:right="0" w:firstLine="0"/>
        <w:jc w:val="left"/>
        <w:rPr>
          <w:sz w:val="24"/>
          <w:szCs w:val="24"/>
        </w:rPr>
      </w:pPr>
      <w:r>
        <w:rPr>
          <w:b/>
          <w:bCs/>
          <w:color w:val="000000"/>
          <w:spacing w:val="0"/>
          <w:w w:val="100"/>
          <w:position w:val="0"/>
          <w:sz w:val="24"/>
          <w:szCs w:val="24"/>
        </w:rPr>
        <w:t>二</w:t>
        <w:tab/>
        <w:t>主要会计政策和会计估计</w:t>
      </w:r>
      <w:r>
        <w:rPr>
          <w:rFonts w:ascii="Times New Roman" w:eastAsia="Times New Roman" w:hAnsi="Times New Roman" w:cs="Times New Roman"/>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4"/>
          <w:szCs w:val="24"/>
        </w:rPr>
        <w:t>)</w:t>
      </w:r>
    </w:p>
    <w:p>
      <w:pPr>
        <w:pStyle w:val="Style53"/>
        <w:keepNext w:val="0"/>
        <w:keepLines w:val="0"/>
        <w:widowControl w:val="0"/>
        <w:numPr>
          <w:ilvl w:val="0"/>
          <w:numId w:val="53"/>
        </w:numPr>
        <w:shd w:val="clear" w:color="auto" w:fill="auto"/>
        <w:tabs>
          <w:tab w:pos="718" w:val="left"/>
        </w:tabs>
        <w:bidi w:val="0"/>
        <w:spacing w:before="0" w:after="260" w:line="271" w:lineRule="auto"/>
        <w:ind w:left="0" w:right="0" w:firstLine="0"/>
        <w:jc w:val="left"/>
        <w:rPr>
          <w:sz w:val="24"/>
          <w:szCs w:val="24"/>
        </w:rPr>
      </w:pPr>
      <w:bookmarkStart w:id="746" w:name="bookmark746"/>
      <w:bookmarkEnd w:id="746"/>
      <w:r>
        <w:rPr>
          <w:rFonts w:ascii="SimSun" w:eastAsia="SimSun" w:hAnsi="SimSun" w:cs="SimSun"/>
          <w:b/>
          <w:bCs/>
          <w:color w:val="000000"/>
          <w:spacing w:val="0"/>
          <w:w w:val="100"/>
          <w:position w:val="0"/>
          <w:sz w:val="24"/>
          <w:szCs w:val="24"/>
        </w:rPr>
        <w:t>收入确认</w:t>
      </w:r>
      <w:r>
        <w:rPr>
          <w:color w:val="000000"/>
          <w:spacing w:val="0"/>
          <w:w w:val="100"/>
          <w:position w:val="0"/>
          <w:sz w:val="24"/>
          <w:szCs w:val="24"/>
        </w:rPr>
        <w:t>(</w:t>
      </w:r>
      <w:r>
        <w:rPr>
          <w:rFonts w:ascii="SimSun" w:eastAsia="SimSun" w:hAnsi="SimSun" w:cs="SimSun"/>
          <w:b/>
          <w:bCs/>
          <w:color w:val="000000"/>
          <w:spacing w:val="0"/>
          <w:w w:val="100"/>
          <w:position w:val="0"/>
          <w:sz w:val="24"/>
          <w:szCs w:val="24"/>
        </w:rPr>
        <w:t>续</w:t>
      </w:r>
      <w:r>
        <w:rPr>
          <w:rFonts w:ascii="SimSun" w:eastAsia="SimSun" w:hAnsi="SimSun" w:cs="SimSun"/>
          <w:color w:val="000000"/>
          <w:spacing w:val="0"/>
          <w:w w:val="100"/>
          <w:position w:val="0"/>
          <w:sz w:val="24"/>
          <w:szCs w:val="24"/>
        </w:rPr>
        <w:t>)</w:t>
      </w:r>
    </w:p>
    <w:p>
      <w:pPr>
        <w:pStyle w:val="Style32"/>
        <w:keepNext w:val="0"/>
        <w:keepLines w:val="0"/>
        <w:widowControl w:val="0"/>
        <w:numPr>
          <w:ilvl w:val="0"/>
          <w:numId w:val="55"/>
        </w:numPr>
        <w:shd w:val="clear" w:color="auto" w:fill="auto"/>
        <w:tabs>
          <w:tab w:pos="718" w:val="left"/>
        </w:tabs>
        <w:bidi w:val="0"/>
        <w:spacing w:before="0" w:after="220" w:line="271" w:lineRule="auto"/>
        <w:ind w:left="0" w:right="0" w:firstLine="0"/>
        <w:jc w:val="left"/>
        <w:rPr>
          <w:sz w:val="24"/>
          <w:szCs w:val="24"/>
        </w:rPr>
      </w:pPr>
      <w:bookmarkStart w:id="747" w:name="bookmark747"/>
      <w:bookmarkEnd w:id="747"/>
      <w:r>
        <w:rPr>
          <w:color w:val="000000"/>
          <w:spacing w:val="0"/>
          <w:w w:val="100"/>
          <w:position w:val="0"/>
          <w:sz w:val="24"/>
          <w:szCs w:val="24"/>
        </w:rPr>
        <w:t>销售商品</w:t>
      </w:r>
    </w:p>
    <w:p>
      <w:pPr>
        <w:pStyle w:val="Style32"/>
        <w:keepNext w:val="0"/>
        <w:keepLines w:val="0"/>
        <w:widowControl w:val="0"/>
        <w:shd w:val="clear" w:color="auto" w:fill="auto"/>
        <w:bidi w:val="0"/>
        <w:spacing w:before="0" w:after="260" w:line="310" w:lineRule="exact"/>
        <w:ind w:left="700" w:right="0" w:firstLine="40"/>
        <w:jc w:val="both"/>
        <w:rPr>
          <w:sz w:val="24"/>
          <w:szCs w:val="24"/>
        </w:rPr>
      </w:pPr>
      <w:r>
        <w:rPr>
          <w:color w:val="000000"/>
          <w:spacing w:val="0"/>
          <w:w w:val="100"/>
          <w:position w:val="0"/>
          <w:sz w:val="24"/>
          <w:szCs w:val="24"/>
        </w:rPr>
        <w:t>本集团从事商品零售业务，当本集团向消费者转移商品所有权凭证后，商品 所有权上的主要风险和报酬随之转移，与销售该商品有关的成本能够可靠地 计量，本集团在此时确认商品的销售收入。</w:t>
      </w:r>
    </w:p>
    <w:p>
      <w:pPr>
        <w:pStyle w:val="Style32"/>
        <w:keepNext w:val="0"/>
        <w:keepLines w:val="0"/>
        <w:widowControl w:val="0"/>
        <w:numPr>
          <w:ilvl w:val="0"/>
          <w:numId w:val="55"/>
        </w:numPr>
        <w:shd w:val="clear" w:color="auto" w:fill="auto"/>
        <w:tabs>
          <w:tab w:pos="718" w:val="left"/>
        </w:tabs>
        <w:bidi w:val="0"/>
        <w:spacing w:before="0" w:after="220" w:line="271" w:lineRule="auto"/>
        <w:ind w:left="0" w:right="0" w:firstLine="0"/>
        <w:jc w:val="left"/>
        <w:rPr>
          <w:sz w:val="24"/>
          <w:szCs w:val="24"/>
        </w:rPr>
      </w:pPr>
      <w:bookmarkStart w:id="748" w:name="bookmark748"/>
      <w:bookmarkEnd w:id="748"/>
      <w:r>
        <w:rPr>
          <w:color w:val="000000"/>
          <w:spacing w:val="0"/>
          <w:w w:val="100"/>
          <w:position w:val="0"/>
          <w:sz w:val="24"/>
          <w:szCs w:val="24"/>
        </w:rPr>
        <w:t>房地产销售</w:t>
      </w:r>
    </w:p>
    <w:p>
      <w:pPr>
        <w:pStyle w:val="Style32"/>
        <w:keepNext w:val="0"/>
        <w:keepLines w:val="0"/>
        <w:widowControl w:val="0"/>
        <w:shd w:val="clear" w:color="auto" w:fill="auto"/>
        <w:bidi w:val="0"/>
        <w:spacing w:before="0" w:after="260" w:line="312" w:lineRule="exact"/>
        <w:ind w:left="700" w:right="0" w:firstLine="40"/>
        <w:jc w:val="both"/>
        <w:rPr>
          <w:sz w:val="24"/>
          <w:szCs w:val="24"/>
        </w:rPr>
      </w:pPr>
      <w:r>
        <w:rPr>
          <w:color w:val="000000"/>
          <w:spacing w:val="0"/>
          <w:w w:val="100"/>
          <w:position w:val="0"/>
          <w:sz w:val="24"/>
          <w:szCs w:val="24"/>
        </w:rPr>
        <w:t>销售房地产开发产品的收入在开发产品完工并验收合格，签订具有法律约束 力的销售合同，将开发产品所有权上的主要风险和报酬转移给购买方，本集 团既没有保留通常与所有权相联系的继续管理权，也没有对已售出的开发产 品实施有效控制，相关的已发生或将发生的成本能够可靠计量时，确认房地 产开发产品销售收入的实现。</w:t>
      </w:r>
    </w:p>
    <w:p>
      <w:pPr>
        <w:pStyle w:val="Style32"/>
        <w:keepNext w:val="0"/>
        <w:keepLines w:val="0"/>
        <w:widowControl w:val="0"/>
        <w:numPr>
          <w:ilvl w:val="0"/>
          <w:numId w:val="55"/>
        </w:numPr>
        <w:shd w:val="clear" w:color="auto" w:fill="auto"/>
        <w:tabs>
          <w:tab w:pos="718" w:val="left"/>
        </w:tabs>
        <w:bidi w:val="0"/>
        <w:spacing w:before="0" w:after="220" w:line="271" w:lineRule="auto"/>
        <w:ind w:left="0" w:right="0" w:firstLine="0"/>
        <w:jc w:val="left"/>
        <w:rPr>
          <w:sz w:val="24"/>
          <w:szCs w:val="24"/>
        </w:rPr>
      </w:pPr>
      <w:bookmarkStart w:id="749" w:name="bookmark749"/>
      <w:bookmarkEnd w:id="749"/>
      <w:r>
        <w:rPr>
          <w:color w:val="000000"/>
          <w:spacing w:val="0"/>
          <w:w w:val="100"/>
          <w:position w:val="0"/>
          <w:sz w:val="24"/>
          <w:szCs w:val="24"/>
        </w:rPr>
        <w:t>提供劳务</w:t>
      </w:r>
    </w:p>
    <w:p>
      <w:pPr>
        <w:pStyle w:val="Style32"/>
        <w:keepNext w:val="0"/>
        <w:keepLines w:val="0"/>
        <w:widowControl w:val="0"/>
        <w:shd w:val="clear" w:color="auto" w:fill="auto"/>
        <w:bidi w:val="0"/>
        <w:spacing w:before="0" w:after="260" w:line="310" w:lineRule="exact"/>
        <w:ind w:left="700" w:right="0" w:firstLine="40"/>
        <w:jc w:val="both"/>
        <w:rPr>
          <w:sz w:val="24"/>
          <w:szCs w:val="24"/>
        </w:rPr>
      </w:pPr>
      <w:r>
        <w:rPr>
          <w:color w:val="000000"/>
          <w:spacing w:val="0"/>
          <w:w w:val="100"/>
          <w:position w:val="0"/>
          <w:sz w:val="24"/>
          <w:szCs w:val="24"/>
        </w:rPr>
        <w:t>本集团对外提供业务培训劳务、安装维修劳务、代理劳务、连锁店服务劳务 等，在劳务总收入和总成本能够可靠地计量、与交易相关的经济利益能够流 入企业、劳务的完成程度能够可靠地确定时，确认劳务收入的实现。</w:t>
      </w:r>
    </w:p>
    <w:p>
      <w:pPr>
        <w:pStyle w:val="Style32"/>
        <w:keepNext w:val="0"/>
        <w:keepLines w:val="0"/>
        <w:widowControl w:val="0"/>
        <w:numPr>
          <w:ilvl w:val="0"/>
          <w:numId w:val="53"/>
        </w:numPr>
        <w:shd w:val="clear" w:color="auto" w:fill="auto"/>
        <w:tabs>
          <w:tab w:pos="718" w:val="left"/>
        </w:tabs>
        <w:bidi w:val="0"/>
        <w:spacing w:before="0" w:after="260" w:line="240" w:lineRule="auto"/>
        <w:ind w:left="0" w:right="0" w:firstLine="0"/>
        <w:jc w:val="left"/>
        <w:rPr>
          <w:sz w:val="24"/>
          <w:szCs w:val="24"/>
        </w:rPr>
      </w:pPr>
      <w:bookmarkStart w:id="750" w:name="bookmark750"/>
      <w:bookmarkEnd w:id="750"/>
      <w:r>
        <w:rPr>
          <w:b/>
          <w:bCs/>
          <w:color w:val="000000"/>
          <w:spacing w:val="0"/>
          <w:w w:val="100"/>
          <w:position w:val="0"/>
          <w:sz w:val="24"/>
          <w:szCs w:val="24"/>
        </w:rPr>
        <w:t>政府补助</w:t>
      </w:r>
    </w:p>
    <w:p>
      <w:pPr>
        <w:pStyle w:val="Style32"/>
        <w:keepNext w:val="0"/>
        <w:keepLines w:val="0"/>
        <w:widowControl w:val="0"/>
        <w:shd w:val="clear" w:color="auto" w:fill="auto"/>
        <w:bidi w:val="0"/>
        <w:spacing w:before="0" w:after="260" w:line="302" w:lineRule="exact"/>
        <w:ind w:left="700" w:right="0" w:firstLine="40"/>
        <w:jc w:val="both"/>
        <w:rPr>
          <w:sz w:val="24"/>
          <w:szCs w:val="24"/>
        </w:rPr>
      </w:pPr>
      <w:r>
        <w:rPr>
          <w:color w:val="000000"/>
          <w:spacing w:val="0"/>
          <w:w w:val="100"/>
          <w:position w:val="0"/>
          <w:sz w:val="24"/>
          <w:szCs w:val="24"/>
        </w:rPr>
        <w:t>政府补助为本集团从政府无偿取得的货币性资产或非货币性资产，包括税费 返还、财政补贴等。</w:t>
      </w:r>
    </w:p>
    <w:p>
      <w:pPr>
        <w:pStyle w:val="Style32"/>
        <w:keepNext w:val="0"/>
        <w:keepLines w:val="0"/>
        <w:widowControl w:val="0"/>
        <w:shd w:val="clear" w:color="auto" w:fill="auto"/>
        <w:bidi w:val="0"/>
        <w:spacing w:before="0" w:after="260" w:line="312" w:lineRule="exact"/>
        <w:ind w:left="700" w:right="0" w:firstLine="40"/>
        <w:jc w:val="both"/>
        <w:rPr>
          <w:sz w:val="24"/>
          <w:szCs w:val="24"/>
        </w:rPr>
      </w:pPr>
      <w:r>
        <w:rPr>
          <w:color w:val="000000"/>
          <w:spacing w:val="0"/>
          <w:w w:val="100"/>
          <w:position w:val="0"/>
          <w:sz w:val="24"/>
          <w:szCs w:val="24"/>
        </w:rPr>
        <w:t>政府补助在本集团能够满足其所附的条件并且能够收到时，予以确认。政府 补助为货币性资产的，按照收到或应收的金额计量。政府补助为非货币性资 产的，按照公允价值计量；公允价值不能可靠取得的，按照名义金额计量。</w:t>
      </w:r>
    </w:p>
    <w:p>
      <w:pPr>
        <w:pStyle w:val="Style32"/>
        <w:keepNext w:val="0"/>
        <w:keepLines w:val="0"/>
        <w:widowControl w:val="0"/>
        <w:shd w:val="clear" w:color="auto" w:fill="auto"/>
        <w:bidi w:val="0"/>
        <w:spacing w:before="0" w:after="260" w:line="314" w:lineRule="exact"/>
        <w:ind w:left="700" w:right="0" w:firstLine="40"/>
        <w:jc w:val="both"/>
        <w:rPr>
          <w:sz w:val="24"/>
          <w:szCs w:val="24"/>
        </w:rPr>
      </w:pPr>
      <w:r>
        <w:rPr>
          <w:color w:val="000000"/>
          <w:spacing w:val="0"/>
          <w:w w:val="100"/>
          <w:position w:val="0"/>
          <w:sz w:val="24"/>
          <w:szCs w:val="24"/>
        </w:rPr>
        <w:t>与资产相关的政府补助，是指企业取得的、用于购建或以其他方式形成长期 资产的政府补助。与收益相关的政府补助是指除与资产相关的政府补助之外 的政府补助。</w:t>
      </w:r>
    </w:p>
    <w:p>
      <w:pPr>
        <w:pStyle w:val="Style32"/>
        <w:keepNext w:val="0"/>
        <w:keepLines w:val="0"/>
        <w:widowControl w:val="0"/>
        <w:shd w:val="clear" w:color="auto" w:fill="auto"/>
        <w:bidi w:val="0"/>
        <w:spacing w:before="0" w:after="260" w:line="307" w:lineRule="exact"/>
        <w:ind w:left="700" w:right="0" w:firstLine="40"/>
        <w:jc w:val="both"/>
        <w:rPr>
          <w:sz w:val="24"/>
          <w:szCs w:val="24"/>
        </w:rPr>
      </w:pPr>
      <w:r>
        <w:rPr>
          <w:color w:val="000000"/>
          <w:spacing w:val="0"/>
          <w:w w:val="100"/>
          <w:position w:val="0"/>
          <w:sz w:val="24"/>
          <w:szCs w:val="24"/>
        </w:rPr>
        <w:t>与资产相关的政府补助，确认为递延收益，并在相关资产使用寿命内平均分 配，计入当期损益。按照名义金额计量的政府补助，直接计入当期损益。</w:t>
      </w:r>
    </w:p>
    <w:p>
      <w:pPr>
        <w:pStyle w:val="Style32"/>
        <w:keepNext w:val="0"/>
        <w:keepLines w:val="0"/>
        <w:widowControl w:val="0"/>
        <w:shd w:val="clear" w:color="auto" w:fill="auto"/>
        <w:bidi w:val="0"/>
        <w:spacing w:before="0" w:after="260" w:line="310" w:lineRule="exact"/>
        <w:ind w:left="700" w:right="0" w:firstLine="40"/>
        <w:jc w:val="both"/>
        <w:rPr>
          <w:sz w:val="24"/>
          <w:szCs w:val="24"/>
        </w:rPr>
      </w:pPr>
      <w:r>
        <w:rPr>
          <w:color w:val="000000"/>
          <w:spacing w:val="0"/>
          <w:w w:val="100"/>
          <w:position w:val="0"/>
          <w:sz w:val="24"/>
          <w:szCs w:val="24"/>
        </w:rPr>
        <w:t>与收益相关的政府补助，用于补偿以后期间的相关费用或损失的，确认为递 延收益，并在确认相关费用的期间，计入当期损益；用于补偿已发生的相关 费用或损失的，直接计入当期损益。</w:t>
      </w:r>
    </w:p>
    <w:p>
      <w:pPr>
        <w:pStyle w:val="Style32"/>
        <w:keepNext w:val="0"/>
        <w:keepLines w:val="0"/>
        <w:widowControl w:val="0"/>
        <w:shd w:val="clear" w:color="auto" w:fill="auto"/>
        <w:bidi w:val="0"/>
        <w:spacing w:before="0" w:after="0" w:line="240" w:lineRule="auto"/>
        <w:ind w:left="0" w:right="0" w:firstLine="700"/>
        <w:jc w:val="left"/>
        <w:rPr>
          <w:sz w:val="24"/>
          <w:szCs w:val="24"/>
        </w:rPr>
      </w:pPr>
      <w:r>
        <w:rPr>
          <w:b/>
          <w:bCs/>
          <w:color w:val="000000"/>
          <w:spacing w:val="0"/>
          <w:w w:val="100"/>
          <w:position w:val="0"/>
          <w:sz w:val="24"/>
          <w:szCs w:val="24"/>
        </w:rPr>
        <w:t>财务报表附注</w:t>
      </w:r>
    </w:p>
    <w:p>
      <w:pPr>
        <w:pStyle w:val="Style88"/>
        <w:keepNext/>
        <w:keepLines/>
        <w:widowControl w:val="0"/>
        <w:shd w:val="clear" w:color="auto" w:fill="auto"/>
        <w:bidi w:val="0"/>
        <w:spacing w:before="0" w:after="0" w:line="240" w:lineRule="auto"/>
        <w:ind w:left="0" w:right="0"/>
        <w:jc w:val="left"/>
      </w:pPr>
      <w:bookmarkStart w:id="751" w:name="bookmark751"/>
      <w:bookmarkStart w:id="752" w:name="bookmark752"/>
      <w:bookmarkStart w:id="753" w:name="bookmark753"/>
      <w:r>
        <w:rPr>
          <w:color w:val="000000"/>
          <w:spacing w:val="0"/>
          <w:w w:val="100"/>
          <w:position w:val="0"/>
          <w:sz w:val="24"/>
          <w:szCs w:val="24"/>
        </w:rPr>
        <w:t>2016</w:t>
      </w:r>
      <w:r>
        <w:rPr>
          <w:rFonts w:ascii="SimSun" w:eastAsia="SimSun" w:hAnsi="SimSun" w:cs="SimSun"/>
          <w:b/>
          <w:bCs/>
          <w:color w:val="000000"/>
          <w:spacing w:val="0"/>
          <w:w w:val="100"/>
          <w:position w:val="0"/>
          <w:sz w:val="24"/>
          <w:szCs w:val="24"/>
        </w:rPr>
        <w:t>年度</w:t>
      </w:r>
      <w:bookmarkEnd w:id="751"/>
      <w:bookmarkEnd w:id="752"/>
      <w:bookmarkEnd w:id="753"/>
    </w:p>
    <w:p>
      <w:pPr>
        <w:pStyle w:val="Style32"/>
        <w:keepNext w:val="0"/>
        <w:keepLines w:val="0"/>
        <w:widowControl w:val="0"/>
        <w:shd w:val="clear" w:color="auto" w:fill="auto"/>
        <w:bidi w:val="0"/>
        <w:spacing w:before="0" w:after="220" w:line="240" w:lineRule="auto"/>
        <w:ind w:left="0" w:right="0" w:firstLine="700"/>
        <w:jc w:val="left"/>
        <w:rPr>
          <w:sz w:val="24"/>
          <w:szCs w:val="24"/>
        </w:rPr>
      </w:pPr>
      <w:r>
        <w:rPr>
          <w:rFonts w:ascii="Arial" w:eastAsia="Arial" w:hAnsi="Arial" w:cs="Arial"/>
          <w:color w:val="000000"/>
          <w:spacing w:val="0"/>
          <w:w w:val="100"/>
          <w:position w:val="0"/>
          <w:sz w:val="20"/>
          <w:szCs w:val="20"/>
        </w:rPr>
        <w:t>（</w:t>
      </w:r>
      <w:r>
        <w:rPr>
          <w:color w:val="000000"/>
          <w:spacing w:val="0"/>
          <w:w w:val="100"/>
          <w:position w:val="0"/>
          <w:sz w:val="20"/>
          <w:szCs w:val="20"/>
        </w:rPr>
        <w:t>除特别注明外，金额单位为人民币千元</w:t>
      </w:r>
      <w:r>
        <w:rPr>
          <w:color w:val="000000"/>
          <w:spacing w:val="0"/>
          <w:w w:val="100"/>
          <w:position w:val="0"/>
          <w:sz w:val="24"/>
          <w:szCs w:val="24"/>
        </w:rPr>
        <w:t>）</w:t>
      </w:r>
    </w:p>
    <w:p>
      <w:pPr>
        <w:pStyle w:val="Style32"/>
        <w:keepNext w:val="0"/>
        <w:keepLines w:val="0"/>
        <w:widowControl w:val="0"/>
        <w:shd w:val="clear" w:color="auto" w:fill="auto"/>
        <w:tabs>
          <w:tab w:pos="667" w:val="left"/>
        </w:tabs>
        <w:bidi w:val="0"/>
        <w:spacing w:before="0" w:after="280" w:line="240" w:lineRule="auto"/>
        <w:ind w:left="0" w:right="0" w:firstLine="0"/>
        <w:jc w:val="left"/>
        <w:rPr>
          <w:sz w:val="24"/>
          <w:szCs w:val="24"/>
        </w:rPr>
      </w:pPr>
      <w:r>
        <w:rPr>
          <w:b/>
          <w:bCs/>
          <w:color w:val="000000"/>
          <w:spacing w:val="0"/>
          <w:w w:val="100"/>
          <w:position w:val="0"/>
          <w:sz w:val="24"/>
          <w:szCs w:val="24"/>
        </w:rPr>
        <w:t>二</w:t>
        <w:tab/>
        <w:t>主要会计政策和会计估计</w:t>
      </w:r>
      <w:r>
        <w:rPr>
          <w:rFonts w:ascii="Times New Roman" w:eastAsia="Times New Roman" w:hAnsi="Times New Roman" w:cs="Times New Roman"/>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4"/>
          <w:szCs w:val="24"/>
        </w:rPr>
        <w:t>）</w:t>
      </w:r>
    </w:p>
    <w:p>
      <w:pPr>
        <w:pStyle w:val="Style32"/>
        <w:keepNext w:val="0"/>
        <w:keepLines w:val="0"/>
        <w:widowControl w:val="0"/>
        <w:shd w:val="clear" w:color="auto" w:fill="auto"/>
        <w:bidi w:val="0"/>
        <w:spacing w:before="0" w:after="28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（26）</w:t>
      </w:r>
      <w:r>
        <w:rPr>
          <w:b/>
          <w:bCs/>
          <w:color w:val="000000"/>
          <w:spacing w:val="0"/>
          <w:w w:val="100"/>
          <w:position w:val="0"/>
          <w:sz w:val="24"/>
          <w:szCs w:val="24"/>
        </w:rPr>
        <w:t>递延所得税资产和递延所得税负债</w:t>
      </w:r>
    </w:p>
    <w:p>
      <w:pPr>
        <w:pStyle w:val="Style32"/>
        <w:keepNext w:val="0"/>
        <w:keepLines w:val="0"/>
        <w:widowControl w:val="0"/>
        <w:shd w:val="clear" w:color="auto" w:fill="auto"/>
        <w:bidi w:val="0"/>
        <w:spacing w:before="0" w:after="280" w:line="311" w:lineRule="exact"/>
        <w:ind w:left="700" w:right="0" w:firstLine="20"/>
        <w:jc w:val="both"/>
        <w:rPr>
          <w:sz w:val="24"/>
          <w:szCs w:val="24"/>
        </w:rPr>
      </w:pPr>
      <w:r>
        <w:rPr>
          <w:color w:val="000000"/>
          <w:spacing w:val="0"/>
          <w:w w:val="100"/>
          <w:position w:val="0"/>
          <w:sz w:val="24"/>
          <w:szCs w:val="24"/>
        </w:rPr>
        <w:t>递延所得税资产和递延所得税负债根据资产和负债的计税基础与其账面价值 的差额</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暂时性差异</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计算确认。对于按照税法规定能够于以后年度抵减应纳 税所得额的可抵扣亏损，确认相应的递延所得税资产。对于商誉的初始确认 产生的暂时性差异，不确认相应的递延所得税负债。对于既不影响会计利润 也不影响应纳税所得额</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或可抵扣亏损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的非企业合并的交易中产生的资产或 负债的初始确认形成的暂时性差异，不确认相应的递延所得税资产和递延所 得税负债。于资产负债表日，递延所得税资产和递延所得税负债，按照预期 收回该资产或清偿该负债期间的适用税率计量。</w:t>
      </w:r>
    </w:p>
    <w:p>
      <w:pPr>
        <w:pStyle w:val="Style32"/>
        <w:keepNext w:val="0"/>
        <w:keepLines w:val="0"/>
        <w:widowControl w:val="0"/>
        <w:shd w:val="clear" w:color="auto" w:fill="auto"/>
        <w:bidi w:val="0"/>
        <w:spacing w:before="0" w:after="280" w:line="312" w:lineRule="exact"/>
        <w:ind w:left="700" w:right="0" w:firstLine="20"/>
        <w:jc w:val="both"/>
        <w:rPr>
          <w:sz w:val="24"/>
          <w:szCs w:val="24"/>
        </w:rPr>
      </w:pPr>
      <w:r>
        <w:rPr>
          <w:color w:val="000000"/>
          <w:spacing w:val="0"/>
          <w:w w:val="100"/>
          <w:position w:val="0"/>
          <w:sz w:val="24"/>
          <w:szCs w:val="24"/>
        </w:rPr>
        <w:t>递延所得税资产的确认以很可能取得用来抵扣可抵扣暂时性差异、可抵扣亏 损和税款抵减的应纳税所得额为限。</w:t>
      </w:r>
    </w:p>
    <w:p>
      <w:pPr>
        <w:pStyle w:val="Style32"/>
        <w:keepNext w:val="0"/>
        <w:keepLines w:val="0"/>
        <w:widowControl w:val="0"/>
        <w:shd w:val="clear" w:color="auto" w:fill="auto"/>
        <w:bidi w:val="0"/>
        <w:spacing w:before="0" w:after="280" w:line="314" w:lineRule="exact"/>
        <w:ind w:left="700" w:right="0" w:firstLine="20"/>
        <w:jc w:val="both"/>
        <w:rPr>
          <w:sz w:val="24"/>
          <w:szCs w:val="24"/>
        </w:rPr>
      </w:pPr>
      <w:r>
        <w:rPr>
          <w:color w:val="000000"/>
          <w:spacing w:val="0"/>
          <w:w w:val="100"/>
          <w:position w:val="0"/>
          <w:sz w:val="24"/>
          <w:szCs w:val="24"/>
        </w:rPr>
        <w:t>对与子公司、联营企业及合营企业投资相关的应纳税暂时性差异，确认递延 所得税负债，除非本集团能够控制该暂时性差异转回的时间且该暂时性差异 在可预见的未来很可能不会转回。对与子公司、联营企业及合营企业投资相 关的可抵扣暂时性差异，当该暂时性差异在可预见的未来很可能转回且未来 很可能获得用来抵扣可抵扣暂时性差异的应纳税所得额时，确认递延所得税 资产。</w:t>
      </w:r>
    </w:p>
    <w:p>
      <w:pPr>
        <w:pStyle w:val="Style32"/>
        <w:keepNext w:val="0"/>
        <w:keepLines w:val="0"/>
        <w:widowControl w:val="0"/>
        <w:shd w:val="clear" w:color="auto" w:fill="auto"/>
        <w:bidi w:val="0"/>
        <w:spacing w:before="0" w:after="0" w:line="311" w:lineRule="exact"/>
        <w:ind w:left="0" w:right="0" w:firstLine="700"/>
        <w:jc w:val="both"/>
        <w:rPr>
          <w:sz w:val="24"/>
          <w:szCs w:val="24"/>
        </w:rPr>
      </w:pPr>
      <w:r>
        <w:rPr>
          <w:color w:val="000000"/>
          <w:spacing w:val="0"/>
          <w:w w:val="100"/>
          <w:position w:val="0"/>
          <w:sz w:val="24"/>
          <w:szCs w:val="24"/>
        </w:rPr>
        <w:t>同时满足下列条件的递延所得税资产和递延所得税负债以抵销后的净额列</w:t>
      </w:r>
    </w:p>
    <w:p>
      <w:pPr>
        <w:pStyle w:val="Style32"/>
        <w:keepNext w:val="0"/>
        <w:keepLines w:val="0"/>
        <w:widowControl w:val="0"/>
        <w:shd w:val="clear" w:color="auto" w:fill="auto"/>
        <w:bidi w:val="0"/>
        <w:spacing w:before="0" w:after="340" w:line="311" w:lineRule="exact"/>
        <w:ind w:left="0" w:right="0" w:firstLine="700"/>
        <w:jc w:val="both"/>
        <w:rPr>
          <w:sz w:val="24"/>
          <w:szCs w:val="24"/>
        </w:rPr>
      </w:pPr>
      <w:r>
        <w:rPr>
          <w:color w:val="000000"/>
          <w:spacing w:val="0"/>
          <w:w w:val="100"/>
          <w:position w:val="0"/>
          <w:sz w:val="24"/>
          <w:szCs w:val="24"/>
        </w:rPr>
        <w:t>示：</w:t>
      </w:r>
    </w:p>
    <w:p>
      <w:pPr>
        <w:pStyle w:val="Style32"/>
        <w:keepNext w:val="0"/>
        <w:keepLines w:val="0"/>
        <w:widowControl w:val="0"/>
        <w:shd w:val="clear" w:color="auto" w:fill="auto"/>
        <w:bidi w:val="0"/>
        <w:spacing w:before="0" w:after="0" w:line="307" w:lineRule="exact"/>
        <w:ind w:left="1040" w:right="0" w:hanging="320"/>
        <w:jc w:val="both"/>
        <w:rPr>
          <w:sz w:val="24"/>
          <w:szCs w:val="24"/>
        </w:rPr>
      </w:pPr>
      <w:r>
        <w:rPr>
          <w:rFonts w:ascii="Arial Unicode MS" w:eastAsia="Arial Unicode MS" w:hAnsi="Arial Unicode MS" w:cs="Arial Unicode MS"/>
          <w:color w:val="000000"/>
          <w:spacing w:val="0"/>
          <w:w w:val="100"/>
          <w:position w:val="0"/>
          <w:sz w:val="22"/>
          <w:szCs w:val="22"/>
        </w:rPr>
        <w:t>・</w:t>
      </w:r>
      <w:r>
        <w:rPr>
          <w:color w:val="000000"/>
          <w:spacing w:val="0"/>
          <w:w w:val="100"/>
          <w:position w:val="0"/>
          <w:sz w:val="24"/>
          <w:szCs w:val="24"/>
        </w:rPr>
        <w:t>递延所得税资产和递延所得税负债与同一税收征管部门对本集团内同一纳 税主体征收的所得税相关；</w:t>
      </w:r>
    </w:p>
    <w:p>
      <w:pPr>
        <w:pStyle w:val="Style32"/>
        <w:keepNext w:val="0"/>
        <w:keepLines w:val="0"/>
        <w:widowControl w:val="0"/>
        <w:shd w:val="clear" w:color="auto" w:fill="auto"/>
        <w:bidi w:val="0"/>
        <w:spacing w:before="0" w:after="280" w:line="307" w:lineRule="exact"/>
        <w:ind w:left="1040" w:right="0" w:hanging="320"/>
        <w:jc w:val="both"/>
        <w:rPr>
          <w:sz w:val="24"/>
          <w:szCs w:val="24"/>
        </w:rPr>
        <w:sectPr>
          <w:footnotePr>
            <w:pos w:val="pageBottom"/>
            <w:numFmt w:val="decimal"/>
            <w:numRestart w:val="continuous"/>
          </w:footnotePr>
          <w:pgSz w:w="11900" w:h="16840"/>
          <w:pgMar w:top="1354" w:right="1443" w:bottom="1498" w:left="1702" w:header="0" w:footer="3" w:gutter="0"/>
          <w:cols w:space="720"/>
          <w:noEndnote/>
          <w:rtlGutter w:val="0"/>
          <w:docGrid w:linePitch="360"/>
        </w:sectPr>
      </w:pPr>
      <w:r>
        <w:rPr>
          <w:rFonts w:ascii="Arial Unicode MS" w:eastAsia="Arial Unicode MS" w:hAnsi="Arial Unicode MS" w:cs="Arial Unicode MS"/>
          <w:color w:val="000000"/>
          <w:spacing w:val="0"/>
          <w:w w:val="100"/>
          <w:position w:val="0"/>
          <w:sz w:val="22"/>
          <w:szCs w:val="22"/>
        </w:rPr>
        <w:t>・</w:t>
      </w:r>
      <w:r>
        <w:rPr>
          <w:color w:val="000000"/>
          <w:spacing w:val="0"/>
          <w:w w:val="100"/>
          <w:position w:val="0"/>
          <w:sz w:val="24"/>
          <w:szCs w:val="24"/>
        </w:rPr>
        <w:t>本集团内该纳税主体拥有以净额结算当期所得税资产及当期所得税负债的 法定权利。</w:t>
      </w:r>
    </w:p>
    <w:p>
      <w:pPr>
        <w:pStyle w:val="Style32"/>
        <w:keepNext w:val="0"/>
        <w:keepLines w:val="0"/>
        <w:widowControl w:val="0"/>
        <w:shd w:val="clear" w:color="auto" w:fill="auto"/>
        <w:bidi w:val="0"/>
        <w:spacing w:before="0" w:after="0" w:line="240" w:lineRule="auto"/>
        <w:ind w:left="0" w:right="0" w:firstLine="700"/>
        <w:jc w:val="left"/>
        <w:rPr>
          <w:sz w:val="24"/>
          <w:szCs w:val="24"/>
        </w:rPr>
      </w:pPr>
      <w:r>
        <w:rPr>
          <w:b/>
          <w:bCs/>
          <w:color w:val="000000"/>
          <w:spacing w:val="0"/>
          <w:w w:val="100"/>
          <w:position w:val="0"/>
          <w:sz w:val="24"/>
          <w:szCs w:val="24"/>
        </w:rPr>
        <w:t>财务报表附注</w:t>
      </w:r>
    </w:p>
    <w:p>
      <w:pPr>
        <w:pStyle w:val="Style88"/>
        <w:keepNext/>
        <w:keepLines/>
        <w:widowControl w:val="0"/>
        <w:shd w:val="clear" w:color="auto" w:fill="auto"/>
        <w:bidi w:val="0"/>
        <w:spacing w:before="0" w:after="0" w:line="240" w:lineRule="auto"/>
        <w:ind w:left="0" w:right="0"/>
        <w:jc w:val="left"/>
      </w:pPr>
      <w:bookmarkStart w:id="754" w:name="bookmark754"/>
      <w:bookmarkStart w:id="755" w:name="bookmark755"/>
      <w:bookmarkStart w:id="756" w:name="bookmark756"/>
      <w:r>
        <w:rPr>
          <w:color w:val="000000"/>
          <w:spacing w:val="0"/>
          <w:w w:val="100"/>
          <w:position w:val="0"/>
          <w:sz w:val="24"/>
          <w:szCs w:val="24"/>
        </w:rPr>
        <w:t>2016</w:t>
      </w:r>
      <w:r>
        <w:rPr>
          <w:rFonts w:ascii="SimSun" w:eastAsia="SimSun" w:hAnsi="SimSun" w:cs="SimSun"/>
          <w:b/>
          <w:bCs/>
          <w:color w:val="000000"/>
          <w:spacing w:val="0"/>
          <w:w w:val="100"/>
          <w:position w:val="0"/>
          <w:sz w:val="24"/>
          <w:szCs w:val="24"/>
        </w:rPr>
        <w:t>年度</w:t>
      </w:r>
      <w:bookmarkEnd w:id="754"/>
      <w:bookmarkEnd w:id="755"/>
      <w:bookmarkEnd w:id="756"/>
    </w:p>
    <w:p>
      <w:pPr>
        <w:pStyle w:val="Style32"/>
        <w:keepNext w:val="0"/>
        <w:keepLines w:val="0"/>
        <w:widowControl w:val="0"/>
        <w:shd w:val="clear" w:color="auto" w:fill="auto"/>
        <w:bidi w:val="0"/>
        <w:spacing w:before="0" w:after="260" w:line="240" w:lineRule="auto"/>
        <w:ind w:left="0" w:right="0" w:firstLine="700"/>
        <w:jc w:val="left"/>
        <w:rPr>
          <w:sz w:val="24"/>
          <w:szCs w:val="24"/>
        </w:rPr>
      </w:pPr>
      <w:r>
        <w:rPr>
          <w:rFonts w:ascii="Arial" w:eastAsia="Arial" w:hAnsi="Arial" w:cs="Arial"/>
          <w:color w:val="000000"/>
          <w:spacing w:val="0"/>
          <w:w w:val="100"/>
          <w:position w:val="0"/>
          <w:sz w:val="20"/>
          <w:szCs w:val="20"/>
        </w:rPr>
        <w:t>（</w:t>
      </w:r>
      <w:r>
        <w:rPr>
          <w:color w:val="000000"/>
          <w:spacing w:val="0"/>
          <w:w w:val="100"/>
          <w:position w:val="0"/>
          <w:sz w:val="20"/>
          <w:szCs w:val="20"/>
        </w:rPr>
        <w:t>除特别注明外，金额单位为人民币千元</w:t>
      </w:r>
      <w:r>
        <w:rPr>
          <w:color w:val="000000"/>
          <w:spacing w:val="0"/>
          <w:w w:val="100"/>
          <w:position w:val="0"/>
          <w:sz w:val="24"/>
          <w:szCs w:val="24"/>
        </w:rPr>
        <w:t>）</w:t>
      </w:r>
    </w:p>
    <w:p>
      <w:pPr>
        <w:pStyle w:val="Style32"/>
        <w:keepNext w:val="0"/>
        <w:keepLines w:val="0"/>
        <w:widowControl w:val="0"/>
        <w:shd w:val="clear" w:color="auto" w:fill="auto"/>
        <w:tabs>
          <w:tab w:pos="686" w:val="left"/>
        </w:tabs>
        <w:bidi w:val="0"/>
        <w:spacing w:before="0" w:after="260" w:line="240" w:lineRule="auto"/>
        <w:ind w:left="0" w:right="0" w:firstLine="0"/>
        <w:jc w:val="left"/>
        <w:rPr>
          <w:sz w:val="24"/>
          <w:szCs w:val="24"/>
        </w:rPr>
      </w:pPr>
      <w:r>
        <w:rPr>
          <w:b/>
          <w:bCs/>
          <w:color w:val="000000"/>
          <w:spacing w:val="0"/>
          <w:w w:val="100"/>
          <w:position w:val="0"/>
          <w:sz w:val="24"/>
          <w:szCs w:val="24"/>
        </w:rPr>
        <w:t>二</w:t>
        <w:tab/>
        <w:t>主要会计政策和会计估计</w:t>
      </w:r>
      <w:r>
        <w:rPr>
          <w:rFonts w:ascii="Times New Roman" w:eastAsia="Times New Roman" w:hAnsi="Times New Roman" w:cs="Times New Roman"/>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4"/>
          <w:szCs w:val="24"/>
        </w:rPr>
        <w:t>）</w:t>
      </w:r>
    </w:p>
    <w:p>
      <w:pPr>
        <w:pStyle w:val="Style53"/>
        <w:keepNext w:val="0"/>
        <w:keepLines w:val="0"/>
        <w:widowControl w:val="0"/>
        <w:shd w:val="clear" w:color="auto" w:fill="auto"/>
        <w:bidi w:val="0"/>
        <w:spacing w:before="0" w:after="260" w:line="271" w:lineRule="auto"/>
        <w:ind w:left="0" w:right="0" w:firstLine="0"/>
        <w:jc w:val="left"/>
        <w:rPr>
          <w:sz w:val="24"/>
          <w:szCs w:val="24"/>
        </w:rPr>
      </w:pPr>
      <w:r>
        <w:rPr>
          <w:color w:val="000000"/>
          <w:spacing w:val="0"/>
          <w:w w:val="100"/>
          <w:position w:val="0"/>
          <w:sz w:val="24"/>
          <w:szCs w:val="24"/>
        </w:rPr>
        <w:t>（27）</w:t>
      </w:r>
      <w:r>
        <w:rPr>
          <w:rFonts w:ascii="SimSun" w:eastAsia="SimSun" w:hAnsi="SimSun" w:cs="SimSun"/>
          <w:b/>
          <w:bCs/>
          <w:color w:val="000000"/>
          <w:spacing w:val="0"/>
          <w:w w:val="100"/>
          <w:position w:val="0"/>
          <w:sz w:val="24"/>
          <w:szCs w:val="24"/>
        </w:rPr>
        <w:t>租赁</w:t>
      </w:r>
    </w:p>
    <w:p>
      <w:pPr>
        <w:pStyle w:val="Style32"/>
        <w:keepNext w:val="0"/>
        <w:keepLines w:val="0"/>
        <w:widowControl w:val="0"/>
        <w:shd w:val="clear" w:color="auto" w:fill="auto"/>
        <w:bidi w:val="0"/>
        <w:spacing w:before="0" w:after="260" w:line="307" w:lineRule="exact"/>
        <w:ind w:left="700" w:right="0" w:firstLine="40"/>
        <w:jc w:val="left"/>
        <w:rPr>
          <w:sz w:val="24"/>
          <w:szCs w:val="24"/>
        </w:rPr>
      </w:pPr>
      <w:r>
        <w:rPr>
          <w:color w:val="000000"/>
          <w:spacing w:val="0"/>
          <w:w w:val="100"/>
          <w:position w:val="0"/>
          <w:sz w:val="24"/>
          <w:szCs w:val="24"/>
        </w:rPr>
        <w:t>实质上转移了与资产所有权有关的全部风险和报酬的租赁为融资租赁。符合 下列一项或数项标准的，认定为融资租赁：</w:t>
      </w:r>
    </w:p>
    <w:p>
      <w:pPr>
        <w:pStyle w:val="Style32"/>
        <w:keepNext w:val="0"/>
        <w:keepLines w:val="0"/>
        <w:widowControl w:val="0"/>
        <w:shd w:val="clear" w:color="auto" w:fill="auto"/>
        <w:bidi w:val="0"/>
        <w:spacing w:before="0" w:after="0" w:line="315" w:lineRule="exact"/>
        <w:ind w:left="0" w:right="0" w:firstLine="700"/>
        <w:jc w:val="left"/>
        <w:rPr>
          <w:sz w:val="24"/>
          <w:szCs w:val="24"/>
        </w:rPr>
      </w:pPr>
      <w:r>
        <w:rPr>
          <w:rFonts w:ascii="Arial Unicode MS" w:eastAsia="Arial Unicode MS" w:hAnsi="Arial Unicode MS" w:cs="Arial Unicode MS"/>
          <w:color w:val="000000"/>
          <w:spacing w:val="0"/>
          <w:w w:val="100"/>
          <w:position w:val="0"/>
          <w:sz w:val="22"/>
          <w:szCs w:val="22"/>
        </w:rPr>
        <w:t>・</w:t>
      </w:r>
      <w:r>
        <w:rPr>
          <w:color w:val="000000"/>
          <w:spacing w:val="0"/>
          <w:w w:val="100"/>
          <w:position w:val="0"/>
          <w:sz w:val="24"/>
          <w:szCs w:val="24"/>
        </w:rPr>
        <w:t>在租赁期届满时，租赁资产的所有权转移给承租人。</w:t>
      </w:r>
    </w:p>
    <w:p>
      <w:pPr>
        <w:pStyle w:val="Style32"/>
        <w:keepNext w:val="0"/>
        <w:keepLines w:val="0"/>
        <w:widowControl w:val="0"/>
        <w:shd w:val="clear" w:color="auto" w:fill="auto"/>
        <w:bidi w:val="0"/>
        <w:spacing w:before="0" w:after="0" w:line="315" w:lineRule="exact"/>
        <w:ind w:left="1040" w:right="0" w:hanging="300"/>
        <w:jc w:val="both"/>
        <w:rPr>
          <w:sz w:val="24"/>
          <w:szCs w:val="24"/>
        </w:rPr>
      </w:pPr>
      <w:r>
        <w:rPr>
          <w:rFonts w:ascii="Arial Unicode MS" w:eastAsia="Arial Unicode MS" w:hAnsi="Arial Unicode MS" w:cs="Arial Unicode MS"/>
          <w:color w:val="000000"/>
          <w:spacing w:val="0"/>
          <w:w w:val="100"/>
          <w:position w:val="0"/>
          <w:sz w:val="22"/>
          <w:szCs w:val="22"/>
        </w:rPr>
        <w:t>・</w:t>
      </w:r>
      <w:r>
        <w:rPr>
          <w:color w:val="000000"/>
          <w:spacing w:val="0"/>
          <w:w w:val="100"/>
          <w:position w:val="0"/>
          <w:sz w:val="24"/>
          <w:szCs w:val="24"/>
        </w:rPr>
        <w:t>承租人有购买租赁资产的选择权，所订立的购买价款预计将远低于行使选 择权时租赁资产的公允价值，因而在租赁开始日就可以合理确定承租人将 会行使这种选择权。</w:t>
      </w:r>
    </w:p>
    <w:p>
      <w:pPr>
        <w:pStyle w:val="Style32"/>
        <w:keepNext w:val="0"/>
        <w:keepLines w:val="0"/>
        <w:widowControl w:val="0"/>
        <w:shd w:val="clear" w:color="auto" w:fill="auto"/>
        <w:bidi w:val="0"/>
        <w:spacing w:before="0" w:after="0" w:line="315" w:lineRule="exact"/>
        <w:ind w:left="0" w:right="0" w:firstLine="700"/>
        <w:jc w:val="left"/>
        <w:rPr>
          <w:sz w:val="24"/>
          <w:szCs w:val="24"/>
        </w:rPr>
      </w:pPr>
      <w:r>
        <w:rPr>
          <w:rFonts w:ascii="Arial Unicode MS" w:eastAsia="Arial Unicode MS" w:hAnsi="Arial Unicode MS" w:cs="Arial Unicode MS"/>
          <w:color w:val="000000"/>
          <w:spacing w:val="0"/>
          <w:w w:val="100"/>
          <w:position w:val="0"/>
          <w:sz w:val="22"/>
          <w:szCs w:val="22"/>
        </w:rPr>
        <w:t>・</w:t>
      </w:r>
      <w:r>
        <w:rPr>
          <w:color w:val="000000"/>
          <w:spacing w:val="0"/>
          <w:w w:val="100"/>
          <w:position w:val="0"/>
          <w:sz w:val="24"/>
          <w:szCs w:val="24"/>
        </w:rPr>
        <w:t>即使资产的所有权不转移，但租赁期占租赁资产使用寿命的大部分。</w:t>
      </w:r>
    </w:p>
    <w:p>
      <w:pPr>
        <w:pStyle w:val="Style32"/>
        <w:keepNext w:val="0"/>
        <w:keepLines w:val="0"/>
        <w:widowControl w:val="0"/>
        <w:shd w:val="clear" w:color="auto" w:fill="auto"/>
        <w:bidi w:val="0"/>
        <w:spacing w:before="0" w:after="0" w:line="315" w:lineRule="exact"/>
        <w:ind w:left="1040" w:right="0" w:hanging="300"/>
        <w:jc w:val="both"/>
        <w:rPr>
          <w:sz w:val="24"/>
          <w:szCs w:val="24"/>
        </w:rPr>
      </w:pPr>
      <w:r>
        <w:rPr>
          <w:rFonts w:ascii="Arial Unicode MS" w:eastAsia="Arial Unicode MS" w:hAnsi="Arial Unicode MS" w:cs="Arial Unicode MS"/>
          <w:color w:val="000000"/>
          <w:spacing w:val="0"/>
          <w:w w:val="100"/>
          <w:position w:val="0"/>
          <w:sz w:val="22"/>
          <w:szCs w:val="22"/>
        </w:rPr>
        <w:t>・</w:t>
      </w:r>
      <w:r>
        <w:rPr>
          <w:color w:val="000000"/>
          <w:spacing w:val="0"/>
          <w:w w:val="100"/>
          <w:position w:val="0"/>
          <w:sz w:val="24"/>
          <w:szCs w:val="24"/>
        </w:rPr>
        <w:t>承租人在租赁开始日的最低租赁付款额现值，几乎相当于租赁开始日租赁 资产公允价值。</w:t>
      </w:r>
    </w:p>
    <w:p>
      <w:pPr>
        <w:pStyle w:val="Style32"/>
        <w:keepNext w:val="0"/>
        <w:keepLines w:val="0"/>
        <w:widowControl w:val="0"/>
        <w:shd w:val="clear" w:color="auto" w:fill="auto"/>
        <w:bidi w:val="0"/>
        <w:spacing w:before="0" w:after="260" w:line="315" w:lineRule="exact"/>
        <w:ind w:left="0" w:right="0" w:firstLine="700"/>
        <w:jc w:val="left"/>
        <w:rPr>
          <w:sz w:val="24"/>
          <w:szCs w:val="24"/>
        </w:rPr>
      </w:pPr>
      <w:r>
        <w:rPr>
          <w:rFonts w:ascii="Arial Unicode MS" w:eastAsia="Arial Unicode MS" w:hAnsi="Arial Unicode MS" w:cs="Arial Unicode MS"/>
          <w:color w:val="000000"/>
          <w:spacing w:val="0"/>
          <w:w w:val="100"/>
          <w:position w:val="0"/>
          <w:sz w:val="22"/>
          <w:szCs w:val="22"/>
        </w:rPr>
        <w:t>・</w:t>
      </w:r>
      <w:r>
        <w:rPr>
          <w:color w:val="000000"/>
          <w:spacing w:val="0"/>
          <w:w w:val="100"/>
          <w:position w:val="0"/>
          <w:sz w:val="24"/>
          <w:szCs w:val="24"/>
        </w:rPr>
        <w:t>租赁资产性质特殊，如果不作较大改造，只有承租人才能使用。</w:t>
      </w:r>
    </w:p>
    <w:p>
      <w:pPr>
        <w:pStyle w:val="Style32"/>
        <w:keepNext w:val="0"/>
        <w:keepLines w:val="0"/>
        <w:widowControl w:val="0"/>
        <w:shd w:val="clear" w:color="auto" w:fill="auto"/>
        <w:bidi w:val="0"/>
        <w:spacing w:before="0" w:after="260" w:line="313" w:lineRule="exact"/>
        <w:ind w:left="0" w:right="0" w:firstLine="700"/>
        <w:jc w:val="left"/>
        <w:rPr>
          <w:sz w:val="24"/>
          <w:szCs w:val="24"/>
        </w:rPr>
      </w:pPr>
      <w:r>
        <w:rPr>
          <w:color w:val="000000"/>
          <w:spacing w:val="0"/>
          <w:w w:val="100"/>
          <w:position w:val="0"/>
          <w:sz w:val="24"/>
          <w:szCs w:val="24"/>
        </w:rPr>
        <w:t>经营租赁是指除融资租赁以外的其他租赁。</w:t>
      </w:r>
    </w:p>
    <w:p>
      <w:pPr>
        <w:pStyle w:val="Style32"/>
        <w:keepNext w:val="0"/>
        <w:keepLines w:val="0"/>
        <w:widowControl w:val="0"/>
        <w:shd w:val="clear" w:color="auto" w:fill="auto"/>
        <w:bidi w:val="0"/>
        <w:spacing w:before="0" w:after="260" w:line="313" w:lineRule="exact"/>
        <w:ind w:left="0" w:right="0" w:firstLine="700"/>
        <w:jc w:val="left"/>
        <w:rPr>
          <w:sz w:val="24"/>
          <w:szCs w:val="24"/>
        </w:rPr>
      </w:pPr>
      <w:r>
        <w:rPr>
          <w:color w:val="000000"/>
          <w:spacing w:val="0"/>
          <w:w w:val="100"/>
          <w:position w:val="0"/>
          <w:sz w:val="24"/>
          <w:szCs w:val="24"/>
        </w:rPr>
        <w:t>不可撤销经营租赁的租金支出在租赁期内按照直线法计入当期损益。</w:t>
      </w:r>
    </w:p>
    <w:p>
      <w:pPr>
        <w:pStyle w:val="Style32"/>
        <w:keepNext w:val="0"/>
        <w:keepLines w:val="0"/>
        <w:widowControl w:val="0"/>
        <w:shd w:val="clear" w:color="auto" w:fill="auto"/>
        <w:bidi w:val="0"/>
        <w:spacing w:before="0" w:after="260" w:line="313" w:lineRule="exact"/>
        <w:ind w:left="0" w:right="0" w:firstLine="700"/>
        <w:jc w:val="left"/>
        <w:rPr>
          <w:sz w:val="24"/>
          <w:szCs w:val="24"/>
        </w:rPr>
      </w:pPr>
      <w:r>
        <w:rPr>
          <w:color w:val="000000"/>
          <w:spacing w:val="0"/>
          <w:w w:val="100"/>
          <w:position w:val="0"/>
          <w:sz w:val="24"/>
          <w:szCs w:val="24"/>
        </w:rPr>
        <w:t>经营租赁的租金收入在租赁期内按照直线法确认。</w:t>
      </w:r>
    </w:p>
    <w:p>
      <w:pPr>
        <w:pStyle w:val="Style32"/>
        <w:keepNext w:val="0"/>
        <w:keepLines w:val="0"/>
        <w:widowControl w:val="0"/>
        <w:shd w:val="clear" w:color="auto" w:fill="auto"/>
        <w:bidi w:val="0"/>
        <w:spacing w:before="0" w:after="260" w:line="311" w:lineRule="exact"/>
        <w:ind w:left="700" w:right="0" w:firstLine="40"/>
        <w:jc w:val="both"/>
        <w:rPr>
          <w:sz w:val="24"/>
          <w:szCs w:val="24"/>
        </w:rPr>
        <w:sectPr>
          <w:footnotePr>
            <w:pos w:val="pageBottom"/>
            <w:numFmt w:val="decimal"/>
            <w:numRestart w:val="continuous"/>
          </w:footnotePr>
          <w:pgSz w:w="11900" w:h="16840"/>
          <w:pgMar w:top="1354" w:right="1316" w:bottom="1354" w:left="1704" w:header="0" w:footer="3" w:gutter="0"/>
          <w:cols w:space="720"/>
          <w:noEndnote/>
          <w:rtlGutter w:val="0"/>
          <w:docGrid w:linePitch="360"/>
        </w:sectPr>
      </w:pPr>
      <w:r>
        <w:rPr>
          <w:color w:val="000000"/>
          <w:spacing w:val="0"/>
          <w:w w:val="100"/>
          <w:position w:val="0"/>
          <w:sz w:val="24"/>
          <w:szCs w:val="24"/>
        </w:rPr>
        <w:t>售后租回交易认定为经营租赁的，在确凿证据表明售后租回交易是按照公允 价值达成的，售价与资产账面价值的差额计入当期损益。如果售后租回交易 不是按照公允价值达成的，有关损益应于当期确认；但若该损失将由低于市 价的未来租赁付款额补偿的，应将其递延，并按与确认租金费用一致的方法 分摊于预计的资产使用期限内；售价高于公允价值的，其高于公允价值的部 分应予以递延，并在预计的资产使用期限内分摊。</w:t>
      </w:r>
    </w:p>
    <w:p>
      <w:pPr>
        <w:pStyle w:val="Style32"/>
        <w:keepNext w:val="0"/>
        <w:keepLines w:val="0"/>
        <w:widowControl w:val="0"/>
        <w:shd w:val="clear" w:color="auto" w:fill="auto"/>
        <w:bidi w:val="0"/>
        <w:spacing w:before="0" w:after="0" w:line="240" w:lineRule="auto"/>
        <w:ind w:left="0" w:right="0" w:firstLine="700"/>
        <w:jc w:val="left"/>
        <w:rPr>
          <w:sz w:val="24"/>
          <w:szCs w:val="24"/>
        </w:rPr>
      </w:pPr>
      <w:r>
        <w:rPr>
          <w:b/>
          <w:bCs/>
          <w:color w:val="000000"/>
          <w:spacing w:val="0"/>
          <w:w w:val="100"/>
          <w:position w:val="0"/>
          <w:sz w:val="24"/>
          <w:szCs w:val="24"/>
        </w:rPr>
        <w:t>财务报表附注</w:t>
      </w:r>
    </w:p>
    <w:p>
      <w:pPr>
        <w:pStyle w:val="Style88"/>
        <w:keepNext/>
        <w:keepLines/>
        <w:widowControl w:val="0"/>
        <w:shd w:val="clear" w:color="auto" w:fill="auto"/>
        <w:bidi w:val="0"/>
        <w:spacing w:before="0" w:after="0" w:line="240" w:lineRule="auto"/>
        <w:ind w:left="0" w:right="0"/>
        <w:jc w:val="left"/>
      </w:pPr>
      <w:bookmarkStart w:id="757" w:name="bookmark757"/>
      <w:bookmarkStart w:id="758" w:name="bookmark758"/>
      <w:bookmarkStart w:id="759" w:name="bookmark759"/>
      <w:r>
        <w:rPr>
          <w:color w:val="000000"/>
          <w:spacing w:val="0"/>
          <w:w w:val="100"/>
          <w:position w:val="0"/>
          <w:sz w:val="24"/>
          <w:szCs w:val="24"/>
        </w:rPr>
        <w:t>2016</w:t>
      </w:r>
      <w:r>
        <w:rPr>
          <w:rFonts w:ascii="SimSun" w:eastAsia="SimSun" w:hAnsi="SimSun" w:cs="SimSun"/>
          <w:b/>
          <w:bCs/>
          <w:color w:val="000000"/>
          <w:spacing w:val="0"/>
          <w:w w:val="100"/>
          <w:position w:val="0"/>
          <w:sz w:val="24"/>
          <w:szCs w:val="24"/>
        </w:rPr>
        <w:t>年度</w:t>
      </w:r>
      <w:bookmarkEnd w:id="757"/>
      <w:bookmarkEnd w:id="758"/>
      <w:bookmarkEnd w:id="759"/>
    </w:p>
    <w:p>
      <w:pPr>
        <w:pStyle w:val="Style32"/>
        <w:keepNext w:val="0"/>
        <w:keepLines w:val="0"/>
        <w:widowControl w:val="0"/>
        <w:shd w:val="clear" w:color="auto" w:fill="auto"/>
        <w:bidi w:val="0"/>
        <w:spacing w:before="0" w:after="260" w:line="240" w:lineRule="auto"/>
        <w:ind w:left="0" w:right="0" w:firstLine="700"/>
        <w:jc w:val="left"/>
        <w:rPr>
          <w:sz w:val="24"/>
          <w:szCs w:val="24"/>
        </w:rPr>
      </w:pPr>
      <w:r>
        <w:rPr>
          <w:rFonts w:ascii="Arial" w:eastAsia="Arial" w:hAnsi="Arial" w:cs="Arial"/>
          <w:color w:val="000000"/>
          <w:spacing w:val="0"/>
          <w:w w:val="100"/>
          <w:position w:val="0"/>
          <w:sz w:val="20"/>
          <w:szCs w:val="20"/>
        </w:rPr>
        <w:t>（</w:t>
      </w:r>
      <w:r>
        <w:rPr>
          <w:color w:val="000000"/>
          <w:spacing w:val="0"/>
          <w:w w:val="100"/>
          <w:position w:val="0"/>
          <w:sz w:val="20"/>
          <w:szCs w:val="20"/>
        </w:rPr>
        <w:t>除特别注明外，金额单位为人民币千元</w:t>
      </w:r>
      <w:r>
        <w:rPr>
          <w:color w:val="000000"/>
          <w:spacing w:val="0"/>
          <w:w w:val="100"/>
          <w:position w:val="0"/>
          <w:sz w:val="24"/>
          <w:szCs w:val="24"/>
        </w:rPr>
        <w:t>）</w:t>
      </w:r>
    </w:p>
    <w:p>
      <w:pPr>
        <w:pStyle w:val="Style32"/>
        <w:keepNext w:val="0"/>
        <w:keepLines w:val="0"/>
        <w:widowControl w:val="0"/>
        <w:shd w:val="clear" w:color="auto" w:fill="auto"/>
        <w:tabs>
          <w:tab w:pos="699" w:val="left"/>
        </w:tabs>
        <w:bidi w:val="0"/>
        <w:spacing w:before="0" w:after="260" w:line="240" w:lineRule="auto"/>
        <w:ind w:left="0" w:right="0" w:firstLine="0"/>
        <w:jc w:val="left"/>
        <w:rPr>
          <w:sz w:val="24"/>
          <w:szCs w:val="24"/>
        </w:rPr>
      </w:pPr>
      <w:r>
        <w:rPr>
          <w:b/>
          <w:bCs/>
          <w:color w:val="000000"/>
          <w:spacing w:val="0"/>
          <w:w w:val="100"/>
          <w:position w:val="0"/>
          <w:sz w:val="24"/>
          <w:szCs w:val="24"/>
        </w:rPr>
        <w:t>二</w:t>
        <w:tab/>
        <w:t>主要会计政策和会计估计</w:t>
      </w:r>
      <w:r>
        <w:rPr>
          <w:rFonts w:ascii="Times New Roman" w:eastAsia="Times New Roman" w:hAnsi="Times New Roman" w:cs="Times New Roman"/>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4"/>
          <w:szCs w:val="24"/>
        </w:rPr>
        <w:t>）</w:t>
      </w:r>
    </w:p>
    <w:p>
      <w:pPr>
        <w:pStyle w:val="Style32"/>
        <w:keepNext w:val="0"/>
        <w:keepLines w:val="0"/>
        <w:widowControl w:val="0"/>
        <w:shd w:val="clear" w:color="auto" w:fill="auto"/>
        <w:tabs>
          <w:tab w:pos="699" w:val="left"/>
        </w:tabs>
        <w:bidi w:val="0"/>
        <w:spacing w:before="0" w:after="260" w:line="240" w:lineRule="auto"/>
        <w:ind w:left="0" w:right="0" w:firstLine="0"/>
        <w:jc w:val="left"/>
        <w:rPr>
          <w:sz w:val="24"/>
          <w:szCs w:val="24"/>
        </w:rPr>
      </w:pPr>
      <w:bookmarkStart w:id="760" w:name="bookmark760"/>
      <w:r>
        <w:rPr>
          <w:rFonts w:ascii="Times New Roman" w:eastAsia="Times New Roman" w:hAnsi="Times New Roman" w:cs="Times New Roman"/>
          <w:color w:val="000000"/>
          <w:spacing w:val="0"/>
          <w:w w:val="100"/>
          <w:position w:val="0"/>
          <w:sz w:val="24"/>
          <w:szCs w:val="24"/>
        </w:rPr>
        <w:t>（</w:t>
      </w:r>
      <w:bookmarkEnd w:id="760"/>
      <w:r>
        <w:rPr>
          <w:rFonts w:ascii="Times New Roman" w:eastAsia="Times New Roman" w:hAnsi="Times New Roman" w:cs="Times New Roman"/>
          <w:color w:val="000000"/>
          <w:spacing w:val="0"/>
          <w:w w:val="100"/>
          <w:position w:val="0"/>
          <w:sz w:val="24"/>
          <w:szCs w:val="24"/>
        </w:rPr>
        <w:t>28）</w:t>
        <w:tab/>
      </w:r>
      <w:r>
        <w:rPr>
          <w:b/>
          <w:bCs/>
          <w:color w:val="000000"/>
          <w:spacing w:val="0"/>
          <w:w w:val="100"/>
          <w:position w:val="0"/>
          <w:sz w:val="24"/>
          <w:szCs w:val="24"/>
        </w:rPr>
        <w:t>股份支付</w:t>
      </w:r>
    </w:p>
    <w:p>
      <w:pPr>
        <w:pStyle w:val="Style32"/>
        <w:keepNext w:val="0"/>
        <w:keepLines w:val="0"/>
        <w:widowControl w:val="0"/>
        <w:shd w:val="clear" w:color="auto" w:fill="auto"/>
        <w:bidi w:val="0"/>
        <w:spacing w:before="0" w:after="260" w:line="311" w:lineRule="exact"/>
        <w:ind w:left="700" w:right="0" w:firstLine="40"/>
        <w:jc w:val="both"/>
        <w:rPr>
          <w:sz w:val="24"/>
          <w:szCs w:val="24"/>
        </w:rPr>
      </w:pPr>
      <w:r>
        <w:rPr>
          <w:color w:val="000000"/>
          <w:spacing w:val="0"/>
          <w:w w:val="100"/>
          <w:position w:val="0"/>
          <w:sz w:val="24"/>
          <w:szCs w:val="24"/>
        </w:rPr>
        <w:t>股份支付是为了获取职工提供服务而授予权益工具或者承担以权益工具为基 础确定的负债的交易。股份支付分为以权益结算的股份支付和以现金结算的 股份支付。本集团的股票期权计划是为了换取职工提供服务而授予的以权益 结算、以股份支付为基础的报酬计划，以授予职工的股票期权在授予日的公 允价值计量，在达到规定业绩条件才可行权。本集团采用布莱特</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斯科尔斯 期权定价模型确定股票期权的公允价值。</w:t>
      </w:r>
    </w:p>
    <w:p>
      <w:pPr>
        <w:pStyle w:val="Style32"/>
        <w:keepNext w:val="0"/>
        <w:keepLines w:val="0"/>
        <w:widowControl w:val="0"/>
        <w:shd w:val="clear" w:color="auto" w:fill="auto"/>
        <w:bidi w:val="0"/>
        <w:spacing w:before="0" w:after="220" w:line="312" w:lineRule="exact"/>
        <w:ind w:left="700" w:right="0" w:firstLine="40"/>
        <w:jc w:val="both"/>
        <w:rPr>
          <w:sz w:val="24"/>
          <w:szCs w:val="24"/>
        </w:rPr>
      </w:pPr>
      <w:r>
        <w:rPr>
          <w:color w:val="000000"/>
          <w:spacing w:val="0"/>
          <w:w w:val="100"/>
          <w:position w:val="0"/>
          <w:sz w:val="24"/>
          <w:szCs w:val="24"/>
        </w:rPr>
        <w:t>在股票期权授予日，即股份支付协议获得批准的日期，不进行会计处理。在 等待期内，即从授予日至可行权日的时段，在每个资产负债表日，以对可行 权股票期权数量的最佳估计为基础，按照股票期权在授予日的公允价值，将 取得的职工提供的服务计入当期费用，同时计入资本公积。后续信息表明可 行权股票期权的数量与以前估计不同的，将进行调整，并在可行权日调整至 实际可行权的股票期权数量。可行权日之后不再对已确认的费用和所有者权 益总额进行调整。在行权日，本公司发行新股，收取的所得款扣除任何直接 归属的交易成本，在期权行使时转入股本和股本溢价，同时结转等待期内确 认的资本公积。</w:t>
      </w:r>
    </w:p>
    <w:p>
      <w:pPr>
        <w:pStyle w:val="Style32"/>
        <w:keepNext w:val="0"/>
        <w:keepLines w:val="0"/>
        <w:widowControl w:val="0"/>
        <w:shd w:val="clear" w:color="auto" w:fill="auto"/>
        <w:tabs>
          <w:tab w:pos="699" w:val="left"/>
        </w:tabs>
        <w:bidi w:val="0"/>
        <w:spacing w:before="0" w:after="260" w:line="240" w:lineRule="auto"/>
        <w:ind w:left="0" w:right="0" w:firstLine="0"/>
        <w:jc w:val="left"/>
        <w:rPr>
          <w:sz w:val="24"/>
          <w:szCs w:val="24"/>
        </w:rPr>
      </w:pPr>
      <w:bookmarkStart w:id="761" w:name="bookmark761"/>
      <w:r>
        <w:rPr>
          <w:rFonts w:ascii="Times New Roman" w:eastAsia="Times New Roman" w:hAnsi="Times New Roman" w:cs="Times New Roman"/>
          <w:color w:val="000000"/>
          <w:spacing w:val="0"/>
          <w:w w:val="100"/>
          <w:position w:val="0"/>
          <w:sz w:val="24"/>
          <w:szCs w:val="24"/>
        </w:rPr>
        <w:t>（</w:t>
      </w:r>
      <w:bookmarkEnd w:id="761"/>
      <w:r>
        <w:rPr>
          <w:rFonts w:ascii="Times New Roman" w:eastAsia="Times New Roman" w:hAnsi="Times New Roman" w:cs="Times New Roman"/>
          <w:color w:val="000000"/>
          <w:spacing w:val="0"/>
          <w:w w:val="100"/>
          <w:position w:val="0"/>
          <w:sz w:val="24"/>
          <w:szCs w:val="24"/>
        </w:rPr>
        <w:t>29）</w:t>
        <w:tab/>
      </w:r>
      <w:r>
        <w:rPr>
          <w:b/>
          <w:bCs/>
          <w:color w:val="000000"/>
          <w:spacing w:val="0"/>
          <w:w w:val="100"/>
          <w:position w:val="0"/>
          <w:sz w:val="24"/>
          <w:szCs w:val="24"/>
        </w:rPr>
        <w:t>分部信息</w:t>
      </w:r>
    </w:p>
    <w:p>
      <w:pPr>
        <w:pStyle w:val="Style32"/>
        <w:keepNext w:val="0"/>
        <w:keepLines w:val="0"/>
        <w:widowControl w:val="0"/>
        <w:shd w:val="clear" w:color="auto" w:fill="auto"/>
        <w:bidi w:val="0"/>
        <w:spacing w:before="0" w:after="220" w:line="317" w:lineRule="exact"/>
        <w:ind w:left="700" w:right="0" w:firstLine="40"/>
        <w:jc w:val="both"/>
        <w:rPr>
          <w:sz w:val="24"/>
          <w:szCs w:val="24"/>
        </w:rPr>
      </w:pPr>
      <w:r>
        <w:rPr>
          <w:color w:val="000000"/>
          <w:spacing w:val="0"/>
          <w:w w:val="100"/>
          <w:position w:val="0"/>
          <w:sz w:val="24"/>
          <w:szCs w:val="24"/>
        </w:rPr>
        <w:t>本集团以内部组织结构、管理要求、内部报告制度为依据确定经营分部，以 经营分部为基础确定报告分部并披露分部信息。</w:t>
      </w:r>
    </w:p>
    <w:p>
      <w:pPr>
        <w:pStyle w:val="Style32"/>
        <w:keepNext w:val="0"/>
        <w:keepLines w:val="0"/>
        <w:widowControl w:val="0"/>
        <w:shd w:val="clear" w:color="auto" w:fill="auto"/>
        <w:bidi w:val="0"/>
        <w:spacing w:before="0" w:after="260" w:line="305" w:lineRule="exact"/>
        <w:ind w:left="700" w:right="0" w:firstLine="40"/>
        <w:jc w:val="both"/>
        <w:rPr>
          <w:sz w:val="24"/>
          <w:szCs w:val="24"/>
        </w:rPr>
        <w:sectPr>
          <w:footnotePr>
            <w:pos w:val="pageBottom"/>
            <w:numFmt w:val="decimal"/>
            <w:numRestart w:val="continuous"/>
          </w:footnotePr>
          <w:pgSz w:w="11900" w:h="16840"/>
          <w:pgMar w:top="1354" w:right="1441" w:bottom="1354" w:left="1704" w:header="0" w:footer="3" w:gutter="0"/>
          <w:cols w:space="720"/>
          <w:noEndnote/>
          <w:rtlGutter w:val="0"/>
          <w:docGrid w:linePitch="360"/>
        </w:sectPr>
      </w:pPr>
      <w:r>
        <w:rPr>
          <w:color w:val="000000"/>
          <w:spacing w:val="0"/>
          <w:w w:val="100"/>
          <w:position w:val="0"/>
          <w:sz w:val="24"/>
          <w:szCs w:val="24"/>
        </w:rPr>
        <w:t>经营分部是指本集团内同时满足下列条件的组成部分：</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该组成部分能够在 日常活动中产生收入、发生费用；</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本集团管理层能够定期评价该组成部分 的经营成果，以决定向其配置资源、评价其业绩；</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本集团能够取得该组成 部分的财务状况、经营成果和现金流量等有关会计信息。两个或多个经营分 部具有相似的经济特征，并且满足一定条件的，则可合并为一个经营分部。</w:t>
      </w:r>
    </w:p>
    <w:p>
      <w:pPr>
        <w:pStyle w:val="Style32"/>
        <w:keepNext w:val="0"/>
        <w:keepLines w:val="0"/>
        <w:widowControl w:val="0"/>
        <w:shd w:val="clear" w:color="auto" w:fill="auto"/>
        <w:bidi w:val="0"/>
        <w:spacing w:before="0" w:after="0" w:line="240" w:lineRule="auto"/>
        <w:ind w:left="0" w:right="0" w:firstLine="720"/>
        <w:jc w:val="left"/>
        <w:rPr>
          <w:sz w:val="24"/>
          <w:szCs w:val="24"/>
        </w:rPr>
      </w:pPr>
      <w:r>
        <w:rPr>
          <w:b/>
          <w:bCs/>
          <w:color w:val="000000"/>
          <w:spacing w:val="0"/>
          <w:w w:val="100"/>
          <w:position w:val="0"/>
          <w:sz w:val="24"/>
          <w:szCs w:val="24"/>
        </w:rPr>
        <w:t>财务报表附注</w:t>
      </w:r>
    </w:p>
    <w:p>
      <w:pPr>
        <w:pStyle w:val="Style88"/>
        <w:keepNext/>
        <w:keepLines/>
        <w:widowControl w:val="0"/>
        <w:shd w:val="clear" w:color="auto" w:fill="auto"/>
        <w:bidi w:val="0"/>
        <w:spacing w:before="0" w:after="0" w:line="240" w:lineRule="auto"/>
        <w:ind w:left="0" w:right="0" w:firstLine="720"/>
        <w:jc w:val="left"/>
      </w:pPr>
      <w:bookmarkStart w:id="762" w:name="bookmark762"/>
      <w:bookmarkStart w:id="763" w:name="bookmark763"/>
      <w:bookmarkStart w:id="764" w:name="bookmark764"/>
      <w:r>
        <w:rPr>
          <w:color w:val="000000"/>
          <w:spacing w:val="0"/>
          <w:w w:val="100"/>
          <w:position w:val="0"/>
          <w:sz w:val="24"/>
          <w:szCs w:val="24"/>
        </w:rPr>
        <w:t>2016</w:t>
      </w:r>
      <w:r>
        <w:rPr>
          <w:rFonts w:ascii="SimSun" w:eastAsia="SimSun" w:hAnsi="SimSun" w:cs="SimSun"/>
          <w:b/>
          <w:bCs/>
          <w:color w:val="000000"/>
          <w:spacing w:val="0"/>
          <w:w w:val="100"/>
          <w:position w:val="0"/>
          <w:sz w:val="24"/>
          <w:szCs w:val="24"/>
        </w:rPr>
        <w:t>年度</w:t>
      </w:r>
      <w:bookmarkEnd w:id="762"/>
      <w:bookmarkEnd w:id="763"/>
      <w:bookmarkEnd w:id="764"/>
    </w:p>
    <w:p>
      <w:pPr>
        <w:pStyle w:val="Style32"/>
        <w:keepNext w:val="0"/>
        <w:keepLines w:val="0"/>
        <w:widowControl w:val="0"/>
        <w:shd w:val="clear" w:color="auto" w:fill="auto"/>
        <w:bidi w:val="0"/>
        <w:spacing w:before="0" w:after="260" w:line="240" w:lineRule="auto"/>
        <w:ind w:left="0" w:right="0" w:firstLine="720"/>
        <w:jc w:val="left"/>
        <w:rPr>
          <w:sz w:val="24"/>
          <w:szCs w:val="24"/>
        </w:rPr>
      </w:pPr>
      <w:r>
        <w:rPr>
          <w:rFonts w:ascii="Arial" w:eastAsia="Arial" w:hAnsi="Arial" w:cs="Arial"/>
          <w:color w:val="000000"/>
          <w:spacing w:val="0"/>
          <w:w w:val="100"/>
          <w:position w:val="0"/>
          <w:sz w:val="20"/>
          <w:szCs w:val="20"/>
        </w:rPr>
        <w:t>(</w:t>
      </w:r>
      <w:r>
        <w:rPr>
          <w:color w:val="000000"/>
          <w:spacing w:val="0"/>
          <w:w w:val="100"/>
          <w:position w:val="0"/>
          <w:sz w:val="20"/>
          <w:szCs w:val="20"/>
        </w:rPr>
        <w:t>除特别注明外，金额单位为人民币千元</w:t>
      </w:r>
      <w:r>
        <w:rPr>
          <w:color w:val="000000"/>
          <w:spacing w:val="0"/>
          <w:w w:val="100"/>
          <w:position w:val="0"/>
          <w:sz w:val="24"/>
          <w:szCs w:val="24"/>
        </w:rPr>
        <w:t>)</w:t>
      </w:r>
    </w:p>
    <w:p>
      <w:pPr>
        <w:pStyle w:val="Style32"/>
        <w:keepNext w:val="0"/>
        <w:keepLines w:val="0"/>
        <w:widowControl w:val="0"/>
        <w:shd w:val="clear" w:color="auto" w:fill="auto"/>
        <w:tabs>
          <w:tab w:pos="670" w:val="left"/>
        </w:tabs>
        <w:bidi w:val="0"/>
        <w:spacing w:before="0" w:after="260" w:line="240" w:lineRule="auto"/>
        <w:ind w:left="0" w:right="0" w:firstLine="0"/>
        <w:jc w:val="left"/>
        <w:rPr>
          <w:sz w:val="24"/>
          <w:szCs w:val="24"/>
        </w:rPr>
      </w:pPr>
      <w:r>
        <w:rPr>
          <w:b/>
          <w:bCs/>
          <w:color w:val="000000"/>
          <w:spacing w:val="0"/>
          <w:w w:val="100"/>
          <w:position w:val="0"/>
          <w:sz w:val="24"/>
          <w:szCs w:val="24"/>
        </w:rPr>
        <w:t>二</w:t>
        <w:tab/>
        <w:t>主要会计政策和会计估计</w:t>
      </w:r>
      <w:r>
        <w:rPr>
          <w:rFonts w:ascii="Times New Roman" w:eastAsia="Times New Roman" w:hAnsi="Times New Roman" w:cs="Times New Roman"/>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4"/>
          <w:szCs w:val="24"/>
        </w:rPr>
        <w:t>)</w:t>
      </w:r>
    </w:p>
    <w:p>
      <w:pPr>
        <w:pStyle w:val="Style32"/>
        <w:keepNext w:val="0"/>
        <w:keepLines w:val="0"/>
        <w:widowControl w:val="0"/>
        <w:shd w:val="clear" w:color="auto" w:fill="auto"/>
        <w:bidi w:val="0"/>
        <w:spacing w:before="0" w:after="26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(30)</w:t>
      </w:r>
      <w:r>
        <w:rPr>
          <w:b/>
          <w:bCs/>
          <w:color w:val="000000"/>
          <w:spacing w:val="0"/>
          <w:w w:val="100"/>
          <w:position w:val="0"/>
          <w:sz w:val="24"/>
          <w:szCs w:val="24"/>
        </w:rPr>
        <w:t>重要会计估计和判断</w:t>
      </w:r>
    </w:p>
    <w:p>
      <w:pPr>
        <w:pStyle w:val="Style32"/>
        <w:keepNext w:val="0"/>
        <w:keepLines w:val="0"/>
        <w:widowControl w:val="0"/>
        <w:shd w:val="clear" w:color="auto" w:fill="auto"/>
        <w:bidi w:val="0"/>
        <w:spacing w:before="0" w:after="260" w:line="312" w:lineRule="exact"/>
        <w:ind w:left="720" w:right="0" w:firstLine="20"/>
        <w:jc w:val="both"/>
        <w:rPr>
          <w:sz w:val="24"/>
          <w:szCs w:val="24"/>
        </w:rPr>
      </w:pPr>
      <w:r>
        <w:rPr>
          <w:color w:val="000000"/>
          <w:spacing w:val="0"/>
          <w:w w:val="100"/>
          <w:position w:val="0"/>
          <w:sz w:val="24"/>
          <w:szCs w:val="24"/>
        </w:rPr>
        <w:t>本集团根据历史经验和其它因素，包括对未来事项的合理预期，对所采用的 重要会计估计和关键判断进行持续的评价。</w:t>
      </w:r>
    </w:p>
    <w:p>
      <w:pPr>
        <w:pStyle w:val="Style32"/>
        <w:keepNext w:val="0"/>
        <w:keepLines w:val="0"/>
        <w:widowControl w:val="0"/>
        <w:numPr>
          <w:ilvl w:val="0"/>
          <w:numId w:val="57"/>
        </w:numPr>
        <w:shd w:val="clear" w:color="auto" w:fill="auto"/>
        <w:tabs>
          <w:tab w:pos="670" w:val="left"/>
        </w:tabs>
        <w:bidi w:val="0"/>
        <w:spacing w:before="0" w:after="260" w:line="266" w:lineRule="auto"/>
        <w:ind w:left="0" w:right="0" w:firstLine="0"/>
        <w:jc w:val="left"/>
        <w:rPr>
          <w:sz w:val="24"/>
          <w:szCs w:val="24"/>
        </w:rPr>
      </w:pPr>
      <w:bookmarkStart w:id="765" w:name="bookmark765"/>
      <w:bookmarkEnd w:id="765"/>
      <w:r>
        <w:rPr>
          <w:color w:val="000000"/>
          <w:spacing w:val="0"/>
          <w:w w:val="100"/>
          <w:position w:val="0"/>
          <w:sz w:val="24"/>
          <w:szCs w:val="24"/>
        </w:rPr>
        <w:t>重要会计估计及其关键假设</w:t>
      </w:r>
    </w:p>
    <w:p>
      <w:pPr>
        <w:pStyle w:val="Style32"/>
        <w:keepNext w:val="0"/>
        <w:keepLines w:val="0"/>
        <w:widowControl w:val="0"/>
        <w:shd w:val="clear" w:color="auto" w:fill="auto"/>
        <w:bidi w:val="0"/>
        <w:spacing w:before="0" w:after="260" w:line="307" w:lineRule="exact"/>
        <w:ind w:left="720" w:right="0" w:firstLine="20"/>
        <w:jc w:val="both"/>
        <w:rPr>
          <w:sz w:val="24"/>
          <w:szCs w:val="24"/>
        </w:rPr>
      </w:pPr>
      <w:r>
        <w:rPr>
          <w:color w:val="000000"/>
          <w:spacing w:val="0"/>
          <w:w w:val="100"/>
          <w:position w:val="0"/>
          <w:sz w:val="24"/>
          <w:szCs w:val="24"/>
        </w:rPr>
        <w:t>下列重要会计估计及关键假设存在会导致下一会计年度资产和负债的账面价 值出现重大调整的重要风险：</w:t>
      </w:r>
    </w:p>
    <w:p>
      <w:pPr>
        <w:pStyle w:val="Style32"/>
        <w:keepNext w:val="0"/>
        <w:keepLines w:val="0"/>
        <w:widowControl w:val="0"/>
        <w:numPr>
          <w:ilvl w:val="0"/>
          <w:numId w:val="59"/>
        </w:numPr>
        <w:shd w:val="clear" w:color="auto" w:fill="auto"/>
        <w:tabs>
          <w:tab w:pos="670" w:val="left"/>
        </w:tabs>
        <w:bidi w:val="0"/>
        <w:spacing w:before="0" w:after="260" w:line="266" w:lineRule="auto"/>
        <w:ind w:left="0" w:right="0" w:firstLine="0"/>
        <w:jc w:val="left"/>
        <w:rPr>
          <w:sz w:val="24"/>
          <w:szCs w:val="24"/>
        </w:rPr>
      </w:pPr>
      <w:bookmarkStart w:id="766" w:name="bookmark766"/>
      <w:bookmarkEnd w:id="766"/>
      <w:r>
        <w:rPr>
          <w:color w:val="000000"/>
          <w:spacing w:val="0"/>
          <w:w w:val="100"/>
          <w:position w:val="0"/>
          <w:sz w:val="24"/>
          <w:szCs w:val="24"/>
        </w:rPr>
        <w:t>商誉减值准备的会计估计</w:t>
      </w:r>
    </w:p>
    <w:p>
      <w:pPr>
        <w:pStyle w:val="Style32"/>
        <w:keepNext w:val="0"/>
        <w:keepLines w:val="0"/>
        <w:widowControl w:val="0"/>
        <w:shd w:val="clear" w:color="auto" w:fill="auto"/>
        <w:bidi w:val="0"/>
        <w:spacing w:before="0" w:after="260" w:line="317" w:lineRule="exact"/>
        <w:ind w:left="720" w:right="0" w:firstLine="20"/>
        <w:jc w:val="both"/>
        <w:rPr>
          <w:sz w:val="24"/>
          <w:szCs w:val="24"/>
        </w:rPr>
      </w:pPr>
      <w:r>
        <w:rPr>
          <w:color w:val="000000"/>
          <w:spacing w:val="0"/>
          <w:w w:val="100"/>
          <w:position w:val="0"/>
          <w:sz w:val="24"/>
          <w:szCs w:val="24"/>
        </w:rPr>
        <w:t>本集团每年对商誉进行减值测试。包含商誉的资产组和资产组组合的可收回 金额为其预计未来现金流量的现值，其计算需要采用会计估计</w:t>
      </w:r>
      <w:r>
        <w:rPr>
          <w:color w:val="000000"/>
          <w:spacing w:val="0"/>
          <w:w w:val="100"/>
          <w:position w:val="0"/>
          <w:sz w:val="24"/>
          <w:szCs w:val="24"/>
        </w:rPr>
        <w:t>(</w:t>
      </w:r>
      <w:r>
        <w:rPr>
          <w:color w:val="000000"/>
          <w:spacing w:val="0"/>
          <w:w w:val="100"/>
          <w:position w:val="0"/>
          <w:sz w:val="24"/>
          <w:szCs w:val="24"/>
        </w:rPr>
        <w:t xml:space="preserve">附注四 </w:t>
      </w:r>
      <w:r>
        <w:rPr>
          <w:rFonts w:ascii="Times New Roman" w:eastAsia="Times New Roman" w:hAnsi="Times New Roman" w:cs="Times New Roman"/>
          <w:color w:val="000000"/>
          <w:spacing w:val="0"/>
          <w:w w:val="100"/>
          <w:position w:val="0"/>
          <w:sz w:val="24"/>
          <w:szCs w:val="24"/>
        </w:rPr>
        <w:t>(17))</w:t>
      </w:r>
      <w:r>
        <w:rPr>
          <w:color w:val="000000"/>
          <w:spacing w:val="0"/>
          <w:w w:val="100"/>
          <w:position w:val="0"/>
          <w:sz w:val="24"/>
          <w:szCs w:val="24"/>
        </w:rPr>
        <w:t>。</w:t>
      </w:r>
    </w:p>
    <w:p>
      <w:pPr>
        <w:pStyle w:val="Style32"/>
        <w:keepNext w:val="0"/>
        <w:keepLines w:val="0"/>
        <w:widowControl w:val="0"/>
        <w:shd w:val="clear" w:color="auto" w:fill="auto"/>
        <w:bidi w:val="0"/>
        <w:spacing w:before="0" w:after="300" w:line="305" w:lineRule="exact"/>
        <w:ind w:left="720" w:right="0" w:firstLine="20"/>
        <w:jc w:val="both"/>
        <w:rPr>
          <w:sz w:val="24"/>
          <w:szCs w:val="24"/>
        </w:rPr>
      </w:pPr>
      <w:r>
        <w:rPr>
          <w:color w:val="000000"/>
          <w:spacing w:val="0"/>
          <w:w w:val="100"/>
          <w:position w:val="0"/>
          <w:sz w:val="24"/>
          <w:szCs w:val="24"/>
        </w:rPr>
        <w:t>如果管理层对资产组和资产组组合未来现金流量计算中采用的毛利率进行修 订，修订后的毛利率低于目前采用的毛利率，本集团需对商誉增加计提减值 准备。</w:t>
      </w:r>
    </w:p>
    <w:p>
      <w:pPr>
        <w:pStyle w:val="Style32"/>
        <w:keepNext w:val="0"/>
        <w:keepLines w:val="0"/>
        <w:widowControl w:val="0"/>
        <w:shd w:val="clear" w:color="auto" w:fill="auto"/>
        <w:bidi w:val="0"/>
        <w:spacing w:before="0" w:after="300" w:line="305" w:lineRule="exact"/>
        <w:ind w:left="720" w:right="0" w:firstLine="20"/>
        <w:jc w:val="both"/>
        <w:rPr>
          <w:sz w:val="24"/>
          <w:szCs w:val="24"/>
        </w:rPr>
      </w:pPr>
      <w:r>
        <w:rPr>
          <w:color w:val="000000"/>
          <w:spacing w:val="0"/>
          <w:w w:val="100"/>
          <w:position w:val="0"/>
          <w:sz w:val="24"/>
          <w:szCs w:val="24"/>
        </w:rPr>
        <w:t>如果管理层对资产组和资产组组合未来现金流量计算中采用的收入增长率进 行修订，修订后的收入增长率低于目前采用的收入增长率，本集团需对商誉 增加计提减值准备。</w:t>
      </w:r>
    </w:p>
    <w:p>
      <w:pPr>
        <w:pStyle w:val="Style32"/>
        <w:keepNext w:val="0"/>
        <w:keepLines w:val="0"/>
        <w:widowControl w:val="0"/>
        <w:shd w:val="clear" w:color="auto" w:fill="auto"/>
        <w:bidi w:val="0"/>
        <w:spacing w:before="0" w:after="260" w:line="305" w:lineRule="exact"/>
        <w:ind w:left="720" w:right="0" w:firstLine="20"/>
        <w:jc w:val="both"/>
        <w:rPr>
          <w:sz w:val="24"/>
          <w:szCs w:val="24"/>
        </w:rPr>
      </w:pPr>
      <w:r>
        <w:rPr>
          <w:color w:val="000000"/>
          <w:spacing w:val="0"/>
          <w:w w:val="100"/>
          <w:position w:val="0"/>
          <w:sz w:val="24"/>
          <w:szCs w:val="24"/>
        </w:rPr>
        <w:t>如果管理层对资产组和资产组组合未来现金流量计算中采用的净营运资本投 入金额进行修订，修订后的净营运资本投入金额高于目前采用的净营运资本 投入金额，本集团需对商誉增加计提减值准备。</w:t>
      </w:r>
    </w:p>
    <w:p>
      <w:pPr>
        <w:pStyle w:val="Style32"/>
        <w:keepNext w:val="0"/>
        <w:keepLines w:val="0"/>
        <w:widowControl w:val="0"/>
        <w:shd w:val="clear" w:color="auto" w:fill="auto"/>
        <w:bidi w:val="0"/>
        <w:spacing w:before="0" w:after="300" w:line="283" w:lineRule="exact"/>
        <w:ind w:left="720" w:right="0" w:firstLine="20"/>
        <w:jc w:val="both"/>
        <w:rPr>
          <w:sz w:val="24"/>
          <w:szCs w:val="24"/>
        </w:rPr>
      </w:pPr>
      <w:r>
        <w:rPr>
          <w:color w:val="000000"/>
          <w:spacing w:val="0"/>
          <w:w w:val="100"/>
          <w:position w:val="0"/>
          <w:sz w:val="24"/>
          <w:szCs w:val="24"/>
        </w:rPr>
        <w:t>如果管理层对应用于现金流量折现的税前折现率进行重新修订，修订后的税 前折现率高于目前采用的折现率，本集团需对商誉增加计提减值准备。</w:t>
      </w:r>
    </w:p>
    <w:p>
      <w:pPr>
        <w:pStyle w:val="Style32"/>
        <w:keepNext w:val="0"/>
        <w:keepLines w:val="0"/>
        <w:widowControl w:val="0"/>
        <w:shd w:val="clear" w:color="auto" w:fill="auto"/>
        <w:bidi w:val="0"/>
        <w:spacing w:before="0" w:after="260" w:line="307" w:lineRule="exact"/>
        <w:ind w:left="720" w:right="0" w:firstLine="20"/>
        <w:jc w:val="both"/>
        <w:rPr>
          <w:sz w:val="24"/>
          <w:szCs w:val="24"/>
        </w:rPr>
      </w:pPr>
      <w:r>
        <w:rPr>
          <w:color w:val="000000"/>
          <w:spacing w:val="0"/>
          <w:w w:val="100"/>
          <w:position w:val="0"/>
          <w:sz w:val="24"/>
          <w:szCs w:val="24"/>
        </w:rPr>
        <w:t>如果实际毛利率、收入增长率、净营运资本投入金额或税前折现率高于或低 于管理层的估计，本集团不能转回原已计提的商誉减值损失。</w:t>
      </w:r>
    </w:p>
    <w:p>
      <w:pPr>
        <w:pStyle w:val="Style32"/>
        <w:keepNext w:val="0"/>
        <w:keepLines w:val="0"/>
        <w:widowControl w:val="0"/>
        <w:shd w:val="clear" w:color="auto" w:fill="auto"/>
        <w:bidi w:val="0"/>
        <w:spacing w:before="0" w:after="0" w:line="240" w:lineRule="auto"/>
        <w:ind w:left="0" w:right="0" w:firstLine="720"/>
        <w:jc w:val="left"/>
        <w:rPr>
          <w:sz w:val="24"/>
          <w:szCs w:val="24"/>
        </w:rPr>
      </w:pPr>
      <w:r>
        <w:rPr>
          <w:b/>
          <w:bCs/>
          <w:color w:val="000000"/>
          <w:spacing w:val="0"/>
          <w:w w:val="100"/>
          <w:position w:val="0"/>
          <w:sz w:val="24"/>
          <w:szCs w:val="24"/>
        </w:rPr>
        <w:t>财务报表附注</w:t>
      </w:r>
    </w:p>
    <w:p>
      <w:pPr>
        <w:pStyle w:val="Style88"/>
        <w:keepNext/>
        <w:keepLines/>
        <w:widowControl w:val="0"/>
        <w:shd w:val="clear" w:color="auto" w:fill="auto"/>
        <w:bidi w:val="0"/>
        <w:spacing w:before="0" w:after="0" w:line="240" w:lineRule="auto"/>
        <w:ind w:left="0" w:right="0" w:firstLine="720"/>
        <w:jc w:val="left"/>
      </w:pPr>
      <w:bookmarkStart w:id="767" w:name="bookmark767"/>
      <w:bookmarkStart w:id="768" w:name="bookmark768"/>
      <w:bookmarkStart w:id="769" w:name="bookmark769"/>
      <w:r>
        <w:rPr>
          <w:color w:val="000000"/>
          <w:spacing w:val="0"/>
          <w:w w:val="100"/>
          <w:position w:val="0"/>
          <w:sz w:val="24"/>
          <w:szCs w:val="24"/>
        </w:rPr>
        <w:t>2016</w:t>
      </w:r>
      <w:r>
        <w:rPr>
          <w:rFonts w:ascii="SimSun" w:eastAsia="SimSun" w:hAnsi="SimSun" w:cs="SimSun"/>
          <w:b/>
          <w:bCs/>
          <w:color w:val="000000"/>
          <w:spacing w:val="0"/>
          <w:w w:val="100"/>
          <w:position w:val="0"/>
          <w:sz w:val="24"/>
          <w:szCs w:val="24"/>
        </w:rPr>
        <w:t>年度</w:t>
      </w:r>
      <w:bookmarkEnd w:id="767"/>
      <w:bookmarkEnd w:id="768"/>
      <w:bookmarkEnd w:id="769"/>
    </w:p>
    <w:p>
      <w:pPr>
        <w:pStyle w:val="Style32"/>
        <w:keepNext w:val="0"/>
        <w:keepLines w:val="0"/>
        <w:widowControl w:val="0"/>
        <w:shd w:val="clear" w:color="auto" w:fill="auto"/>
        <w:bidi w:val="0"/>
        <w:spacing w:before="0" w:after="220" w:line="240" w:lineRule="auto"/>
        <w:ind w:left="0" w:right="0" w:firstLine="720"/>
        <w:jc w:val="left"/>
        <w:rPr>
          <w:sz w:val="24"/>
          <w:szCs w:val="24"/>
        </w:rPr>
      </w:pPr>
      <w:r>
        <w:rPr>
          <w:rFonts w:ascii="Arial" w:eastAsia="Arial" w:hAnsi="Arial" w:cs="Arial"/>
          <w:color w:val="000000"/>
          <w:spacing w:val="0"/>
          <w:w w:val="100"/>
          <w:position w:val="0"/>
          <w:sz w:val="20"/>
          <w:szCs w:val="20"/>
        </w:rPr>
        <w:t>(</w:t>
      </w:r>
      <w:r>
        <w:rPr>
          <w:color w:val="000000"/>
          <w:spacing w:val="0"/>
          <w:w w:val="100"/>
          <w:position w:val="0"/>
          <w:sz w:val="20"/>
          <w:szCs w:val="20"/>
        </w:rPr>
        <w:t>除特别注明外，金额单位为人民币千元</w:t>
      </w:r>
      <w:r>
        <w:rPr>
          <w:color w:val="000000"/>
          <w:spacing w:val="0"/>
          <w:w w:val="100"/>
          <w:position w:val="0"/>
          <w:sz w:val="24"/>
          <w:szCs w:val="24"/>
        </w:rPr>
        <w:t>)</w:t>
      </w:r>
    </w:p>
    <w:p>
      <w:pPr>
        <w:pStyle w:val="Style32"/>
        <w:keepNext w:val="0"/>
        <w:keepLines w:val="0"/>
        <w:widowControl w:val="0"/>
        <w:shd w:val="clear" w:color="auto" w:fill="auto"/>
        <w:tabs>
          <w:tab w:pos="713" w:val="left"/>
        </w:tabs>
        <w:bidi w:val="0"/>
        <w:spacing w:before="0" w:after="280" w:line="240" w:lineRule="auto"/>
        <w:ind w:left="0" w:right="0" w:firstLine="0"/>
        <w:jc w:val="left"/>
        <w:rPr>
          <w:sz w:val="24"/>
          <w:szCs w:val="24"/>
        </w:rPr>
      </w:pPr>
      <w:r>
        <w:rPr>
          <w:b/>
          <w:bCs/>
          <w:color w:val="000000"/>
          <w:spacing w:val="0"/>
          <w:w w:val="100"/>
          <w:position w:val="0"/>
          <w:sz w:val="24"/>
          <w:szCs w:val="24"/>
        </w:rPr>
        <w:t>二</w:t>
        <w:tab/>
        <w:t>主要会计政策和会计估计</w:t>
      </w:r>
      <w:r>
        <w:rPr>
          <w:rFonts w:ascii="Times New Roman" w:eastAsia="Times New Roman" w:hAnsi="Times New Roman" w:cs="Times New Roman"/>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4"/>
          <w:szCs w:val="24"/>
        </w:rPr>
        <w:t>)</w:t>
      </w:r>
    </w:p>
    <w:p>
      <w:pPr>
        <w:pStyle w:val="Style32"/>
        <w:keepNext w:val="0"/>
        <w:keepLines w:val="0"/>
        <w:widowControl w:val="0"/>
        <w:shd w:val="clear" w:color="auto" w:fill="auto"/>
        <w:bidi w:val="0"/>
        <w:spacing w:before="0" w:after="28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(30)</w:t>
      </w:r>
      <w:r>
        <w:rPr>
          <w:b/>
          <w:bCs/>
          <w:color w:val="000000"/>
          <w:spacing w:val="0"/>
          <w:w w:val="100"/>
          <w:position w:val="0"/>
          <w:sz w:val="24"/>
          <w:szCs w:val="24"/>
        </w:rPr>
        <w:t>重要会计估计和判断</w:t>
      </w:r>
      <w:r>
        <w:rPr>
          <w:rFonts w:ascii="Times New Roman" w:eastAsia="Times New Roman" w:hAnsi="Times New Roman" w:cs="Times New Roman"/>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4"/>
          <w:szCs w:val="24"/>
        </w:rPr>
        <w:t>)</w:t>
      </w:r>
    </w:p>
    <w:p>
      <w:pPr>
        <w:pStyle w:val="Style32"/>
        <w:keepNext w:val="0"/>
        <w:keepLines w:val="0"/>
        <w:widowControl w:val="0"/>
        <w:numPr>
          <w:ilvl w:val="0"/>
          <w:numId w:val="61"/>
        </w:numPr>
        <w:shd w:val="clear" w:color="auto" w:fill="auto"/>
        <w:tabs>
          <w:tab w:pos="713" w:val="left"/>
        </w:tabs>
        <w:bidi w:val="0"/>
        <w:spacing w:before="0" w:after="220" w:line="271" w:lineRule="auto"/>
        <w:ind w:left="0" w:right="0" w:firstLine="0"/>
        <w:jc w:val="left"/>
        <w:rPr>
          <w:sz w:val="24"/>
          <w:szCs w:val="24"/>
        </w:rPr>
      </w:pPr>
      <w:bookmarkStart w:id="770" w:name="bookmark770"/>
      <w:bookmarkEnd w:id="770"/>
      <w:r>
        <w:rPr>
          <w:color w:val="000000"/>
          <w:spacing w:val="0"/>
          <w:w w:val="100"/>
          <w:position w:val="0"/>
          <w:sz w:val="24"/>
          <w:szCs w:val="24"/>
        </w:rPr>
        <w:t>重要会计估计及其关键假设</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续</w:t>
      </w:r>
      <w:r>
        <w:rPr>
          <w:color w:val="000000"/>
          <w:spacing w:val="0"/>
          <w:w w:val="100"/>
          <w:position w:val="0"/>
          <w:sz w:val="24"/>
          <w:szCs w:val="24"/>
        </w:rPr>
        <w:t>)</w:t>
      </w:r>
    </w:p>
    <w:p>
      <w:pPr>
        <w:pStyle w:val="Style32"/>
        <w:keepNext w:val="0"/>
        <w:keepLines w:val="0"/>
        <w:widowControl w:val="0"/>
        <w:numPr>
          <w:ilvl w:val="0"/>
          <w:numId w:val="59"/>
        </w:numPr>
        <w:shd w:val="clear" w:color="auto" w:fill="auto"/>
        <w:tabs>
          <w:tab w:pos="713" w:val="left"/>
        </w:tabs>
        <w:bidi w:val="0"/>
        <w:spacing w:before="0" w:after="220" w:line="271" w:lineRule="auto"/>
        <w:ind w:left="0" w:right="0" w:firstLine="0"/>
        <w:jc w:val="left"/>
        <w:rPr>
          <w:sz w:val="24"/>
          <w:szCs w:val="24"/>
        </w:rPr>
      </w:pPr>
      <w:bookmarkStart w:id="771" w:name="bookmark771"/>
      <w:bookmarkEnd w:id="771"/>
      <w:r>
        <w:rPr>
          <w:color w:val="000000"/>
          <w:spacing w:val="0"/>
          <w:w w:val="100"/>
          <w:position w:val="0"/>
          <w:sz w:val="24"/>
          <w:szCs w:val="24"/>
        </w:rPr>
        <w:t>房地产开发成本</w:t>
      </w:r>
    </w:p>
    <w:p>
      <w:pPr>
        <w:pStyle w:val="Style32"/>
        <w:keepNext w:val="0"/>
        <w:keepLines w:val="0"/>
        <w:widowControl w:val="0"/>
        <w:shd w:val="clear" w:color="auto" w:fill="auto"/>
        <w:bidi w:val="0"/>
        <w:spacing w:before="0" w:after="280" w:line="305" w:lineRule="exact"/>
        <w:ind w:left="720" w:right="0" w:firstLine="20"/>
        <w:jc w:val="both"/>
        <w:rPr>
          <w:sz w:val="24"/>
          <w:szCs w:val="24"/>
        </w:rPr>
      </w:pPr>
      <w:r>
        <w:rPr>
          <w:color w:val="000000"/>
          <w:spacing w:val="0"/>
          <w:w w:val="100"/>
          <w:position w:val="0"/>
          <w:sz w:val="24"/>
          <w:szCs w:val="24"/>
        </w:rPr>
        <w:t>本集团确认开发成本时需要按照开发项目的预算成本和开发进度作出重大估 计和判断。当房地产开发项目的最终决算成本和预算成本不一致时，其差额 将影响相应的开发产品、开发成本和主营业务成本。</w:t>
      </w:r>
    </w:p>
    <w:p>
      <w:pPr>
        <w:pStyle w:val="Style32"/>
        <w:keepNext w:val="0"/>
        <w:keepLines w:val="0"/>
        <w:widowControl w:val="0"/>
        <w:numPr>
          <w:ilvl w:val="0"/>
          <w:numId w:val="59"/>
        </w:numPr>
        <w:shd w:val="clear" w:color="auto" w:fill="auto"/>
        <w:tabs>
          <w:tab w:pos="713" w:val="left"/>
        </w:tabs>
        <w:bidi w:val="0"/>
        <w:spacing w:before="0" w:after="220" w:line="271" w:lineRule="auto"/>
        <w:ind w:left="0" w:right="0" w:firstLine="0"/>
        <w:jc w:val="left"/>
        <w:rPr>
          <w:sz w:val="24"/>
          <w:szCs w:val="24"/>
        </w:rPr>
      </w:pPr>
      <w:bookmarkStart w:id="772" w:name="bookmark772"/>
      <w:bookmarkEnd w:id="772"/>
      <w:r>
        <w:rPr>
          <w:color w:val="000000"/>
          <w:spacing w:val="0"/>
          <w:w w:val="100"/>
          <w:position w:val="0"/>
          <w:sz w:val="24"/>
          <w:szCs w:val="24"/>
        </w:rPr>
        <w:t>当期及递延所得税</w:t>
      </w:r>
    </w:p>
    <w:p>
      <w:pPr>
        <w:pStyle w:val="Style32"/>
        <w:keepNext w:val="0"/>
        <w:keepLines w:val="0"/>
        <w:widowControl w:val="0"/>
        <w:shd w:val="clear" w:color="auto" w:fill="auto"/>
        <w:bidi w:val="0"/>
        <w:spacing w:before="0" w:after="280" w:line="313" w:lineRule="exact"/>
        <w:ind w:left="720" w:right="0" w:firstLine="20"/>
        <w:jc w:val="both"/>
        <w:rPr>
          <w:sz w:val="24"/>
          <w:szCs w:val="24"/>
        </w:rPr>
      </w:pPr>
      <w:r>
        <w:rPr>
          <w:color w:val="000000"/>
          <w:spacing w:val="0"/>
          <w:w w:val="100"/>
          <w:position w:val="0"/>
          <w:sz w:val="24"/>
          <w:szCs w:val="24"/>
        </w:rPr>
        <w:t>本集团在多个地区缴纳企业所得税。在正常的经营活动中，部分交易和事项 的最终税务处理存在不确定性。在计提各个地区的所得税费用时，本集团需 要作出重大判断。如果这些税务事项的最终认定结果与最初入账的金额存在 差异，该差异将对作出上述最终认定期间的所得税费用和递延所得税的金额 产生影响。</w:t>
      </w:r>
    </w:p>
    <w:p>
      <w:pPr>
        <w:pStyle w:val="Style32"/>
        <w:keepNext w:val="0"/>
        <w:keepLines w:val="0"/>
        <w:widowControl w:val="0"/>
        <w:shd w:val="clear" w:color="auto" w:fill="auto"/>
        <w:bidi w:val="0"/>
        <w:spacing w:before="0" w:after="280" w:line="310" w:lineRule="exact"/>
        <w:ind w:left="720" w:right="0" w:firstLine="20"/>
        <w:jc w:val="both"/>
        <w:rPr>
          <w:sz w:val="24"/>
          <w:szCs w:val="24"/>
        </w:rPr>
      </w:pPr>
      <w:r>
        <w:rPr>
          <w:color w:val="000000"/>
          <w:spacing w:val="0"/>
          <w:w w:val="100"/>
          <w:position w:val="0"/>
          <w:sz w:val="24"/>
          <w:szCs w:val="24"/>
        </w:rPr>
        <w:t>本集团递延所得税资产的确认以很可能取得用来抵扣可抵扣暂时性差异、可 抵扣亏损和税款抵减的应纳税所得额为限。本集团内各公司取得用来抵扣可 抵扣暂时性差异、可抵扣亏损和税款抵减的应纳税所得额存在不确定性，本 集团需要作出重大判断。如果已经计提递延所得税资产的可抵扣暂时性差 异、可抵扣亏损最终认定结果与最初入账的金额存在差异，该差异将对作出 最终认定期间的递延所得税金额产生影响。</w:t>
      </w:r>
    </w:p>
    <w:p>
      <w:pPr>
        <w:pStyle w:val="Style32"/>
        <w:keepNext w:val="0"/>
        <w:keepLines w:val="0"/>
        <w:widowControl w:val="0"/>
        <w:numPr>
          <w:ilvl w:val="0"/>
          <w:numId w:val="59"/>
        </w:numPr>
        <w:shd w:val="clear" w:color="auto" w:fill="auto"/>
        <w:tabs>
          <w:tab w:pos="713" w:val="left"/>
        </w:tabs>
        <w:bidi w:val="0"/>
        <w:spacing w:before="0" w:after="280" w:line="312" w:lineRule="exact"/>
        <w:ind w:left="0" w:right="0" w:firstLine="0"/>
        <w:jc w:val="left"/>
        <w:rPr>
          <w:sz w:val="24"/>
          <w:szCs w:val="24"/>
        </w:rPr>
      </w:pPr>
      <w:bookmarkStart w:id="773" w:name="bookmark773"/>
      <w:bookmarkEnd w:id="773"/>
      <w:r>
        <w:rPr>
          <w:color w:val="000000"/>
          <w:spacing w:val="0"/>
          <w:w w:val="100"/>
          <w:position w:val="0"/>
          <w:sz w:val="24"/>
          <w:szCs w:val="24"/>
        </w:rPr>
        <w:t>衍生工具及其他金融工具的公允价值</w:t>
      </w:r>
    </w:p>
    <w:p>
      <w:pPr>
        <w:pStyle w:val="Style32"/>
        <w:keepNext w:val="0"/>
        <w:keepLines w:val="0"/>
        <w:widowControl w:val="0"/>
        <w:shd w:val="clear" w:color="auto" w:fill="auto"/>
        <w:bidi w:val="0"/>
        <w:spacing w:before="0" w:after="240" w:line="314" w:lineRule="exact"/>
        <w:ind w:left="720" w:right="0" w:firstLine="20"/>
        <w:jc w:val="both"/>
        <w:rPr>
          <w:sz w:val="24"/>
          <w:szCs w:val="24"/>
        </w:rPr>
        <w:sectPr>
          <w:footnotePr>
            <w:pos w:val="pageBottom"/>
            <w:numFmt w:val="decimal"/>
            <w:numRestart w:val="continuous"/>
          </w:footnotePr>
          <w:pgSz w:w="11900" w:h="16840"/>
          <w:pgMar w:top="1354" w:right="1441" w:bottom="3960" w:left="1704" w:header="0" w:footer="3" w:gutter="0"/>
          <w:cols w:space="720"/>
          <w:noEndnote/>
          <w:rtlGutter w:val="0"/>
          <w:docGrid w:linePitch="360"/>
        </w:sectPr>
      </w:pPr>
      <w:r>
        <w:rPr>
          <w:color w:val="000000"/>
          <w:spacing w:val="0"/>
          <w:w w:val="100"/>
          <w:position w:val="0"/>
          <w:sz w:val="24"/>
          <w:szCs w:val="24"/>
        </w:rPr>
        <w:t>不在活跃市场交易的金融工具的公允价值利用估值技术确定。本集团采用判 断选取多种方法，并主要根据每个报告期末当时的市场情况作出假设。本集 团采用不同的期权定价模型</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包括布莱克</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斯克尔斯定价模型、百慕大利率掉 期期权模型、蒙特卡罗模拟模型等</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不同性质的金融工具进行估值。</w:t>
      </w:r>
    </w:p>
    <w:p>
      <w:pPr>
        <w:pStyle w:val="Style32"/>
        <w:keepNext w:val="0"/>
        <w:keepLines w:val="0"/>
        <w:widowControl w:val="0"/>
        <w:shd w:val="clear" w:color="auto" w:fill="auto"/>
        <w:bidi w:val="0"/>
        <w:spacing w:before="0" w:after="0" w:line="240" w:lineRule="auto"/>
        <w:ind w:left="0" w:right="0" w:firstLine="700"/>
        <w:jc w:val="left"/>
        <w:rPr>
          <w:sz w:val="24"/>
          <w:szCs w:val="24"/>
        </w:rPr>
      </w:pPr>
      <w:r>
        <w:rPr>
          <w:b/>
          <w:bCs/>
          <w:color w:val="000000"/>
          <w:spacing w:val="0"/>
          <w:w w:val="100"/>
          <w:position w:val="0"/>
          <w:sz w:val="24"/>
          <w:szCs w:val="24"/>
        </w:rPr>
        <w:t>财务报表附注</w:t>
      </w:r>
    </w:p>
    <w:p>
      <w:pPr>
        <w:pStyle w:val="Style88"/>
        <w:keepNext/>
        <w:keepLines/>
        <w:widowControl w:val="0"/>
        <w:shd w:val="clear" w:color="auto" w:fill="auto"/>
        <w:bidi w:val="0"/>
        <w:spacing w:before="0" w:after="0" w:line="240" w:lineRule="auto"/>
        <w:ind w:left="0" w:right="0"/>
        <w:jc w:val="left"/>
      </w:pPr>
      <w:bookmarkStart w:id="774" w:name="bookmark774"/>
      <w:bookmarkStart w:id="775" w:name="bookmark775"/>
      <w:bookmarkStart w:id="776" w:name="bookmark776"/>
      <w:r>
        <w:rPr>
          <w:color w:val="000000"/>
          <w:spacing w:val="0"/>
          <w:w w:val="100"/>
          <w:position w:val="0"/>
          <w:sz w:val="24"/>
          <w:szCs w:val="24"/>
        </w:rPr>
        <w:t>2016</w:t>
      </w:r>
      <w:r>
        <w:rPr>
          <w:rFonts w:ascii="SimSun" w:eastAsia="SimSun" w:hAnsi="SimSun" w:cs="SimSun"/>
          <w:b/>
          <w:bCs/>
          <w:color w:val="000000"/>
          <w:spacing w:val="0"/>
          <w:w w:val="100"/>
          <w:position w:val="0"/>
          <w:sz w:val="24"/>
          <w:szCs w:val="24"/>
        </w:rPr>
        <w:t>年度</w:t>
      </w:r>
      <w:bookmarkEnd w:id="774"/>
      <w:bookmarkEnd w:id="775"/>
      <w:bookmarkEnd w:id="776"/>
    </w:p>
    <w:p>
      <w:pPr>
        <w:pStyle w:val="Style32"/>
        <w:keepNext w:val="0"/>
        <w:keepLines w:val="0"/>
        <w:widowControl w:val="0"/>
        <w:shd w:val="clear" w:color="auto" w:fill="auto"/>
        <w:bidi w:val="0"/>
        <w:spacing w:before="0" w:after="0" w:line="240" w:lineRule="auto"/>
        <w:ind w:left="0" w:right="0" w:firstLine="700"/>
        <w:jc w:val="left"/>
        <w:rPr>
          <w:sz w:val="24"/>
          <w:szCs w:val="24"/>
        </w:rPr>
      </w:pPr>
      <w:r>
        <w:rPr>
          <w:rFonts w:ascii="Arial" w:eastAsia="Arial" w:hAnsi="Arial" w:cs="Arial"/>
          <w:color w:val="000000"/>
          <w:spacing w:val="0"/>
          <w:w w:val="100"/>
          <w:position w:val="0"/>
          <w:sz w:val="20"/>
          <w:szCs w:val="20"/>
        </w:rPr>
        <w:t>(</w:t>
      </w:r>
      <w:r>
        <w:rPr>
          <w:color w:val="000000"/>
          <w:spacing w:val="0"/>
          <w:w w:val="100"/>
          <w:position w:val="0"/>
          <w:sz w:val="20"/>
          <w:szCs w:val="20"/>
        </w:rPr>
        <w:t>除特别注明外，金额单位为人民币千元</w:t>
      </w:r>
      <w:r>
        <w:rPr>
          <w:color w:val="000000"/>
          <w:spacing w:val="0"/>
          <w:w w:val="100"/>
          <w:position w:val="0"/>
          <w:sz w:val="24"/>
          <w:szCs w:val="24"/>
        </w:rPr>
        <w:t>)</w:t>
      </w:r>
    </w:p>
    <w:p>
      <w:pPr>
        <w:pStyle w:val="Style32"/>
        <w:keepNext w:val="0"/>
        <w:keepLines w:val="0"/>
        <w:widowControl w:val="0"/>
        <w:shd w:val="clear" w:color="auto" w:fill="auto"/>
        <w:tabs>
          <w:tab w:pos="652" w:val="left"/>
        </w:tabs>
        <w:bidi w:val="0"/>
        <w:spacing w:before="0" w:after="260" w:line="240" w:lineRule="auto"/>
        <w:ind w:left="0" w:right="0" w:firstLine="0"/>
        <w:jc w:val="left"/>
        <w:rPr>
          <w:sz w:val="24"/>
          <w:szCs w:val="24"/>
        </w:rPr>
      </w:pPr>
      <w:r>
        <w:rPr>
          <w:b/>
          <w:bCs/>
          <w:color w:val="000000"/>
          <w:spacing w:val="0"/>
          <w:w w:val="100"/>
          <w:position w:val="0"/>
          <w:sz w:val="24"/>
          <w:szCs w:val="24"/>
        </w:rPr>
        <w:t>二</w:t>
        <w:tab/>
        <w:t>主要会计政策和会计估计</w:t>
      </w:r>
      <w:r>
        <w:rPr>
          <w:rFonts w:ascii="Times New Roman" w:eastAsia="Times New Roman" w:hAnsi="Times New Roman" w:cs="Times New Roman"/>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4"/>
          <w:szCs w:val="24"/>
        </w:rPr>
        <w:t>)</w:t>
      </w:r>
    </w:p>
    <w:p>
      <w:pPr>
        <w:pStyle w:val="Style32"/>
        <w:keepNext w:val="0"/>
        <w:keepLines w:val="0"/>
        <w:widowControl w:val="0"/>
        <w:shd w:val="clear" w:color="auto" w:fill="auto"/>
        <w:bidi w:val="0"/>
        <w:spacing w:before="0" w:after="26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(30)</w:t>
      </w:r>
      <w:r>
        <w:rPr>
          <w:b/>
          <w:bCs/>
          <w:color w:val="000000"/>
          <w:spacing w:val="0"/>
          <w:w w:val="100"/>
          <w:position w:val="0"/>
          <w:sz w:val="24"/>
          <w:szCs w:val="24"/>
        </w:rPr>
        <w:t>重要会计估计和判断</w:t>
      </w:r>
      <w:r>
        <w:rPr>
          <w:rFonts w:ascii="Times New Roman" w:eastAsia="Times New Roman" w:hAnsi="Times New Roman" w:cs="Times New Roman"/>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4"/>
          <w:szCs w:val="24"/>
        </w:rPr>
        <w:t>)</w:t>
      </w:r>
    </w:p>
    <w:p>
      <w:pPr>
        <w:pStyle w:val="Style32"/>
        <w:keepNext w:val="0"/>
        <w:keepLines w:val="0"/>
        <w:widowControl w:val="0"/>
        <w:numPr>
          <w:ilvl w:val="0"/>
          <w:numId w:val="63"/>
        </w:numPr>
        <w:shd w:val="clear" w:color="auto" w:fill="auto"/>
        <w:tabs>
          <w:tab w:pos="652" w:val="left"/>
        </w:tabs>
        <w:bidi w:val="0"/>
        <w:spacing w:before="0" w:after="200" w:line="271" w:lineRule="auto"/>
        <w:ind w:left="0" w:right="0" w:firstLine="0"/>
        <w:jc w:val="left"/>
        <w:rPr>
          <w:sz w:val="24"/>
          <w:szCs w:val="24"/>
        </w:rPr>
      </w:pPr>
      <w:bookmarkStart w:id="777" w:name="bookmark777"/>
      <w:bookmarkEnd w:id="777"/>
      <w:r>
        <w:rPr>
          <w:color w:val="000000"/>
          <w:spacing w:val="0"/>
          <w:w w:val="100"/>
          <w:position w:val="0"/>
          <w:sz w:val="24"/>
          <w:szCs w:val="24"/>
        </w:rPr>
        <w:t>采用会计政策的关键判断</w:t>
      </w:r>
    </w:p>
    <w:p>
      <w:pPr>
        <w:pStyle w:val="Style32"/>
        <w:keepNext w:val="0"/>
        <w:keepLines w:val="0"/>
        <w:widowControl w:val="0"/>
        <w:shd w:val="clear" w:color="auto" w:fill="auto"/>
        <w:tabs>
          <w:tab w:pos="652" w:val="left"/>
        </w:tabs>
        <w:bidi w:val="0"/>
        <w:spacing w:before="0" w:after="260" w:line="312" w:lineRule="exact"/>
        <w:ind w:left="0" w:right="0" w:firstLine="0"/>
        <w:jc w:val="left"/>
        <w:rPr>
          <w:sz w:val="24"/>
          <w:szCs w:val="24"/>
        </w:rPr>
      </w:pPr>
      <w:r>
        <w:rPr>
          <w:color w:val="000000"/>
          <w:spacing w:val="0"/>
          <w:w w:val="100"/>
          <w:position w:val="0"/>
          <w:sz w:val="24"/>
          <w:szCs w:val="24"/>
        </w:rPr>
        <w:t>⑴</w:t>
        <w:tab/>
        <w:t>存货跌价准备</w:t>
      </w:r>
    </w:p>
    <w:p>
      <w:pPr>
        <w:pStyle w:val="Style32"/>
        <w:keepNext w:val="0"/>
        <w:keepLines w:val="0"/>
        <w:widowControl w:val="0"/>
        <w:shd w:val="clear" w:color="auto" w:fill="auto"/>
        <w:bidi w:val="0"/>
        <w:spacing w:before="0" w:after="200" w:line="312" w:lineRule="exact"/>
        <w:ind w:left="700" w:right="640" w:firstLine="20"/>
        <w:jc w:val="both"/>
        <w:rPr>
          <w:sz w:val="24"/>
          <w:szCs w:val="24"/>
        </w:rPr>
      </w:pPr>
      <w:r>
        <w:rPr>
          <w:color w:val="000000"/>
          <w:spacing w:val="0"/>
          <w:w w:val="100"/>
          <w:position w:val="0"/>
          <w:sz w:val="24"/>
          <w:szCs w:val="24"/>
        </w:rPr>
        <w:t>本集团将大量的流动资金投入存货，对于存货跌价准备的风险，本集团已经 执行了严格的措施加以监控。对于存货账龄清单上滞销的存货，本集团会了 解滞销原因并积极与供应商进行沟通，尝试对滞销存货执行退货处理；对于 无法向供应商退货的存货，或者已经不再与本集团进行交易的供应商，本集 团根据滞销存货的账面价值高于各自的可变现净值的差额计提存货跌价准 备。</w:t>
      </w:r>
    </w:p>
    <w:p>
      <w:pPr>
        <w:pStyle w:val="Style32"/>
        <w:keepNext w:val="0"/>
        <w:keepLines w:val="0"/>
        <w:widowControl w:val="0"/>
        <w:numPr>
          <w:ilvl w:val="0"/>
          <w:numId w:val="65"/>
        </w:numPr>
        <w:shd w:val="clear" w:color="auto" w:fill="auto"/>
        <w:tabs>
          <w:tab w:pos="652" w:val="left"/>
        </w:tabs>
        <w:bidi w:val="0"/>
        <w:spacing w:before="0" w:after="200" w:line="271" w:lineRule="auto"/>
        <w:ind w:left="0" w:right="0" w:firstLine="0"/>
        <w:jc w:val="left"/>
        <w:rPr>
          <w:sz w:val="24"/>
          <w:szCs w:val="24"/>
        </w:rPr>
      </w:pPr>
      <w:bookmarkStart w:id="778" w:name="bookmark778"/>
      <w:bookmarkEnd w:id="778"/>
      <w:r>
        <w:rPr>
          <w:color w:val="000000"/>
          <w:spacing w:val="0"/>
          <w:w w:val="100"/>
          <w:position w:val="0"/>
          <w:sz w:val="24"/>
          <w:szCs w:val="24"/>
        </w:rPr>
        <w:t>积分计划</w:t>
      </w:r>
    </w:p>
    <w:p>
      <w:pPr>
        <w:pStyle w:val="Style32"/>
        <w:keepNext w:val="0"/>
        <w:keepLines w:val="0"/>
        <w:widowControl w:val="0"/>
        <w:shd w:val="clear" w:color="auto" w:fill="auto"/>
        <w:bidi w:val="0"/>
        <w:spacing w:before="0" w:after="260" w:line="306" w:lineRule="exact"/>
        <w:ind w:left="700" w:right="0" w:firstLine="20"/>
        <w:jc w:val="both"/>
        <w:rPr>
          <w:sz w:val="24"/>
          <w:szCs w:val="24"/>
        </w:rPr>
      </w:pPr>
      <w:r>
        <w:rPr>
          <w:color w:val="000000"/>
          <w:spacing w:val="0"/>
          <w:w w:val="100"/>
          <w:position w:val="0"/>
          <w:sz w:val="24"/>
          <w:szCs w:val="24"/>
        </w:rPr>
        <w:t>本集团实施积分计划，顾客前次消费额产生的积分，可以在下次消费时抵 用。授予顾客的积分奖励作为销售交易的一部分。销售取得的货款在商品销 售产生的收入与奖励积分之间进行分配，与奖励积分相关的部分首先作为递 延收益，待顾客兑换奖励积分或失效时，结转计入当期损益。予以递延确认 的收益以授予顾客的积分为基准，并根据本集团已公布的积分使用方法和积 分的预期兑付率，按公允价值确认。预期兑付率的可靠估计有赖于历史数据 及数理统计。于每个资产负债表日，本集团将根据积分的实际兑付情况，对 预期兑付率进行重新估算，并调整递延收益余额。</w:t>
      </w:r>
    </w:p>
    <w:p>
      <w:pPr>
        <w:pStyle w:val="Style32"/>
        <w:keepNext w:val="0"/>
        <w:keepLines w:val="0"/>
        <w:widowControl w:val="0"/>
        <w:numPr>
          <w:ilvl w:val="0"/>
          <w:numId w:val="65"/>
        </w:numPr>
        <w:shd w:val="clear" w:color="auto" w:fill="auto"/>
        <w:tabs>
          <w:tab w:pos="652" w:val="left"/>
        </w:tabs>
        <w:bidi w:val="0"/>
        <w:spacing w:before="0" w:after="200" w:line="271" w:lineRule="auto"/>
        <w:ind w:left="0" w:right="0" w:firstLine="0"/>
        <w:jc w:val="left"/>
        <w:rPr>
          <w:sz w:val="24"/>
          <w:szCs w:val="24"/>
        </w:rPr>
      </w:pPr>
      <w:bookmarkStart w:id="779" w:name="bookmark779"/>
      <w:bookmarkEnd w:id="779"/>
      <w:r>
        <w:rPr>
          <w:color w:val="000000"/>
          <w:spacing w:val="0"/>
          <w:w w:val="100"/>
          <w:position w:val="0"/>
          <w:sz w:val="24"/>
          <w:szCs w:val="24"/>
        </w:rPr>
        <w:t>固定资产的折旧方法</w:t>
      </w:r>
    </w:p>
    <w:p>
      <w:pPr>
        <w:pStyle w:val="Style32"/>
        <w:keepNext w:val="0"/>
        <w:keepLines w:val="0"/>
        <w:widowControl w:val="0"/>
        <w:shd w:val="clear" w:color="auto" w:fill="auto"/>
        <w:bidi w:val="0"/>
        <w:spacing w:before="0" w:after="200" w:line="312" w:lineRule="exact"/>
        <w:ind w:left="700" w:right="0" w:firstLine="20"/>
        <w:jc w:val="both"/>
        <w:rPr>
          <w:sz w:val="24"/>
          <w:szCs w:val="24"/>
        </w:rPr>
      </w:pPr>
      <w:r>
        <w:rPr>
          <w:color w:val="000000"/>
          <w:spacing w:val="0"/>
          <w:w w:val="100"/>
          <w:position w:val="0"/>
          <w:sz w:val="24"/>
          <w:szCs w:val="24"/>
        </w:rPr>
        <w:t>本集团对固定资产的预计使用寿命、预计净残值和折旧方法于每年年度终了 进行复核并作适当调整。</w:t>
      </w:r>
    </w:p>
    <w:p>
      <w:pPr>
        <w:pStyle w:val="Style32"/>
        <w:keepNext w:val="0"/>
        <w:keepLines w:val="0"/>
        <w:widowControl w:val="0"/>
        <w:numPr>
          <w:ilvl w:val="0"/>
          <w:numId w:val="65"/>
        </w:numPr>
        <w:shd w:val="clear" w:color="auto" w:fill="auto"/>
        <w:tabs>
          <w:tab w:pos="652" w:val="left"/>
        </w:tabs>
        <w:bidi w:val="0"/>
        <w:spacing w:before="0" w:after="260" w:line="312" w:lineRule="exact"/>
        <w:ind w:left="0" w:right="0" w:firstLine="0"/>
        <w:jc w:val="left"/>
        <w:rPr>
          <w:sz w:val="24"/>
          <w:szCs w:val="24"/>
        </w:rPr>
      </w:pPr>
      <w:bookmarkStart w:id="780" w:name="bookmark780"/>
      <w:bookmarkEnd w:id="780"/>
      <w:r>
        <w:rPr>
          <w:color w:val="000000"/>
          <w:spacing w:val="0"/>
          <w:w w:val="100"/>
          <w:position w:val="0"/>
          <w:sz w:val="24"/>
          <w:szCs w:val="24"/>
        </w:rPr>
        <w:t>通过结构化主体开展的售后租回交易</w:t>
      </w:r>
    </w:p>
    <w:p>
      <w:pPr>
        <w:pStyle w:val="Style32"/>
        <w:keepNext w:val="0"/>
        <w:keepLines w:val="0"/>
        <w:widowControl w:val="0"/>
        <w:shd w:val="clear" w:color="auto" w:fill="auto"/>
        <w:bidi w:val="0"/>
        <w:spacing w:before="0" w:after="200" w:line="312" w:lineRule="exact"/>
        <w:ind w:left="700" w:right="0" w:firstLine="20"/>
        <w:jc w:val="both"/>
        <w:rPr>
          <w:sz w:val="24"/>
          <w:szCs w:val="24"/>
        </w:rPr>
      </w:pPr>
      <w:r>
        <w:rPr>
          <w:color w:val="000000"/>
          <w:spacing w:val="0"/>
          <w:w w:val="100"/>
          <w:position w:val="0"/>
          <w:sz w:val="24"/>
          <w:szCs w:val="24"/>
        </w:rPr>
        <w:t>本集团结合结构化主体的相关合同安排、在特定情况下开展的相关活动、各 参与方对结构化主体的承诺等因素以综合评估本集团是否控制有关结构化主 体。同时本集团基于是否于实质上转移了与交易资产所有权有关的全部风险 和报酬以判断售后租回应属于经营租赁还是融资租赁。</w:t>
      </w:r>
    </w:p>
    <w:p>
      <w:pPr>
        <w:pStyle w:val="Style32"/>
        <w:keepNext w:val="0"/>
        <w:keepLines w:val="0"/>
        <w:widowControl w:val="0"/>
        <w:shd w:val="clear" w:color="auto" w:fill="auto"/>
        <w:bidi w:val="0"/>
        <w:spacing w:before="0" w:after="0" w:line="288" w:lineRule="exact"/>
        <w:ind w:left="720" w:right="0" w:firstLine="20"/>
        <w:jc w:val="left"/>
        <w:rPr>
          <w:sz w:val="24"/>
          <w:szCs w:val="24"/>
        </w:rPr>
      </w:pPr>
      <w:r>
        <w:rPr>
          <w:b/>
          <w:bCs/>
          <w:color w:val="000000"/>
          <w:spacing w:val="0"/>
          <w:w w:val="100"/>
          <w:position w:val="0"/>
          <w:sz w:val="24"/>
          <w:szCs w:val="24"/>
        </w:rPr>
        <w:t xml:space="preserve">财务报表附注 </w:t>
      </w:r>
      <w:r>
        <w:rPr>
          <w:rFonts w:ascii="Arial" w:eastAsia="Arial" w:hAnsi="Arial" w:cs="Arial"/>
          <w:color w:val="000000"/>
          <w:spacing w:val="0"/>
          <w:w w:val="100"/>
          <w:position w:val="0"/>
          <w:sz w:val="24"/>
          <w:szCs w:val="24"/>
        </w:rPr>
        <w:t>2016</w:t>
      </w:r>
      <w:r>
        <w:rPr>
          <w:b/>
          <w:bCs/>
          <w:color w:val="000000"/>
          <w:spacing w:val="0"/>
          <w:w w:val="100"/>
          <w:position w:val="0"/>
          <w:sz w:val="24"/>
          <w:szCs w:val="24"/>
        </w:rPr>
        <w:t>年度</w:t>
      </w:r>
    </w:p>
    <w:p>
      <w:pPr>
        <w:pStyle w:val="Style32"/>
        <w:keepNext w:val="0"/>
        <w:keepLines w:val="0"/>
        <w:widowControl w:val="0"/>
        <w:shd w:val="clear" w:color="auto" w:fill="auto"/>
        <w:bidi w:val="0"/>
        <w:spacing w:before="0" w:after="260" w:line="240" w:lineRule="auto"/>
        <w:ind w:left="0" w:right="0" w:firstLine="720"/>
        <w:jc w:val="left"/>
        <w:rPr>
          <w:sz w:val="24"/>
          <w:szCs w:val="24"/>
        </w:rPr>
      </w:pPr>
      <w:r>
        <w:rPr>
          <w:rFonts w:ascii="Arial" w:eastAsia="Arial" w:hAnsi="Arial" w:cs="Arial"/>
          <w:color w:val="000000"/>
          <w:spacing w:val="0"/>
          <w:w w:val="100"/>
          <w:position w:val="0"/>
          <w:sz w:val="20"/>
          <w:szCs w:val="20"/>
        </w:rPr>
        <w:t>（</w:t>
      </w:r>
      <w:r>
        <w:rPr>
          <w:color w:val="000000"/>
          <w:spacing w:val="0"/>
          <w:w w:val="100"/>
          <w:position w:val="0"/>
          <w:sz w:val="20"/>
          <w:szCs w:val="20"/>
        </w:rPr>
        <w:t>除特别注明外，金额单位为人民币千元</w:t>
      </w:r>
      <w:r>
        <w:rPr>
          <w:color w:val="000000"/>
          <w:spacing w:val="0"/>
          <w:w w:val="100"/>
          <w:position w:val="0"/>
          <w:sz w:val="24"/>
          <w:szCs w:val="24"/>
        </w:rPr>
        <w:t>）</w:t>
      </w:r>
    </w:p>
    <w:p>
      <w:pPr>
        <w:pStyle w:val="Style32"/>
        <w:keepNext w:val="0"/>
        <w:keepLines w:val="0"/>
        <w:widowControl w:val="0"/>
        <w:shd w:val="clear" w:color="auto" w:fill="auto"/>
        <w:bidi w:val="0"/>
        <w:spacing w:before="0" w:after="260" w:line="240" w:lineRule="auto"/>
        <w:ind w:left="0" w:right="0" w:firstLine="0"/>
        <w:jc w:val="left"/>
        <w:rPr>
          <w:sz w:val="24"/>
          <w:szCs w:val="24"/>
        </w:rPr>
      </w:pPr>
      <w:r>
        <w:rPr>
          <w:b/>
          <w:bCs/>
          <w:color w:val="000000"/>
          <w:spacing w:val="0"/>
          <w:w w:val="100"/>
          <w:position w:val="0"/>
          <w:sz w:val="24"/>
          <w:szCs w:val="24"/>
        </w:rPr>
        <w:t>三 税项</w:t>
      </w:r>
    </w:p>
    <w:p>
      <w:pPr>
        <w:pStyle w:val="Style32"/>
        <w:keepNext w:val="0"/>
        <w:keepLines w:val="0"/>
        <w:widowControl w:val="0"/>
        <w:shd w:val="clear" w:color="auto" w:fill="auto"/>
        <w:tabs>
          <w:tab w:pos="638" w:val="left"/>
        </w:tabs>
        <w:bidi w:val="0"/>
        <w:spacing w:before="0" w:after="26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（1）</w:t>
        <w:tab/>
      </w:r>
      <w:r>
        <w:rPr>
          <w:b/>
          <w:bCs/>
          <w:color w:val="000000"/>
          <w:spacing w:val="0"/>
          <w:w w:val="100"/>
          <w:position w:val="0"/>
          <w:sz w:val="24"/>
          <w:szCs w:val="24"/>
        </w:rPr>
        <w:t>本集团适用的主要税种及其税率列示如下：</w:t>
      </w:r>
    </w:p>
    <w:p>
      <w:pPr>
        <w:pStyle w:val="Style32"/>
        <w:keepNext w:val="0"/>
        <w:keepLines w:val="0"/>
        <w:widowControl w:val="0"/>
        <w:shd w:val="clear" w:color="auto" w:fill="auto"/>
        <w:tabs>
          <w:tab w:pos="2662" w:val="left"/>
          <w:tab w:pos="5023" w:val="left"/>
        </w:tabs>
        <w:bidi w:val="0"/>
        <w:spacing w:before="0" w:after="260" w:line="313" w:lineRule="exact"/>
        <w:ind w:left="0" w:right="0" w:firstLine="720"/>
        <w:jc w:val="both"/>
        <w:rPr>
          <w:sz w:val="24"/>
          <w:szCs w:val="24"/>
        </w:rPr>
      </w:pPr>
      <w:r>
        <w:rPr>
          <w:color w:val="000000"/>
          <w:spacing w:val="0"/>
          <w:w w:val="100"/>
          <w:position w:val="0"/>
          <w:sz w:val="24"/>
          <w:szCs w:val="24"/>
        </w:rPr>
        <w:t>税种</w:t>
        <w:tab/>
        <w:t>计税依据</w:t>
        <w:tab/>
        <w:t>税率</w:t>
      </w:r>
    </w:p>
    <w:p>
      <w:pPr>
        <w:pStyle w:val="Style32"/>
        <w:keepNext w:val="0"/>
        <w:keepLines w:val="0"/>
        <w:widowControl w:val="0"/>
        <w:shd w:val="clear" w:color="auto" w:fill="auto"/>
        <w:bidi w:val="0"/>
        <w:spacing w:before="0" w:after="260" w:line="313" w:lineRule="exact"/>
        <w:ind w:left="0" w:right="0" w:firstLine="720"/>
        <w:jc w:val="both"/>
        <w:rPr>
          <w:sz w:val="24"/>
          <w:szCs w:val="24"/>
        </w:rPr>
      </w:pPr>
      <w:r>
        <w:rPr>
          <w:color w:val="000000"/>
          <w:spacing w:val="0"/>
          <w:w w:val="100"/>
          <w:position w:val="0"/>
          <w:sz w:val="24"/>
          <w:szCs w:val="24"/>
        </w:rPr>
        <w:t>本公司及境内子公司：</w:t>
      </w:r>
    </w:p>
    <w:p>
      <w:pPr>
        <w:pStyle w:val="Style32"/>
        <w:keepNext w:val="0"/>
        <w:keepLines w:val="0"/>
        <w:widowControl w:val="0"/>
        <w:shd w:val="clear" w:color="auto" w:fill="auto"/>
        <w:tabs>
          <w:tab w:pos="2662" w:val="left"/>
          <w:tab w:pos="5023" w:val="left"/>
        </w:tabs>
        <w:bidi w:val="0"/>
        <w:spacing w:before="0" w:after="0" w:line="313" w:lineRule="exact"/>
        <w:ind w:left="0" w:right="0" w:firstLine="720"/>
        <w:jc w:val="both"/>
        <w:rPr>
          <w:sz w:val="24"/>
          <w:szCs w:val="24"/>
        </w:rPr>
      </w:pPr>
      <w:r>
        <w:rPr>
          <w:color w:val="000000"/>
          <w:spacing w:val="0"/>
          <w:w w:val="100"/>
          <w:position w:val="0"/>
          <w:sz w:val="24"/>
          <w:szCs w:val="24"/>
        </w:rPr>
        <w:t>企业所得税</w:t>
        <w:tab/>
        <w:t>应纳税所得额</w:t>
        <w:tab/>
        <w:t>企业所得税税率一般为</w:t>
      </w:r>
      <w:r>
        <w:rPr>
          <w:rFonts w:ascii="Times New Roman" w:eastAsia="Times New Roman" w:hAnsi="Times New Roman" w:cs="Times New Roman"/>
          <w:color w:val="000000"/>
          <w:spacing w:val="0"/>
          <w:w w:val="100"/>
          <w:position w:val="0"/>
          <w:sz w:val="24"/>
          <w:szCs w:val="24"/>
        </w:rPr>
        <w:t>25%</w:t>
      </w:r>
      <w:r>
        <w:rPr>
          <w:color w:val="000000"/>
          <w:spacing w:val="0"/>
          <w:w w:val="100"/>
          <w:position w:val="0"/>
          <w:sz w:val="24"/>
          <w:szCs w:val="24"/>
        </w:rPr>
        <w:t>,部分子公</w:t>
      </w:r>
    </w:p>
    <w:p>
      <w:pPr>
        <w:pStyle w:val="Style32"/>
        <w:keepNext w:val="0"/>
        <w:keepLines w:val="0"/>
        <w:widowControl w:val="0"/>
        <w:shd w:val="clear" w:color="auto" w:fill="auto"/>
        <w:bidi w:val="0"/>
        <w:spacing w:before="0" w:after="260" w:line="313" w:lineRule="exact"/>
        <w:ind w:left="5080" w:right="0" w:firstLine="0"/>
        <w:jc w:val="both"/>
        <w:rPr>
          <w:sz w:val="24"/>
          <w:szCs w:val="24"/>
        </w:rPr>
      </w:pPr>
      <w:r>
        <w:rPr>
          <w:color w:val="000000"/>
          <w:spacing w:val="0"/>
          <w:w w:val="100"/>
          <w:position w:val="0"/>
          <w:sz w:val="24"/>
          <w:szCs w:val="24"/>
        </w:rPr>
        <w:t>司可以享受企业所得税优惠税率：</w:t>
      </w:r>
    </w:p>
    <w:p>
      <w:pPr>
        <w:pStyle w:val="Style32"/>
        <w:keepNext w:val="0"/>
        <w:keepLines w:val="0"/>
        <w:widowControl w:val="0"/>
        <w:shd w:val="clear" w:color="auto" w:fill="auto"/>
        <w:bidi w:val="0"/>
        <w:spacing w:before="0" w:after="260" w:line="322" w:lineRule="exact"/>
        <w:ind w:left="5080" w:right="0" w:firstLine="0"/>
        <w:jc w:val="both"/>
        <w:rPr>
          <w:sz w:val="24"/>
          <w:szCs w:val="24"/>
        </w:rPr>
      </w:pPr>
      <w:r>
        <w:rPr>
          <w:color w:val="000000"/>
          <w:spacing w:val="0"/>
          <w:w w:val="100"/>
          <w:position w:val="0"/>
          <w:sz w:val="24"/>
          <w:szCs w:val="24"/>
        </w:rPr>
        <w:t>对设在西部地区的鼓励类企业减按</w:t>
      </w:r>
      <w:r>
        <w:rPr>
          <w:rFonts w:ascii="Times New Roman" w:eastAsia="Times New Roman" w:hAnsi="Times New Roman" w:cs="Times New Roman"/>
          <w:color w:val="000000"/>
          <w:spacing w:val="0"/>
          <w:w w:val="100"/>
          <w:position w:val="0"/>
          <w:sz w:val="24"/>
          <w:szCs w:val="24"/>
        </w:rPr>
        <w:t xml:space="preserve">15% </w:t>
      </w:r>
      <w:r>
        <w:rPr>
          <w:color w:val="000000"/>
          <w:spacing w:val="0"/>
          <w:w w:val="100"/>
          <w:position w:val="0"/>
          <w:sz w:val="24"/>
          <w:szCs w:val="24"/>
        </w:rPr>
        <w:t>征收企业所得税；</w:t>
      </w:r>
    </w:p>
    <w:p>
      <w:pPr>
        <w:pStyle w:val="Style32"/>
        <w:keepNext w:val="0"/>
        <w:keepLines w:val="0"/>
        <w:widowControl w:val="0"/>
        <w:shd w:val="clear" w:color="auto" w:fill="auto"/>
        <w:bidi w:val="0"/>
        <w:spacing w:before="0" w:after="260" w:line="313" w:lineRule="exact"/>
        <w:ind w:left="5080" w:right="0" w:firstLine="0"/>
        <w:jc w:val="both"/>
        <w:rPr>
          <w:sz w:val="24"/>
          <w:szCs w:val="24"/>
        </w:rPr>
      </w:pPr>
      <w:r>
        <w:rPr>
          <w:color w:val="000000"/>
          <w:spacing w:val="0"/>
          <w:w w:val="100"/>
          <w:position w:val="0"/>
          <w:sz w:val="24"/>
          <w:szCs w:val="24"/>
        </w:rPr>
        <w:t>年度应纳税所得额不超过人民币</w:t>
      </w:r>
      <w:r>
        <w:rPr>
          <w:rFonts w:ascii="Times New Roman" w:eastAsia="Times New Roman" w:hAnsi="Times New Roman" w:cs="Times New Roman"/>
          <w:color w:val="000000"/>
          <w:spacing w:val="0"/>
          <w:w w:val="100"/>
          <w:position w:val="0"/>
          <w:sz w:val="24"/>
          <w:szCs w:val="24"/>
        </w:rPr>
        <w:t>30</w:t>
      </w:r>
      <w:r>
        <w:rPr>
          <w:color w:val="000000"/>
          <w:spacing w:val="0"/>
          <w:w w:val="100"/>
          <w:position w:val="0"/>
          <w:sz w:val="24"/>
          <w:szCs w:val="24"/>
        </w:rPr>
        <w:t>万 元，从业人数不超过</w:t>
      </w:r>
      <w:r>
        <w:rPr>
          <w:rFonts w:ascii="Times New Roman" w:eastAsia="Times New Roman" w:hAnsi="Times New Roman" w:cs="Times New Roman"/>
          <w:color w:val="000000"/>
          <w:spacing w:val="0"/>
          <w:w w:val="100"/>
          <w:position w:val="0"/>
          <w:sz w:val="24"/>
          <w:szCs w:val="24"/>
        </w:rPr>
        <w:t>80</w:t>
      </w:r>
      <w:r>
        <w:rPr>
          <w:color w:val="000000"/>
          <w:spacing w:val="0"/>
          <w:w w:val="100"/>
          <w:position w:val="0"/>
          <w:sz w:val="24"/>
          <w:szCs w:val="24"/>
        </w:rPr>
        <w:t>人，资产总额不 超过人民币</w:t>
      </w:r>
      <w:r>
        <w:rPr>
          <w:rFonts w:ascii="Times New Roman" w:eastAsia="Times New Roman" w:hAnsi="Times New Roman" w:cs="Times New Roman"/>
          <w:color w:val="000000"/>
          <w:spacing w:val="0"/>
          <w:w w:val="100"/>
          <w:position w:val="0"/>
          <w:sz w:val="24"/>
          <w:szCs w:val="24"/>
        </w:rPr>
        <w:t>1,000</w:t>
      </w:r>
      <w:r>
        <w:rPr>
          <w:color w:val="000000"/>
          <w:spacing w:val="0"/>
          <w:w w:val="100"/>
          <w:position w:val="0"/>
          <w:sz w:val="24"/>
          <w:szCs w:val="24"/>
        </w:rPr>
        <w:t>万元的小型微利企业， 按照</w:t>
      </w:r>
      <w:r>
        <w:rPr>
          <w:rFonts w:ascii="Times New Roman" w:eastAsia="Times New Roman" w:hAnsi="Times New Roman" w:cs="Times New Roman"/>
          <w:color w:val="000000"/>
          <w:spacing w:val="0"/>
          <w:w w:val="100"/>
          <w:position w:val="0"/>
          <w:sz w:val="24"/>
          <w:szCs w:val="24"/>
        </w:rPr>
        <w:t>20%</w:t>
      </w:r>
      <w:r>
        <w:rPr>
          <w:color w:val="000000"/>
          <w:spacing w:val="0"/>
          <w:w w:val="100"/>
          <w:position w:val="0"/>
          <w:sz w:val="24"/>
          <w:szCs w:val="24"/>
        </w:rPr>
        <w:t>征收企业所得税；自</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 xml:space="preserve">10 </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日起至</w:t>
      </w:r>
      <w:r>
        <w:rPr>
          <w:rFonts w:ascii="Times New Roman" w:eastAsia="Times New Roman" w:hAnsi="Times New Roman" w:cs="Times New Roman"/>
          <w:color w:val="000000"/>
          <w:spacing w:val="0"/>
          <w:w w:val="100"/>
          <w:position w:val="0"/>
          <w:sz w:val="24"/>
          <w:szCs w:val="24"/>
        </w:rPr>
        <w:t>2017</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日，对年应 纳税所得额在</w:t>
      </w:r>
      <w:r>
        <w:rPr>
          <w:rFonts w:ascii="Times New Roman" w:eastAsia="Times New Roman" w:hAnsi="Times New Roman" w:cs="Times New Roman"/>
          <w:color w:val="000000"/>
          <w:spacing w:val="0"/>
          <w:w w:val="100"/>
          <w:position w:val="0"/>
          <w:sz w:val="24"/>
          <w:szCs w:val="24"/>
        </w:rPr>
        <w:t>20</w:t>
      </w:r>
      <w:r>
        <w:rPr>
          <w:color w:val="000000"/>
          <w:spacing w:val="0"/>
          <w:w w:val="100"/>
          <w:position w:val="0"/>
          <w:sz w:val="24"/>
          <w:szCs w:val="24"/>
        </w:rPr>
        <w:t>万元到</w:t>
      </w:r>
      <w:r>
        <w:rPr>
          <w:rFonts w:ascii="Times New Roman" w:eastAsia="Times New Roman" w:hAnsi="Times New Roman" w:cs="Times New Roman"/>
          <w:color w:val="000000"/>
          <w:spacing w:val="0"/>
          <w:w w:val="100"/>
          <w:position w:val="0"/>
          <w:sz w:val="24"/>
          <w:szCs w:val="24"/>
        </w:rPr>
        <w:t>30</w:t>
      </w:r>
      <w:r>
        <w:rPr>
          <w:color w:val="000000"/>
          <w:spacing w:val="0"/>
          <w:w w:val="100"/>
          <w:position w:val="0"/>
          <w:sz w:val="24"/>
          <w:szCs w:val="24"/>
        </w:rPr>
        <w:t>万元</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含</w:t>
      </w:r>
      <w:r>
        <w:rPr>
          <w:rFonts w:ascii="Times New Roman" w:eastAsia="Times New Roman" w:hAnsi="Times New Roman" w:cs="Times New Roman"/>
          <w:color w:val="000000"/>
          <w:spacing w:val="0"/>
          <w:w w:val="100"/>
          <w:position w:val="0"/>
          <w:sz w:val="24"/>
          <w:szCs w:val="24"/>
        </w:rPr>
        <w:t>30</w:t>
      </w:r>
      <w:r>
        <w:rPr>
          <w:color w:val="000000"/>
          <w:spacing w:val="0"/>
          <w:w w:val="100"/>
          <w:position w:val="0"/>
          <w:sz w:val="24"/>
          <w:szCs w:val="24"/>
        </w:rPr>
        <w:t>万 元</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 xml:space="preserve">之间的小型微利企业，其所得减按 </w:t>
      </w:r>
      <w:r>
        <w:rPr>
          <w:rFonts w:ascii="Times New Roman" w:eastAsia="Times New Roman" w:hAnsi="Times New Roman" w:cs="Times New Roman"/>
          <w:color w:val="000000"/>
          <w:spacing w:val="0"/>
          <w:w w:val="100"/>
          <w:position w:val="0"/>
          <w:sz w:val="24"/>
          <w:szCs w:val="24"/>
        </w:rPr>
        <w:t>50%</w:t>
      </w:r>
      <w:r>
        <w:rPr>
          <w:color w:val="000000"/>
          <w:spacing w:val="0"/>
          <w:w w:val="100"/>
          <w:position w:val="0"/>
          <w:sz w:val="24"/>
          <w:szCs w:val="24"/>
        </w:rPr>
        <w:t>计入应纳税所得额，按</w:t>
      </w:r>
      <w:r>
        <w:rPr>
          <w:rFonts w:ascii="Times New Roman" w:eastAsia="Times New Roman" w:hAnsi="Times New Roman" w:cs="Times New Roman"/>
          <w:color w:val="000000"/>
          <w:spacing w:val="0"/>
          <w:w w:val="100"/>
          <w:position w:val="0"/>
          <w:sz w:val="24"/>
          <w:szCs w:val="24"/>
        </w:rPr>
        <w:t>20%</w:t>
      </w:r>
      <w:r>
        <w:rPr>
          <w:color w:val="000000"/>
          <w:spacing w:val="0"/>
          <w:w w:val="100"/>
          <w:position w:val="0"/>
          <w:sz w:val="24"/>
          <w:szCs w:val="24"/>
        </w:rPr>
        <w:t>的税率缴 纳企业所得税。</w:t>
      </w:r>
    </w:p>
    <w:p>
      <w:pPr>
        <w:pStyle w:val="Style32"/>
        <w:keepNext w:val="0"/>
        <w:keepLines w:val="0"/>
        <w:widowControl w:val="0"/>
        <w:shd w:val="clear" w:color="auto" w:fill="auto"/>
        <w:bidi w:val="0"/>
        <w:spacing w:before="0" w:after="260" w:line="293" w:lineRule="exact"/>
        <w:ind w:left="5080" w:right="0" w:firstLine="0"/>
        <w:jc w:val="both"/>
        <w:rPr>
          <w:sz w:val="24"/>
          <w:szCs w:val="24"/>
        </w:rPr>
      </w:pPr>
      <w:r>
        <w:rPr>
          <w:color w:val="000000"/>
          <w:spacing w:val="0"/>
          <w:w w:val="100"/>
          <w:position w:val="0"/>
          <w:sz w:val="24"/>
          <w:szCs w:val="24"/>
        </w:rPr>
        <w:t>对国家需要重点扶持的高新技术企业， 减按</w:t>
      </w:r>
      <w:r>
        <w:rPr>
          <w:rFonts w:ascii="Times New Roman" w:eastAsia="Times New Roman" w:hAnsi="Times New Roman" w:cs="Times New Roman"/>
          <w:color w:val="000000"/>
          <w:spacing w:val="0"/>
          <w:w w:val="100"/>
          <w:position w:val="0"/>
          <w:sz w:val="24"/>
          <w:szCs w:val="24"/>
        </w:rPr>
        <w:t>15%</w:t>
      </w:r>
      <w:r>
        <w:rPr>
          <w:color w:val="000000"/>
          <w:spacing w:val="0"/>
          <w:w w:val="100"/>
          <w:position w:val="0"/>
          <w:sz w:val="24"/>
          <w:szCs w:val="24"/>
        </w:rPr>
        <w:t>的税率征收企业所得税；</w:t>
      </w:r>
    </w:p>
    <w:p>
      <w:pPr>
        <w:pStyle w:val="Style32"/>
        <w:keepNext w:val="0"/>
        <w:keepLines w:val="0"/>
        <w:widowControl w:val="0"/>
        <w:shd w:val="clear" w:color="auto" w:fill="auto"/>
        <w:bidi w:val="0"/>
        <w:spacing w:before="0" w:after="260" w:line="310" w:lineRule="exact"/>
        <w:ind w:left="5080" w:right="0" w:firstLine="0"/>
        <w:jc w:val="both"/>
        <w:rPr>
          <w:sz w:val="24"/>
          <w:szCs w:val="24"/>
        </w:rPr>
        <w:sectPr>
          <w:footnotePr>
            <w:pos w:val="pageBottom"/>
            <w:numFmt w:val="decimal"/>
            <w:numRestart w:val="continuous"/>
          </w:footnotePr>
          <w:pgSz w:w="11900" w:h="16840"/>
          <w:pgMar w:top="1354" w:right="775" w:bottom="3677" w:left="1698" w:header="0" w:footer="3" w:gutter="0"/>
          <w:cols w:space="720"/>
          <w:noEndnote/>
          <w:rtlGutter w:val="0"/>
          <w:docGrid w:linePitch="360"/>
        </w:sectPr>
      </w:pPr>
      <w:r>
        <w:rPr>
          <w:color w:val="000000"/>
          <w:spacing w:val="0"/>
          <w:w w:val="100"/>
          <w:position w:val="0"/>
          <w:sz w:val="24"/>
          <w:szCs w:val="24"/>
        </w:rPr>
        <w:t xml:space="preserve">对我国境内新办的集成电路设计企业和 符合条件的软件企业，经认定后，在 </w:t>
      </w:r>
      <w:r>
        <w:rPr>
          <w:rFonts w:ascii="Times New Roman" w:eastAsia="Times New Roman" w:hAnsi="Times New Roman" w:cs="Times New Roman"/>
          <w:color w:val="000000"/>
          <w:spacing w:val="0"/>
          <w:w w:val="100"/>
          <w:position w:val="0"/>
          <w:sz w:val="24"/>
          <w:szCs w:val="24"/>
        </w:rPr>
        <w:t>2017</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日前自获利年度起计算 优惠期，第一年至第二年免征企业所得 税，第三年至第五年按照</w:t>
      </w:r>
      <w:r>
        <w:rPr>
          <w:rFonts w:ascii="Times New Roman" w:eastAsia="Times New Roman" w:hAnsi="Times New Roman" w:cs="Times New Roman"/>
          <w:color w:val="000000"/>
          <w:spacing w:val="0"/>
          <w:w w:val="100"/>
          <w:position w:val="0"/>
          <w:sz w:val="24"/>
          <w:szCs w:val="24"/>
        </w:rPr>
        <w:t>25%</w:t>
      </w:r>
      <w:r>
        <w:rPr>
          <w:color w:val="000000"/>
          <w:spacing w:val="0"/>
          <w:w w:val="100"/>
          <w:position w:val="0"/>
          <w:sz w:val="24"/>
          <w:szCs w:val="24"/>
        </w:rPr>
        <w:t>的法定税 率减半征收企业所得税，并享受至期满 为止</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两免三减半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w:t>
      </w:r>
    </w:p>
    <w:p>
      <w:pPr>
        <w:pStyle w:val="Style32"/>
        <w:keepNext w:val="0"/>
        <w:keepLines w:val="0"/>
        <w:widowControl w:val="0"/>
        <w:shd w:val="clear" w:color="auto" w:fill="auto"/>
        <w:bidi w:val="0"/>
        <w:spacing w:before="0" w:after="0" w:line="240" w:lineRule="auto"/>
        <w:ind w:left="0" w:right="0" w:firstLine="720"/>
        <w:jc w:val="left"/>
        <w:rPr>
          <w:sz w:val="24"/>
          <w:szCs w:val="24"/>
        </w:rPr>
      </w:pPr>
      <w:r>
        <w:rPr>
          <w:b/>
          <w:bCs/>
          <w:color w:val="000000"/>
          <w:spacing w:val="0"/>
          <w:w w:val="100"/>
          <w:position w:val="0"/>
          <w:sz w:val="24"/>
          <w:szCs w:val="24"/>
        </w:rPr>
        <w:t>财务报表附注</w:t>
      </w:r>
    </w:p>
    <w:p>
      <w:pPr>
        <w:pStyle w:val="Style88"/>
        <w:keepNext/>
        <w:keepLines/>
        <w:widowControl w:val="0"/>
        <w:shd w:val="clear" w:color="auto" w:fill="auto"/>
        <w:bidi w:val="0"/>
        <w:spacing w:before="0" w:after="0" w:line="240" w:lineRule="auto"/>
        <w:ind w:left="0" w:right="0" w:firstLine="720"/>
        <w:jc w:val="left"/>
      </w:pPr>
      <w:bookmarkStart w:id="781" w:name="bookmark781"/>
      <w:bookmarkStart w:id="782" w:name="bookmark782"/>
      <w:bookmarkStart w:id="783" w:name="bookmark783"/>
      <w:r>
        <w:rPr>
          <w:color w:val="000000"/>
          <w:spacing w:val="0"/>
          <w:w w:val="100"/>
          <w:position w:val="0"/>
          <w:sz w:val="24"/>
          <w:szCs w:val="24"/>
        </w:rPr>
        <w:t>2016</w:t>
      </w:r>
      <w:r>
        <w:rPr>
          <w:rFonts w:ascii="SimSun" w:eastAsia="SimSun" w:hAnsi="SimSun" w:cs="SimSun"/>
          <w:b/>
          <w:bCs/>
          <w:color w:val="000000"/>
          <w:spacing w:val="0"/>
          <w:w w:val="100"/>
          <w:position w:val="0"/>
          <w:sz w:val="24"/>
          <w:szCs w:val="24"/>
        </w:rPr>
        <w:t>年度</w:t>
      </w:r>
      <w:bookmarkEnd w:id="781"/>
      <w:bookmarkEnd w:id="782"/>
      <w:bookmarkEnd w:id="783"/>
    </w:p>
    <w:p>
      <w:pPr>
        <w:pStyle w:val="Style32"/>
        <w:keepNext w:val="0"/>
        <w:keepLines w:val="0"/>
        <w:widowControl w:val="0"/>
        <w:shd w:val="clear" w:color="auto" w:fill="auto"/>
        <w:bidi w:val="0"/>
        <w:spacing w:before="0" w:after="220" w:line="240" w:lineRule="auto"/>
        <w:ind w:left="0" w:right="0" w:firstLine="720"/>
        <w:jc w:val="left"/>
        <w:rPr>
          <w:sz w:val="24"/>
          <w:szCs w:val="24"/>
        </w:rPr>
      </w:pPr>
      <w:r>
        <w:rPr>
          <w:rFonts w:ascii="Arial" w:eastAsia="Arial" w:hAnsi="Arial" w:cs="Arial"/>
          <w:color w:val="000000"/>
          <w:spacing w:val="0"/>
          <w:w w:val="100"/>
          <w:position w:val="0"/>
          <w:sz w:val="20"/>
          <w:szCs w:val="20"/>
        </w:rPr>
        <w:t>（</w:t>
      </w:r>
      <w:r>
        <w:rPr>
          <w:color w:val="000000"/>
          <w:spacing w:val="0"/>
          <w:w w:val="100"/>
          <w:position w:val="0"/>
          <w:sz w:val="20"/>
          <w:szCs w:val="20"/>
        </w:rPr>
        <w:t>除特别注明外，金额单位为人民币千元</w:t>
      </w:r>
      <w:r>
        <w:rPr>
          <w:color w:val="000000"/>
          <w:spacing w:val="0"/>
          <w:w w:val="100"/>
          <w:position w:val="0"/>
          <w:sz w:val="24"/>
          <w:szCs w:val="24"/>
        </w:rPr>
        <w:t>）</w:t>
      </w:r>
    </w:p>
    <w:p>
      <w:pPr>
        <w:pStyle w:val="Style32"/>
        <w:keepNext w:val="0"/>
        <w:keepLines w:val="0"/>
        <w:widowControl w:val="0"/>
        <w:shd w:val="clear" w:color="auto" w:fill="auto"/>
        <w:tabs>
          <w:tab w:pos="670" w:val="left"/>
        </w:tabs>
        <w:bidi w:val="0"/>
        <w:spacing w:before="0" w:after="280" w:line="240" w:lineRule="auto"/>
        <w:ind w:left="0" w:right="0" w:firstLine="0"/>
        <w:jc w:val="left"/>
        <w:rPr>
          <w:sz w:val="24"/>
          <w:szCs w:val="24"/>
        </w:rPr>
      </w:pPr>
      <w:r>
        <w:rPr>
          <w:b/>
          <w:bCs/>
          <w:color w:val="000000"/>
          <w:spacing w:val="0"/>
          <w:w w:val="100"/>
          <w:position w:val="0"/>
          <w:sz w:val="24"/>
          <w:szCs w:val="24"/>
        </w:rPr>
        <w:t>三</w:t>
        <w:tab/>
        <w:t>税项</w:t>
      </w:r>
      <w:r>
        <w:rPr>
          <w:rFonts w:ascii="Times New Roman" w:eastAsia="Times New Roman" w:hAnsi="Times New Roman" w:cs="Times New Roman"/>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4"/>
          <w:szCs w:val="24"/>
        </w:rPr>
        <w:t>）</w:t>
      </w:r>
    </w:p>
    <w:p>
      <w:pPr>
        <w:pStyle w:val="Style32"/>
        <w:keepNext w:val="0"/>
        <w:keepLines w:val="0"/>
        <w:widowControl w:val="0"/>
        <w:shd w:val="clear" w:color="auto" w:fill="auto"/>
        <w:tabs>
          <w:tab w:pos="670" w:val="left"/>
        </w:tabs>
        <w:bidi w:val="0"/>
        <w:spacing w:before="0" w:after="28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（1）</w:t>
        <w:tab/>
      </w:r>
      <w:r>
        <w:rPr>
          <w:b/>
          <w:bCs/>
          <w:color w:val="000000"/>
          <w:spacing w:val="0"/>
          <w:w w:val="100"/>
          <w:position w:val="0"/>
          <w:sz w:val="24"/>
          <w:szCs w:val="24"/>
        </w:rPr>
        <w:t>本集团适用的主要税种及其税率列示如下</w:t>
      </w:r>
      <w:r>
        <w:rPr>
          <w:rFonts w:ascii="Times New Roman" w:eastAsia="Times New Roman" w:hAnsi="Times New Roman" w:cs="Times New Roman"/>
          <w:color w:val="000000"/>
          <w:spacing w:val="0"/>
          <w:w w:val="100"/>
          <w:position w:val="0"/>
          <w:sz w:val="24"/>
          <w:szCs w:val="24"/>
        </w:rPr>
        <w:t>（</w:t>
      </w:r>
      <w:r>
        <w:rPr>
          <w:b/>
          <w:bCs/>
          <w:color w:val="000000"/>
          <w:spacing w:val="0"/>
          <w:w w:val="100"/>
          <w:position w:val="0"/>
          <w:sz w:val="24"/>
          <w:szCs w:val="24"/>
        </w:rPr>
        <w:t>续</w:t>
      </w:r>
      <w:r>
        <w:rPr>
          <w:rFonts w:ascii="Times New Roman" w:eastAsia="Times New Roman" w:hAnsi="Times New Roman" w:cs="Times New Roman"/>
          <w:color w:val="000000"/>
          <w:spacing w:val="0"/>
          <w:w w:val="100"/>
          <w:position w:val="0"/>
          <w:sz w:val="24"/>
          <w:szCs w:val="24"/>
        </w:rPr>
        <w:t>）</w:t>
      </w:r>
      <w:r>
        <w:rPr>
          <w:b/>
          <w:bCs/>
          <w:color w:val="000000"/>
          <w:spacing w:val="0"/>
          <w:w w:val="100"/>
          <w:position w:val="0"/>
          <w:sz w:val="24"/>
          <w:szCs w:val="24"/>
        </w:rPr>
        <w:t>:</w:t>
      </w:r>
    </w:p>
    <w:p>
      <w:pPr>
        <w:pStyle w:val="Style32"/>
        <w:keepNext w:val="0"/>
        <w:keepLines w:val="0"/>
        <w:widowControl w:val="0"/>
        <w:shd w:val="clear" w:color="auto" w:fill="auto"/>
        <w:tabs>
          <w:tab w:pos="2621" w:val="left"/>
          <w:tab w:pos="5006" w:val="left"/>
        </w:tabs>
        <w:bidi w:val="0"/>
        <w:spacing w:before="0" w:after="280" w:line="240" w:lineRule="auto"/>
        <w:ind w:left="0" w:right="0" w:firstLine="720"/>
        <w:jc w:val="left"/>
        <w:rPr>
          <w:sz w:val="24"/>
          <w:szCs w:val="24"/>
        </w:rPr>
      </w:pPr>
      <w:r>
        <w:rPr>
          <w:color w:val="000000"/>
          <w:spacing w:val="0"/>
          <w:w w:val="100"/>
          <w:position w:val="0"/>
          <w:sz w:val="24"/>
          <w:szCs w:val="24"/>
        </w:rPr>
        <w:t>税种</w:t>
        <w:tab/>
        <w:t>计税依据</w:t>
        <w:tab/>
        <w:t>税率</w:t>
      </w:r>
    </w:p>
    <w:p>
      <w:pPr>
        <w:pStyle w:val="Style32"/>
        <w:keepNext w:val="0"/>
        <w:keepLines w:val="0"/>
        <w:widowControl w:val="0"/>
        <w:shd w:val="clear" w:color="auto" w:fill="auto"/>
        <w:bidi w:val="0"/>
        <w:spacing w:before="0" w:after="280" w:line="240" w:lineRule="auto"/>
        <w:ind w:left="0" w:right="0" w:firstLine="720"/>
        <w:jc w:val="left"/>
        <w:rPr>
          <w:sz w:val="24"/>
          <w:szCs w:val="24"/>
        </w:rPr>
      </w:pPr>
      <w:r>
        <w:rPr>
          <w:color w:val="000000"/>
          <w:spacing w:val="0"/>
          <w:w w:val="100"/>
          <w:position w:val="0"/>
          <w:sz w:val="24"/>
          <w:szCs w:val="24"/>
        </w:rPr>
        <w:t>本公司及境内子公司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续</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w:t>
      </w:r>
    </w:p>
    <w:p>
      <w:pPr>
        <w:pStyle w:val="Style32"/>
        <w:keepNext w:val="0"/>
        <w:keepLines w:val="0"/>
        <w:widowControl w:val="0"/>
        <w:shd w:val="clear" w:color="auto" w:fill="auto"/>
        <w:bidi w:val="0"/>
        <w:spacing w:before="0" w:after="280" w:line="300" w:lineRule="exact"/>
        <w:ind w:left="400" w:right="0" w:firstLine="0"/>
        <w:jc w:val="both"/>
        <w:rPr>
          <w:sz w:val="24"/>
          <w:szCs w:val="24"/>
        </w:rPr>
      </w:pPr>
      <w:r>
        <mc:AlternateContent>
          <mc:Choice Requires="wps">
            <w:drawing>
              <wp:anchor distT="0" distB="0" distL="114300" distR="114300" simplePos="0" relativeHeight="125829390" behindDoc="0" locked="0" layoutInCell="1" allowOverlap="1">
                <wp:simplePos x="0" y="0"/>
                <wp:positionH relativeFrom="page">
                  <wp:posOffset>1542415</wp:posOffset>
                </wp:positionH>
                <wp:positionV relativeFrom="paragraph">
                  <wp:posOffset>12700</wp:posOffset>
                </wp:positionV>
                <wp:extent cx="2401570" cy="1405255"/>
                <wp:wrapSquare wrapText="right"/>
                <wp:docPr id="214" name="Shape 214"/>
                <a:graphic xmlns:a="http://schemas.openxmlformats.org/drawingml/2006/main">
                  <a:graphicData uri="http://schemas.microsoft.com/office/word/2010/wordprocessingShape">
                    <wps:wsp>
                      <wps:cNvSpPr txBox="1"/>
                      <wps:spPr>
                        <a:xfrm>
                          <a:ext cx="2401570" cy="1405255"/>
                        </a:xfrm>
                        <a:prstGeom prst="rect"/>
                        <a:noFill/>
                      </wps:spPr>
                      <wps:txbx>
                        <w:txbxContent>
                          <w:p>
                            <w:pPr>
                              <w:pStyle w:val="Style32"/>
                              <w:keepNext w:val="0"/>
                              <w:keepLines w:val="0"/>
                              <w:widowControl w:val="0"/>
                              <w:shd w:val="clear" w:color="auto" w:fill="auto"/>
                              <w:tabs>
                                <w:tab w:pos="1939" w:val="left"/>
                              </w:tabs>
                              <w:bidi w:val="0"/>
                              <w:spacing w:before="0" w:after="0" w:line="314" w:lineRule="exact"/>
                              <w:ind w:left="0" w:right="0" w:firstLine="0"/>
                              <w:jc w:val="both"/>
                              <w:rPr>
                                <w:sz w:val="24"/>
                                <w:szCs w:val="24"/>
                              </w:rPr>
                            </w:pPr>
                            <w:r>
                              <w:rPr>
                                <w:color w:val="000000"/>
                                <w:spacing w:val="0"/>
                                <w:w w:val="100"/>
                                <w:position w:val="0"/>
                                <w:sz w:val="24"/>
                                <w:szCs w:val="24"/>
                              </w:rPr>
                              <w:t>增值税</w:t>
                              <w:tab/>
                              <w:t>应纳税营业额</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应</w:t>
                            </w:r>
                          </w:p>
                          <w:p>
                            <w:pPr>
                              <w:pStyle w:val="Style32"/>
                              <w:keepNext w:val="0"/>
                              <w:keepLines w:val="0"/>
                              <w:widowControl w:val="0"/>
                              <w:shd w:val="clear" w:color="auto" w:fill="auto"/>
                              <w:bidi w:val="0"/>
                              <w:spacing w:before="0" w:after="0" w:line="314" w:lineRule="exact"/>
                              <w:ind w:left="2000" w:right="0" w:firstLine="0"/>
                              <w:jc w:val="both"/>
                              <w:rPr>
                                <w:sz w:val="24"/>
                                <w:szCs w:val="24"/>
                              </w:rPr>
                            </w:pPr>
                            <w:r>
                              <w:rPr>
                                <w:color w:val="000000"/>
                                <w:spacing w:val="0"/>
                                <w:w w:val="100"/>
                                <w:position w:val="0"/>
                                <w:sz w:val="24"/>
                                <w:szCs w:val="24"/>
                              </w:rPr>
                              <w:t>纳税额按应纳税 销售额或应税服 务额乘以适用税 率扣除当期允许 抵扣的进项税后 的余额计算</w:t>
                            </w:r>
                            <w:r>
                              <w:rPr>
                                <w:color w:val="000000"/>
                                <w:spacing w:val="0"/>
                                <w:w w:val="100"/>
                                <w:position w:val="0"/>
                                <w:sz w:val="24"/>
                                <w:szCs w:val="24"/>
                              </w:rPr>
                              <w:t>）</w:t>
                            </w:r>
                          </w:p>
                        </w:txbxContent>
                      </wps:txbx>
                      <wps:bodyPr lIns="0" tIns="0" rIns="0" bIns="0">
                        <a:noAutoFit/>
                      </wps:bodyPr>
                    </wps:wsp>
                  </a:graphicData>
                </a:graphic>
              </wp:anchor>
            </w:drawing>
          </mc:Choice>
          <mc:Fallback>
            <w:pict>
              <v:shape id="_x0000_s1240" type="#_x0000_t202" style="position:absolute;margin-left:121.45pt;margin-top:1.pt;width:189.09999999999999pt;height:110.65000000000001pt;z-index:-125829363;mso-wrap-distance-left:9.pt;mso-wrap-distance-right:9.pt;mso-position-horizontal-relative:page" filled="f" stroked="f">
                <v:textbox inset="0,0,0,0">
                  <w:txbxContent>
                    <w:p>
                      <w:pPr>
                        <w:pStyle w:val="Style32"/>
                        <w:keepNext w:val="0"/>
                        <w:keepLines w:val="0"/>
                        <w:widowControl w:val="0"/>
                        <w:shd w:val="clear" w:color="auto" w:fill="auto"/>
                        <w:tabs>
                          <w:tab w:pos="1939" w:val="left"/>
                        </w:tabs>
                        <w:bidi w:val="0"/>
                        <w:spacing w:before="0" w:after="0" w:line="314" w:lineRule="exact"/>
                        <w:ind w:left="0" w:right="0" w:firstLine="0"/>
                        <w:jc w:val="both"/>
                        <w:rPr>
                          <w:sz w:val="24"/>
                          <w:szCs w:val="24"/>
                        </w:rPr>
                      </w:pPr>
                      <w:r>
                        <w:rPr>
                          <w:color w:val="000000"/>
                          <w:spacing w:val="0"/>
                          <w:w w:val="100"/>
                          <w:position w:val="0"/>
                          <w:sz w:val="24"/>
                          <w:szCs w:val="24"/>
                        </w:rPr>
                        <w:t>增值税</w:t>
                        <w:tab/>
                        <w:t>应纳税营业额</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应</w:t>
                      </w:r>
                    </w:p>
                    <w:p>
                      <w:pPr>
                        <w:pStyle w:val="Style32"/>
                        <w:keepNext w:val="0"/>
                        <w:keepLines w:val="0"/>
                        <w:widowControl w:val="0"/>
                        <w:shd w:val="clear" w:color="auto" w:fill="auto"/>
                        <w:bidi w:val="0"/>
                        <w:spacing w:before="0" w:after="0" w:line="314" w:lineRule="exact"/>
                        <w:ind w:left="2000" w:right="0" w:firstLine="0"/>
                        <w:jc w:val="both"/>
                        <w:rPr>
                          <w:sz w:val="24"/>
                          <w:szCs w:val="24"/>
                        </w:rPr>
                      </w:pPr>
                      <w:r>
                        <w:rPr>
                          <w:color w:val="000000"/>
                          <w:spacing w:val="0"/>
                          <w:w w:val="100"/>
                          <w:position w:val="0"/>
                          <w:sz w:val="24"/>
                          <w:szCs w:val="24"/>
                        </w:rPr>
                        <w:t>纳税额按应纳税 销售额或应税服 务额乘以适用税 率扣除当期允许 抵扣的进项税后 的余额计算</w:t>
                      </w:r>
                      <w:r>
                        <w:rPr>
                          <w:color w:val="000000"/>
                          <w:spacing w:val="0"/>
                          <w:w w:val="100"/>
                          <w:position w:val="0"/>
                          <w:sz w:val="24"/>
                          <w:szCs w:val="24"/>
                        </w:rPr>
                        <w:t>）</w:t>
                      </w:r>
                    </w:p>
                  </w:txbxContent>
                </v:textbox>
                <w10:wrap type="square" side="right" anchorx="page"/>
              </v:shape>
            </w:pict>
          </mc:Fallback>
        </mc:AlternateContent>
      </w:r>
      <w:r>
        <w:rPr>
          <w:color w:val="000000"/>
          <w:spacing w:val="0"/>
          <w:w w:val="100"/>
          <w:position w:val="0"/>
          <w:sz w:val="24"/>
          <w:szCs w:val="24"/>
        </w:rPr>
        <w:t>家用电器销售：小规模纳税人增值税征 收率</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 xml:space="preserve">，一般纳税人增值税税率为 </w:t>
      </w:r>
      <w:r>
        <w:rPr>
          <w:rFonts w:ascii="Times New Roman" w:eastAsia="Times New Roman" w:hAnsi="Times New Roman" w:cs="Times New Roman"/>
          <w:color w:val="000000"/>
          <w:spacing w:val="0"/>
          <w:w w:val="100"/>
          <w:position w:val="0"/>
          <w:sz w:val="24"/>
          <w:szCs w:val="24"/>
        </w:rPr>
        <w:t>17%</w:t>
      </w:r>
      <w:r>
        <w:rPr>
          <w:color w:val="000000"/>
          <w:spacing w:val="0"/>
          <w:w w:val="100"/>
          <w:position w:val="0"/>
          <w:sz w:val="24"/>
          <w:szCs w:val="24"/>
        </w:rPr>
        <w:t>；</w:t>
      </w:r>
    </w:p>
    <w:p>
      <w:pPr>
        <w:pStyle w:val="Style32"/>
        <w:keepNext w:val="0"/>
        <w:keepLines w:val="0"/>
        <w:widowControl w:val="0"/>
        <w:shd w:val="clear" w:color="auto" w:fill="auto"/>
        <w:bidi w:val="0"/>
        <w:spacing w:before="0" w:after="280" w:line="302" w:lineRule="exact"/>
        <w:ind w:left="400" w:right="0" w:firstLine="0"/>
        <w:jc w:val="both"/>
        <w:rPr>
          <w:sz w:val="24"/>
          <w:szCs w:val="24"/>
        </w:rPr>
      </w:pPr>
      <w:r>
        <w:rPr>
          <w:color w:val="000000"/>
          <w:spacing w:val="0"/>
          <w:w w:val="100"/>
          <w:position w:val="0"/>
          <w:sz w:val="24"/>
          <w:szCs w:val="24"/>
        </w:rPr>
        <w:t xml:space="preserve">交通运输业服务：一般纳税人增值税税 率 </w:t>
      </w:r>
      <w:r>
        <w:rPr>
          <w:rFonts w:ascii="Times New Roman" w:eastAsia="Times New Roman" w:hAnsi="Times New Roman" w:cs="Times New Roman"/>
          <w:color w:val="000000"/>
          <w:spacing w:val="0"/>
          <w:w w:val="100"/>
          <w:position w:val="0"/>
          <w:sz w:val="24"/>
          <w:szCs w:val="24"/>
        </w:rPr>
        <w:t>11%</w:t>
      </w:r>
      <w:r>
        <w:rPr>
          <w:color w:val="000000"/>
          <w:spacing w:val="0"/>
          <w:w w:val="100"/>
          <w:position w:val="0"/>
          <w:sz w:val="24"/>
          <w:szCs w:val="24"/>
        </w:rPr>
        <w:t>；</w:t>
      </w:r>
    </w:p>
    <w:p>
      <w:pPr>
        <w:pStyle w:val="Style32"/>
        <w:keepNext w:val="0"/>
        <w:keepLines w:val="0"/>
        <w:widowControl w:val="0"/>
        <w:shd w:val="clear" w:color="auto" w:fill="auto"/>
        <w:bidi w:val="0"/>
        <w:spacing w:before="0" w:after="280" w:line="310" w:lineRule="exact"/>
        <w:ind w:left="400" w:right="0" w:firstLine="0"/>
        <w:jc w:val="both"/>
        <w:rPr>
          <w:sz w:val="24"/>
          <w:szCs w:val="24"/>
        </w:rPr>
      </w:pP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日之后销售不动产：一般 纳税人增值税税率</w:t>
      </w:r>
      <w:r>
        <w:rPr>
          <w:rFonts w:ascii="Times New Roman" w:eastAsia="Times New Roman" w:hAnsi="Times New Roman" w:cs="Times New Roman"/>
          <w:color w:val="000000"/>
          <w:spacing w:val="0"/>
          <w:w w:val="100"/>
          <w:position w:val="0"/>
          <w:sz w:val="24"/>
          <w:szCs w:val="24"/>
        </w:rPr>
        <w:t>11%</w:t>
      </w:r>
      <w:r>
        <w:rPr>
          <w:color w:val="000000"/>
          <w:spacing w:val="0"/>
          <w:w w:val="100"/>
          <w:position w:val="0"/>
          <w:sz w:val="24"/>
          <w:szCs w:val="24"/>
        </w:rPr>
        <w:t>；房地产开发企 业销售自行开发的房地产老项目可选择 按照</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的增值税率简易征收；</w:t>
      </w:r>
    </w:p>
    <w:p>
      <w:pPr>
        <w:pStyle w:val="Style32"/>
        <w:keepNext w:val="0"/>
        <w:keepLines w:val="0"/>
        <w:widowControl w:val="0"/>
        <w:shd w:val="clear" w:color="auto" w:fill="auto"/>
        <w:bidi w:val="0"/>
        <w:spacing w:before="0" w:after="280" w:line="322" w:lineRule="exact"/>
        <w:ind w:left="5080" w:right="0" w:firstLine="0"/>
        <w:jc w:val="both"/>
        <w:rPr>
          <w:sz w:val="24"/>
          <w:szCs w:val="24"/>
        </w:rPr>
      </w:pP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日之后金融服务：一般纳 税人增值税税率</w:t>
      </w:r>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4"/>
          <w:szCs w:val="24"/>
        </w:rPr>
        <w:t>；</w:t>
      </w:r>
    </w:p>
    <w:p>
      <w:pPr>
        <w:pStyle w:val="Style32"/>
        <w:keepNext w:val="0"/>
        <w:keepLines w:val="0"/>
        <w:widowControl w:val="0"/>
        <w:shd w:val="clear" w:color="auto" w:fill="auto"/>
        <w:bidi w:val="0"/>
        <w:spacing w:before="0" w:after="280" w:line="304" w:lineRule="exact"/>
        <w:ind w:left="5080" w:right="0" w:firstLine="0"/>
        <w:jc w:val="both"/>
        <w:rPr>
          <w:sz w:val="24"/>
          <w:szCs w:val="24"/>
        </w:rPr>
      </w:pPr>
      <w:r>
        <w:rPr>
          <w:color w:val="000000"/>
          <w:spacing w:val="0"/>
          <w:w w:val="100"/>
          <w:position w:val="0"/>
          <w:sz w:val="24"/>
          <w:szCs w:val="24"/>
        </w:rPr>
        <w:t>移动通信转售业务包括：提供基础电信 服务，一般纳税人增值税税率</w:t>
      </w:r>
      <w:r>
        <w:rPr>
          <w:rFonts w:ascii="Times New Roman" w:eastAsia="Times New Roman" w:hAnsi="Times New Roman" w:cs="Times New Roman"/>
          <w:color w:val="000000"/>
          <w:spacing w:val="0"/>
          <w:w w:val="100"/>
          <w:position w:val="0"/>
          <w:sz w:val="24"/>
          <w:szCs w:val="24"/>
        </w:rPr>
        <w:t>11%</w:t>
      </w:r>
      <w:r>
        <w:rPr>
          <w:color w:val="000000"/>
          <w:spacing w:val="0"/>
          <w:w w:val="100"/>
          <w:position w:val="0"/>
          <w:sz w:val="24"/>
          <w:szCs w:val="24"/>
        </w:rPr>
        <w:t>；提 供增值电信服务，一般纳税人增值税税 率</w:t>
      </w:r>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4"/>
          <w:szCs w:val="24"/>
        </w:rPr>
        <w:t>；</w:t>
      </w:r>
    </w:p>
    <w:p>
      <w:pPr>
        <w:pStyle w:val="Style32"/>
        <w:keepNext w:val="0"/>
        <w:keepLines w:val="0"/>
        <w:widowControl w:val="0"/>
        <w:shd w:val="clear" w:color="auto" w:fill="auto"/>
        <w:bidi w:val="0"/>
        <w:spacing w:before="0" w:after="280" w:line="288" w:lineRule="exact"/>
        <w:ind w:left="5080" w:right="0" w:firstLine="0"/>
        <w:jc w:val="both"/>
        <w:rPr>
          <w:sz w:val="24"/>
          <w:szCs w:val="24"/>
        </w:rPr>
      </w:pPr>
      <w:r>
        <w:rPr>
          <w:color w:val="000000"/>
          <w:spacing w:val="0"/>
          <w:w w:val="100"/>
          <w:position w:val="0"/>
          <w:sz w:val="24"/>
          <w:szCs w:val="24"/>
        </w:rPr>
        <w:t>有形动产租赁服务：一般纳税人增值税 税率</w:t>
      </w:r>
      <w:r>
        <w:rPr>
          <w:rFonts w:ascii="Times New Roman" w:eastAsia="Times New Roman" w:hAnsi="Times New Roman" w:cs="Times New Roman"/>
          <w:color w:val="000000"/>
          <w:spacing w:val="0"/>
          <w:w w:val="100"/>
          <w:position w:val="0"/>
          <w:sz w:val="24"/>
          <w:szCs w:val="24"/>
        </w:rPr>
        <w:t>17%</w:t>
      </w:r>
      <w:r>
        <w:rPr>
          <w:color w:val="000000"/>
          <w:spacing w:val="0"/>
          <w:w w:val="100"/>
          <w:position w:val="0"/>
          <w:sz w:val="24"/>
          <w:szCs w:val="24"/>
        </w:rPr>
        <w:t>；</w:t>
      </w:r>
    </w:p>
    <w:p>
      <w:pPr>
        <w:pStyle w:val="Style32"/>
        <w:keepNext w:val="0"/>
        <w:keepLines w:val="0"/>
        <w:widowControl w:val="0"/>
        <w:shd w:val="clear" w:color="auto" w:fill="auto"/>
        <w:bidi w:val="0"/>
        <w:spacing w:before="0" w:after="280" w:line="309" w:lineRule="exact"/>
        <w:ind w:left="5080" w:right="0" w:firstLine="0"/>
        <w:jc w:val="both"/>
        <w:rPr>
          <w:sz w:val="24"/>
          <w:szCs w:val="24"/>
        </w:rPr>
      </w:pPr>
      <w:r>
        <w:rPr>
          <w:color w:val="000000"/>
          <w:spacing w:val="0"/>
          <w:w w:val="100"/>
          <w:position w:val="0"/>
          <w:sz w:val="24"/>
          <w:szCs w:val="24"/>
        </w:rPr>
        <w:t>其他现代服务业</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研发和技术服务、信息 技术服务、广告服务、物流辅助服务、 文化创意服务、商务辅助服务、咨询服 务以及</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 xml:space="preserve">日之后的租赁服务 </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除有形动产租赁</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、文化体育服务</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等： 一般纳税人增值税税率</w:t>
      </w:r>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4"/>
          <w:szCs w:val="24"/>
        </w:rPr>
        <w:t>；</w:t>
      </w:r>
    </w:p>
    <w:p>
      <w:pPr>
        <w:pStyle w:val="Style32"/>
        <w:keepNext w:val="0"/>
        <w:keepLines w:val="0"/>
        <w:widowControl w:val="0"/>
        <w:shd w:val="clear" w:color="auto" w:fill="auto"/>
        <w:bidi w:val="0"/>
        <w:spacing w:before="0" w:after="280" w:line="302" w:lineRule="exact"/>
        <w:ind w:left="5080" w:right="0" w:firstLine="0"/>
        <w:jc w:val="both"/>
        <w:rPr>
          <w:sz w:val="24"/>
          <w:szCs w:val="24"/>
        </w:rPr>
      </w:pPr>
      <w:r>
        <w:rPr>
          <w:color w:val="000000"/>
          <w:spacing w:val="0"/>
          <w:w w:val="100"/>
          <w:position w:val="0"/>
          <w:sz w:val="24"/>
          <w:szCs w:val="24"/>
        </w:rPr>
        <w:t>上述应税服务小规模纳税人的增值税征 收率为</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w:t>
      </w:r>
    </w:p>
    <w:p>
      <w:pPr>
        <w:pStyle w:val="Style32"/>
        <w:keepNext w:val="0"/>
        <w:keepLines w:val="0"/>
        <w:widowControl w:val="0"/>
        <w:shd w:val="clear" w:color="auto" w:fill="auto"/>
        <w:bidi w:val="0"/>
        <w:spacing w:before="0" w:after="0" w:line="240" w:lineRule="auto"/>
        <w:ind w:left="0" w:right="0" w:firstLine="720"/>
        <w:jc w:val="left"/>
        <w:rPr>
          <w:sz w:val="24"/>
          <w:szCs w:val="24"/>
        </w:rPr>
      </w:pPr>
      <w:r>
        <w:rPr>
          <w:b/>
          <w:bCs/>
          <w:color w:val="000000"/>
          <w:spacing w:val="0"/>
          <w:w w:val="100"/>
          <w:position w:val="0"/>
          <w:sz w:val="24"/>
          <w:szCs w:val="24"/>
        </w:rPr>
        <w:t>财务报表附注</w:t>
      </w:r>
    </w:p>
    <w:p>
      <w:pPr>
        <w:pStyle w:val="Style88"/>
        <w:keepNext/>
        <w:keepLines/>
        <w:widowControl w:val="0"/>
        <w:shd w:val="clear" w:color="auto" w:fill="auto"/>
        <w:bidi w:val="0"/>
        <w:spacing w:before="0" w:after="0" w:line="240" w:lineRule="auto"/>
        <w:ind w:left="0" w:right="0" w:firstLine="720"/>
        <w:jc w:val="left"/>
      </w:pPr>
      <w:bookmarkStart w:id="784" w:name="bookmark784"/>
      <w:bookmarkStart w:id="785" w:name="bookmark785"/>
      <w:bookmarkStart w:id="786" w:name="bookmark786"/>
      <w:r>
        <w:rPr>
          <w:color w:val="000000"/>
          <w:spacing w:val="0"/>
          <w:w w:val="100"/>
          <w:position w:val="0"/>
          <w:sz w:val="24"/>
          <w:szCs w:val="24"/>
        </w:rPr>
        <w:t>2016</w:t>
      </w:r>
      <w:r>
        <w:rPr>
          <w:rFonts w:ascii="SimSun" w:eastAsia="SimSun" w:hAnsi="SimSun" w:cs="SimSun"/>
          <w:b/>
          <w:bCs/>
          <w:color w:val="000000"/>
          <w:spacing w:val="0"/>
          <w:w w:val="100"/>
          <w:position w:val="0"/>
          <w:sz w:val="24"/>
          <w:szCs w:val="24"/>
        </w:rPr>
        <w:t>年度</w:t>
      </w:r>
      <w:bookmarkEnd w:id="784"/>
      <w:bookmarkEnd w:id="785"/>
      <w:bookmarkEnd w:id="786"/>
    </w:p>
    <w:p>
      <w:pPr>
        <w:pStyle w:val="Style32"/>
        <w:keepNext w:val="0"/>
        <w:keepLines w:val="0"/>
        <w:widowControl w:val="0"/>
        <w:shd w:val="clear" w:color="auto" w:fill="auto"/>
        <w:bidi w:val="0"/>
        <w:spacing w:before="0" w:after="220" w:line="240" w:lineRule="auto"/>
        <w:ind w:left="0" w:right="0" w:firstLine="720"/>
        <w:jc w:val="left"/>
        <w:rPr>
          <w:sz w:val="24"/>
          <w:szCs w:val="24"/>
        </w:rPr>
      </w:pPr>
      <w:r>
        <w:rPr>
          <w:rFonts w:ascii="Arial" w:eastAsia="Arial" w:hAnsi="Arial" w:cs="Arial"/>
          <w:color w:val="000000"/>
          <w:spacing w:val="0"/>
          <w:w w:val="100"/>
          <w:position w:val="0"/>
          <w:sz w:val="20"/>
          <w:szCs w:val="20"/>
        </w:rPr>
        <w:t>（</w:t>
      </w:r>
      <w:r>
        <w:rPr>
          <w:color w:val="000000"/>
          <w:spacing w:val="0"/>
          <w:w w:val="100"/>
          <w:position w:val="0"/>
          <w:sz w:val="20"/>
          <w:szCs w:val="20"/>
        </w:rPr>
        <w:t>除特别注明外，金额单位为人民币千元</w:t>
      </w:r>
      <w:r>
        <w:rPr>
          <w:color w:val="000000"/>
          <w:spacing w:val="0"/>
          <w:w w:val="100"/>
          <w:position w:val="0"/>
          <w:sz w:val="24"/>
          <w:szCs w:val="24"/>
        </w:rPr>
        <w:t>）</w:t>
      </w:r>
    </w:p>
    <w:p>
      <w:pPr>
        <w:pStyle w:val="Style32"/>
        <w:keepNext w:val="0"/>
        <w:keepLines w:val="0"/>
        <w:widowControl w:val="0"/>
        <w:shd w:val="clear" w:color="auto" w:fill="auto"/>
        <w:tabs>
          <w:tab w:pos="670" w:val="left"/>
        </w:tabs>
        <w:bidi w:val="0"/>
        <w:spacing w:before="0" w:after="280" w:line="240" w:lineRule="auto"/>
        <w:ind w:left="0" w:right="0" w:firstLine="0"/>
        <w:jc w:val="left"/>
        <w:rPr>
          <w:sz w:val="24"/>
          <w:szCs w:val="24"/>
        </w:rPr>
      </w:pPr>
      <w:r>
        <w:rPr>
          <w:b/>
          <w:bCs/>
          <w:color w:val="000000"/>
          <w:spacing w:val="0"/>
          <w:w w:val="100"/>
          <w:position w:val="0"/>
          <w:sz w:val="24"/>
          <w:szCs w:val="24"/>
        </w:rPr>
        <w:t>三</w:t>
        <w:tab/>
        <w:t>税项</w:t>
      </w:r>
      <w:r>
        <w:rPr>
          <w:rFonts w:ascii="Times New Roman" w:eastAsia="Times New Roman" w:hAnsi="Times New Roman" w:cs="Times New Roman"/>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4"/>
          <w:szCs w:val="24"/>
        </w:rPr>
        <w:t>）</w:t>
      </w:r>
    </w:p>
    <w:p>
      <w:pPr>
        <w:pStyle w:val="Style32"/>
        <w:keepNext w:val="0"/>
        <w:keepLines w:val="0"/>
        <w:widowControl w:val="0"/>
        <w:shd w:val="clear" w:color="auto" w:fill="auto"/>
        <w:tabs>
          <w:tab w:pos="670" w:val="left"/>
        </w:tabs>
        <w:bidi w:val="0"/>
        <w:spacing w:before="0" w:after="28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（1）</w:t>
        <w:tab/>
      </w:r>
      <w:r>
        <w:rPr>
          <w:b/>
          <w:bCs/>
          <w:color w:val="000000"/>
          <w:spacing w:val="0"/>
          <w:w w:val="100"/>
          <w:position w:val="0"/>
          <w:sz w:val="24"/>
          <w:szCs w:val="24"/>
        </w:rPr>
        <w:t>本集团适用的主要税种及其税率列示如下</w:t>
      </w:r>
      <w:r>
        <w:rPr>
          <w:rFonts w:ascii="Times New Roman" w:eastAsia="Times New Roman" w:hAnsi="Times New Roman" w:cs="Times New Roman"/>
          <w:color w:val="000000"/>
          <w:spacing w:val="0"/>
          <w:w w:val="100"/>
          <w:position w:val="0"/>
          <w:sz w:val="24"/>
          <w:szCs w:val="24"/>
        </w:rPr>
        <w:t>（</w:t>
      </w:r>
      <w:r>
        <w:rPr>
          <w:b/>
          <w:bCs/>
          <w:color w:val="000000"/>
          <w:spacing w:val="0"/>
          <w:w w:val="100"/>
          <w:position w:val="0"/>
          <w:sz w:val="24"/>
          <w:szCs w:val="24"/>
        </w:rPr>
        <w:t>续</w:t>
      </w:r>
      <w:r>
        <w:rPr>
          <w:rFonts w:ascii="Times New Roman" w:eastAsia="Times New Roman" w:hAnsi="Times New Roman" w:cs="Times New Roman"/>
          <w:color w:val="000000"/>
          <w:spacing w:val="0"/>
          <w:w w:val="100"/>
          <w:position w:val="0"/>
          <w:sz w:val="24"/>
          <w:szCs w:val="24"/>
        </w:rPr>
        <w:t>）</w:t>
      </w:r>
      <w:r>
        <w:rPr>
          <w:b/>
          <w:bCs/>
          <w:color w:val="000000"/>
          <w:spacing w:val="0"/>
          <w:w w:val="100"/>
          <w:position w:val="0"/>
          <w:sz w:val="24"/>
          <w:szCs w:val="24"/>
        </w:rPr>
        <w:t>:</w:t>
      </w:r>
    </w:p>
    <w:p>
      <w:pPr>
        <w:pStyle w:val="Style32"/>
        <w:keepNext w:val="0"/>
        <w:keepLines w:val="0"/>
        <w:widowControl w:val="0"/>
        <w:shd w:val="clear" w:color="auto" w:fill="auto"/>
        <w:tabs>
          <w:tab w:pos="2621" w:val="left"/>
          <w:tab w:pos="5006" w:val="left"/>
        </w:tabs>
        <w:bidi w:val="0"/>
        <w:spacing w:before="0" w:after="280" w:line="240" w:lineRule="auto"/>
        <w:ind w:left="0" w:right="0" w:firstLine="720"/>
        <w:jc w:val="left"/>
        <w:rPr>
          <w:sz w:val="24"/>
          <w:szCs w:val="24"/>
        </w:rPr>
      </w:pPr>
      <w:r>
        <w:rPr>
          <w:color w:val="000000"/>
          <w:spacing w:val="0"/>
          <w:w w:val="100"/>
          <w:position w:val="0"/>
          <w:sz w:val="24"/>
          <w:szCs w:val="24"/>
        </w:rPr>
        <w:t>税种</w:t>
        <w:tab/>
        <w:t>计税依据</w:t>
        <w:tab/>
        <w:t>税率</w:t>
      </w:r>
    </w:p>
    <w:p>
      <w:pPr>
        <w:pStyle w:val="Style25"/>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本公司及境内子公司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续</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w:t>
      </w:r>
    </w:p>
    <w:tbl>
      <w:tblPr>
        <w:tblOverlap w:val="never"/>
        <w:jc w:val="right"/>
        <w:tblLayout w:type="fixed"/>
      </w:tblPr>
      <w:tblGrid>
        <w:gridCol w:w="1843"/>
        <w:gridCol w:w="2179"/>
        <w:gridCol w:w="4680"/>
      </w:tblGrid>
      <w:tr>
        <w:trPr>
          <w:trHeight w:val="739"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营业税</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left"/>
              <w:rPr>
                <w:sz w:val="24"/>
                <w:szCs w:val="24"/>
              </w:rPr>
            </w:pPr>
            <w:r>
              <w:rPr>
                <w:color w:val="000000"/>
                <w:spacing w:val="0"/>
                <w:w w:val="100"/>
                <w:position w:val="0"/>
                <w:sz w:val="24"/>
                <w:szCs w:val="24"/>
              </w:rPr>
              <w:t>应纳税营业额</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both"/>
              <w:rPr>
                <w:sz w:val="24"/>
                <w:szCs w:val="24"/>
              </w:rPr>
            </w:pP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日之前培训业务收入、安</w:t>
            </w:r>
          </w:p>
          <w:p>
            <w:pPr>
              <w:pStyle w:val="Style28"/>
              <w:keepNext w:val="0"/>
              <w:keepLines w:val="0"/>
              <w:widowControl w:val="0"/>
              <w:shd w:val="clear" w:color="auto" w:fill="auto"/>
              <w:bidi w:val="0"/>
              <w:spacing w:before="0" w:after="0" w:line="240" w:lineRule="auto"/>
              <w:ind w:left="0" w:right="0" w:firstLine="340"/>
              <w:jc w:val="left"/>
              <w:rPr>
                <w:sz w:val="24"/>
                <w:szCs w:val="24"/>
              </w:rPr>
            </w:pPr>
            <w:r>
              <w:rPr>
                <w:color w:val="000000"/>
                <w:spacing w:val="0"/>
                <w:w w:val="100"/>
                <w:position w:val="0"/>
                <w:sz w:val="24"/>
                <w:szCs w:val="24"/>
              </w:rPr>
              <w:t>装业务收入营业税税率为</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w:t>
            </w:r>
          </w:p>
        </w:tc>
      </w:tr>
      <w:tr>
        <w:trPr>
          <w:trHeight w:val="1522"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8"/>
              <w:keepNext w:val="0"/>
              <w:keepLines w:val="0"/>
              <w:widowControl w:val="0"/>
              <w:shd w:val="clear" w:color="auto" w:fill="auto"/>
              <w:bidi w:val="0"/>
              <w:spacing w:before="0" w:after="0" w:line="317" w:lineRule="exact"/>
              <w:ind w:left="340" w:right="0" w:firstLine="0"/>
              <w:jc w:val="both"/>
              <w:rPr>
                <w:sz w:val="24"/>
                <w:szCs w:val="24"/>
              </w:rPr>
            </w:pP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日之前代理收入、租赁收 入</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除有形动产租赁</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、连锁店服务收入、 广告位使用费收入、房地产销售</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预售收 入及贷款业务收入等营业税税率为</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w:t>
            </w:r>
          </w:p>
        </w:tc>
      </w:tr>
      <w:tr>
        <w:trPr>
          <w:trHeight w:val="902" w:hRule="exact"/>
        </w:trPr>
        <w:tc>
          <w:tcPr>
            <w:tcBorders/>
            <w:shd w:val="clear" w:color="auto" w:fill="FFFFFF"/>
            <w:vAlign w:val="top"/>
          </w:tcPr>
          <w:p>
            <w:pPr>
              <w:pStyle w:val="Style28"/>
              <w:keepNext w:val="0"/>
              <w:keepLines w:val="0"/>
              <w:widowControl w:val="0"/>
              <w:shd w:val="clear" w:color="auto" w:fill="auto"/>
              <w:bidi w:val="0"/>
              <w:spacing w:before="140" w:after="0" w:line="240" w:lineRule="auto"/>
              <w:ind w:left="0" w:right="0" w:firstLine="0"/>
              <w:jc w:val="left"/>
              <w:rPr>
                <w:sz w:val="24"/>
                <w:szCs w:val="24"/>
              </w:rPr>
            </w:pPr>
            <w:r>
              <w:rPr>
                <w:color w:val="000000"/>
                <w:spacing w:val="0"/>
                <w:w w:val="100"/>
                <w:position w:val="0"/>
                <w:sz w:val="24"/>
                <w:szCs w:val="24"/>
              </w:rPr>
              <w:t>土地增值税</w:t>
            </w:r>
          </w:p>
        </w:tc>
        <w:tc>
          <w:tcPr>
            <w:tcBorders/>
            <w:shd w:val="clear" w:color="auto" w:fill="FFFFFF"/>
            <w:vAlign w:val="top"/>
          </w:tcPr>
          <w:p>
            <w:pPr>
              <w:pStyle w:val="Style28"/>
              <w:keepNext w:val="0"/>
              <w:keepLines w:val="0"/>
              <w:widowControl w:val="0"/>
              <w:shd w:val="clear" w:color="auto" w:fill="auto"/>
              <w:bidi w:val="0"/>
              <w:spacing w:before="140" w:after="0" w:line="240" w:lineRule="auto"/>
              <w:ind w:left="0" w:right="0" w:firstLine="160"/>
              <w:jc w:val="left"/>
              <w:rPr>
                <w:sz w:val="24"/>
                <w:szCs w:val="24"/>
              </w:rPr>
            </w:pPr>
            <w:r>
              <w:rPr>
                <w:color w:val="000000"/>
                <w:spacing w:val="0"/>
                <w:w w:val="100"/>
                <w:position w:val="0"/>
                <w:sz w:val="24"/>
                <w:szCs w:val="24"/>
              </w:rPr>
              <w:t>房地产增值部分</w:t>
            </w:r>
          </w:p>
        </w:tc>
        <w:tc>
          <w:tcPr>
            <w:tcBorders/>
            <w:shd w:val="clear" w:color="auto" w:fill="FFFFFF"/>
            <w:vAlign w:val="center"/>
          </w:tcPr>
          <w:p>
            <w:pPr>
              <w:pStyle w:val="Style28"/>
              <w:keepNext w:val="0"/>
              <w:keepLines w:val="0"/>
              <w:widowControl w:val="0"/>
              <w:shd w:val="clear" w:color="auto" w:fill="auto"/>
              <w:bidi w:val="0"/>
              <w:spacing w:before="0" w:after="0" w:line="326" w:lineRule="exact"/>
              <w:ind w:left="340" w:right="0" w:firstLine="0"/>
              <w:jc w:val="both"/>
              <w:rPr>
                <w:sz w:val="24"/>
                <w:szCs w:val="24"/>
              </w:rPr>
            </w:pPr>
            <w:r>
              <w:rPr>
                <w:color w:val="000000"/>
                <w:spacing w:val="0"/>
                <w:w w:val="100"/>
                <w:position w:val="0"/>
                <w:sz w:val="24"/>
                <w:szCs w:val="24"/>
              </w:rPr>
              <w:t>根据房地产增值率征收</w:t>
            </w:r>
            <w:r>
              <w:rPr>
                <w:rFonts w:ascii="Times New Roman" w:eastAsia="Times New Roman" w:hAnsi="Times New Roman" w:cs="Times New Roman"/>
                <w:color w:val="000000"/>
                <w:spacing w:val="0"/>
                <w:w w:val="100"/>
                <w:position w:val="0"/>
                <w:sz w:val="24"/>
                <w:szCs w:val="24"/>
              </w:rPr>
              <w:t>30%-60%</w:t>
            </w:r>
            <w:r>
              <w:rPr>
                <w:color w:val="000000"/>
                <w:spacing w:val="0"/>
                <w:w w:val="100"/>
                <w:position w:val="0"/>
                <w:sz w:val="24"/>
                <w:szCs w:val="24"/>
              </w:rPr>
              <w:t>四级超 率累进税率。</w:t>
            </w:r>
          </w:p>
        </w:tc>
      </w:tr>
      <w:tr>
        <w:trPr>
          <w:trHeight w:val="1517" w:hRule="exact"/>
        </w:trPr>
        <w:tc>
          <w:tcPr>
            <w:tcBorders/>
            <w:shd w:val="clear" w:color="auto" w:fill="FFFFFF"/>
            <w:vAlign w:val="top"/>
          </w:tcPr>
          <w:p>
            <w:pPr>
              <w:pStyle w:val="Style28"/>
              <w:keepNext w:val="0"/>
              <w:keepLines w:val="0"/>
              <w:widowControl w:val="0"/>
              <w:shd w:val="clear" w:color="auto" w:fill="auto"/>
              <w:bidi w:val="0"/>
              <w:spacing w:before="140" w:after="0" w:line="240" w:lineRule="auto"/>
              <w:ind w:left="0" w:right="0" w:firstLine="0"/>
              <w:jc w:val="left"/>
              <w:rPr>
                <w:sz w:val="24"/>
                <w:szCs w:val="24"/>
              </w:rPr>
            </w:pPr>
            <w:r>
              <w:rPr>
                <w:color w:val="000000"/>
                <w:spacing w:val="0"/>
                <w:w w:val="100"/>
                <w:position w:val="0"/>
                <w:sz w:val="24"/>
                <w:szCs w:val="24"/>
              </w:rPr>
              <w:t>城市维护建设税</w:t>
            </w:r>
          </w:p>
        </w:tc>
        <w:tc>
          <w:tcPr>
            <w:tcBorders/>
            <w:shd w:val="clear" w:color="auto" w:fill="FFFFFF"/>
            <w:vAlign w:val="top"/>
          </w:tcPr>
          <w:p>
            <w:pPr>
              <w:pStyle w:val="Style28"/>
              <w:keepNext w:val="0"/>
              <w:keepLines w:val="0"/>
              <w:widowControl w:val="0"/>
              <w:shd w:val="clear" w:color="auto" w:fill="auto"/>
              <w:bidi w:val="0"/>
              <w:spacing w:before="120" w:after="0" w:line="310" w:lineRule="exact"/>
              <w:ind w:left="160" w:right="0" w:firstLine="0"/>
              <w:jc w:val="left"/>
              <w:rPr>
                <w:sz w:val="24"/>
                <w:szCs w:val="24"/>
              </w:rPr>
            </w:pPr>
            <w:r>
              <w:rPr>
                <w:color w:val="000000"/>
                <w:spacing w:val="0"/>
                <w:w w:val="100"/>
                <w:position w:val="0"/>
                <w:sz w:val="24"/>
                <w:szCs w:val="24"/>
              </w:rPr>
              <w:t>缴纳的增值税、 营业税及消费税 税额</w:t>
            </w:r>
          </w:p>
        </w:tc>
        <w:tc>
          <w:tcPr>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340"/>
              <w:jc w:val="both"/>
              <w:rPr>
                <w:sz w:val="24"/>
                <w:szCs w:val="24"/>
              </w:rPr>
            </w:pPr>
            <w:r>
              <w:rPr>
                <w:color w:val="000000"/>
                <w:spacing w:val="0"/>
                <w:w w:val="100"/>
                <w:position w:val="0"/>
                <w:sz w:val="24"/>
                <w:szCs w:val="24"/>
              </w:rPr>
              <w:t>所在地为市区的，税率为</w:t>
            </w:r>
            <w:r>
              <w:rPr>
                <w:rFonts w:ascii="Times New Roman" w:eastAsia="Times New Roman" w:hAnsi="Times New Roman" w:cs="Times New Roman"/>
                <w:color w:val="000000"/>
                <w:spacing w:val="0"/>
                <w:w w:val="100"/>
                <w:position w:val="0"/>
                <w:sz w:val="24"/>
                <w:szCs w:val="24"/>
              </w:rPr>
              <w:t>7%</w:t>
            </w:r>
            <w:r>
              <w:rPr>
                <w:color w:val="000000"/>
                <w:spacing w:val="0"/>
                <w:w w:val="100"/>
                <w:position w:val="0"/>
                <w:sz w:val="24"/>
                <w:szCs w:val="24"/>
              </w:rPr>
              <w:t>；</w:t>
            </w:r>
          </w:p>
          <w:p>
            <w:pPr>
              <w:pStyle w:val="Style28"/>
              <w:keepNext w:val="0"/>
              <w:keepLines w:val="0"/>
              <w:widowControl w:val="0"/>
              <w:shd w:val="clear" w:color="auto" w:fill="auto"/>
              <w:bidi w:val="0"/>
              <w:spacing w:before="0" w:after="0" w:line="312" w:lineRule="exact"/>
              <w:ind w:left="0" w:right="0" w:firstLine="340"/>
              <w:jc w:val="both"/>
              <w:rPr>
                <w:sz w:val="24"/>
                <w:szCs w:val="24"/>
              </w:rPr>
            </w:pPr>
            <w:r>
              <w:rPr>
                <w:color w:val="000000"/>
                <w:spacing w:val="0"/>
                <w:w w:val="100"/>
                <w:position w:val="0"/>
                <w:sz w:val="24"/>
                <w:szCs w:val="24"/>
              </w:rPr>
              <w:t>所在地为县城、镇的，税率为</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w:t>
            </w:r>
          </w:p>
          <w:p>
            <w:pPr>
              <w:pStyle w:val="Style28"/>
              <w:keepNext w:val="0"/>
              <w:keepLines w:val="0"/>
              <w:widowControl w:val="0"/>
              <w:shd w:val="clear" w:color="auto" w:fill="auto"/>
              <w:bidi w:val="0"/>
              <w:spacing w:before="0" w:after="0" w:line="312" w:lineRule="exact"/>
              <w:ind w:left="340" w:right="0" w:firstLine="0"/>
              <w:jc w:val="both"/>
              <w:rPr>
                <w:sz w:val="24"/>
                <w:szCs w:val="24"/>
              </w:rPr>
            </w:pPr>
            <w:r>
              <w:rPr>
                <w:color w:val="000000"/>
                <w:spacing w:val="0"/>
                <w:w w:val="100"/>
                <w:position w:val="0"/>
                <w:sz w:val="24"/>
                <w:szCs w:val="24"/>
              </w:rPr>
              <w:t>所在地不在市区、县城或者镇的，税率 为</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w:t>
            </w:r>
          </w:p>
        </w:tc>
      </w:tr>
      <w:tr>
        <w:trPr>
          <w:trHeight w:val="1214" w:hRule="exact"/>
        </w:trPr>
        <w:tc>
          <w:tcPr>
            <w:tcBorders/>
            <w:shd w:val="clear" w:color="auto" w:fill="FFFFFF"/>
            <w:vAlign w:val="top"/>
          </w:tcPr>
          <w:p>
            <w:pPr>
              <w:pStyle w:val="Style28"/>
              <w:keepNext w:val="0"/>
              <w:keepLines w:val="0"/>
              <w:widowControl w:val="0"/>
              <w:shd w:val="clear" w:color="auto" w:fill="auto"/>
              <w:bidi w:val="0"/>
              <w:spacing w:before="160" w:after="0" w:line="240" w:lineRule="auto"/>
              <w:ind w:left="0" w:right="0" w:firstLine="0"/>
              <w:jc w:val="left"/>
              <w:rPr>
                <w:sz w:val="24"/>
                <w:szCs w:val="24"/>
              </w:rPr>
            </w:pPr>
            <w:r>
              <w:rPr>
                <w:color w:val="000000"/>
                <w:spacing w:val="0"/>
                <w:w w:val="100"/>
                <w:position w:val="0"/>
                <w:sz w:val="24"/>
                <w:szCs w:val="24"/>
              </w:rPr>
              <w:t>教育费附加</w:t>
            </w:r>
          </w:p>
        </w:tc>
        <w:tc>
          <w:tcPr>
            <w:tcBorders/>
            <w:shd w:val="clear" w:color="auto" w:fill="FFFFFF"/>
            <w:vAlign w:val="center"/>
          </w:tcPr>
          <w:p>
            <w:pPr>
              <w:pStyle w:val="Style28"/>
              <w:keepNext w:val="0"/>
              <w:keepLines w:val="0"/>
              <w:widowControl w:val="0"/>
              <w:shd w:val="clear" w:color="auto" w:fill="auto"/>
              <w:bidi w:val="0"/>
              <w:spacing w:before="0" w:after="0" w:line="310" w:lineRule="exact"/>
              <w:ind w:left="160" w:right="0" w:firstLine="0"/>
              <w:jc w:val="left"/>
              <w:rPr>
                <w:sz w:val="24"/>
                <w:szCs w:val="24"/>
              </w:rPr>
            </w:pPr>
            <w:r>
              <w:rPr>
                <w:color w:val="000000"/>
                <w:spacing w:val="0"/>
                <w:w w:val="100"/>
                <w:position w:val="0"/>
                <w:sz w:val="24"/>
                <w:szCs w:val="24"/>
              </w:rPr>
              <w:t>缴纳的增值 税、营业税及 消费税税额</w:t>
            </w:r>
          </w:p>
        </w:tc>
        <w:tc>
          <w:tcPr>
            <w:tcBorders/>
            <w:shd w:val="clear" w:color="auto" w:fill="FFFFFF"/>
            <w:vAlign w:val="top"/>
          </w:tcPr>
          <w:p>
            <w:pPr>
              <w:pStyle w:val="Style28"/>
              <w:keepNext w:val="0"/>
              <w:keepLines w:val="0"/>
              <w:widowControl w:val="0"/>
              <w:shd w:val="clear" w:color="auto" w:fill="auto"/>
              <w:bidi w:val="0"/>
              <w:spacing w:before="120" w:after="0" w:line="240" w:lineRule="auto"/>
              <w:ind w:left="0" w:right="0" w:firstLine="340"/>
              <w:jc w:val="left"/>
              <w:rPr>
                <w:sz w:val="24"/>
                <w:szCs w:val="24"/>
              </w:rPr>
            </w:pPr>
            <w:r>
              <w:rPr>
                <w:rFonts w:ascii="Times New Roman" w:eastAsia="Times New Roman" w:hAnsi="Times New Roman" w:cs="Times New Roman"/>
                <w:color w:val="000000"/>
                <w:spacing w:val="0"/>
                <w:w w:val="100"/>
                <w:position w:val="0"/>
                <w:sz w:val="24"/>
                <w:szCs w:val="24"/>
              </w:rPr>
              <w:t>3%</w:t>
            </w:r>
          </w:p>
        </w:tc>
      </w:tr>
      <w:tr>
        <w:trPr>
          <w:trHeight w:val="1051" w:hRule="exact"/>
        </w:trPr>
        <w:tc>
          <w:tcPr>
            <w:tcBorders/>
            <w:shd w:val="clear" w:color="auto" w:fill="FFFFFF"/>
            <w:vAlign w:val="top"/>
          </w:tcPr>
          <w:p>
            <w:pPr>
              <w:pStyle w:val="Style28"/>
              <w:keepNext w:val="0"/>
              <w:keepLines w:val="0"/>
              <w:widowControl w:val="0"/>
              <w:shd w:val="clear" w:color="auto" w:fill="auto"/>
              <w:bidi w:val="0"/>
              <w:spacing w:before="140" w:after="0" w:line="240" w:lineRule="auto"/>
              <w:ind w:left="0" w:right="0" w:firstLine="0"/>
              <w:jc w:val="left"/>
              <w:rPr>
                <w:sz w:val="24"/>
                <w:szCs w:val="24"/>
              </w:rPr>
            </w:pPr>
            <w:r>
              <w:rPr>
                <w:color w:val="000000"/>
                <w:spacing w:val="0"/>
                <w:w w:val="100"/>
                <w:position w:val="0"/>
                <w:sz w:val="24"/>
                <w:szCs w:val="24"/>
              </w:rPr>
              <w:t>地方教育费附加</w:t>
            </w:r>
          </w:p>
        </w:tc>
        <w:tc>
          <w:tcPr>
            <w:tcBorders/>
            <w:shd w:val="clear" w:color="auto" w:fill="FFFFFF"/>
            <w:vAlign w:val="bottom"/>
          </w:tcPr>
          <w:p>
            <w:pPr>
              <w:pStyle w:val="Style28"/>
              <w:keepNext w:val="0"/>
              <w:keepLines w:val="0"/>
              <w:widowControl w:val="0"/>
              <w:shd w:val="clear" w:color="auto" w:fill="auto"/>
              <w:bidi w:val="0"/>
              <w:spacing w:before="0" w:after="0" w:line="319" w:lineRule="exact"/>
              <w:ind w:left="160" w:right="0" w:firstLine="0"/>
              <w:jc w:val="left"/>
              <w:rPr>
                <w:sz w:val="24"/>
                <w:szCs w:val="24"/>
              </w:rPr>
            </w:pPr>
            <w:r>
              <w:rPr>
                <w:color w:val="000000"/>
                <w:spacing w:val="0"/>
                <w:w w:val="100"/>
                <w:position w:val="0"/>
                <w:sz w:val="24"/>
                <w:szCs w:val="24"/>
              </w:rPr>
              <w:t>缴纳的增值 税、营业税及 消费税税额</w:t>
            </w:r>
          </w:p>
        </w:tc>
        <w:tc>
          <w:tcPr>
            <w:tcBorders/>
            <w:shd w:val="clear" w:color="auto" w:fill="FFFFFF"/>
            <w:vAlign w:val="top"/>
          </w:tcPr>
          <w:p>
            <w:pPr>
              <w:pStyle w:val="Style28"/>
              <w:keepNext w:val="0"/>
              <w:keepLines w:val="0"/>
              <w:widowControl w:val="0"/>
              <w:shd w:val="clear" w:color="auto" w:fill="auto"/>
              <w:bidi w:val="0"/>
              <w:spacing w:before="120" w:after="0" w:line="240" w:lineRule="auto"/>
              <w:ind w:left="0" w:right="0" w:firstLine="340"/>
              <w:jc w:val="left"/>
              <w:rPr>
                <w:sz w:val="24"/>
                <w:szCs w:val="24"/>
              </w:rPr>
            </w:pPr>
            <w:r>
              <w:rPr>
                <w:rFonts w:ascii="Times New Roman" w:eastAsia="Times New Roman" w:hAnsi="Times New Roman" w:cs="Times New Roman"/>
                <w:color w:val="000000"/>
                <w:spacing w:val="0"/>
                <w:w w:val="100"/>
                <w:position w:val="0"/>
                <w:sz w:val="24"/>
                <w:szCs w:val="24"/>
              </w:rPr>
              <w:t>2%</w:t>
            </w:r>
          </w:p>
        </w:tc>
      </w:tr>
    </w:tbl>
    <w:p>
      <w:pPr>
        <w:sectPr>
          <w:footnotePr>
            <w:pos w:val="pageBottom"/>
            <w:numFmt w:val="decimal"/>
            <w:numRestart w:val="continuous"/>
          </w:footnotePr>
          <w:pgSz w:w="11900" w:h="16840"/>
          <w:pgMar w:top="1354" w:right="771" w:bottom="2338" w:left="1697" w:header="0" w:footer="3" w:gutter="0"/>
          <w:cols w:space="720"/>
          <w:noEndnote/>
          <w:rtlGutter w:val="0"/>
          <w:docGrid w:linePitch="360"/>
        </w:sectPr>
      </w:pPr>
    </w:p>
    <w:p>
      <w:pPr>
        <w:pStyle w:val="Style32"/>
        <w:keepNext w:val="0"/>
        <w:keepLines w:val="0"/>
        <w:widowControl w:val="0"/>
        <w:shd w:val="clear" w:color="auto" w:fill="auto"/>
        <w:bidi w:val="0"/>
        <w:spacing w:before="0" w:after="0" w:line="240" w:lineRule="auto"/>
        <w:ind w:left="0" w:right="0" w:firstLine="720"/>
        <w:jc w:val="left"/>
        <w:rPr>
          <w:sz w:val="24"/>
          <w:szCs w:val="24"/>
        </w:rPr>
      </w:pPr>
      <w:r>
        <w:rPr>
          <w:b/>
          <w:bCs/>
          <w:color w:val="000000"/>
          <w:spacing w:val="0"/>
          <w:w w:val="100"/>
          <w:position w:val="0"/>
          <w:sz w:val="24"/>
          <w:szCs w:val="24"/>
        </w:rPr>
        <w:t>财务报表附注</w:t>
      </w:r>
    </w:p>
    <w:p>
      <w:pPr>
        <w:pStyle w:val="Style88"/>
        <w:keepNext/>
        <w:keepLines/>
        <w:widowControl w:val="0"/>
        <w:shd w:val="clear" w:color="auto" w:fill="auto"/>
        <w:bidi w:val="0"/>
        <w:spacing w:before="0" w:after="0" w:line="240" w:lineRule="auto"/>
        <w:ind w:left="0" w:right="0" w:firstLine="720"/>
        <w:jc w:val="left"/>
      </w:pPr>
      <w:bookmarkStart w:id="787" w:name="bookmark787"/>
      <w:bookmarkStart w:id="788" w:name="bookmark788"/>
      <w:bookmarkStart w:id="789" w:name="bookmark789"/>
      <w:r>
        <w:rPr>
          <w:color w:val="000000"/>
          <w:spacing w:val="0"/>
          <w:w w:val="100"/>
          <w:position w:val="0"/>
          <w:sz w:val="24"/>
          <w:szCs w:val="24"/>
        </w:rPr>
        <w:t>2016</w:t>
      </w:r>
      <w:r>
        <w:rPr>
          <w:rFonts w:ascii="SimSun" w:eastAsia="SimSun" w:hAnsi="SimSun" w:cs="SimSun"/>
          <w:b/>
          <w:bCs/>
          <w:color w:val="000000"/>
          <w:spacing w:val="0"/>
          <w:w w:val="100"/>
          <w:position w:val="0"/>
          <w:sz w:val="24"/>
          <w:szCs w:val="24"/>
        </w:rPr>
        <w:t>年度</w:t>
      </w:r>
      <w:bookmarkEnd w:id="787"/>
      <w:bookmarkEnd w:id="788"/>
      <w:bookmarkEnd w:id="789"/>
    </w:p>
    <w:p>
      <w:pPr>
        <w:pStyle w:val="Style32"/>
        <w:keepNext w:val="0"/>
        <w:keepLines w:val="0"/>
        <w:widowControl w:val="0"/>
        <w:shd w:val="clear" w:color="auto" w:fill="auto"/>
        <w:bidi w:val="0"/>
        <w:spacing w:before="0" w:after="240" w:line="240" w:lineRule="auto"/>
        <w:ind w:left="0" w:right="0" w:firstLine="720"/>
        <w:jc w:val="left"/>
        <w:rPr>
          <w:sz w:val="24"/>
          <w:szCs w:val="24"/>
        </w:rPr>
      </w:pPr>
      <w:r>
        <w:rPr>
          <w:rFonts w:ascii="Arial" w:eastAsia="Arial" w:hAnsi="Arial" w:cs="Arial"/>
          <w:color w:val="000000"/>
          <w:spacing w:val="0"/>
          <w:w w:val="100"/>
          <w:position w:val="0"/>
          <w:sz w:val="20"/>
          <w:szCs w:val="20"/>
        </w:rPr>
        <w:t>（</w:t>
      </w:r>
      <w:r>
        <w:rPr>
          <w:color w:val="000000"/>
          <w:spacing w:val="0"/>
          <w:w w:val="100"/>
          <w:position w:val="0"/>
          <w:sz w:val="20"/>
          <w:szCs w:val="20"/>
        </w:rPr>
        <w:t>除特别注明外，金额单位为人民币千元</w:t>
      </w:r>
      <w:r>
        <w:rPr>
          <w:color w:val="000000"/>
          <w:spacing w:val="0"/>
          <w:w w:val="100"/>
          <w:position w:val="0"/>
          <w:sz w:val="24"/>
          <w:szCs w:val="24"/>
        </w:rPr>
        <w:t>）</w:t>
      </w:r>
    </w:p>
    <w:p>
      <w:pPr>
        <w:pStyle w:val="Style32"/>
        <w:keepNext w:val="0"/>
        <w:keepLines w:val="0"/>
        <w:widowControl w:val="0"/>
        <w:shd w:val="clear" w:color="auto" w:fill="auto"/>
        <w:tabs>
          <w:tab w:pos="643" w:val="left"/>
        </w:tabs>
        <w:bidi w:val="0"/>
        <w:spacing w:before="0" w:after="240" w:line="240" w:lineRule="auto"/>
        <w:ind w:left="0" w:right="0" w:firstLine="0"/>
        <w:jc w:val="left"/>
        <w:rPr>
          <w:sz w:val="24"/>
          <w:szCs w:val="24"/>
        </w:rPr>
      </w:pPr>
      <w:r>
        <w:rPr>
          <w:b/>
          <w:bCs/>
          <w:color w:val="000000"/>
          <w:spacing w:val="0"/>
          <w:w w:val="100"/>
          <w:position w:val="0"/>
          <w:sz w:val="24"/>
          <w:szCs w:val="24"/>
        </w:rPr>
        <w:t>三</w:t>
        <w:tab/>
        <w:t>税项</w:t>
      </w:r>
      <w:r>
        <w:rPr>
          <w:rFonts w:ascii="Times New Roman" w:eastAsia="Times New Roman" w:hAnsi="Times New Roman" w:cs="Times New Roman"/>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4"/>
          <w:szCs w:val="24"/>
        </w:rPr>
        <w:t>）</w:t>
      </w:r>
    </w:p>
    <w:p>
      <w:pPr>
        <w:pStyle w:val="Style32"/>
        <w:keepNext w:val="0"/>
        <w:keepLines w:val="0"/>
        <w:widowControl w:val="0"/>
        <w:shd w:val="clear" w:color="auto" w:fill="auto"/>
        <w:tabs>
          <w:tab w:pos="643" w:val="left"/>
        </w:tabs>
        <w:bidi w:val="0"/>
        <w:spacing w:before="0" w:after="0" w:line="240" w:lineRule="auto"/>
        <w:ind w:left="0" w:right="0" w:firstLine="0"/>
        <w:jc w:val="left"/>
        <w:rPr>
          <w:sz w:val="24"/>
          <w:szCs w:val="24"/>
        </w:rPr>
        <w:sectPr>
          <w:footnotePr>
            <w:pos w:val="pageBottom"/>
            <w:numFmt w:val="decimal"/>
            <w:numRestart w:val="continuous"/>
          </w:footnotePr>
          <w:pgSz w:w="11900" w:h="16840"/>
          <w:pgMar w:top="1330" w:right="770" w:bottom="8453" w:left="1698"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24"/>
          <w:szCs w:val="24"/>
        </w:rPr>
        <w:t>（1）</w:t>
        <w:tab/>
      </w:r>
      <w:r>
        <w:rPr>
          <w:b/>
          <w:bCs/>
          <w:color w:val="000000"/>
          <w:spacing w:val="0"/>
          <w:w w:val="100"/>
          <w:position w:val="0"/>
          <w:sz w:val="24"/>
          <w:szCs w:val="24"/>
        </w:rPr>
        <w:t>本集团适用的主要税种及其税率列示如下</w:t>
      </w:r>
      <w:r>
        <w:rPr>
          <w:rFonts w:ascii="Times New Roman" w:eastAsia="Times New Roman" w:hAnsi="Times New Roman" w:cs="Times New Roman"/>
          <w:color w:val="000000"/>
          <w:spacing w:val="0"/>
          <w:w w:val="100"/>
          <w:position w:val="0"/>
          <w:sz w:val="24"/>
          <w:szCs w:val="24"/>
        </w:rPr>
        <w:t>（</w:t>
      </w:r>
      <w:r>
        <w:rPr>
          <w:b/>
          <w:bCs/>
          <w:color w:val="000000"/>
          <w:spacing w:val="0"/>
          <w:w w:val="100"/>
          <w:position w:val="0"/>
          <w:sz w:val="24"/>
          <w:szCs w:val="24"/>
        </w:rPr>
        <w:t>续</w:t>
      </w:r>
      <w:r>
        <w:rPr>
          <w:rFonts w:ascii="Times New Roman" w:eastAsia="Times New Roman" w:hAnsi="Times New Roman" w:cs="Times New Roman"/>
          <w:color w:val="000000"/>
          <w:spacing w:val="0"/>
          <w:w w:val="100"/>
          <w:position w:val="0"/>
          <w:sz w:val="24"/>
          <w:szCs w:val="24"/>
        </w:rPr>
        <w:t>）</w:t>
      </w:r>
      <w:r>
        <w:rPr>
          <w:b/>
          <w:bCs/>
          <w:color w:val="000000"/>
          <w:spacing w:val="0"/>
          <w:w w:val="100"/>
          <w:position w:val="0"/>
          <w:sz w:val="24"/>
          <w:szCs w:val="24"/>
        </w:rPr>
        <w:t>:</w:t>
      </w:r>
    </w:p>
    <w:p>
      <w:pPr>
        <w:widowControl w:val="0"/>
        <w:spacing w:line="113" w:lineRule="exact"/>
        <w:rPr>
          <w:sz w:val="9"/>
          <w:szCs w:val="9"/>
        </w:rPr>
      </w:pPr>
    </w:p>
    <w:p>
      <w:pPr>
        <w:widowControl w:val="0"/>
        <w:spacing w:line="1" w:lineRule="exact"/>
        <w:sectPr>
          <w:footnotePr>
            <w:pos w:val="pageBottom"/>
            <w:numFmt w:val="decimal"/>
            <w:numRestart w:val="continuous"/>
          </w:footnotePr>
          <w:type w:val="continuous"/>
          <w:pgSz w:w="11900" w:h="16840"/>
          <w:pgMar w:top="1330" w:right="0" w:bottom="1330" w:left="0" w:header="0" w:footer="3" w:gutter="0"/>
          <w:cols w:space="720"/>
          <w:noEndnote/>
          <w:rtlGutter w:val="0"/>
          <w:docGrid w:linePitch="360"/>
        </w:sectPr>
      </w:pPr>
    </w:p>
    <w:p>
      <w:pPr>
        <w:widowControl w:val="0"/>
        <w:spacing w:line="1" w:lineRule="exact"/>
      </w:pPr>
      <w:r>
        <mc:AlternateContent>
          <mc:Choice Requires="wps">
            <w:drawing>
              <wp:anchor distT="0" distB="3175" distL="114300" distR="1833880" simplePos="0" relativeHeight="125829392" behindDoc="0" locked="0" layoutInCell="1" allowOverlap="1">
                <wp:simplePos x="0" y="0"/>
                <wp:positionH relativeFrom="page">
                  <wp:posOffset>1541780</wp:posOffset>
                </wp:positionH>
                <wp:positionV relativeFrom="paragraph">
                  <wp:posOffset>27305</wp:posOffset>
                </wp:positionV>
                <wp:extent cx="1090930" cy="2438400"/>
                <wp:wrapSquare wrapText="right"/>
                <wp:docPr id="216" name="Shape 216"/>
                <a:graphic xmlns:a="http://schemas.openxmlformats.org/drawingml/2006/main">
                  <a:graphicData uri="http://schemas.microsoft.com/office/word/2010/wordprocessingShape">
                    <wps:wsp>
                      <wps:cNvSpPr txBox="1"/>
                      <wps:spPr>
                        <a:xfrm>
                          <a:ext cx="1090930" cy="2438400"/>
                        </a:xfrm>
                        <a:prstGeom prst="rect"/>
                        <a:noFill/>
                      </wps:spPr>
                      <wps:txbx>
                        <w:txbxContent>
                          <w:p>
                            <w:pPr>
                              <w:pStyle w:val="Style32"/>
                              <w:keepNext w:val="0"/>
                              <w:keepLines w:val="0"/>
                              <w:widowControl w:val="0"/>
                              <w:shd w:val="clear" w:color="auto" w:fill="auto"/>
                              <w:bidi w:val="0"/>
                              <w:spacing w:before="0" w:after="300" w:line="240" w:lineRule="auto"/>
                              <w:ind w:left="0" w:right="0" w:firstLine="0"/>
                              <w:jc w:val="left"/>
                              <w:rPr>
                                <w:sz w:val="24"/>
                                <w:szCs w:val="24"/>
                              </w:rPr>
                            </w:pPr>
                            <w:r>
                              <w:rPr>
                                <w:color w:val="000000"/>
                                <w:spacing w:val="0"/>
                                <w:w w:val="100"/>
                                <w:position w:val="0"/>
                                <w:sz w:val="24"/>
                                <w:szCs w:val="24"/>
                              </w:rPr>
                              <w:t>税种</w:t>
                            </w:r>
                          </w:p>
                          <w:p>
                            <w:pPr>
                              <w:pStyle w:val="Style32"/>
                              <w:keepNext w:val="0"/>
                              <w:keepLines w:val="0"/>
                              <w:widowControl w:val="0"/>
                              <w:shd w:val="clear" w:color="auto" w:fill="auto"/>
                              <w:bidi w:val="0"/>
                              <w:spacing w:before="0" w:after="300" w:line="240" w:lineRule="auto"/>
                              <w:ind w:left="0" w:right="0" w:firstLine="0"/>
                              <w:jc w:val="left"/>
                              <w:rPr>
                                <w:sz w:val="24"/>
                                <w:szCs w:val="24"/>
                              </w:rPr>
                            </w:pPr>
                            <w:r>
                              <w:rPr>
                                <w:color w:val="000000"/>
                                <w:spacing w:val="0"/>
                                <w:w w:val="100"/>
                                <w:position w:val="0"/>
                                <w:sz w:val="24"/>
                                <w:szCs w:val="24"/>
                              </w:rPr>
                              <w:t>境外子公司：</w:t>
                            </w:r>
                          </w:p>
                          <w:p>
                            <w:pPr>
                              <w:pStyle w:val="Style32"/>
                              <w:keepNext w:val="0"/>
                              <w:keepLines w:val="0"/>
                              <w:widowControl w:val="0"/>
                              <w:shd w:val="clear" w:color="auto" w:fill="auto"/>
                              <w:bidi w:val="0"/>
                              <w:spacing w:before="0" w:after="300" w:line="240" w:lineRule="auto"/>
                              <w:ind w:left="0" w:right="0" w:firstLine="0"/>
                              <w:jc w:val="left"/>
                              <w:rPr>
                                <w:sz w:val="24"/>
                                <w:szCs w:val="24"/>
                              </w:rPr>
                            </w:pPr>
                            <w:r>
                              <w:rPr>
                                <w:color w:val="000000"/>
                                <w:spacing w:val="0"/>
                                <w:w w:val="100"/>
                                <w:position w:val="0"/>
                                <w:sz w:val="24"/>
                                <w:szCs w:val="24"/>
                              </w:rPr>
                              <w:t>香港利得税</w:t>
                            </w:r>
                          </w:p>
                          <w:p>
                            <w:pPr>
                              <w:pStyle w:val="Style32"/>
                              <w:keepNext w:val="0"/>
                              <w:keepLines w:val="0"/>
                              <w:widowControl w:val="0"/>
                              <w:shd w:val="clear" w:color="auto" w:fill="auto"/>
                              <w:bidi w:val="0"/>
                              <w:spacing w:before="0" w:after="920" w:line="240" w:lineRule="auto"/>
                              <w:ind w:left="0" w:right="0" w:firstLine="0"/>
                              <w:jc w:val="left"/>
                              <w:rPr>
                                <w:sz w:val="24"/>
                                <w:szCs w:val="24"/>
                              </w:rPr>
                            </w:pPr>
                            <w:r>
                              <w:rPr>
                                <w:color w:val="000000"/>
                                <w:spacing w:val="0"/>
                                <w:w w:val="100"/>
                                <w:position w:val="0"/>
                                <w:sz w:val="24"/>
                                <w:szCs w:val="24"/>
                              </w:rPr>
                              <w:t>开曼</w:t>
                            </w:r>
                          </w:p>
                          <w:p>
                            <w:pPr>
                              <w:pStyle w:val="Style32"/>
                              <w:keepNext w:val="0"/>
                              <w:keepLines w:val="0"/>
                              <w:widowControl w:val="0"/>
                              <w:shd w:val="clear" w:color="auto" w:fill="auto"/>
                              <w:bidi w:val="0"/>
                              <w:spacing w:before="0" w:after="300" w:line="240" w:lineRule="auto"/>
                              <w:ind w:left="0" w:right="0" w:firstLine="0"/>
                              <w:jc w:val="left"/>
                              <w:rPr>
                                <w:sz w:val="24"/>
                                <w:szCs w:val="24"/>
                              </w:rPr>
                            </w:pPr>
                            <w:r>
                              <w:rPr>
                                <w:color w:val="000000"/>
                                <w:spacing w:val="0"/>
                                <w:w w:val="100"/>
                                <w:position w:val="0"/>
                                <w:sz w:val="24"/>
                                <w:szCs w:val="24"/>
                              </w:rPr>
                              <w:t>日本企业所得税</w:t>
                            </w:r>
                          </w:p>
                          <w:p>
                            <w:pPr>
                              <w:pStyle w:val="Style32"/>
                              <w:keepNext w:val="0"/>
                              <w:keepLines w:val="0"/>
                              <w:widowControl w:val="0"/>
                              <w:shd w:val="clear" w:color="auto" w:fill="auto"/>
                              <w:bidi w:val="0"/>
                              <w:spacing w:before="0" w:after="300" w:line="240" w:lineRule="auto"/>
                              <w:ind w:left="0" w:right="0" w:firstLine="0"/>
                              <w:jc w:val="left"/>
                              <w:rPr>
                                <w:sz w:val="24"/>
                                <w:szCs w:val="24"/>
                              </w:rPr>
                            </w:pPr>
                            <w:r>
                              <w:rPr>
                                <w:color w:val="000000"/>
                                <w:spacing w:val="0"/>
                                <w:w w:val="100"/>
                                <w:position w:val="0"/>
                                <w:sz w:val="24"/>
                                <w:szCs w:val="24"/>
                              </w:rPr>
                              <w:t>美国企业所得税</w:t>
                            </w:r>
                          </w:p>
                        </w:txbxContent>
                      </wps:txbx>
                      <wps:bodyPr lIns="0" tIns="0" rIns="0" bIns="0">
                        <a:noAutoFit/>
                      </wps:bodyPr>
                    </wps:wsp>
                  </a:graphicData>
                </a:graphic>
              </wp:anchor>
            </w:drawing>
          </mc:Choice>
          <mc:Fallback>
            <w:pict>
              <v:shape id="_x0000_s1242" type="#_x0000_t202" style="position:absolute;margin-left:121.40000000000001pt;margin-top:2.1499999999999999pt;width:85.900000000000006pt;height:192.pt;z-index:-125829361;mso-wrap-distance-left:9.pt;mso-wrap-distance-right:144.40000000000001pt;mso-wrap-distance-bottom:0.25pt;mso-position-horizontal-relative:page" filled="f" stroked="f">
                <v:textbox inset="0,0,0,0">
                  <w:txbxContent>
                    <w:p>
                      <w:pPr>
                        <w:pStyle w:val="Style32"/>
                        <w:keepNext w:val="0"/>
                        <w:keepLines w:val="0"/>
                        <w:widowControl w:val="0"/>
                        <w:shd w:val="clear" w:color="auto" w:fill="auto"/>
                        <w:bidi w:val="0"/>
                        <w:spacing w:before="0" w:after="300" w:line="240" w:lineRule="auto"/>
                        <w:ind w:left="0" w:right="0" w:firstLine="0"/>
                        <w:jc w:val="left"/>
                        <w:rPr>
                          <w:sz w:val="24"/>
                          <w:szCs w:val="24"/>
                        </w:rPr>
                      </w:pPr>
                      <w:r>
                        <w:rPr>
                          <w:color w:val="000000"/>
                          <w:spacing w:val="0"/>
                          <w:w w:val="100"/>
                          <w:position w:val="0"/>
                          <w:sz w:val="24"/>
                          <w:szCs w:val="24"/>
                        </w:rPr>
                        <w:t>税种</w:t>
                      </w:r>
                    </w:p>
                    <w:p>
                      <w:pPr>
                        <w:pStyle w:val="Style32"/>
                        <w:keepNext w:val="0"/>
                        <w:keepLines w:val="0"/>
                        <w:widowControl w:val="0"/>
                        <w:shd w:val="clear" w:color="auto" w:fill="auto"/>
                        <w:bidi w:val="0"/>
                        <w:spacing w:before="0" w:after="300" w:line="240" w:lineRule="auto"/>
                        <w:ind w:left="0" w:right="0" w:firstLine="0"/>
                        <w:jc w:val="left"/>
                        <w:rPr>
                          <w:sz w:val="24"/>
                          <w:szCs w:val="24"/>
                        </w:rPr>
                      </w:pPr>
                      <w:r>
                        <w:rPr>
                          <w:color w:val="000000"/>
                          <w:spacing w:val="0"/>
                          <w:w w:val="100"/>
                          <w:position w:val="0"/>
                          <w:sz w:val="24"/>
                          <w:szCs w:val="24"/>
                        </w:rPr>
                        <w:t>境外子公司：</w:t>
                      </w:r>
                    </w:p>
                    <w:p>
                      <w:pPr>
                        <w:pStyle w:val="Style32"/>
                        <w:keepNext w:val="0"/>
                        <w:keepLines w:val="0"/>
                        <w:widowControl w:val="0"/>
                        <w:shd w:val="clear" w:color="auto" w:fill="auto"/>
                        <w:bidi w:val="0"/>
                        <w:spacing w:before="0" w:after="300" w:line="240" w:lineRule="auto"/>
                        <w:ind w:left="0" w:right="0" w:firstLine="0"/>
                        <w:jc w:val="left"/>
                        <w:rPr>
                          <w:sz w:val="24"/>
                          <w:szCs w:val="24"/>
                        </w:rPr>
                      </w:pPr>
                      <w:r>
                        <w:rPr>
                          <w:color w:val="000000"/>
                          <w:spacing w:val="0"/>
                          <w:w w:val="100"/>
                          <w:position w:val="0"/>
                          <w:sz w:val="24"/>
                          <w:szCs w:val="24"/>
                        </w:rPr>
                        <w:t>香港利得税</w:t>
                      </w:r>
                    </w:p>
                    <w:p>
                      <w:pPr>
                        <w:pStyle w:val="Style32"/>
                        <w:keepNext w:val="0"/>
                        <w:keepLines w:val="0"/>
                        <w:widowControl w:val="0"/>
                        <w:shd w:val="clear" w:color="auto" w:fill="auto"/>
                        <w:bidi w:val="0"/>
                        <w:spacing w:before="0" w:after="920" w:line="240" w:lineRule="auto"/>
                        <w:ind w:left="0" w:right="0" w:firstLine="0"/>
                        <w:jc w:val="left"/>
                        <w:rPr>
                          <w:sz w:val="24"/>
                          <w:szCs w:val="24"/>
                        </w:rPr>
                      </w:pPr>
                      <w:r>
                        <w:rPr>
                          <w:color w:val="000000"/>
                          <w:spacing w:val="0"/>
                          <w:w w:val="100"/>
                          <w:position w:val="0"/>
                          <w:sz w:val="24"/>
                          <w:szCs w:val="24"/>
                        </w:rPr>
                        <w:t>开曼</w:t>
                      </w:r>
                    </w:p>
                    <w:p>
                      <w:pPr>
                        <w:pStyle w:val="Style32"/>
                        <w:keepNext w:val="0"/>
                        <w:keepLines w:val="0"/>
                        <w:widowControl w:val="0"/>
                        <w:shd w:val="clear" w:color="auto" w:fill="auto"/>
                        <w:bidi w:val="0"/>
                        <w:spacing w:before="0" w:after="300" w:line="240" w:lineRule="auto"/>
                        <w:ind w:left="0" w:right="0" w:firstLine="0"/>
                        <w:jc w:val="left"/>
                        <w:rPr>
                          <w:sz w:val="24"/>
                          <w:szCs w:val="24"/>
                        </w:rPr>
                      </w:pPr>
                      <w:r>
                        <w:rPr>
                          <w:color w:val="000000"/>
                          <w:spacing w:val="0"/>
                          <w:w w:val="100"/>
                          <w:position w:val="0"/>
                          <w:sz w:val="24"/>
                          <w:szCs w:val="24"/>
                        </w:rPr>
                        <w:t>日本企业所得税</w:t>
                      </w:r>
                    </w:p>
                    <w:p>
                      <w:pPr>
                        <w:pStyle w:val="Style32"/>
                        <w:keepNext w:val="0"/>
                        <w:keepLines w:val="0"/>
                        <w:widowControl w:val="0"/>
                        <w:shd w:val="clear" w:color="auto" w:fill="auto"/>
                        <w:bidi w:val="0"/>
                        <w:spacing w:before="0" w:after="300" w:line="240" w:lineRule="auto"/>
                        <w:ind w:left="0" w:right="0" w:firstLine="0"/>
                        <w:jc w:val="left"/>
                        <w:rPr>
                          <w:sz w:val="24"/>
                          <w:szCs w:val="24"/>
                        </w:rPr>
                      </w:pPr>
                      <w:r>
                        <w:rPr>
                          <w:color w:val="000000"/>
                          <w:spacing w:val="0"/>
                          <w:w w:val="100"/>
                          <w:position w:val="0"/>
                          <w:sz w:val="24"/>
                          <w:szCs w:val="24"/>
                        </w:rPr>
                        <w:t>美国企业所得税</w:t>
                      </w:r>
                    </w:p>
                  </w:txbxContent>
                </v:textbox>
                <w10:wrap type="square" side="right" anchorx="page"/>
              </v:shape>
            </w:pict>
          </mc:Fallback>
        </mc:AlternateContent>
      </w:r>
      <w:r>
        <mc:AlternateContent>
          <mc:Choice Requires="wps">
            <w:drawing>
              <wp:anchor distT="0" distB="0" distL="1376045" distR="114935" simplePos="0" relativeHeight="125829394" behindDoc="0" locked="0" layoutInCell="1" allowOverlap="1">
                <wp:simplePos x="0" y="0"/>
                <wp:positionH relativeFrom="page">
                  <wp:posOffset>2803525</wp:posOffset>
                </wp:positionH>
                <wp:positionV relativeFrom="paragraph">
                  <wp:posOffset>27305</wp:posOffset>
                </wp:positionV>
                <wp:extent cx="1548130" cy="2441575"/>
                <wp:wrapSquare wrapText="right"/>
                <wp:docPr id="218" name="Shape 218"/>
                <a:graphic xmlns:a="http://schemas.openxmlformats.org/drawingml/2006/main">
                  <a:graphicData uri="http://schemas.microsoft.com/office/word/2010/wordprocessingShape">
                    <wps:wsp>
                      <wps:cNvSpPr txBox="1"/>
                      <wps:spPr>
                        <a:xfrm>
                          <a:ext cx="1548130" cy="2441575"/>
                        </a:xfrm>
                        <a:prstGeom prst="rect"/>
                        <a:noFill/>
                      </wps:spPr>
                      <wps:txbx>
                        <w:txbxContent>
                          <w:p>
                            <w:pPr>
                              <w:pStyle w:val="Style32"/>
                              <w:keepNext w:val="0"/>
                              <w:keepLines w:val="0"/>
                              <w:widowControl w:val="0"/>
                              <w:shd w:val="clear" w:color="auto" w:fill="auto"/>
                              <w:bidi w:val="0"/>
                              <w:spacing w:before="0" w:after="880" w:line="240" w:lineRule="auto"/>
                              <w:ind w:left="0" w:right="0" w:firstLine="0"/>
                              <w:jc w:val="left"/>
                              <w:rPr>
                                <w:sz w:val="24"/>
                                <w:szCs w:val="24"/>
                              </w:rPr>
                            </w:pPr>
                            <w:r>
                              <w:rPr>
                                <w:color w:val="000000"/>
                                <w:spacing w:val="0"/>
                                <w:w w:val="100"/>
                                <w:position w:val="0"/>
                                <w:sz w:val="24"/>
                                <w:szCs w:val="24"/>
                              </w:rPr>
                              <w:t>计税依据</w:t>
                            </w:r>
                          </w:p>
                          <w:p>
                            <w:pPr>
                              <w:pStyle w:val="Style32"/>
                              <w:keepNext w:val="0"/>
                              <w:keepLines w:val="0"/>
                              <w:widowControl w:val="0"/>
                              <w:shd w:val="clear" w:color="auto" w:fill="auto"/>
                              <w:bidi w:val="0"/>
                              <w:spacing w:before="0" w:after="1520" w:line="240" w:lineRule="auto"/>
                              <w:ind w:left="0" w:right="0" w:firstLine="0"/>
                              <w:jc w:val="left"/>
                              <w:rPr>
                                <w:sz w:val="24"/>
                                <w:szCs w:val="24"/>
                              </w:rPr>
                            </w:pPr>
                            <w:r>
                              <w:rPr>
                                <w:color w:val="000000"/>
                                <w:spacing w:val="0"/>
                                <w:w w:val="100"/>
                                <w:position w:val="0"/>
                                <w:sz w:val="24"/>
                                <w:szCs w:val="24"/>
                              </w:rPr>
                              <w:t>在香港地区产生的利得</w:t>
                            </w:r>
                          </w:p>
                          <w:p>
                            <w:pPr>
                              <w:pStyle w:val="Style32"/>
                              <w:keepNext w:val="0"/>
                              <w:keepLines w:val="0"/>
                              <w:widowControl w:val="0"/>
                              <w:shd w:val="clear" w:color="auto" w:fill="auto"/>
                              <w:bidi w:val="0"/>
                              <w:spacing w:before="0" w:after="300" w:line="240" w:lineRule="auto"/>
                              <w:ind w:left="0" w:right="0" w:firstLine="0"/>
                              <w:jc w:val="left"/>
                              <w:rPr>
                                <w:sz w:val="24"/>
                                <w:szCs w:val="24"/>
                              </w:rPr>
                            </w:pPr>
                            <w:r>
                              <w:rPr>
                                <w:color w:val="000000"/>
                                <w:spacing w:val="0"/>
                                <w:w w:val="100"/>
                                <w:position w:val="0"/>
                                <w:sz w:val="24"/>
                                <w:szCs w:val="24"/>
                              </w:rPr>
                              <w:t>在日本地区产生的利得</w:t>
                            </w:r>
                          </w:p>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在美国地区产生的利得</w:t>
                            </w:r>
                          </w:p>
                        </w:txbxContent>
                      </wps:txbx>
                      <wps:bodyPr lIns="0" tIns="0" rIns="0" bIns="0">
                        <a:noAutoFit/>
                      </wps:bodyPr>
                    </wps:wsp>
                  </a:graphicData>
                </a:graphic>
              </wp:anchor>
            </w:drawing>
          </mc:Choice>
          <mc:Fallback>
            <w:pict>
              <v:shape id="_x0000_s1244" type="#_x0000_t202" style="position:absolute;margin-left:220.75pt;margin-top:2.1499999999999999pt;width:121.90000000000001pt;height:192.25pt;z-index:-125829359;mso-wrap-distance-left:108.35000000000001pt;mso-wrap-distance-right:9.0500000000000007pt;mso-position-horizontal-relative:page" filled="f" stroked="f">
                <v:textbox inset="0,0,0,0">
                  <w:txbxContent>
                    <w:p>
                      <w:pPr>
                        <w:pStyle w:val="Style32"/>
                        <w:keepNext w:val="0"/>
                        <w:keepLines w:val="0"/>
                        <w:widowControl w:val="0"/>
                        <w:shd w:val="clear" w:color="auto" w:fill="auto"/>
                        <w:bidi w:val="0"/>
                        <w:spacing w:before="0" w:after="880" w:line="240" w:lineRule="auto"/>
                        <w:ind w:left="0" w:right="0" w:firstLine="0"/>
                        <w:jc w:val="left"/>
                        <w:rPr>
                          <w:sz w:val="24"/>
                          <w:szCs w:val="24"/>
                        </w:rPr>
                      </w:pPr>
                      <w:r>
                        <w:rPr>
                          <w:color w:val="000000"/>
                          <w:spacing w:val="0"/>
                          <w:w w:val="100"/>
                          <w:position w:val="0"/>
                          <w:sz w:val="24"/>
                          <w:szCs w:val="24"/>
                        </w:rPr>
                        <w:t>计税依据</w:t>
                      </w:r>
                    </w:p>
                    <w:p>
                      <w:pPr>
                        <w:pStyle w:val="Style32"/>
                        <w:keepNext w:val="0"/>
                        <w:keepLines w:val="0"/>
                        <w:widowControl w:val="0"/>
                        <w:shd w:val="clear" w:color="auto" w:fill="auto"/>
                        <w:bidi w:val="0"/>
                        <w:spacing w:before="0" w:after="1520" w:line="240" w:lineRule="auto"/>
                        <w:ind w:left="0" w:right="0" w:firstLine="0"/>
                        <w:jc w:val="left"/>
                        <w:rPr>
                          <w:sz w:val="24"/>
                          <w:szCs w:val="24"/>
                        </w:rPr>
                      </w:pPr>
                      <w:r>
                        <w:rPr>
                          <w:color w:val="000000"/>
                          <w:spacing w:val="0"/>
                          <w:w w:val="100"/>
                          <w:position w:val="0"/>
                          <w:sz w:val="24"/>
                          <w:szCs w:val="24"/>
                        </w:rPr>
                        <w:t>在香港地区产生的利得</w:t>
                      </w:r>
                    </w:p>
                    <w:p>
                      <w:pPr>
                        <w:pStyle w:val="Style32"/>
                        <w:keepNext w:val="0"/>
                        <w:keepLines w:val="0"/>
                        <w:widowControl w:val="0"/>
                        <w:shd w:val="clear" w:color="auto" w:fill="auto"/>
                        <w:bidi w:val="0"/>
                        <w:spacing w:before="0" w:after="300" w:line="240" w:lineRule="auto"/>
                        <w:ind w:left="0" w:right="0" w:firstLine="0"/>
                        <w:jc w:val="left"/>
                        <w:rPr>
                          <w:sz w:val="24"/>
                          <w:szCs w:val="24"/>
                        </w:rPr>
                      </w:pPr>
                      <w:r>
                        <w:rPr>
                          <w:color w:val="000000"/>
                          <w:spacing w:val="0"/>
                          <w:w w:val="100"/>
                          <w:position w:val="0"/>
                          <w:sz w:val="24"/>
                          <w:szCs w:val="24"/>
                        </w:rPr>
                        <w:t>在日本地区产生的利得</w:t>
                      </w:r>
                    </w:p>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在美国地区产生的利得</w:t>
                      </w:r>
                    </w:p>
                  </w:txbxContent>
                </v:textbox>
                <w10:wrap type="square" side="right" anchorx="page"/>
              </v:shape>
            </w:pict>
          </mc:Fallback>
        </mc:AlternateContent>
      </w:r>
    </w:p>
    <w:p>
      <w:pPr>
        <w:pStyle w:val="Style32"/>
        <w:keepNext w:val="0"/>
        <w:keepLines w:val="0"/>
        <w:widowControl w:val="0"/>
        <w:shd w:val="clear" w:color="auto" w:fill="auto"/>
        <w:bidi w:val="0"/>
        <w:spacing w:before="0" w:after="860" w:line="310" w:lineRule="exact"/>
        <w:ind w:left="260" w:right="0" w:firstLine="0"/>
        <w:jc w:val="left"/>
        <w:rPr>
          <w:sz w:val="24"/>
          <w:szCs w:val="24"/>
        </w:rPr>
      </w:pPr>
      <w:r>
        <w:rPr>
          <w:color w:val="000000"/>
          <w:spacing w:val="0"/>
          <w:w w:val="100"/>
          <w:position w:val="0"/>
          <w:sz w:val="24"/>
          <w:szCs w:val="24"/>
        </w:rPr>
        <w:t>税率</w:t>
      </w:r>
    </w:p>
    <w:p>
      <w:pPr>
        <w:pStyle w:val="Style53"/>
        <w:keepNext w:val="0"/>
        <w:keepLines w:val="0"/>
        <w:widowControl w:val="0"/>
        <w:shd w:val="clear" w:color="auto" w:fill="auto"/>
        <w:bidi w:val="0"/>
        <w:spacing w:before="0" w:after="260" w:line="269" w:lineRule="auto"/>
        <w:ind w:left="260" w:right="0" w:firstLine="0"/>
        <w:jc w:val="left"/>
        <w:rPr>
          <w:sz w:val="24"/>
          <w:szCs w:val="24"/>
        </w:rPr>
      </w:pPr>
      <w:r>
        <w:rPr>
          <w:color w:val="000000"/>
          <w:spacing w:val="0"/>
          <w:w w:val="100"/>
          <w:position w:val="0"/>
          <w:sz w:val="24"/>
          <w:szCs w:val="24"/>
        </w:rPr>
        <w:t>16.5%</w:t>
      </w:r>
    </w:p>
    <w:p>
      <w:pPr>
        <w:pStyle w:val="Style32"/>
        <w:keepNext w:val="0"/>
        <w:keepLines w:val="0"/>
        <w:widowControl w:val="0"/>
        <w:shd w:val="clear" w:color="auto" w:fill="auto"/>
        <w:bidi w:val="0"/>
        <w:spacing w:before="0" w:after="260" w:line="310" w:lineRule="exact"/>
        <w:ind w:left="260" w:right="0" w:firstLine="0"/>
        <w:jc w:val="left"/>
        <w:rPr>
          <w:sz w:val="24"/>
          <w:szCs w:val="24"/>
        </w:rPr>
      </w:pPr>
      <w:r>
        <w:rPr>
          <w:color w:val="000000"/>
          <w:spacing w:val="0"/>
          <w:w w:val="100"/>
          <w:position w:val="0"/>
          <w:sz w:val="24"/>
          <w:szCs w:val="24"/>
        </w:rPr>
        <w:t>目前未对设立于开曼的公司之 企业利润、资本利得、工资等 征税。</w:t>
      </w:r>
    </w:p>
    <w:p>
      <w:pPr>
        <w:pStyle w:val="Style53"/>
        <w:keepNext w:val="0"/>
        <w:keepLines w:val="0"/>
        <w:widowControl w:val="0"/>
        <w:shd w:val="clear" w:color="auto" w:fill="auto"/>
        <w:bidi w:val="0"/>
        <w:spacing w:before="0" w:after="260" w:line="269" w:lineRule="auto"/>
        <w:ind w:left="260" w:right="0" w:firstLine="0"/>
        <w:jc w:val="left"/>
        <w:rPr>
          <w:sz w:val="24"/>
          <w:szCs w:val="24"/>
        </w:rPr>
      </w:pPr>
      <w:r>
        <w:rPr>
          <w:color w:val="000000"/>
          <w:spacing w:val="0"/>
          <w:w w:val="100"/>
          <w:position w:val="0"/>
          <w:sz w:val="24"/>
          <w:szCs w:val="24"/>
        </w:rPr>
        <w:t>33.06%</w:t>
      </w:r>
    </w:p>
    <w:p>
      <w:pPr>
        <w:pStyle w:val="Style32"/>
        <w:keepNext w:val="0"/>
        <w:keepLines w:val="0"/>
        <w:widowControl w:val="0"/>
        <w:shd w:val="clear" w:color="auto" w:fill="auto"/>
        <w:bidi w:val="0"/>
        <w:spacing w:before="0" w:after="260" w:line="307" w:lineRule="exact"/>
        <w:ind w:left="5600" w:right="0" w:hanging="5340"/>
        <w:jc w:val="left"/>
        <w:rPr>
          <w:sz w:val="24"/>
          <w:szCs w:val="24"/>
        </w:rPr>
      </w:pPr>
      <w:r>
        <w:rPr>
          <w:color w:val="000000"/>
          <w:spacing w:val="0"/>
          <w:w w:val="100"/>
          <w:position w:val="0"/>
          <w:sz w:val="24"/>
          <w:szCs w:val="24"/>
        </w:rPr>
        <w:t>联邦税：根据计算出的应纳税 所得额对应的税率缴纳。</w:t>
      </w:r>
    </w:p>
    <w:p>
      <w:pPr>
        <w:pStyle w:val="Style53"/>
        <w:keepNext w:val="0"/>
        <w:keepLines w:val="0"/>
        <w:widowControl w:val="0"/>
        <w:shd w:val="clear" w:color="auto" w:fill="auto"/>
        <w:bidi w:val="0"/>
        <w:spacing w:before="0" w:after="260" w:line="310" w:lineRule="exact"/>
        <w:ind w:left="5600" w:right="0" w:firstLine="0"/>
        <w:jc w:val="left"/>
        <w:rPr>
          <w:sz w:val="24"/>
          <w:szCs w:val="24"/>
        </w:rPr>
        <w:sectPr>
          <w:footnotePr>
            <w:pos w:val="pageBottom"/>
            <w:numFmt w:val="decimal"/>
            <w:numRestart w:val="continuous"/>
          </w:footnotePr>
          <w:type w:val="continuous"/>
          <w:pgSz w:w="11900" w:h="16840"/>
          <w:pgMar w:top="1330" w:right="1437" w:bottom="1330" w:left="1698" w:header="0" w:footer="3" w:gutter="0"/>
          <w:cols w:space="720"/>
          <w:noEndnote/>
          <w:rtlGutter w:val="0"/>
          <w:docGrid w:linePitch="360"/>
        </w:sectPr>
      </w:pPr>
      <w:r>
        <w:rPr>
          <w:rFonts w:ascii="SimSun" w:eastAsia="SimSun" w:hAnsi="SimSun" w:cs="SimSun"/>
          <w:color w:val="000000"/>
          <w:spacing w:val="0"/>
          <w:w w:val="100"/>
          <w:position w:val="0"/>
          <w:sz w:val="24"/>
          <w:szCs w:val="24"/>
        </w:rPr>
        <w:t>加州税：</w:t>
      </w:r>
      <w:r>
        <w:rPr>
          <w:color w:val="000000"/>
          <w:spacing w:val="0"/>
          <w:w w:val="100"/>
          <w:position w:val="0"/>
          <w:sz w:val="24"/>
          <w:szCs w:val="24"/>
        </w:rPr>
        <w:t>8.84%</w:t>
      </w:r>
    </w:p>
    <w:p>
      <w:pPr>
        <w:pStyle w:val="Style32"/>
        <w:keepNext w:val="0"/>
        <w:keepLines w:val="0"/>
        <w:widowControl w:val="0"/>
        <w:shd w:val="clear" w:color="auto" w:fill="auto"/>
        <w:bidi w:val="0"/>
        <w:spacing w:before="0" w:after="0" w:line="240" w:lineRule="auto"/>
        <w:ind w:left="0" w:right="0" w:firstLine="720"/>
        <w:jc w:val="both"/>
        <w:rPr>
          <w:sz w:val="24"/>
          <w:szCs w:val="24"/>
        </w:rPr>
      </w:pPr>
      <w:r>
        <w:rPr>
          <w:b/>
          <w:bCs/>
          <w:color w:val="000000"/>
          <w:spacing w:val="0"/>
          <w:w w:val="100"/>
          <w:position w:val="0"/>
          <w:sz w:val="24"/>
          <w:szCs w:val="24"/>
        </w:rPr>
        <w:t>财务报表附注</w:t>
      </w:r>
    </w:p>
    <w:p>
      <w:pPr>
        <w:pStyle w:val="Style88"/>
        <w:keepNext/>
        <w:keepLines/>
        <w:widowControl w:val="0"/>
        <w:shd w:val="clear" w:color="auto" w:fill="auto"/>
        <w:bidi w:val="0"/>
        <w:spacing w:before="0" w:after="0" w:line="240" w:lineRule="auto"/>
        <w:ind w:left="0" w:right="0" w:firstLine="720"/>
        <w:jc w:val="both"/>
      </w:pPr>
      <w:bookmarkStart w:id="790" w:name="bookmark790"/>
      <w:bookmarkStart w:id="791" w:name="bookmark791"/>
      <w:bookmarkStart w:id="792" w:name="bookmark792"/>
      <w:r>
        <w:rPr>
          <w:color w:val="000000"/>
          <w:spacing w:val="0"/>
          <w:w w:val="100"/>
          <w:position w:val="0"/>
          <w:sz w:val="24"/>
          <w:szCs w:val="24"/>
        </w:rPr>
        <w:t>2016</w:t>
      </w:r>
      <w:r>
        <w:rPr>
          <w:rFonts w:ascii="SimSun" w:eastAsia="SimSun" w:hAnsi="SimSun" w:cs="SimSun"/>
          <w:b/>
          <w:bCs/>
          <w:color w:val="000000"/>
          <w:spacing w:val="0"/>
          <w:w w:val="100"/>
          <w:position w:val="0"/>
          <w:sz w:val="24"/>
          <w:szCs w:val="24"/>
        </w:rPr>
        <w:t>年度</w:t>
      </w:r>
      <w:bookmarkEnd w:id="790"/>
      <w:bookmarkEnd w:id="791"/>
      <w:bookmarkEnd w:id="792"/>
    </w:p>
    <w:p>
      <w:pPr>
        <w:pStyle w:val="Style32"/>
        <w:keepNext w:val="0"/>
        <w:keepLines w:val="0"/>
        <w:widowControl w:val="0"/>
        <w:shd w:val="clear" w:color="auto" w:fill="auto"/>
        <w:bidi w:val="0"/>
        <w:spacing w:before="0" w:after="260" w:line="240" w:lineRule="auto"/>
        <w:ind w:left="0" w:right="0" w:firstLine="720"/>
        <w:jc w:val="both"/>
        <w:rPr>
          <w:sz w:val="24"/>
          <w:szCs w:val="24"/>
        </w:rPr>
      </w:pPr>
      <w:r>
        <w:rPr>
          <w:rFonts w:ascii="Arial" w:eastAsia="Arial" w:hAnsi="Arial" w:cs="Arial"/>
          <w:color w:val="000000"/>
          <w:spacing w:val="0"/>
          <w:w w:val="100"/>
          <w:position w:val="0"/>
          <w:sz w:val="20"/>
          <w:szCs w:val="20"/>
        </w:rPr>
        <w:t>（</w:t>
      </w:r>
      <w:r>
        <w:rPr>
          <w:color w:val="000000"/>
          <w:spacing w:val="0"/>
          <w:w w:val="100"/>
          <w:position w:val="0"/>
          <w:sz w:val="20"/>
          <w:szCs w:val="20"/>
        </w:rPr>
        <w:t>除特别注明外，金额单位为人民币千元</w:t>
      </w:r>
      <w:r>
        <w:rPr>
          <w:color w:val="000000"/>
          <w:spacing w:val="0"/>
          <w:w w:val="100"/>
          <w:position w:val="0"/>
          <w:sz w:val="24"/>
          <w:szCs w:val="24"/>
        </w:rPr>
        <w:t>）</w:t>
      </w:r>
    </w:p>
    <w:p>
      <w:pPr>
        <w:pStyle w:val="Style32"/>
        <w:keepNext w:val="0"/>
        <w:keepLines w:val="0"/>
        <w:widowControl w:val="0"/>
        <w:shd w:val="clear" w:color="auto" w:fill="auto"/>
        <w:tabs>
          <w:tab w:pos="665" w:val="left"/>
        </w:tabs>
        <w:bidi w:val="0"/>
        <w:spacing w:before="0" w:after="260" w:line="240" w:lineRule="auto"/>
        <w:ind w:left="0" w:right="0" w:firstLine="0"/>
        <w:jc w:val="both"/>
        <w:rPr>
          <w:sz w:val="24"/>
          <w:szCs w:val="24"/>
        </w:rPr>
      </w:pPr>
      <w:r>
        <w:rPr>
          <w:b/>
          <w:bCs/>
          <w:color w:val="000000"/>
          <w:spacing w:val="0"/>
          <w:w w:val="100"/>
          <w:position w:val="0"/>
          <w:sz w:val="24"/>
          <w:szCs w:val="24"/>
        </w:rPr>
        <w:t>三</w:t>
        <w:tab/>
        <w:t>税项</w:t>
      </w:r>
      <w:r>
        <w:rPr>
          <w:rFonts w:ascii="Times New Roman" w:eastAsia="Times New Roman" w:hAnsi="Times New Roman" w:cs="Times New Roman"/>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4"/>
          <w:szCs w:val="24"/>
        </w:rPr>
        <w:t>）</w:t>
      </w:r>
    </w:p>
    <w:p>
      <w:pPr>
        <w:pStyle w:val="Style32"/>
        <w:keepNext w:val="0"/>
        <w:keepLines w:val="0"/>
        <w:widowControl w:val="0"/>
        <w:shd w:val="clear" w:color="auto" w:fill="auto"/>
        <w:tabs>
          <w:tab w:pos="665" w:val="left"/>
        </w:tabs>
        <w:bidi w:val="0"/>
        <w:spacing w:before="0" w:after="260" w:line="240" w:lineRule="auto"/>
        <w:ind w:left="0" w:right="0" w:firstLine="0"/>
        <w:jc w:val="both"/>
        <w:rPr>
          <w:sz w:val="24"/>
          <w:szCs w:val="24"/>
        </w:rPr>
      </w:pPr>
      <w:r>
        <w:rPr>
          <w:rFonts w:ascii="Times New Roman" w:eastAsia="Times New Roman" w:hAnsi="Times New Roman" w:cs="Times New Roman"/>
          <w:color w:val="000000"/>
          <w:spacing w:val="0"/>
          <w:w w:val="100"/>
          <w:position w:val="0"/>
          <w:sz w:val="24"/>
          <w:szCs w:val="24"/>
        </w:rPr>
        <w:t>（2）</w:t>
        <w:tab/>
      </w:r>
      <w:r>
        <w:rPr>
          <w:b/>
          <w:bCs/>
          <w:color w:val="000000"/>
          <w:spacing w:val="0"/>
          <w:w w:val="100"/>
          <w:position w:val="0"/>
          <w:sz w:val="24"/>
          <w:szCs w:val="24"/>
        </w:rPr>
        <w:t>税收优惠及批文</w:t>
      </w:r>
    </w:p>
    <w:p>
      <w:pPr>
        <w:pStyle w:val="Style32"/>
        <w:keepNext w:val="0"/>
        <w:keepLines w:val="0"/>
        <w:widowControl w:val="0"/>
        <w:shd w:val="clear" w:color="auto" w:fill="auto"/>
        <w:bidi w:val="0"/>
        <w:spacing w:before="0" w:after="260" w:line="312" w:lineRule="exact"/>
        <w:ind w:left="0" w:right="0" w:firstLine="720"/>
        <w:jc w:val="both"/>
        <w:rPr>
          <w:sz w:val="24"/>
          <w:szCs w:val="24"/>
        </w:rPr>
      </w:pPr>
      <w:r>
        <w:rPr>
          <w:color w:val="000000"/>
          <w:spacing w:val="0"/>
          <w:w w:val="100"/>
          <w:position w:val="0"/>
          <w:sz w:val="24"/>
          <w:szCs w:val="24"/>
        </w:rPr>
        <w:t>西部大开发税收优惠政策</w:t>
      </w:r>
    </w:p>
    <w:p>
      <w:pPr>
        <w:pStyle w:val="Style32"/>
        <w:keepNext w:val="0"/>
        <w:keepLines w:val="0"/>
        <w:widowControl w:val="0"/>
        <w:shd w:val="clear" w:color="auto" w:fill="auto"/>
        <w:bidi w:val="0"/>
        <w:spacing w:before="0" w:after="0" w:line="312" w:lineRule="exact"/>
        <w:ind w:left="720" w:right="0" w:firstLine="20"/>
        <w:jc w:val="both"/>
        <w:rPr>
          <w:sz w:val="24"/>
          <w:szCs w:val="24"/>
        </w:rPr>
      </w:pPr>
      <w:r>
        <w:rPr>
          <w:color w:val="000000"/>
          <w:spacing w:val="0"/>
          <w:w w:val="100"/>
          <w:position w:val="0"/>
          <w:sz w:val="24"/>
          <w:szCs w:val="24"/>
        </w:rPr>
        <w:t>根据《财政部、海关总署、国家税务总局关于深入实施西部大开发战略有关 税收政策问题的通知》</w:t>
      </w:r>
      <w:r>
        <w:rPr>
          <w:color w:val="000000"/>
          <w:spacing w:val="0"/>
          <w:w w:val="100"/>
          <w:position w:val="0"/>
          <w:sz w:val="24"/>
          <w:szCs w:val="24"/>
        </w:rPr>
        <w:t>（</w:t>
      </w:r>
      <w:r>
        <w:rPr>
          <w:color w:val="000000"/>
          <w:spacing w:val="0"/>
          <w:w w:val="100"/>
          <w:position w:val="0"/>
          <w:sz w:val="24"/>
          <w:szCs w:val="24"/>
        </w:rPr>
        <w:t>财税</w:t>
      </w:r>
      <w:r>
        <w:rPr>
          <w:rFonts w:ascii="Times New Roman" w:eastAsia="Times New Roman" w:hAnsi="Times New Roman" w:cs="Times New Roman"/>
          <w:color w:val="000000"/>
          <w:spacing w:val="0"/>
          <w:w w:val="100"/>
          <w:position w:val="0"/>
          <w:sz w:val="24"/>
          <w:szCs w:val="24"/>
        </w:rPr>
        <w:t>[2011]58</w:t>
      </w:r>
      <w:r>
        <w:rPr>
          <w:color w:val="000000"/>
          <w:spacing w:val="0"/>
          <w:w w:val="100"/>
          <w:position w:val="0"/>
          <w:sz w:val="24"/>
          <w:szCs w:val="24"/>
        </w:rPr>
        <w:t>号</w:t>
      </w:r>
      <w:r>
        <w:rPr>
          <w:rFonts w:ascii="Times New Roman" w:eastAsia="Times New Roman" w:hAnsi="Times New Roman" w:cs="Times New Roman"/>
          <w:color w:val="000000"/>
          <w:spacing w:val="0"/>
          <w:w w:val="100"/>
          <w:position w:val="0"/>
          <w:sz w:val="24"/>
          <w:szCs w:val="24"/>
        </w:rPr>
        <w:t>）（“58</w:t>
      </w:r>
      <w:r>
        <w:rPr>
          <w:color w:val="000000"/>
          <w:spacing w:val="0"/>
          <w:w w:val="100"/>
          <w:position w:val="0"/>
          <w:sz w:val="24"/>
          <w:szCs w:val="24"/>
        </w:rPr>
        <w:t>号文</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，自</w:t>
      </w:r>
      <w:r>
        <w:rPr>
          <w:rFonts w:ascii="Times New Roman" w:eastAsia="Times New Roman" w:hAnsi="Times New Roman" w:cs="Times New Roman"/>
          <w:color w:val="000000"/>
          <w:spacing w:val="0"/>
          <w:w w:val="100"/>
          <w:position w:val="0"/>
          <w:sz w:val="24"/>
          <w:szCs w:val="24"/>
        </w:rPr>
        <w:t>2011</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日至</w:t>
      </w:r>
      <w:r>
        <w:rPr>
          <w:rFonts w:ascii="Times New Roman" w:eastAsia="Times New Roman" w:hAnsi="Times New Roman" w:cs="Times New Roman"/>
          <w:color w:val="000000"/>
          <w:spacing w:val="0"/>
          <w:w w:val="100"/>
          <w:position w:val="0"/>
          <w:sz w:val="24"/>
          <w:szCs w:val="24"/>
        </w:rPr>
        <w:t xml:space="preserve">2020 </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日，对设在西部地区的鼓励类产业企业减按</w:t>
      </w:r>
      <w:r>
        <w:rPr>
          <w:rFonts w:ascii="Times New Roman" w:eastAsia="Times New Roman" w:hAnsi="Times New Roman" w:cs="Times New Roman"/>
          <w:color w:val="000000"/>
          <w:spacing w:val="0"/>
          <w:w w:val="100"/>
          <w:position w:val="0"/>
          <w:sz w:val="24"/>
          <w:szCs w:val="24"/>
        </w:rPr>
        <w:t>15%</w:t>
      </w:r>
      <w:r>
        <w:rPr>
          <w:color w:val="000000"/>
          <w:spacing w:val="0"/>
          <w:w w:val="100"/>
          <w:position w:val="0"/>
          <w:sz w:val="24"/>
          <w:szCs w:val="24"/>
        </w:rPr>
        <w:t>的税率征收企业所 得税。上述鼓励类产业企业是指以《西部地区鼓励类产业目录》中规定的产 业项目为主营业务，且其主营业务收入占企业收入总额</w:t>
      </w:r>
      <w:r>
        <w:rPr>
          <w:rFonts w:ascii="Times New Roman" w:eastAsia="Times New Roman" w:hAnsi="Times New Roman" w:cs="Times New Roman"/>
          <w:color w:val="000000"/>
          <w:spacing w:val="0"/>
          <w:w w:val="100"/>
          <w:position w:val="0"/>
          <w:sz w:val="24"/>
          <w:szCs w:val="24"/>
        </w:rPr>
        <w:t>70%</w:t>
      </w:r>
      <w:r>
        <w:rPr>
          <w:color w:val="000000"/>
          <w:spacing w:val="0"/>
          <w:w w:val="100"/>
          <w:position w:val="0"/>
          <w:sz w:val="24"/>
          <w:szCs w:val="24"/>
        </w:rPr>
        <w:t>以上的企业。</w:t>
      </w:r>
    </w:p>
    <w:p>
      <w:pPr>
        <w:pStyle w:val="Style32"/>
        <w:keepNext w:val="0"/>
        <w:keepLines w:val="0"/>
        <w:widowControl w:val="0"/>
        <w:shd w:val="clear" w:color="auto" w:fill="auto"/>
        <w:bidi w:val="0"/>
        <w:spacing w:before="0" w:after="260" w:line="312" w:lineRule="exact"/>
        <w:ind w:left="720" w:right="0" w:firstLine="20"/>
        <w:jc w:val="both"/>
        <w:rPr>
          <w:sz w:val="24"/>
          <w:szCs w:val="24"/>
        </w:rPr>
      </w:pPr>
      <w:r>
        <w:rPr>
          <w:color w:val="000000"/>
          <w:spacing w:val="0"/>
          <w:w w:val="100"/>
          <w:position w:val="0"/>
          <w:sz w:val="24"/>
          <w:szCs w:val="24"/>
        </w:rPr>
        <w:t>《西部地区鼓励类产业目录》</w:t>
      </w:r>
      <w:r>
        <w:rPr>
          <w:color w:val="000000"/>
          <w:spacing w:val="0"/>
          <w:w w:val="100"/>
          <w:position w:val="0"/>
          <w:sz w:val="24"/>
          <w:szCs w:val="24"/>
        </w:rPr>
        <w:t>（</w:t>
      </w:r>
      <w:r>
        <w:rPr>
          <w:color w:val="000000"/>
          <w:spacing w:val="0"/>
          <w:w w:val="100"/>
          <w:position w:val="0"/>
          <w:sz w:val="24"/>
          <w:szCs w:val="24"/>
        </w:rPr>
        <w:t>国家发展和改革委员会令</w:t>
      </w:r>
      <w:r>
        <w:rPr>
          <w:rFonts w:ascii="Times New Roman" w:eastAsia="Times New Roman" w:hAnsi="Times New Roman" w:cs="Times New Roman"/>
          <w:color w:val="000000"/>
          <w:spacing w:val="0"/>
          <w:w w:val="100"/>
          <w:position w:val="0"/>
          <w:sz w:val="24"/>
          <w:szCs w:val="24"/>
        </w:rPr>
        <w:t>[2014]15</w:t>
      </w:r>
      <w:r>
        <w:rPr>
          <w:color w:val="000000"/>
          <w:spacing w:val="0"/>
          <w:w w:val="100"/>
          <w:position w:val="0"/>
          <w:sz w:val="24"/>
          <w:szCs w:val="24"/>
        </w:rPr>
        <w:t>号</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 xml:space="preserve">已经于 </w:t>
      </w:r>
      <w:r>
        <w:rPr>
          <w:rFonts w:ascii="Times New Roman" w:eastAsia="Times New Roman" w:hAnsi="Times New Roman" w:cs="Times New Roman"/>
          <w:color w:val="000000"/>
          <w:spacing w:val="0"/>
          <w:w w:val="100"/>
          <w:position w:val="0"/>
          <w:sz w:val="24"/>
          <w:szCs w:val="24"/>
        </w:rPr>
        <w:t>2014</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日起正式施行：《西部地区鼓励类产业目录》包括了国家现有 产业目录中的鼓励类产业，以及西部地区新增鼓励类产业。《西部地区鼓励 类产业目录》公布之后，原优惠企业可继续享受西部大开发优惠政策。同时 优惠企业需每年向当地主管税务局进行备案，本集团子公司已向主管税务局 进行相应备案。</w:t>
      </w:r>
    </w:p>
    <w:p>
      <w:pPr>
        <w:pStyle w:val="Style32"/>
        <w:keepNext w:val="0"/>
        <w:keepLines w:val="0"/>
        <w:widowControl w:val="0"/>
        <w:shd w:val="clear" w:color="auto" w:fill="auto"/>
        <w:bidi w:val="0"/>
        <w:spacing w:before="0" w:after="260" w:line="326" w:lineRule="exact"/>
        <w:ind w:left="720" w:right="0" w:firstLine="20"/>
        <w:jc w:val="both"/>
        <w:rPr>
          <w:sz w:val="24"/>
          <w:szCs w:val="24"/>
        </w:rPr>
      </w:pPr>
      <w:r>
        <w:rPr>
          <w:color w:val="000000"/>
          <w:spacing w:val="0"/>
          <w:w w:val="100"/>
          <w:position w:val="0"/>
          <w:sz w:val="24"/>
          <w:szCs w:val="24"/>
        </w:rPr>
        <w:t>本集团子公司原已取得的批复仍然有效，已获取主管税务机关确认税收政策 如下：</w:t>
      </w:r>
    </w:p>
    <w:p>
      <w:pPr>
        <w:pStyle w:val="Style32"/>
        <w:keepNext w:val="0"/>
        <w:keepLines w:val="0"/>
        <w:widowControl w:val="0"/>
        <w:shd w:val="clear" w:color="auto" w:fill="auto"/>
        <w:bidi w:val="0"/>
        <w:spacing w:before="0" w:after="260" w:line="317" w:lineRule="exact"/>
        <w:ind w:left="720" w:right="0" w:firstLine="20"/>
        <w:jc w:val="both"/>
        <w:rPr>
          <w:sz w:val="24"/>
          <w:szCs w:val="24"/>
        </w:rPr>
      </w:pPr>
      <w:r>
        <w:rPr>
          <w:rFonts w:ascii="Times New Roman" w:eastAsia="Times New Roman" w:hAnsi="Times New Roman" w:cs="Times New Roman"/>
          <w:color w:val="000000"/>
          <w:spacing w:val="0"/>
          <w:w w:val="100"/>
          <w:position w:val="0"/>
          <w:sz w:val="24"/>
          <w:szCs w:val="24"/>
        </w:rPr>
        <w:t>2014</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14</w:t>
      </w:r>
      <w:r>
        <w:rPr>
          <w:color w:val="000000"/>
          <w:spacing w:val="0"/>
          <w:w w:val="100"/>
          <w:position w:val="0"/>
          <w:sz w:val="24"/>
          <w:szCs w:val="24"/>
        </w:rPr>
        <w:t>日，咸阳苏宁云商销售有限公司经咸阳市秦都区国家税务局批 准，同意该公司</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sz w:val="24"/>
          <w:szCs w:val="24"/>
        </w:rPr>
        <w:t>年度享受西部大开发税收优惠政策。</w:t>
      </w:r>
    </w:p>
    <w:p>
      <w:pPr>
        <w:pStyle w:val="Style32"/>
        <w:keepNext w:val="0"/>
        <w:keepLines w:val="0"/>
        <w:widowControl w:val="0"/>
        <w:shd w:val="clear" w:color="auto" w:fill="auto"/>
        <w:bidi w:val="0"/>
        <w:spacing w:before="0" w:after="260" w:line="314" w:lineRule="exact"/>
        <w:ind w:left="720" w:right="0" w:firstLine="20"/>
        <w:jc w:val="both"/>
        <w:rPr>
          <w:sz w:val="24"/>
          <w:szCs w:val="24"/>
        </w:rPr>
        <w:sectPr>
          <w:footnotePr>
            <w:pos w:val="pageBottom"/>
            <w:numFmt w:val="decimal"/>
            <w:numRestart w:val="continuous"/>
          </w:footnotePr>
          <w:pgSz w:w="11900" w:h="16840"/>
          <w:pgMar w:top="1354" w:right="1436" w:bottom="1354" w:left="1699"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24"/>
          <w:szCs w:val="24"/>
        </w:rPr>
        <w:t>2012</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日，重庆苏宁云商销售有限公司经重庆市渝中区国家税务局渝 中国税减</w:t>
      </w:r>
      <w:r>
        <w:rPr>
          <w:rFonts w:ascii="Times New Roman" w:eastAsia="Times New Roman" w:hAnsi="Times New Roman" w:cs="Times New Roman"/>
          <w:color w:val="000000"/>
          <w:spacing w:val="0"/>
          <w:w w:val="100"/>
          <w:position w:val="0"/>
          <w:sz w:val="24"/>
          <w:szCs w:val="24"/>
        </w:rPr>
        <w:t>[2012]147</w:t>
      </w:r>
      <w:r>
        <w:rPr>
          <w:color w:val="000000"/>
          <w:spacing w:val="0"/>
          <w:w w:val="100"/>
          <w:position w:val="0"/>
          <w:sz w:val="24"/>
          <w:szCs w:val="24"/>
        </w:rPr>
        <w:t>号批准，</w:t>
      </w:r>
      <w:r>
        <w:rPr>
          <w:rFonts w:ascii="Times New Roman" w:eastAsia="Times New Roman" w:hAnsi="Times New Roman" w:cs="Times New Roman"/>
          <w:color w:val="000000"/>
          <w:spacing w:val="0"/>
          <w:w w:val="100"/>
          <w:position w:val="0"/>
          <w:sz w:val="24"/>
          <w:szCs w:val="24"/>
        </w:rPr>
        <w:t>2011</w:t>
      </w:r>
      <w:r>
        <w:rPr>
          <w:color w:val="000000"/>
          <w:spacing w:val="0"/>
          <w:w w:val="100"/>
          <w:position w:val="0"/>
          <w:sz w:val="24"/>
          <w:szCs w:val="24"/>
        </w:rPr>
        <w:t>年至</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年享受西部大开发税收优惠政策 减按</w:t>
      </w:r>
      <w:r>
        <w:rPr>
          <w:rFonts w:ascii="Times New Roman" w:eastAsia="Times New Roman" w:hAnsi="Times New Roman" w:cs="Times New Roman"/>
          <w:color w:val="000000"/>
          <w:spacing w:val="0"/>
          <w:w w:val="100"/>
          <w:position w:val="0"/>
          <w:sz w:val="24"/>
          <w:szCs w:val="24"/>
        </w:rPr>
        <w:t>15%</w:t>
      </w:r>
      <w:r>
        <w:rPr>
          <w:color w:val="000000"/>
          <w:spacing w:val="0"/>
          <w:w w:val="100"/>
          <w:position w:val="0"/>
          <w:sz w:val="24"/>
          <w:szCs w:val="24"/>
        </w:rPr>
        <w:t>缴纳企业所得税。</w:t>
      </w:r>
    </w:p>
    <w:p>
      <w:pPr>
        <w:pStyle w:val="Style32"/>
        <w:keepNext w:val="0"/>
        <w:keepLines w:val="0"/>
        <w:widowControl w:val="0"/>
        <w:shd w:val="clear" w:color="auto" w:fill="auto"/>
        <w:bidi w:val="0"/>
        <w:spacing w:before="0" w:after="0" w:line="240" w:lineRule="auto"/>
        <w:ind w:left="0" w:right="0" w:firstLine="720"/>
        <w:jc w:val="left"/>
        <w:rPr>
          <w:sz w:val="24"/>
          <w:szCs w:val="24"/>
        </w:rPr>
      </w:pPr>
      <w:r>
        <w:rPr>
          <w:b/>
          <w:bCs/>
          <w:color w:val="000000"/>
          <w:spacing w:val="0"/>
          <w:w w:val="100"/>
          <w:position w:val="0"/>
          <w:sz w:val="24"/>
          <w:szCs w:val="24"/>
        </w:rPr>
        <w:t>财务报表附注</w:t>
      </w:r>
    </w:p>
    <w:p>
      <w:pPr>
        <w:pStyle w:val="Style88"/>
        <w:keepNext/>
        <w:keepLines/>
        <w:widowControl w:val="0"/>
        <w:shd w:val="clear" w:color="auto" w:fill="auto"/>
        <w:bidi w:val="0"/>
        <w:spacing w:before="0" w:after="0" w:line="240" w:lineRule="auto"/>
        <w:ind w:left="0" w:right="0" w:firstLine="720"/>
        <w:jc w:val="left"/>
      </w:pPr>
      <w:bookmarkStart w:id="793" w:name="bookmark793"/>
      <w:bookmarkStart w:id="794" w:name="bookmark794"/>
      <w:bookmarkStart w:id="795" w:name="bookmark795"/>
      <w:r>
        <w:rPr>
          <w:color w:val="000000"/>
          <w:spacing w:val="0"/>
          <w:w w:val="100"/>
          <w:position w:val="0"/>
          <w:sz w:val="24"/>
          <w:szCs w:val="24"/>
        </w:rPr>
        <w:t>2016</w:t>
      </w:r>
      <w:r>
        <w:rPr>
          <w:rFonts w:ascii="SimSun" w:eastAsia="SimSun" w:hAnsi="SimSun" w:cs="SimSun"/>
          <w:b/>
          <w:bCs/>
          <w:color w:val="000000"/>
          <w:spacing w:val="0"/>
          <w:w w:val="100"/>
          <w:position w:val="0"/>
          <w:sz w:val="24"/>
          <w:szCs w:val="24"/>
        </w:rPr>
        <w:t>年度</w:t>
      </w:r>
      <w:bookmarkEnd w:id="793"/>
      <w:bookmarkEnd w:id="794"/>
      <w:bookmarkEnd w:id="795"/>
    </w:p>
    <w:p>
      <w:pPr>
        <w:pStyle w:val="Style32"/>
        <w:keepNext w:val="0"/>
        <w:keepLines w:val="0"/>
        <w:widowControl w:val="0"/>
        <w:shd w:val="clear" w:color="auto" w:fill="auto"/>
        <w:bidi w:val="0"/>
        <w:spacing w:before="0" w:after="260" w:line="240" w:lineRule="auto"/>
        <w:ind w:left="0" w:right="0" w:firstLine="720"/>
        <w:jc w:val="left"/>
        <w:rPr>
          <w:sz w:val="24"/>
          <w:szCs w:val="24"/>
        </w:rPr>
      </w:pPr>
      <w:r>
        <w:rPr>
          <w:rFonts w:ascii="Arial" w:eastAsia="Arial" w:hAnsi="Arial" w:cs="Arial"/>
          <w:color w:val="000000"/>
          <w:spacing w:val="0"/>
          <w:w w:val="100"/>
          <w:position w:val="0"/>
          <w:sz w:val="20"/>
          <w:szCs w:val="20"/>
        </w:rPr>
        <w:t>（</w:t>
      </w:r>
      <w:r>
        <w:rPr>
          <w:color w:val="000000"/>
          <w:spacing w:val="0"/>
          <w:w w:val="100"/>
          <w:position w:val="0"/>
          <w:sz w:val="20"/>
          <w:szCs w:val="20"/>
        </w:rPr>
        <w:t>除特别注明外，金额单位为人民币千元</w:t>
      </w:r>
      <w:r>
        <w:rPr>
          <w:color w:val="000000"/>
          <w:spacing w:val="0"/>
          <w:w w:val="100"/>
          <w:position w:val="0"/>
          <w:sz w:val="24"/>
          <w:szCs w:val="24"/>
        </w:rPr>
        <w:t>）</w:t>
      </w:r>
    </w:p>
    <w:p>
      <w:pPr>
        <w:pStyle w:val="Style32"/>
        <w:keepNext w:val="0"/>
        <w:keepLines w:val="0"/>
        <w:widowControl w:val="0"/>
        <w:shd w:val="clear" w:color="auto" w:fill="auto"/>
        <w:tabs>
          <w:tab w:pos="650" w:val="left"/>
        </w:tabs>
        <w:bidi w:val="0"/>
        <w:spacing w:before="0" w:after="260" w:line="240" w:lineRule="auto"/>
        <w:ind w:left="0" w:right="0" w:firstLine="0"/>
        <w:jc w:val="left"/>
        <w:rPr>
          <w:sz w:val="24"/>
          <w:szCs w:val="24"/>
        </w:rPr>
      </w:pPr>
      <w:r>
        <w:rPr>
          <w:b/>
          <w:bCs/>
          <w:color w:val="000000"/>
          <w:spacing w:val="0"/>
          <w:w w:val="100"/>
          <w:position w:val="0"/>
          <w:sz w:val="24"/>
          <w:szCs w:val="24"/>
        </w:rPr>
        <w:t>三</w:t>
        <w:tab/>
        <w:t>税项</w:t>
      </w:r>
      <w:r>
        <w:rPr>
          <w:rFonts w:ascii="Times New Roman" w:eastAsia="Times New Roman" w:hAnsi="Times New Roman" w:cs="Times New Roman"/>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4"/>
          <w:szCs w:val="24"/>
        </w:rPr>
        <w:t>）</w:t>
      </w:r>
    </w:p>
    <w:p>
      <w:pPr>
        <w:pStyle w:val="Style32"/>
        <w:keepNext w:val="0"/>
        <w:keepLines w:val="0"/>
        <w:widowControl w:val="0"/>
        <w:shd w:val="clear" w:color="auto" w:fill="auto"/>
        <w:tabs>
          <w:tab w:pos="650" w:val="left"/>
        </w:tabs>
        <w:bidi w:val="0"/>
        <w:spacing w:before="0" w:after="26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（2）</w:t>
        <w:tab/>
      </w:r>
      <w:r>
        <w:rPr>
          <w:b/>
          <w:bCs/>
          <w:color w:val="000000"/>
          <w:spacing w:val="0"/>
          <w:w w:val="100"/>
          <w:position w:val="0"/>
          <w:sz w:val="24"/>
          <w:szCs w:val="24"/>
        </w:rPr>
        <w:t>税收优惠及批文</w:t>
      </w:r>
      <w:r>
        <w:rPr>
          <w:rFonts w:ascii="Times New Roman" w:eastAsia="Times New Roman" w:hAnsi="Times New Roman" w:cs="Times New Roman"/>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4"/>
          <w:szCs w:val="24"/>
        </w:rPr>
        <w:t>）</w:t>
      </w:r>
    </w:p>
    <w:p>
      <w:pPr>
        <w:pStyle w:val="Style32"/>
        <w:keepNext w:val="0"/>
        <w:keepLines w:val="0"/>
        <w:widowControl w:val="0"/>
        <w:shd w:val="clear" w:color="auto" w:fill="auto"/>
        <w:bidi w:val="0"/>
        <w:spacing w:before="0" w:after="260" w:line="317" w:lineRule="exact"/>
        <w:ind w:left="0" w:right="0" w:firstLine="720"/>
        <w:jc w:val="left"/>
        <w:rPr>
          <w:sz w:val="24"/>
          <w:szCs w:val="24"/>
        </w:rPr>
      </w:pPr>
      <w:r>
        <w:rPr>
          <w:color w:val="000000"/>
          <w:spacing w:val="0"/>
          <w:w w:val="100"/>
          <w:position w:val="0"/>
          <w:sz w:val="24"/>
          <w:szCs w:val="24"/>
        </w:rPr>
        <w:t>西部大开发税收优惠政策</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续</w:t>
      </w:r>
      <w:r>
        <w:rPr>
          <w:color w:val="000000"/>
          <w:spacing w:val="0"/>
          <w:w w:val="100"/>
          <w:position w:val="0"/>
          <w:sz w:val="24"/>
          <w:szCs w:val="24"/>
        </w:rPr>
        <w:t>）</w:t>
      </w:r>
    </w:p>
    <w:p>
      <w:pPr>
        <w:pStyle w:val="Style32"/>
        <w:keepNext w:val="0"/>
        <w:keepLines w:val="0"/>
        <w:widowControl w:val="0"/>
        <w:shd w:val="clear" w:color="auto" w:fill="auto"/>
        <w:bidi w:val="0"/>
        <w:spacing w:before="0" w:after="260" w:line="312" w:lineRule="exact"/>
        <w:ind w:left="720" w:right="0" w:firstLine="20"/>
        <w:jc w:val="both"/>
        <w:rPr>
          <w:sz w:val="24"/>
          <w:szCs w:val="24"/>
        </w:rPr>
      </w:pPr>
      <w:r>
        <w:rPr>
          <w:rFonts w:ascii="Times New Roman" w:eastAsia="Times New Roman" w:hAnsi="Times New Roman" w:cs="Times New Roman"/>
          <w:color w:val="000000"/>
          <w:spacing w:val="0"/>
          <w:w w:val="100"/>
          <w:position w:val="0"/>
          <w:sz w:val="24"/>
          <w:szCs w:val="24"/>
        </w:rPr>
        <w:t>2013</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15</w:t>
      </w:r>
      <w:r>
        <w:rPr>
          <w:color w:val="000000"/>
          <w:spacing w:val="0"/>
          <w:w w:val="100"/>
          <w:position w:val="0"/>
          <w:sz w:val="24"/>
          <w:szCs w:val="24"/>
        </w:rPr>
        <w:t>日，湘西自治州苏宁云商销售有限公司经吉首市国家税务局 吉国税减免字</w:t>
      </w:r>
      <w:r>
        <w:rPr>
          <w:rFonts w:ascii="Times New Roman" w:eastAsia="Times New Roman" w:hAnsi="Times New Roman" w:cs="Times New Roman"/>
          <w:color w:val="000000"/>
          <w:spacing w:val="0"/>
          <w:w w:val="100"/>
          <w:position w:val="0"/>
          <w:sz w:val="24"/>
          <w:szCs w:val="24"/>
        </w:rPr>
        <w:t>[2013]43</w:t>
      </w:r>
      <w:r>
        <w:rPr>
          <w:color w:val="000000"/>
          <w:spacing w:val="0"/>
          <w:w w:val="100"/>
          <w:position w:val="0"/>
          <w:sz w:val="24"/>
          <w:szCs w:val="24"/>
        </w:rPr>
        <w:t>号批准，</w:t>
      </w:r>
      <w:r>
        <w:rPr>
          <w:rFonts w:ascii="Times New Roman" w:eastAsia="Times New Roman" w:hAnsi="Times New Roman" w:cs="Times New Roman"/>
          <w:color w:val="000000"/>
          <w:spacing w:val="0"/>
          <w:w w:val="100"/>
          <w:position w:val="0"/>
          <w:sz w:val="24"/>
          <w:szCs w:val="24"/>
        </w:rPr>
        <w:t>2011</w:t>
      </w:r>
      <w:r>
        <w:rPr>
          <w:color w:val="000000"/>
          <w:spacing w:val="0"/>
          <w:w w:val="100"/>
          <w:position w:val="0"/>
          <w:sz w:val="24"/>
          <w:szCs w:val="24"/>
        </w:rPr>
        <w:t>年至</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年享受西部大开发税收优惠 政策减按</w:t>
      </w:r>
      <w:r>
        <w:rPr>
          <w:rFonts w:ascii="Times New Roman" w:eastAsia="Times New Roman" w:hAnsi="Times New Roman" w:cs="Times New Roman"/>
          <w:color w:val="000000"/>
          <w:spacing w:val="0"/>
          <w:w w:val="100"/>
          <w:position w:val="0"/>
          <w:sz w:val="24"/>
          <w:szCs w:val="24"/>
        </w:rPr>
        <w:t>15%</w:t>
      </w:r>
      <w:r>
        <w:rPr>
          <w:color w:val="000000"/>
          <w:spacing w:val="0"/>
          <w:w w:val="100"/>
          <w:position w:val="0"/>
          <w:sz w:val="24"/>
          <w:szCs w:val="24"/>
        </w:rPr>
        <w:t>缴纳企业所得税。</w:t>
      </w:r>
    </w:p>
    <w:p>
      <w:pPr>
        <w:pStyle w:val="Style32"/>
        <w:keepNext w:val="0"/>
        <w:keepLines w:val="0"/>
        <w:widowControl w:val="0"/>
        <w:shd w:val="clear" w:color="auto" w:fill="auto"/>
        <w:bidi w:val="0"/>
        <w:spacing w:before="0" w:after="260" w:line="322" w:lineRule="exact"/>
        <w:ind w:left="720" w:right="0" w:firstLine="20"/>
        <w:jc w:val="both"/>
        <w:rPr>
          <w:sz w:val="24"/>
          <w:szCs w:val="24"/>
        </w:rPr>
      </w:pPr>
      <w:r>
        <w:rPr>
          <w:rFonts w:ascii="Times New Roman" w:eastAsia="Times New Roman" w:hAnsi="Times New Roman" w:cs="Times New Roman"/>
          <w:color w:val="000000"/>
          <w:spacing w:val="0"/>
          <w:w w:val="100"/>
          <w:position w:val="0"/>
          <w:sz w:val="24"/>
          <w:szCs w:val="24"/>
        </w:rPr>
        <w:t>2013</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24</w:t>
      </w:r>
      <w:r>
        <w:rPr>
          <w:color w:val="000000"/>
          <w:spacing w:val="0"/>
          <w:w w:val="100"/>
          <w:position w:val="0"/>
          <w:sz w:val="24"/>
          <w:szCs w:val="24"/>
        </w:rPr>
        <w:t>日，重庆苏宁云商采购有限公司经重庆市北部新区国家税务 局审批，</w:t>
      </w:r>
      <w:r>
        <w:rPr>
          <w:rFonts w:ascii="Times New Roman" w:eastAsia="Times New Roman" w:hAnsi="Times New Roman" w:cs="Times New Roman"/>
          <w:color w:val="000000"/>
          <w:spacing w:val="0"/>
          <w:w w:val="100"/>
          <w:position w:val="0"/>
          <w:sz w:val="24"/>
          <w:szCs w:val="24"/>
        </w:rPr>
        <w:t>2011</w:t>
      </w:r>
      <w:r>
        <w:rPr>
          <w:color w:val="000000"/>
          <w:spacing w:val="0"/>
          <w:w w:val="100"/>
          <w:position w:val="0"/>
          <w:sz w:val="24"/>
          <w:szCs w:val="24"/>
        </w:rPr>
        <w:t>年至</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年享受西部大开发税收优惠政策减按</w:t>
      </w:r>
      <w:r>
        <w:rPr>
          <w:rFonts w:ascii="Times New Roman" w:eastAsia="Times New Roman" w:hAnsi="Times New Roman" w:cs="Times New Roman"/>
          <w:color w:val="000000"/>
          <w:spacing w:val="0"/>
          <w:w w:val="100"/>
          <w:position w:val="0"/>
          <w:sz w:val="24"/>
          <w:szCs w:val="24"/>
        </w:rPr>
        <w:t>15%</w:t>
      </w:r>
      <w:r>
        <w:rPr>
          <w:color w:val="000000"/>
          <w:spacing w:val="0"/>
          <w:w w:val="100"/>
          <w:position w:val="0"/>
          <w:sz w:val="24"/>
          <w:szCs w:val="24"/>
        </w:rPr>
        <w:t>缴纳企业 所得税。</w:t>
      </w:r>
    </w:p>
    <w:p>
      <w:pPr>
        <w:pStyle w:val="Style32"/>
        <w:keepNext w:val="0"/>
        <w:keepLines w:val="0"/>
        <w:widowControl w:val="0"/>
        <w:shd w:val="clear" w:color="auto" w:fill="auto"/>
        <w:bidi w:val="0"/>
        <w:spacing w:before="0" w:after="260" w:line="317" w:lineRule="exact"/>
        <w:ind w:left="720" w:right="0" w:firstLine="20"/>
        <w:jc w:val="both"/>
        <w:rPr>
          <w:sz w:val="24"/>
          <w:szCs w:val="24"/>
        </w:rPr>
      </w:pPr>
      <w:r>
        <w:rPr>
          <w:rFonts w:ascii="Times New Roman" w:eastAsia="Times New Roman" w:hAnsi="Times New Roman" w:cs="Times New Roman"/>
          <w:color w:val="000000"/>
          <w:spacing w:val="0"/>
          <w:w w:val="100"/>
          <w:position w:val="0"/>
          <w:sz w:val="24"/>
          <w:szCs w:val="24"/>
        </w:rPr>
        <w:t>2014</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19</w:t>
      </w:r>
      <w:r>
        <w:rPr>
          <w:color w:val="000000"/>
          <w:spacing w:val="0"/>
          <w:w w:val="100"/>
          <w:position w:val="0"/>
          <w:sz w:val="24"/>
          <w:szCs w:val="24"/>
        </w:rPr>
        <w:t>日，玉林苏宁云商销售有限公司经玉林市玉州区国家税务局 玉区国税确字</w:t>
      </w:r>
      <w:r>
        <w:rPr>
          <w:rFonts w:ascii="Times New Roman" w:eastAsia="Times New Roman" w:hAnsi="Times New Roman" w:cs="Times New Roman"/>
          <w:color w:val="000000"/>
          <w:spacing w:val="0"/>
          <w:w w:val="100"/>
          <w:position w:val="0"/>
          <w:sz w:val="24"/>
          <w:szCs w:val="24"/>
        </w:rPr>
        <w:t>[2014]21</w:t>
      </w:r>
      <w:r>
        <w:rPr>
          <w:color w:val="000000"/>
          <w:spacing w:val="0"/>
          <w:w w:val="100"/>
          <w:position w:val="0"/>
          <w:sz w:val="24"/>
          <w:szCs w:val="24"/>
        </w:rPr>
        <w:t>号批准，自</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月起执行所得税优惠政策。</w:t>
      </w:r>
    </w:p>
    <w:p>
      <w:pPr>
        <w:pStyle w:val="Style32"/>
        <w:keepNext w:val="0"/>
        <w:keepLines w:val="0"/>
        <w:widowControl w:val="0"/>
        <w:shd w:val="clear" w:color="auto" w:fill="auto"/>
        <w:bidi w:val="0"/>
        <w:spacing w:before="0" w:after="260" w:line="317" w:lineRule="exact"/>
        <w:ind w:left="720" w:right="0" w:firstLine="20"/>
        <w:jc w:val="both"/>
        <w:rPr>
          <w:sz w:val="24"/>
          <w:szCs w:val="24"/>
        </w:rPr>
      </w:pPr>
      <w:r>
        <w:rPr>
          <w:rFonts w:ascii="Times New Roman" w:eastAsia="Times New Roman" w:hAnsi="Times New Roman" w:cs="Times New Roman"/>
          <w:color w:val="000000"/>
          <w:spacing w:val="0"/>
          <w:w w:val="100"/>
          <w:position w:val="0"/>
          <w:sz w:val="24"/>
          <w:szCs w:val="24"/>
        </w:rPr>
        <w:t>2014</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日，梧州苏宁云商销售有限公司经梧州市长洲区国家税务局 长国税确认</w:t>
      </w:r>
      <w:r>
        <w:rPr>
          <w:rFonts w:ascii="Times New Roman" w:eastAsia="Times New Roman" w:hAnsi="Times New Roman" w:cs="Times New Roman"/>
          <w:color w:val="000000"/>
          <w:spacing w:val="0"/>
          <w:w w:val="100"/>
          <w:position w:val="0"/>
          <w:sz w:val="24"/>
          <w:szCs w:val="24"/>
        </w:rPr>
        <w:t>[2014]9</w:t>
      </w:r>
      <w:r>
        <w:rPr>
          <w:color w:val="000000"/>
          <w:spacing w:val="0"/>
          <w:w w:val="100"/>
          <w:position w:val="0"/>
          <w:sz w:val="24"/>
          <w:szCs w:val="24"/>
        </w:rPr>
        <w:t>号批准，同意该公司</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sz w:val="24"/>
          <w:szCs w:val="24"/>
        </w:rPr>
        <w:t>年度享受西部大开发税收优 惠。</w:t>
      </w:r>
    </w:p>
    <w:p>
      <w:pPr>
        <w:pStyle w:val="Style32"/>
        <w:keepNext w:val="0"/>
        <w:keepLines w:val="0"/>
        <w:widowControl w:val="0"/>
        <w:shd w:val="clear" w:color="auto" w:fill="auto"/>
        <w:bidi w:val="0"/>
        <w:spacing w:before="0" w:after="260" w:line="312" w:lineRule="exact"/>
        <w:ind w:left="720" w:right="0" w:firstLine="20"/>
        <w:jc w:val="both"/>
        <w:rPr>
          <w:sz w:val="24"/>
          <w:szCs w:val="24"/>
        </w:rPr>
      </w:pPr>
      <w:r>
        <w:rPr>
          <w:rFonts w:ascii="Times New Roman" w:eastAsia="Times New Roman" w:hAnsi="Times New Roman" w:cs="Times New Roman"/>
          <w:color w:val="000000"/>
          <w:spacing w:val="0"/>
          <w:w w:val="100"/>
          <w:position w:val="0"/>
          <w:sz w:val="24"/>
          <w:szCs w:val="24"/>
        </w:rPr>
        <w:t>2014</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30</w:t>
      </w:r>
      <w:r>
        <w:rPr>
          <w:color w:val="000000"/>
          <w:spacing w:val="0"/>
          <w:w w:val="100"/>
          <w:position w:val="0"/>
          <w:sz w:val="24"/>
          <w:szCs w:val="24"/>
        </w:rPr>
        <w:t>日，宝鸡苏宁云商商贸有限公司经渭滨区国家税务局渭国税 字</w:t>
      </w:r>
      <w:r>
        <w:rPr>
          <w:rFonts w:ascii="Times New Roman" w:eastAsia="Times New Roman" w:hAnsi="Times New Roman" w:cs="Times New Roman"/>
          <w:color w:val="000000"/>
          <w:spacing w:val="0"/>
          <w:w w:val="100"/>
          <w:position w:val="0"/>
          <w:sz w:val="24"/>
          <w:szCs w:val="24"/>
        </w:rPr>
        <w:t>[2014]1410</w:t>
      </w:r>
      <w:r>
        <w:rPr>
          <w:color w:val="000000"/>
          <w:spacing w:val="0"/>
          <w:w w:val="100"/>
          <w:position w:val="0"/>
          <w:sz w:val="24"/>
          <w:szCs w:val="24"/>
        </w:rPr>
        <w:t>号批准，同意该公司</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sz w:val="24"/>
          <w:szCs w:val="24"/>
        </w:rPr>
        <w:t>年度享受西部大开发税收优惠。</w:t>
      </w:r>
    </w:p>
    <w:p>
      <w:pPr>
        <w:pStyle w:val="Style32"/>
        <w:keepNext w:val="0"/>
        <w:keepLines w:val="0"/>
        <w:widowControl w:val="0"/>
        <w:shd w:val="clear" w:color="auto" w:fill="auto"/>
        <w:bidi w:val="0"/>
        <w:spacing w:before="0" w:after="260" w:line="312" w:lineRule="exact"/>
        <w:ind w:left="720" w:right="0" w:firstLine="20"/>
        <w:jc w:val="both"/>
        <w:rPr>
          <w:sz w:val="24"/>
          <w:szCs w:val="24"/>
        </w:rPr>
      </w:pPr>
      <w:r>
        <w:rPr>
          <w:rFonts w:ascii="Times New Roman" w:eastAsia="Times New Roman" w:hAnsi="Times New Roman" w:cs="Times New Roman"/>
          <w:color w:val="000000"/>
          <w:spacing w:val="0"/>
          <w:w w:val="100"/>
          <w:position w:val="0"/>
          <w:sz w:val="24"/>
          <w:szCs w:val="24"/>
        </w:rPr>
        <w:t>2014</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21</w:t>
      </w:r>
      <w:r>
        <w:rPr>
          <w:color w:val="000000"/>
          <w:spacing w:val="0"/>
          <w:w w:val="100"/>
          <w:position w:val="0"/>
          <w:sz w:val="24"/>
          <w:szCs w:val="24"/>
        </w:rPr>
        <w:t>日，渭南苏宁云商销售有限公司经渭南市临渭区国家税务局 渭临国税优备通字</w:t>
      </w:r>
      <w:r>
        <w:rPr>
          <w:rFonts w:ascii="Times New Roman" w:eastAsia="Times New Roman" w:hAnsi="Times New Roman" w:cs="Times New Roman"/>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2014]3</w:t>
      </w:r>
      <w:r>
        <w:rPr>
          <w:color w:val="000000"/>
          <w:spacing w:val="0"/>
          <w:w w:val="100"/>
          <w:position w:val="0"/>
          <w:sz w:val="24"/>
          <w:szCs w:val="24"/>
        </w:rPr>
        <w:t>号确认，自</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sz w:val="24"/>
          <w:szCs w:val="24"/>
        </w:rPr>
        <w:t>年度起享受所得税优惠政策。</w:t>
      </w:r>
    </w:p>
    <w:p>
      <w:pPr>
        <w:pStyle w:val="Style32"/>
        <w:keepNext w:val="0"/>
        <w:keepLines w:val="0"/>
        <w:widowControl w:val="0"/>
        <w:shd w:val="clear" w:color="auto" w:fill="auto"/>
        <w:bidi w:val="0"/>
        <w:spacing w:before="0" w:after="260" w:line="322" w:lineRule="exact"/>
        <w:ind w:left="720" w:right="0" w:firstLine="20"/>
        <w:jc w:val="both"/>
        <w:rPr>
          <w:sz w:val="24"/>
          <w:szCs w:val="24"/>
        </w:rPr>
      </w:pPr>
      <w:r>
        <w:rPr>
          <w:rFonts w:ascii="Times New Roman" w:eastAsia="Times New Roman" w:hAnsi="Times New Roman" w:cs="Times New Roman"/>
          <w:color w:val="000000"/>
          <w:spacing w:val="0"/>
          <w:w w:val="100"/>
          <w:position w:val="0"/>
          <w:sz w:val="24"/>
          <w:szCs w:val="24"/>
        </w:rPr>
        <w:t>2013</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8</w:t>
      </w:r>
      <w:r>
        <w:rPr>
          <w:color w:val="000000"/>
          <w:spacing w:val="0"/>
          <w:w w:val="100"/>
          <w:position w:val="0"/>
          <w:sz w:val="24"/>
          <w:szCs w:val="24"/>
        </w:rPr>
        <w:t>日，德阳苏宁云商销售有限公司经四川省德阳经济技术开发区 国家税务局审批同意，该公司在</w:t>
      </w:r>
      <w:r>
        <w:rPr>
          <w:rFonts w:ascii="Times New Roman" w:eastAsia="Times New Roman" w:hAnsi="Times New Roman" w:cs="Times New Roman"/>
          <w:color w:val="000000"/>
          <w:spacing w:val="0"/>
          <w:w w:val="100"/>
          <w:position w:val="0"/>
          <w:sz w:val="24"/>
          <w:szCs w:val="24"/>
        </w:rPr>
        <w:t>2012</w:t>
      </w:r>
      <w:r>
        <w:rPr>
          <w:color w:val="000000"/>
          <w:spacing w:val="0"/>
          <w:w w:val="100"/>
          <w:position w:val="0"/>
          <w:sz w:val="24"/>
          <w:szCs w:val="24"/>
        </w:rPr>
        <w:t>年度享受西部大开发税收优惠。</w:t>
      </w:r>
    </w:p>
    <w:p>
      <w:pPr>
        <w:pStyle w:val="Style32"/>
        <w:keepNext w:val="0"/>
        <w:keepLines w:val="0"/>
        <w:widowControl w:val="0"/>
        <w:shd w:val="clear" w:color="auto" w:fill="auto"/>
        <w:bidi w:val="0"/>
        <w:spacing w:before="0" w:after="260" w:line="322" w:lineRule="exact"/>
        <w:ind w:left="720" w:right="0" w:firstLine="20"/>
        <w:jc w:val="both"/>
        <w:rPr>
          <w:sz w:val="24"/>
          <w:szCs w:val="24"/>
        </w:rPr>
      </w:pPr>
      <w:r>
        <w:rPr>
          <w:rFonts w:ascii="Times New Roman" w:eastAsia="Times New Roman" w:hAnsi="Times New Roman" w:cs="Times New Roman"/>
          <w:color w:val="000000"/>
          <w:spacing w:val="0"/>
          <w:w w:val="100"/>
          <w:position w:val="0"/>
          <w:sz w:val="24"/>
          <w:szCs w:val="24"/>
        </w:rPr>
        <w:t>2013</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14</w:t>
      </w:r>
      <w:r>
        <w:rPr>
          <w:color w:val="000000"/>
          <w:spacing w:val="0"/>
          <w:w w:val="100"/>
          <w:position w:val="0"/>
          <w:sz w:val="24"/>
          <w:szCs w:val="24"/>
        </w:rPr>
        <w:t>日，眉山苏宁云商销售有限公司经四川省眉山市东坡区国家 税务局审批同意，该公司在</w:t>
      </w:r>
      <w:r>
        <w:rPr>
          <w:rFonts w:ascii="Times New Roman" w:eastAsia="Times New Roman" w:hAnsi="Times New Roman" w:cs="Times New Roman"/>
          <w:color w:val="000000"/>
          <w:spacing w:val="0"/>
          <w:w w:val="100"/>
          <w:position w:val="0"/>
          <w:sz w:val="24"/>
          <w:szCs w:val="24"/>
        </w:rPr>
        <w:t>2012</w:t>
      </w:r>
      <w:r>
        <w:rPr>
          <w:color w:val="000000"/>
          <w:spacing w:val="0"/>
          <w:w w:val="100"/>
          <w:position w:val="0"/>
          <w:sz w:val="24"/>
          <w:szCs w:val="24"/>
        </w:rPr>
        <w:t>年度享受西部大开发税收优惠。</w:t>
      </w:r>
    </w:p>
    <w:p>
      <w:pPr>
        <w:pStyle w:val="Style32"/>
        <w:keepNext w:val="0"/>
        <w:keepLines w:val="0"/>
        <w:widowControl w:val="0"/>
        <w:shd w:val="clear" w:color="auto" w:fill="auto"/>
        <w:bidi w:val="0"/>
        <w:spacing w:before="0" w:after="0" w:line="314" w:lineRule="exact"/>
        <w:ind w:left="720" w:right="0" w:firstLine="20"/>
        <w:jc w:val="both"/>
        <w:rPr>
          <w:sz w:val="24"/>
          <w:szCs w:val="24"/>
        </w:rPr>
      </w:pPr>
      <w:r>
        <w:rPr>
          <w:rFonts w:ascii="Times New Roman" w:eastAsia="Times New Roman" w:hAnsi="Times New Roman" w:cs="Times New Roman"/>
          <w:color w:val="000000"/>
          <w:spacing w:val="0"/>
          <w:w w:val="100"/>
          <w:position w:val="0"/>
          <w:sz w:val="24"/>
          <w:szCs w:val="24"/>
        </w:rPr>
        <w:t>2013</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14</w:t>
      </w:r>
      <w:r>
        <w:rPr>
          <w:color w:val="000000"/>
          <w:spacing w:val="0"/>
          <w:w w:val="100"/>
          <w:position w:val="0"/>
          <w:sz w:val="24"/>
          <w:szCs w:val="24"/>
        </w:rPr>
        <w:t>日，桂林苏宁云商销售有限公司经桂林市象山区国家税务局 象国税审字</w:t>
      </w:r>
      <w:r>
        <w:rPr>
          <w:rFonts w:ascii="Times New Roman" w:eastAsia="Times New Roman" w:hAnsi="Times New Roman" w:cs="Times New Roman"/>
          <w:color w:val="000000"/>
          <w:spacing w:val="0"/>
          <w:w w:val="100"/>
          <w:position w:val="0"/>
          <w:sz w:val="24"/>
          <w:szCs w:val="24"/>
        </w:rPr>
        <w:t>[2013]1</w:t>
      </w:r>
      <w:r>
        <w:rPr>
          <w:color w:val="000000"/>
          <w:spacing w:val="0"/>
          <w:w w:val="100"/>
          <w:position w:val="0"/>
          <w:sz w:val="24"/>
          <w:szCs w:val="24"/>
        </w:rPr>
        <w:t>号批准，</w:t>
      </w:r>
      <w:r>
        <w:rPr>
          <w:rFonts w:ascii="Times New Roman" w:eastAsia="Times New Roman" w:hAnsi="Times New Roman" w:cs="Times New Roman"/>
          <w:color w:val="000000"/>
          <w:spacing w:val="0"/>
          <w:w w:val="100"/>
          <w:position w:val="0"/>
          <w:sz w:val="24"/>
          <w:szCs w:val="24"/>
        </w:rPr>
        <w:t>2012</w:t>
      </w:r>
      <w:r>
        <w:rPr>
          <w:color w:val="000000"/>
          <w:spacing w:val="0"/>
          <w:w w:val="100"/>
          <w:position w:val="0"/>
          <w:sz w:val="24"/>
          <w:szCs w:val="24"/>
        </w:rPr>
        <w:t>年度该公司暂按照</w:t>
      </w:r>
      <w:r>
        <w:rPr>
          <w:rFonts w:ascii="Times New Roman" w:eastAsia="Times New Roman" w:hAnsi="Times New Roman" w:cs="Times New Roman"/>
          <w:color w:val="000000"/>
          <w:spacing w:val="0"/>
          <w:w w:val="100"/>
          <w:position w:val="0"/>
          <w:sz w:val="24"/>
          <w:szCs w:val="24"/>
        </w:rPr>
        <w:t>15%</w:t>
      </w:r>
      <w:r>
        <w:rPr>
          <w:color w:val="000000"/>
          <w:spacing w:val="0"/>
          <w:w w:val="100"/>
          <w:position w:val="0"/>
          <w:sz w:val="24"/>
          <w:szCs w:val="24"/>
        </w:rPr>
        <w:t>缴纳企业所得税，</w:t>
      </w:r>
    </w:p>
    <w:p>
      <w:pPr>
        <w:pStyle w:val="Style32"/>
        <w:keepNext w:val="0"/>
        <w:keepLines w:val="0"/>
        <w:widowControl w:val="0"/>
        <w:shd w:val="clear" w:color="auto" w:fill="auto"/>
        <w:bidi w:val="0"/>
        <w:spacing w:before="0" w:after="260" w:line="314" w:lineRule="exact"/>
        <w:ind w:left="720" w:right="0" w:firstLine="20"/>
        <w:jc w:val="both"/>
        <w:rPr>
          <w:sz w:val="24"/>
          <w:szCs w:val="24"/>
        </w:rPr>
      </w:pPr>
      <w:r>
        <w:rPr>
          <w:color w:val="000000"/>
          <w:spacing w:val="0"/>
          <w:w w:val="100"/>
          <w:position w:val="0"/>
          <w:sz w:val="24"/>
          <w:szCs w:val="24"/>
        </w:rPr>
        <w:t>《西部地区鼓励类产业目录》公布后，若不符合条件则按规定使用税率重新 计算申报。</w:t>
      </w:r>
    </w:p>
    <w:p>
      <w:pPr>
        <w:pStyle w:val="Style32"/>
        <w:keepNext w:val="0"/>
        <w:keepLines w:val="0"/>
        <w:widowControl w:val="0"/>
        <w:shd w:val="clear" w:color="auto" w:fill="auto"/>
        <w:bidi w:val="0"/>
        <w:spacing w:before="0" w:after="260" w:line="318" w:lineRule="exact"/>
        <w:ind w:left="720" w:right="0" w:firstLine="20"/>
        <w:jc w:val="both"/>
        <w:rPr>
          <w:sz w:val="24"/>
          <w:szCs w:val="24"/>
        </w:rPr>
      </w:pPr>
      <w:r>
        <w:rPr>
          <w:rFonts w:ascii="Times New Roman" w:eastAsia="Times New Roman" w:hAnsi="Times New Roman" w:cs="Times New Roman"/>
          <w:color w:val="000000"/>
          <w:spacing w:val="0"/>
          <w:w w:val="100"/>
          <w:position w:val="0"/>
          <w:sz w:val="24"/>
          <w:szCs w:val="24"/>
        </w:rPr>
        <w:t>2012</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日，柳州苏宁云商商贸有限公司经北海市海城区国家税务局 柳市城中国税审字</w:t>
      </w:r>
      <w:r>
        <w:rPr>
          <w:rFonts w:ascii="Times New Roman" w:eastAsia="Times New Roman" w:hAnsi="Times New Roman" w:cs="Times New Roman"/>
          <w:color w:val="000000"/>
          <w:spacing w:val="0"/>
          <w:w w:val="100"/>
          <w:position w:val="0"/>
          <w:sz w:val="24"/>
          <w:szCs w:val="24"/>
        </w:rPr>
        <w:t>[2012]2</w:t>
      </w:r>
      <w:r>
        <w:rPr>
          <w:color w:val="000000"/>
          <w:spacing w:val="0"/>
          <w:w w:val="100"/>
          <w:position w:val="0"/>
          <w:sz w:val="24"/>
          <w:szCs w:val="24"/>
        </w:rPr>
        <w:t>号批准，</w:t>
      </w:r>
      <w:r>
        <w:rPr>
          <w:rFonts w:ascii="Times New Roman" w:eastAsia="Times New Roman" w:hAnsi="Times New Roman" w:cs="Times New Roman"/>
          <w:color w:val="000000"/>
          <w:spacing w:val="0"/>
          <w:w w:val="100"/>
          <w:position w:val="0"/>
          <w:sz w:val="24"/>
          <w:szCs w:val="24"/>
        </w:rPr>
        <w:t>2011</w:t>
      </w:r>
      <w:r>
        <w:rPr>
          <w:color w:val="000000"/>
          <w:spacing w:val="0"/>
          <w:w w:val="100"/>
          <w:position w:val="0"/>
          <w:sz w:val="24"/>
          <w:szCs w:val="24"/>
        </w:rPr>
        <w:t>年度该公司暂按照</w:t>
      </w:r>
      <w:r>
        <w:rPr>
          <w:rFonts w:ascii="Times New Roman" w:eastAsia="Times New Roman" w:hAnsi="Times New Roman" w:cs="Times New Roman"/>
          <w:color w:val="000000"/>
          <w:spacing w:val="0"/>
          <w:w w:val="100"/>
          <w:position w:val="0"/>
          <w:sz w:val="24"/>
          <w:szCs w:val="24"/>
        </w:rPr>
        <w:t>15%</w:t>
      </w:r>
      <w:r>
        <w:rPr>
          <w:color w:val="000000"/>
          <w:spacing w:val="0"/>
          <w:w w:val="100"/>
          <w:position w:val="0"/>
          <w:sz w:val="24"/>
          <w:szCs w:val="24"/>
        </w:rPr>
        <w:t>缴纳企业所 得税，《西部地区鼓励类产业目录》公布后，若不符合条件则按规定使用税 率重新计算申报。</w:t>
      </w:r>
    </w:p>
    <w:p>
      <w:pPr>
        <w:pStyle w:val="Style32"/>
        <w:keepNext w:val="0"/>
        <w:keepLines w:val="0"/>
        <w:widowControl w:val="0"/>
        <w:shd w:val="clear" w:color="auto" w:fill="auto"/>
        <w:bidi w:val="0"/>
        <w:spacing w:before="0" w:after="0" w:line="240" w:lineRule="auto"/>
        <w:ind w:left="0" w:right="0" w:firstLine="720"/>
        <w:jc w:val="left"/>
        <w:rPr>
          <w:sz w:val="24"/>
          <w:szCs w:val="24"/>
        </w:rPr>
      </w:pPr>
      <w:r>
        <w:rPr>
          <w:b/>
          <w:bCs/>
          <w:color w:val="000000"/>
          <w:spacing w:val="0"/>
          <w:w w:val="100"/>
          <w:position w:val="0"/>
          <w:sz w:val="24"/>
          <w:szCs w:val="24"/>
        </w:rPr>
        <w:t>财务报表附注</w:t>
      </w:r>
    </w:p>
    <w:p>
      <w:pPr>
        <w:pStyle w:val="Style88"/>
        <w:keepNext/>
        <w:keepLines/>
        <w:widowControl w:val="0"/>
        <w:shd w:val="clear" w:color="auto" w:fill="auto"/>
        <w:bidi w:val="0"/>
        <w:spacing w:before="0" w:after="0" w:line="240" w:lineRule="auto"/>
        <w:ind w:left="0" w:right="0" w:firstLine="720"/>
        <w:jc w:val="left"/>
      </w:pPr>
      <w:bookmarkStart w:id="796" w:name="bookmark796"/>
      <w:bookmarkStart w:id="797" w:name="bookmark797"/>
      <w:bookmarkStart w:id="798" w:name="bookmark798"/>
      <w:r>
        <w:rPr>
          <w:color w:val="000000"/>
          <w:spacing w:val="0"/>
          <w:w w:val="100"/>
          <w:position w:val="0"/>
          <w:sz w:val="24"/>
          <w:szCs w:val="24"/>
        </w:rPr>
        <w:t>2016</w:t>
      </w:r>
      <w:r>
        <w:rPr>
          <w:rFonts w:ascii="SimSun" w:eastAsia="SimSun" w:hAnsi="SimSun" w:cs="SimSun"/>
          <w:b/>
          <w:bCs/>
          <w:color w:val="000000"/>
          <w:spacing w:val="0"/>
          <w:w w:val="100"/>
          <w:position w:val="0"/>
          <w:sz w:val="24"/>
          <w:szCs w:val="24"/>
        </w:rPr>
        <w:t>年度</w:t>
      </w:r>
      <w:bookmarkEnd w:id="796"/>
      <w:bookmarkEnd w:id="797"/>
      <w:bookmarkEnd w:id="798"/>
    </w:p>
    <w:p>
      <w:pPr>
        <w:pStyle w:val="Style32"/>
        <w:keepNext w:val="0"/>
        <w:keepLines w:val="0"/>
        <w:widowControl w:val="0"/>
        <w:shd w:val="clear" w:color="auto" w:fill="auto"/>
        <w:bidi w:val="0"/>
        <w:spacing w:before="0" w:after="240" w:line="240" w:lineRule="auto"/>
        <w:ind w:left="0" w:right="0" w:firstLine="720"/>
        <w:jc w:val="left"/>
        <w:rPr>
          <w:sz w:val="24"/>
          <w:szCs w:val="24"/>
        </w:rPr>
      </w:pPr>
      <w:r>
        <w:rPr>
          <w:rFonts w:ascii="Arial" w:eastAsia="Arial" w:hAnsi="Arial" w:cs="Arial"/>
          <w:color w:val="000000"/>
          <w:spacing w:val="0"/>
          <w:w w:val="100"/>
          <w:position w:val="0"/>
          <w:sz w:val="20"/>
          <w:szCs w:val="20"/>
        </w:rPr>
        <w:t>（</w:t>
      </w:r>
      <w:r>
        <w:rPr>
          <w:color w:val="000000"/>
          <w:spacing w:val="0"/>
          <w:w w:val="100"/>
          <w:position w:val="0"/>
          <w:sz w:val="20"/>
          <w:szCs w:val="20"/>
        </w:rPr>
        <w:t>除特别注明外，金额单位为人民币千元</w:t>
      </w:r>
      <w:r>
        <w:rPr>
          <w:color w:val="000000"/>
          <w:spacing w:val="0"/>
          <w:w w:val="100"/>
          <w:position w:val="0"/>
          <w:sz w:val="24"/>
          <w:szCs w:val="24"/>
        </w:rPr>
        <w:t>）</w:t>
      </w:r>
    </w:p>
    <w:p>
      <w:pPr>
        <w:pStyle w:val="Style32"/>
        <w:keepNext w:val="0"/>
        <w:keepLines w:val="0"/>
        <w:widowControl w:val="0"/>
        <w:shd w:val="clear" w:color="auto" w:fill="auto"/>
        <w:tabs>
          <w:tab w:pos="646" w:val="left"/>
        </w:tabs>
        <w:bidi w:val="0"/>
        <w:spacing w:before="0" w:after="240" w:line="240" w:lineRule="auto"/>
        <w:ind w:left="0" w:right="0" w:firstLine="0"/>
        <w:jc w:val="left"/>
        <w:rPr>
          <w:sz w:val="24"/>
          <w:szCs w:val="24"/>
        </w:rPr>
      </w:pPr>
      <w:r>
        <w:rPr>
          <w:b/>
          <w:bCs/>
          <w:color w:val="000000"/>
          <w:spacing w:val="0"/>
          <w:w w:val="100"/>
          <w:position w:val="0"/>
          <w:sz w:val="24"/>
          <w:szCs w:val="24"/>
        </w:rPr>
        <w:t>三</w:t>
        <w:tab/>
        <w:t>税项</w:t>
      </w:r>
      <w:r>
        <w:rPr>
          <w:rFonts w:ascii="Times New Roman" w:eastAsia="Times New Roman" w:hAnsi="Times New Roman" w:cs="Times New Roman"/>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4"/>
          <w:szCs w:val="24"/>
        </w:rPr>
        <w:t>）</w:t>
      </w:r>
    </w:p>
    <w:p>
      <w:pPr>
        <w:pStyle w:val="Style32"/>
        <w:keepNext w:val="0"/>
        <w:keepLines w:val="0"/>
        <w:widowControl w:val="0"/>
        <w:shd w:val="clear" w:color="auto" w:fill="auto"/>
        <w:tabs>
          <w:tab w:pos="646" w:val="left"/>
        </w:tabs>
        <w:bidi w:val="0"/>
        <w:spacing w:before="0" w:after="24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（2）</w:t>
        <w:tab/>
      </w:r>
      <w:r>
        <w:rPr>
          <w:b/>
          <w:bCs/>
          <w:color w:val="000000"/>
          <w:spacing w:val="0"/>
          <w:w w:val="100"/>
          <w:position w:val="0"/>
          <w:sz w:val="24"/>
          <w:szCs w:val="24"/>
        </w:rPr>
        <w:t>税收优惠及批文</w:t>
      </w:r>
      <w:r>
        <w:rPr>
          <w:rFonts w:ascii="Times New Roman" w:eastAsia="Times New Roman" w:hAnsi="Times New Roman" w:cs="Times New Roman"/>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4"/>
          <w:szCs w:val="24"/>
        </w:rPr>
        <w:t>）</w:t>
      </w:r>
    </w:p>
    <w:p>
      <w:pPr>
        <w:pStyle w:val="Style32"/>
        <w:keepNext w:val="0"/>
        <w:keepLines w:val="0"/>
        <w:widowControl w:val="0"/>
        <w:shd w:val="clear" w:color="auto" w:fill="auto"/>
        <w:bidi w:val="0"/>
        <w:spacing w:before="0" w:after="240" w:line="322" w:lineRule="exact"/>
        <w:ind w:left="0" w:right="0" w:firstLine="720"/>
        <w:jc w:val="left"/>
        <w:rPr>
          <w:sz w:val="24"/>
          <w:szCs w:val="24"/>
        </w:rPr>
      </w:pPr>
      <w:r>
        <w:rPr>
          <w:color w:val="000000"/>
          <w:spacing w:val="0"/>
          <w:w w:val="100"/>
          <w:position w:val="0"/>
          <w:sz w:val="24"/>
          <w:szCs w:val="24"/>
        </w:rPr>
        <w:t>西部大开发税收优惠政策</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续</w:t>
      </w:r>
      <w:r>
        <w:rPr>
          <w:color w:val="000000"/>
          <w:spacing w:val="0"/>
          <w:w w:val="100"/>
          <w:position w:val="0"/>
          <w:sz w:val="24"/>
          <w:szCs w:val="24"/>
        </w:rPr>
        <w:t>）</w:t>
      </w:r>
    </w:p>
    <w:p>
      <w:pPr>
        <w:pStyle w:val="Style32"/>
        <w:keepNext w:val="0"/>
        <w:keepLines w:val="0"/>
        <w:widowControl w:val="0"/>
        <w:shd w:val="clear" w:color="auto" w:fill="auto"/>
        <w:bidi w:val="0"/>
        <w:spacing w:before="0" w:after="240" w:line="317" w:lineRule="exact"/>
        <w:ind w:left="720" w:right="0" w:firstLine="20"/>
        <w:jc w:val="both"/>
        <w:rPr>
          <w:sz w:val="24"/>
          <w:szCs w:val="24"/>
        </w:rPr>
      </w:pPr>
      <w:r>
        <w:rPr>
          <w:rFonts w:ascii="Times New Roman" w:eastAsia="Times New Roman" w:hAnsi="Times New Roman" w:cs="Times New Roman"/>
          <w:color w:val="000000"/>
          <w:spacing w:val="0"/>
          <w:w w:val="100"/>
          <w:position w:val="0"/>
          <w:sz w:val="24"/>
          <w:szCs w:val="24"/>
        </w:rPr>
        <w:t>2013</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29</w:t>
      </w:r>
      <w:r>
        <w:rPr>
          <w:color w:val="000000"/>
          <w:spacing w:val="0"/>
          <w:w w:val="100"/>
          <w:position w:val="0"/>
          <w:sz w:val="24"/>
          <w:szCs w:val="24"/>
        </w:rPr>
        <w:t>日，贵港苏宁云商销售有限公司经贵港市港北区国家税务局港 北国税审字</w:t>
      </w:r>
      <w:r>
        <w:rPr>
          <w:rFonts w:ascii="Times New Roman" w:eastAsia="Times New Roman" w:hAnsi="Times New Roman" w:cs="Times New Roman"/>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2013］3</w:t>
      </w:r>
      <w:r>
        <w:rPr>
          <w:color w:val="000000"/>
          <w:spacing w:val="0"/>
          <w:w w:val="100"/>
          <w:position w:val="0"/>
          <w:sz w:val="24"/>
          <w:szCs w:val="24"/>
        </w:rPr>
        <w:t>号批准，</w:t>
      </w:r>
      <w:r>
        <w:rPr>
          <w:rFonts w:ascii="Times New Roman" w:eastAsia="Times New Roman" w:hAnsi="Times New Roman" w:cs="Times New Roman"/>
          <w:color w:val="000000"/>
          <w:spacing w:val="0"/>
          <w:w w:val="100"/>
          <w:position w:val="0"/>
          <w:sz w:val="24"/>
          <w:szCs w:val="24"/>
        </w:rPr>
        <w:t>2012</w:t>
      </w:r>
      <w:r>
        <w:rPr>
          <w:color w:val="000000"/>
          <w:spacing w:val="0"/>
          <w:w w:val="100"/>
          <w:position w:val="0"/>
          <w:sz w:val="24"/>
          <w:szCs w:val="24"/>
        </w:rPr>
        <w:t>年度该公司暂按照</w:t>
      </w:r>
      <w:r>
        <w:rPr>
          <w:rFonts w:ascii="Times New Roman" w:eastAsia="Times New Roman" w:hAnsi="Times New Roman" w:cs="Times New Roman"/>
          <w:color w:val="000000"/>
          <w:spacing w:val="0"/>
          <w:w w:val="100"/>
          <w:position w:val="0"/>
          <w:sz w:val="24"/>
          <w:szCs w:val="24"/>
        </w:rPr>
        <w:t>15%</w:t>
      </w:r>
      <w:r>
        <w:rPr>
          <w:color w:val="000000"/>
          <w:spacing w:val="0"/>
          <w:w w:val="100"/>
          <w:position w:val="0"/>
          <w:sz w:val="24"/>
          <w:szCs w:val="24"/>
        </w:rPr>
        <w:t>缴纳企业所得税。同 时，</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30</w:t>
      </w:r>
      <w:r>
        <w:rPr>
          <w:color w:val="000000"/>
          <w:spacing w:val="0"/>
          <w:w w:val="100"/>
          <w:position w:val="0"/>
          <w:sz w:val="24"/>
          <w:szCs w:val="24"/>
        </w:rPr>
        <w:t>日，经贵港市改革和发展委员会贵发改经贸函</w:t>
      </w:r>
      <w:r>
        <w:rPr>
          <w:rFonts w:ascii="Times New Roman" w:eastAsia="Times New Roman" w:hAnsi="Times New Roman" w:cs="Times New Roman"/>
          <w:color w:val="000000"/>
          <w:spacing w:val="0"/>
          <w:w w:val="100"/>
          <w:position w:val="0"/>
          <w:sz w:val="24"/>
          <w:szCs w:val="24"/>
        </w:rPr>
        <w:t>［2015］61</w:t>
      </w:r>
      <w:r>
        <w:rPr>
          <w:color w:val="000000"/>
          <w:spacing w:val="0"/>
          <w:w w:val="100"/>
          <w:position w:val="0"/>
          <w:sz w:val="24"/>
          <w:szCs w:val="24"/>
        </w:rPr>
        <w:t>号 文确认贵港苏宁云商销售有限公司属于国家鼓励类产业项目。</w:t>
      </w:r>
    </w:p>
    <w:p>
      <w:pPr>
        <w:pStyle w:val="Style32"/>
        <w:keepNext w:val="0"/>
        <w:keepLines w:val="0"/>
        <w:widowControl w:val="0"/>
        <w:shd w:val="clear" w:color="auto" w:fill="auto"/>
        <w:bidi w:val="0"/>
        <w:spacing w:before="0" w:after="240" w:line="319" w:lineRule="exact"/>
        <w:ind w:left="720" w:right="0" w:firstLine="20"/>
        <w:jc w:val="both"/>
        <w:rPr>
          <w:sz w:val="24"/>
          <w:szCs w:val="24"/>
        </w:rPr>
      </w:pPr>
      <w:r>
        <w:rPr>
          <w:rFonts w:ascii="Times New Roman" w:eastAsia="Times New Roman" w:hAnsi="Times New Roman" w:cs="Times New Roman"/>
          <w:color w:val="000000"/>
          <w:spacing w:val="0"/>
          <w:w w:val="100"/>
          <w:position w:val="0"/>
          <w:sz w:val="24"/>
          <w:szCs w:val="24"/>
        </w:rPr>
        <w:t>2013</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4"/>
          <w:szCs w:val="24"/>
        </w:rPr>
        <w:t>日，攀枝花苏宁云商销售有限公司取得攀枝花市东区国家税务局 税务事项受理通知书攀东国税通</w:t>
      </w:r>
      <w:r>
        <w:rPr>
          <w:rFonts w:ascii="Times New Roman" w:eastAsia="Times New Roman" w:hAnsi="Times New Roman" w:cs="Times New Roman"/>
          <w:color w:val="000000"/>
          <w:spacing w:val="0"/>
          <w:w w:val="100"/>
          <w:position w:val="0"/>
          <w:sz w:val="24"/>
          <w:szCs w:val="24"/>
        </w:rPr>
        <w:t>［2013］04</w:t>
      </w:r>
      <w:r>
        <w:rPr>
          <w:color w:val="000000"/>
          <w:spacing w:val="0"/>
          <w:w w:val="100"/>
          <w:position w:val="0"/>
          <w:sz w:val="24"/>
          <w:szCs w:val="24"/>
        </w:rPr>
        <w:t>号，准予受理申请西部大开发税收 优惠事项。</w:t>
      </w:r>
    </w:p>
    <w:p>
      <w:pPr>
        <w:pStyle w:val="Style32"/>
        <w:keepNext w:val="0"/>
        <w:keepLines w:val="0"/>
        <w:widowControl w:val="0"/>
        <w:shd w:val="clear" w:color="auto" w:fill="auto"/>
        <w:bidi w:val="0"/>
        <w:spacing w:before="0" w:after="240" w:line="320" w:lineRule="exact"/>
        <w:ind w:left="720" w:right="0" w:firstLine="20"/>
        <w:jc w:val="both"/>
        <w:rPr>
          <w:sz w:val="24"/>
          <w:szCs w:val="24"/>
        </w:rPr>
      </w:pPr>
      <w:r>
        <w:rPr>
          <w:rFonts w:ascii="Times New Roman" w:eastAsia="Times New Roman" w:hAnsi="Times New Roman" w:cs="Times New Roman"/>
          <w:color w:val="000000"/>
          <w:spacing w:val="0"/>
          <w:w w:val="100"/>
          <w:position w:val="0"/>
          <w:sz w:val="24"/>
          <w:szCs w:val="24"/>
        </w:rPr>
        <w:t>2013</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16</w:t>
      </w:r>
      <w:r>
        <w:rPr>
          <w:color w:val="000000"/>
          <w:spacing w:val="0"/>
          <w:w w:val="100"/>
          <w:position w:val="0"/>
          <w:sz w:val="24"/>
          <w:szCs w:val="24"/>
        </w:rPr>
        <w:t>日，广西苏宁云商销售有限公司经南宁市西乡塘区国家税务局 南西国税审字</w:t>
      </w:r>
      <w:r>
        <w:rPr>
          <w:rFonts w:ascii="Times New Roman" w:eastAsia="Times New Roman" w:hAnsi="Times New Roman" w:cs="Times New Roman"/>
          <w:color w:val="000000"/>
          <w:spacing w:val="0"/>
          <w:w w:val="100"/>
          <w:position w:val="0"/>
          <w:sz w:val="24"/>
          <w:szCs w:val="24"/>
        </w:rPr>
        <w:t>［2013］62</w:t>
      </w:r>
      <w:r>
        <w:rPr>
          <w:color w:val="000000"/>
          <w:spacing w:val="0"/>
          <w:w w:val="100"/>
          <w:position w:val="0"/>
          <w:sz w:val="24"/>
          <w:szCs w:val="24"/>
        </w:rPr>
        <w:t>号批准，</w:t>
      </w:r>
      <w:r>
        <w:rPr>
          <w:rFonts w:ascii="Times New Roman" w:eastAsia="Times New Roman" w:hAnsi="Times New Roman" w:cs="Times New Roman"/>
          <w:color w:val="000000"/>
          <w:spacing w:val="0"/>
          <w:w w:val="100"/>
          <w:position w:val="0"/>
          <w:sz w:val="24"/>
          <w:szCs w:val="24"/>
        </w:rPr>
        <w:t>2012</w:t>
      </w:r>
      <w:r>
        <w:rPr>
          <w:color w:val="000000"/>
          <w:spacing w:val="0"/>
          <w:w w:val="100"/>
          <w:position w:val="0"/>
          <w:sz w:val="24"/>
          <w:szCs w:val="24"/>
        </w:rPr>
        <w:t>年度该公司暂按照</w:t>
      </w:r>
      <w:r>
        <w:rPr>
          <w:rFonts w:ascii="Times New Roman" w:eastAsia="Times New Roman" w:hAnsi="Times New Roman" w:cs="Times New Roman"/>
          <w:color w:val="000000"/>
          <w:spacing w:val="0"/>
          <w:w w:val="100"/>
          <w:position w:val="0"/>
          <w:sz w:val="24"/>
          <w:szCs w:val="24"/>
        </w:rPr>
        <w:t>15%</w:t>
      </w:r>
      <w:r>
        <w:rPr>
          <w:color w:val="000000"/>
          <w:spacing w:val="0"/>
          <w:w w:val="100"/>
          <w:position w:val="0"/>
          <w:sz w:val="24"/>
          <w:szCs w:val="24"/>
        </w:rPr>
        <w:t>缴纳企业所得 税，《西部地区鼓励类产业目录》公布后，若不符合条件则按规定使用税率 重新计算申报。</w:t>
      </w:r>
    </w:p>
    <w:p>
      <w:pPr>
        <w:pStyle w:val="Style32"/>
        <w:keepNext w:val="0"/>
        <w:keepLines w:val="0"/>
        <w:widowControl w:val="0"/>
        <w:shd w:val="clear" w:color="auto" w:fill="auto"/>
        <w:bidi w:val="0"/>
        <w:spacing w:before="0" w:after="240" w:line="331" w:lineRule="exact"/>
        <w:ind w:left="720" w:right="0" w:firstLine="20"/>
        <w:jc w:val="both"/>
        <w:rPr>
          <w:sz w:val="24"/>
          <w:szCs w:val="24"/>
        </w:rPr>
      </w:pPr>
      <w:r>
        <w:rPr>
          <w:rFonts w:ascii="Times New Roman" w:eastAsia="Times New Roman" w:hAnsi="Times New Roman" w:cs="Times New Roman"/>
          <w:color w:val="000000"/>
          <w:spacing w:val="0"/>
          <w:w w:val="100"/>
          <w:position w:val="0"/>
          <w:sz w:val="24"/>
          <w:szCs w:val="24"/>
        </w:rPr>
        <w:t>2012</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7</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11</w:t>
      </w:r>
      <w:r>
        <w:rPr>
          <w:color w:val="000000"/>
          <w:spacing w:val="0"/>
          <w:w w:val="100"/>
          <w:position w:val="0"/>
          <w:sz w:val="24"/>
          <w:szCs w:val="24"/>
        </w:rPr>
        <w:t>日，经四川省经济和信息化委员会川经信产业函</w:t>
      </w:r>
      <w:r>
        <w:rPr>
          <w:rFonts w:ascii="Times New Roman" w:eastAsia="Times New Roman" w:hAnsi="Times New Roman" w:cs="Times New Roman"/>
          <w:color w:val="000000"/>
          <w:spacing w:val="0"/>
          <w:w w:val="100"/>
          <w:position w:val="0"/>
          <w:sz w:val="24"/>
          <w:szCs w:val="24"/>
        </w:rPr>
        <w:t>［2012］881</w:t>
      </w:r>
      <w:r>
        <w:rPr>
          <w:color w:val="000000"/>
          <w:spacing w:val="0"/>
          <w:w w:val="100"/>
          <w:position w:val="0"/>
          <w:sz w:val="24"/>
          <w:szCs w:val="24"/>
        </w:rPr>
        <w:t>号文 确认四川苏宁云商销售有限公司属于国家鼓励类产业项目。</w:t>
      </w:r>
    </w:p>
    <w:p>
      <w:pPr>
        <w:pStyle w:val="Style32"/>
        <w:keepNext w:val="0"/>
        <w:keepLines w:val="0"/>
        <w:widowControl w:val="0"/>
        <w:shd w:val="clear" w:color="auto" w:fill="auto"/>
        <w:bidi w:val="0"/>
        <w:spacing w:before="0" w:after="240" w:line="331" w:lineRule="exact"/>
        <w:ind w:left="720" w:right="0" w:firstLine="20"/>
        <w:jc w:val="both"/>
        <w:rPr>
          <w:sz w:val="24"/>
          <w:szCs w:val="24"/>
        </w:rPr>
      </w:pPr>
      <w:r>
        <w:rPr>
          <w:rFonts w:ascii="Times New Roman" w:eastAsia="Times New Roman" w:hAnsi="Times New Roman" w:cs="Times New Roman"/>
          <w:color w:val="000000"/>
          <w:spacing w:val="0"/>
          <w:w w:val="100"/>
          <w:position w:val="0"/>
          <w:sz w:val="24"/>
          <w:szCs w:val="24"/>
        </w:rPr>
        <w:t>2012</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7</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日，经四川省经济和信息化委员会川经信产业函</w:t>
      </w:r>
      <w:r>
        <w:rPr>
          <w:rFonts w:ascii="Times New Roman" w:eastAsia="Times New Roman" w:hAnsi="Times New Roman" w:cs="Times New Roman"/>
          <w:color w:val="000000"/>
          <w:spacing w:val="0"/>
          <w:w w:val="100"/>
          <w:position w:val="0"/>
          <w:sz w:val="24"/>
          <w:szCs w:val="24"/>
        </w:rPr>
        <w:t>［2012R43</w:t>
      </w:r>
      <w:r>
        <w:rPr>
          <w:color w:val="000000"/>
          <w:spacing w:val="0"/>
          <w:w w:val="100"/>
          <w:position w:val="0"/>
          <w:sz w:val="24"/>
          <w:szCs w:val="24"/>
        </w:rPr>
        <w:t>号确认 绵阳苏宁云商销售有限公司属于国家鼓励类产业项目。</w:t>
      </w:r>
    </w:p>
    <w:p>
      <w:pPr>
        <w:pStyle w:val="Style32"/>
        <w:keepNext w:val="0"/>
        <w:keepLines w:val="0"/>
        <w:widowControl w:val="0"/>
        <w:shd w:val="clear" w:color="auto" w:fill="auto"/>
        <w:bidi w:val="0"/>
        <w:spacing w:before="0" w:after="240" w:line="322" w:lineRule="exact"/>
        <w:ind w:left="720" w:right="0" w:firstLine="20"/>
        <w:jc w:val="both"/>
        <w:rPr>
          <w:sz w:val="24"/>
          <w:szCs w:val="24"/>
        </w:rPr>
      </w:pPr>
      <w:r>
        <w:rPr>
          <w:rFonts w:ascii="Times New Roman" w:eastAsia="Times New Roman" w:hAnsi="Times New Roman" w:cs="Times New Roman"/>
          <w:color w:val="000000"/>
          <w:spacing w:val="0"/>
          <w:w w:val="100"/>
          <w:position w:val="0"/>
          <w:sz w:val="24"/>
          <w:szCs w:val="24"/>
        </w:rPr>
        <w:t>2012</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8</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16</w:t>
      </w:r>
      <w:r>
        <w:rPr>
          <w:color w:val="000000"/>
          <w:spacing w:val="0"/>
          <w:w w:val="100"/>
          <w:position w:val="0"/>
          <w:sz w:val="24"/>
          <w:szCs w:val="24"/>
        </w:rPr>
        <w:t>日，经四川省经济和信息化委员会川经信产业函</w:t>
      </w:r>
      <w:r>
        <w:rPr>
          <w:rFonts w:ascii="Times New Roman" w:eastAsia="Times New Roman" w:hAnsi="Times New Roman" w:cs="Times New Roman"/>
          <w:color w:val="000000"/>
          <w:spacing w:val="0"/>
          <w:w w:val="100"/>
          <w:position w:val="0"/>
          <w:sz w:val="24"/>
          <w:szCs w:val="24"/>
        </w:rPr>
        <w:t>［2012］1027</w:t>
      </w:r>
      <w:r>
        <w:rPr>
          <w:color w:val="000000"/>
          <w:spacing w:val="0"/>
          <w:w w:val="100"/>
          <w:position w:val="0"/>
          <w:sz w:val="24"/>
          <w:szCs w:val="24"/>
        </w:rPr>
        <w:t>号文 确认南充苏宁云商销售有限公司、遂宁苏宁云商销售有限公司属于国家鼓励 类产业项目。</w:t>
      </w:r>
    </w:p>
    <w:p>
      <w:pPr>
        <w:pStyle w:val="Style32"/>
        <w:keepNext w:val="0"/>
        <w:keepLines w:val="0"/>
        <w:widowControl w:val="0"/>
        <w:shd w:val="clear" w:color="auto" w:fill="auto"/>
        <w:bidi w:val="0"/>
        <w:spacing w:before="0" w:after="240" w:line="322" w:lineRule="exact"/>
        <w:ind w:left="720" w:right="0" w:firstLine="20"/>
        <w:jc w:val="both"/>
        <w:rPr>
          <w:sz w:val="24"/>
          <w:szCs w:val="24"/>
        </w:rPr>
      </w:pPr>
      <w:r>
        <w:rPr>
          <w:rFonts w:ascii="Times New Roman" w:eastAsia="Times New Roman" w:hAnsi="Times New Roman" w:cs="Times New Roman"/>
          <w:color w:val="000000"/>
          <w:spacing w:val="0"/>
          <w:w w:val="100"/>
          <w:position w:val="0"/>
          <w:sz w:val="24"/>
          <w:szCs w:val="24"/>
        </w:rPr>
        <w:t>2012</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8</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16</w:t>
      </w:r>
      <w:r>
        <w:rPr>
          <w:color w:val="000000"/>
          <w:spacing w:val="0"/>
          <w:w w:val="100"/>
          <w:position w:val="0"/>
          <w:sz w:val="24"/>
          <w:szCs w:val="24"/>
        </w:rPr>
        <w:t>日，经四川省经济和信息化委员会川经信产业函</w:t>
      </w:r>
      <w:r>
        <w:rPr>
          <w:rFonts w:ascii="Times New Roman" w:eastAsia="Times New Roman" w:hAnsi="Times New Roman" w:cs="Times New Roman"/>
          <w:color w:val="000000"/>
          <w:spacing w:val="0"/>
          <w:w w:val="100"/>
          <w:position w:val="0"/>
          <w:sz w:val="24"/>
          <w:szCs w:val="24"/>
        </w:rPr>
        <w:t>［2012］1026</w:t>
      </w:r>
      <w:r>
        <w:rPr>
          <w:color w:val="000000"/>
          <w:spacing w:val="0"/>
          <w:w w:val="100"/>
          <w:position w:val="0"/>
          <w:sz w:val="24"/>
          <w:szCs w:val="24"/>
        </w:rPr>
        <w:t>号确 认广安苏宁云商销售有限公司、广元苏宁云商销售有限公司属于国家鼓励类 产业项目。</w:t>
      </w:r>
    </w:p>
    <w:p>
      <w:pPr>
        <w:pStyle w:val="Style32"/>
        <w:keepNext w:val="0"/>
        <w:keepLines w:val="0"/>
        <w:widowControl w:val="0"/>
        <w:shd w:val="clear" w:color="auto" w:fill="auto"/>
        <w:bidi w:val="0"/>
        <w:spacing w:before="0" w:after="240" w:line="326" w:lineRule="exact"/>
        <w:ind w:left="720" w:right="0" w:firstLine="20"/>
        <w:jc w:val="both"/>
        <w:rPr>
          <w:sz w:val="24"/>
          <w:szCs w:val="24"/>
        </w:rPr>
      </w:pPr>
      <w:r>
        <w:rPr>
          <w:rFonts w:ascii="Times New Roman" w:eastAsia="Times New Roman" w:hAnsi="Times New Roman" w:cs="Times New Roman"/>
          <w:color w:val="000000"/>
          <w:spacing w:val="0"/>
          <w:w w:val="100"/>
          <w:position w:val="0"/>
          <w:sz w:val="24"/>
          <w:szCs w:val="24"/>
        </w:rPr>
        <w:t>2013</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16</w:t>
      </w:r>
      <w:r>
        <w:rPr>
          <w:color w:val="000000"/>
          <w:spacing w:val="0"/>
          <w:w w:val="100"/>
          <w:position w:val="0"/>
          <w:sz w:val="24"/>
          <w:szCs w:val="24"/>
        </w:rPr>
        <w:t>日，经广西壮族自治区商务厅桂商商贸函</w:t>
      </w:r>
      <w:r>
        <w:rPr>
          <w:rFonts w:ascii="Times New Roman" w:eastAsia="Times New Roman" w:hAnsi="Times New Roman" w:cs="Times New Roman"/>
          <w:color w:val="000000"/>
          <w:spacing w:val="0"/>
          <w:w w:val="100"/>
          <w:position w:val="0"/>
          <w:sz w:val="24"/>
          <w:szCs w:val="24"/>
        </w:rPr>
        <w:t>［2013］6</w:t>
      </w:r>
      <w:r>
        <w:rPr>
          <w:color w:val="000000"/>
          <w:spacing w:val="0"/>
          <w:w w:val="100"/>
          <w:position w:val="0"/>
          <w:sz w:val="24"/>
          <w:szCs w:val="24"/>
        </w:rPr>
        <w:t>号文确认北海 苏宁云商销售有限公司属于国家鼓励类产业项目。</w:t>
      </w:r>
    </w:p>
    <w:p>
      <w:pPr>
        <w:pStyle w:val="Style32"/>
        <w:keepNext w:val="0"/>
        <w:keepLines w:val="0"/>
        <w:widowControl w:val="0"/>
        <w:shd w:val="clear" w:color="auto" w:fill="auto"/>
        <w:bidi w:val="0"/>
        <w:spacing w:before="0" w:after="0" w:line="240" w:lineRule="auto"/>
        <w:ind w:left="0" w:right="0" w:firstLine="720"/>
        <w:jc w:val="left"/>
        <w:rPr>
          <w:sz w:val="24"/>
          <w:szCs w:val="24"/>
        </w:rPr>
      </w:pPr>
      <w:r>
        <w:rPr>
          <w:b/>
          <w:bCs/>
          <w:color w:val="000000"/>
          <w:spacing w:val="0"/>
          <w:w w:val="100"/>
          <w:position w:val="0"/>
          <w:sz w:val="24"/>
          <w:szCs w:val="24"/>
        </w:rPr>
        <w:t>财务报表附注</w:t>
      </w:r>
    </w:p>
    <w:p>
      <w:pPr>
        <w:pStyle w:val="Style88"/>
        <w:keepNext/>
        <w:keepLines/>
        <w:widowControl w:val="0"/>
        <w:shd w:val="clear" w:color="auto" w:fill="auto"/>
        <w:bidi w:val="0"/>
        <w:spacing w:before="0" w:after="0" w:line="240" w:lineRule="auto"/>
        <w:ind w:left="0" w:right="0" w:firstLine="720"/>
        <w:jc w:val="left"/>
      </w:pPr>
      <w:bookmarkStart w:id="799" w:name="bookmark799"/>
      <w:bookmarkStart w:id="800" w:name="bookmark800"/>
      <w:bookmarkStart w:id="801" w:name="bookmark801"/>
      <w:r>
        <w:rPr>
          <w:color w:val="000000"/>
          <w:spacing w:val="0"/>
          <w:w w:val="100"/>
          <w:position w:val="0"/>
          <w:sz w:val="24"/>
          <w:szCs w:val="24"/>
        </w:rPr>
        <w:t>2016</w:t>
      </w:r>
      <w:r>
        <w:rPr>
          <w:rFonts w:ascii="SimSun" w:eastAsia="SimSun" w:hAnsi="SimSun" w:cs="SimSun"/>
          <w:b/>
          <w:bCs/>
          <w:color w:val="000000"/>
          <w:spacing w:val="0"/>
          <w:w w:val="100"/>
          <w:position w:val="0"/>
          <w:sz w:val="24"/>
          <w:szCs w:val="24"/>
        </w:rPr>
        <w:t>年度</w:t>
      </w:r>
      <w:bookmarkEnd w:id="799"/>
      <w:bookmarkEnd w:id="800"/>
      <w:bookmarkEnd w:id="801"/>
    </w:p>
    <w:p>
      <w:pPr>
        <w:pStyle w:val="Style32"/>
        <w:keepNext w:val="0"/>
        <w:keepLines w:val="0"/>
        <w:widowControl w:val="0"/>
        <w:shd w:val="clear" w:color="auto" w:fill="auto"/>
        <w:bidi w:val="0"/>
        <w:spacing w:before="0" w:after="240" w:line="240" w:lineRule="auto"/>
        <w:ind w:left="0" w:right="0" w:firstLine="720"/>
        <w:jc w:val="left"/>
        <w:rPr>
          <w:sz w:val="24"/>
          <w:szCs w:val="24"/>
        </w:rPr>
      </w:pPr>
      <w:r>
        <w:rPr>
          <w:rFonts w:ascii="Arial" w:eastAsia="Arial" w:hAnsi="Arial" w:cs="Arial"/>
          <w:color w:val="000000"/>
          <w:spacing w:val="0"/>
          <w:w w:val="100"/>
          <w:position w:val="0"/>
          <w:sz w:val="20"/>
          <w:szCs w:val="20"/>
        </w:rPr>
        <w:t>（</w:t>
      </w:r>
      <w:r>
        <w:rPr>
          <w:color w:val="000000"/>
          <w:spacing w:val="0"/>
          <w:w w:val="100"/>
          <w:position w:val="0"/>
          <w:sz w:val="20"/>
          <w:szCs w:val="20"/>
        </w:rPr>
        <w:t>除特别注明外，金额单位为人民币千元</w:t>
      </w:r>
      <w:r>
        <w:rPr>
          <w:color w:val="000000"/>
          <w:spacing w:val="0"/>
          <w:w w:val="100"/>
          <w:position w:val="0"/>
          <w:sz w:val="24"/>
          <w:szCs w:val="24"/>
        </w:rPr>
        <w:t>）</w:t>
      </w:r>
    </w:p>
    <w:p>
      <w:pPr>
        <w:pStyle w:val="Style32"/>
        <w:keepNext w:val="0"/>
        <w:keepLines w:val="0"/>
        <w:widowControl w:val="0"/>
        <w:shd w:val="clear" w:color="auto" w:fill="auto"/>
        <w:tabs>
          <w:tab w:pos="655" w:val="left"/>
        </w:tabs>
        <w:bidi w:val="0"/>
        <w:spacing w:before="0" w:after="240" w:line="240" w:lineRule="auto"/>
        <w:ind w:left="0" w:right="0" w:firstLine="0"/>
        <w:jc w:val="left"/>
        <w:rPr>
          <w:sz w:val="24"/>
          <w:szCs w:val="24"/>
        </w:rPr>
      </w:pPr>
      <w:r>
        <w:rPr>
          <w:b/>
          <w:bCs/>
          <w:color w:val="000000"/>
          <w:spacing w:val="0"/>
          <w:w w:val="100"/>
          <w:position w:val="0"/>
          <w:sz w:val="24"/>
          <w:szCs w:val="24"/>
        </w:rPr>
        <w:t>三</w:t>
        <w:tab/>
        <w:t>税项</w:t>
      </w:r>
      <w:r>
        <w:rPr>
          <w:rFonts w:ascii="Times New Roman" w:eastAsia="Times New Roman" w:hAnsi="Times New Roman" w:cs="Times New Roman"/>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4"/>
          <w:szCs w:val="24"/>
        </w:rPr>
        <w:t>）</w:t>
      </w:r>
    </w:p>
    <w:p>
      <w:pPr>
        <w:pStyle w:val="Style32"/>
        <w:keepNext w:val="0"/>
        <w:keepLines w:val="0"/>
        <w:widowControl w:val="0"/>
        <w:shd w:val="clear" w:color="auto" w:fill="auto"/>
        <w:tabs>
          <w:tab w:pos="655" w:val="left"/>
        </w:tabs>
        <w:bidi w:val="0"/>
        <w:spacing w:before="0" w:after="24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（2）</w:t>
        <w:tab/>
      </w:r>
      <w:r>
        <w:rPr>
          <w:b/>
          <w:bCs/>
          <w:color w:val="000000"/>
          <w:spacing w:val="0"/>
          <w:w w:val="100"/>
          <w:position w:val="0"/>
          <w:sz w:val="24"/>
          <w:szCs w:val="24"/>
        </w:rPr>
        <w:t>税收优惠及批文</w:t>
      </w:r>
      <w:r>
        <w:rPr>
          <w:rFonts w:ascii="Times New Roman" w:eastAsia="Times New Roman" w:hAnsi="Times New Roman" w:cs="Times New Roman"/>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4"/>
          <w:szCs w:val="24"/>
        </w:rPr>
        <w:t>）</w:t>
      </w:r>
    </w:p>
    <w:p>
      <w:pPr>
        <w:pStyle w:val="Style32"/>
        <w:keepNext w:val="0"/>
        <w:keepLines w:val="0"/>
        <w:widowControl w:val="0"/>
        <w:shd w:val="clear" w:color="auto" w:fill="auto"/>
        <w:bidi w:val="0"/>
        <w:spacing w:before="0" w:after="240" w:line="322" w:lineRule="exact"/>
        <w:ind w:left="0" w:right="0" w:firstLine="720"/>
        <w:jc w:val="left"/>
        <w:rPr>
          <w:sz w:val="24"/>
          <w:szCs w:val="24"/>
        </w:rPr>
      </w:pPr>
      <w:r>
        <w:rPr>
          <w:color w:val="000000"/>
          <w:spacing w:val="0"/>
          <w:w w:val="100"/>
          <w:position w:val="0"/>
          <w:sz w:val="24"/>
          <w:szCs w:val="24"/>
        </w:rPr>
        <w:t>西部大开发税收优惠政策</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续</w:t>
      </w:r>
      <w:r>
        <w:rPr>
          <w:color w:val="000000"/>
          <w:spacing w:val="0"/>
          <w:w w:val="100"/>
          <w:position w:val="0"/>
          <w:sz w:val="24"/>
          <w:szCs w:val="24"/>
        </w:rPr>
        <w:t>）</w:t>
      </w:r>
    </w:p>
    <w:p>
      <w:pPr>
        <w:pStyle w:val="Style32"/>
        <w:keepNext w:val="0"/>
        <w:keepLines w:val="0"/>
        <w:widowControl w:val="0"/>
        <w:shd w:val="clear" w:color="auto" w:fill="auto"/>
        <w:bidi w:val="0"/>
        <w:spacing w:before="0" w:after="240" w:line="322" w:lineRule="exact"/>
        <w:ind w:left="720" w:right="0" w:firstLine="20"/>
        <w:jc w:val="left"/>
        <w:rPr>
          <w:sz w:val="24"/>
          <w:szCs w:val="24"/>
        </w:rPr>
      </w:pPr>
      <w:r>
        <w:rPr>
          <w:rFonts w:ascii="Times New Roman" w:eastAsia="Times New Roman" w:hAnsi="Times New Roman" w:cs="Times New Roman"/>
          <w:color w:val="000000"/>
          <w:spacing w:val="0"/>
          <w:w w:val="100"/>
          <w:position w:val="0"/>
          <w:sz w:val="24"/>
          <w:szCs w:val="24"/>
        </w:rPr>
        <w:t>2012</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8</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8</w:t>
      </w:r>
      <w:r>
        <w:rPr>
          <w:color w:val="000000"/>
          <w:spacing w:val="0"/>
          <w:w w:val="100"/>
          <w:position w:val="0"/>
          <w:sz w:val="24"/>
          <w:szCs w:val="24"/>
        </w:rPr>
        <w:t>日，经广西壮族自治区商务厅桂商商贸函</w:t>
      </w:r>
      <w:r>
        <w:rPr>
          <w:rFonts w:ascii="Times New Roman" w:eastAsia="Times New Roman" w:hAnsi="Times New Roman" w:cs="Times New Roman"/>
          <w:color w:val="000000"/>
          <w:spacing w:val="0"/>
          <w:w w:val="100"/>
          <w:position w:val="0"/>
          <w:sz w:val="24"/>
          <w:szCs w:val="24"/>
        </w:rPr>
        <w:t>[2012]126</w:t>
      </w:r>
      <w:r>
        <w:rPr>
          <w:color w:val="000000"/>
          <w:spacing w:val="0"/>
          <w:w w:val="100"/>
          <w:position w:val="0"/>
          <w:sz w:val="24"/>
          <w:szCs w:val="24"/>
        </w:rPr>
        <w:t>号确认钦州苏 宁云商销售有限公司经营业务符合国家鼓励发展产业项目。</w:t>
      </w:r>
    </w:p>
    <w:p>
      <w:pPr>
        <w:pStyle w:val="Style32"/>
        <w:keepNext w:val="0"/>
        <w:keepLines w:val="0"/>
        <w:widowControl w:val="0"/>
        <w:shd w:val="clear" w:color="auto" w:fill="auto"/>
        <w:bidi w:val="0"/>
        <w:spacing w:before="0" w:after="240" w:line="331" w:lineRule="exact"/>
        <w:ind w:left="720" w:right="0" w:firstLine="20"/>
        <w:jc w:val="left"/>
        <w:rPr>
          <w:sz w:val="24"/>
          <w:szCs w:val="24"/>
        </w:rPr>
      </w:pPr>
      <w:r>
        <w:rPr>
          <w:rFonts w:ascii="Times New Roman" w:eastAsia="Times New Roman" w:hAnsi="Times New Roman" w:cs="Times New Roman"/>
          <w:color w:val="000000"/>
          <w:spacing w:val="0"/>
          <w:w w:val="100"/>
          <w:position w:val="0"/>
          <w:sz w:val="24"/>
          <w:szCs w:val="24"/>
        </w:rPr>
        <w:t>2013</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22</w:t>
      </w:r>
      <w:r>
        <w:rPr>
          <w:color w:val="000000"/>
          <w:spacing w:val="0"/>
          <w:w w:val="100"/>
          <w:position w:val="0"/>
          <w:sz w:val="24"/>
          <w:szCs w:val="24"/>
        </w:rPr>
        <w:t>日，经四川省经济和信息化委员会川经信产业函</w:t>
      </w:r>
      <w:r>
        <w:rPr>
          <w:rFonts w:ascii="Times New Roman" w:eastAsia="Times New Roman" w:hAnsi="Times New Roman" w:cs="Times New Roman"/>
          <w:color w:val="000000"/>
          <w:spacing w:val="0"/>
          <w:w w:val="100"/>
          <w:position w:val="0"/>
          <w:sz w:val="24"/>
          <w:szCs w:val="24"/>
        </w:rPr>
        <w:t>[2013]409</w:t>
      </w:r>
      <w:r>
        <w:rPr>
          <w:color w:val="000000"/>
          <w:spacing w:val="0"/>
          <w:w w:val="100"/>
          <w:position w:val="0"/>
          <w:sz w:val="24"/>
          <w:szCs w:val="24"/>
        </w:rPr>
        <w:t>号文 确认四川苏宁物流有限公司属于国家鼓励类产业项目。</w:t>
      </w:r>
    </w:p>
    <w:p>
      <w:pPr>
        <w:pStyle w:val="Style32"/>
        <w:keepNext w:val="0"/>
        <w:keepLines w:val="0"/>
        <w:widowControl w:val="0"/>
        <w:shd w:val="clear" w:color="auto" w:fill="auto"/>
        <w:bidi w:val="0"/>
        <w:spacing w:before="0" w:after="240" w:line="326" w:lineRule="exact"/>
        <w:ind w:left="720" w:right="0" w:firstLine="20"/>
        <w:jc w:val="left"/>
        <w:rPr>
          <w:sz w:val="24"/>
          <w:szCs w:val="24"/>
        </w:rPr>
      </w:pPr>
      <w:r>
        <w:rPr>
          <w:rFonts w:ascii="Times New Roman" w:eastAsia="Times New Roman" w:hAnsi="Times New Roman" w:cs="Times New Roman"/>
          <w:color w:val="000000"/>
          <w:spacing w:val="0"/>
          <w:w w:val="100"/>
          <w:position w:val="0"/>
          <w:sz w:val="24"/>
          <w:szCs w:val="24"/>
        </w:rPr>
        <w:t>2014</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13</w:t>
      </w:r>
      <w:r>
        <w:rPr>
          <w:color w:val="000000"/>
          <w:spacing w:val="0"/>
          <w:w w:val="100"/>
          <w:position w:val="0"/>
          <w:sz w:val="24"/>
          <w:szCs w:val="24"/>
        </w:rPr>
        <w:t>日，经西安市发展和改革委员会</w:t>
      </w:r>
      <w:r>
        <w:rPr>
          <w:rFonts w:ascii="Times New Roman" w:eastAsia="Times New Roman" w:hAnsi="Times New Roman" w:cs="Times New Roman"/>
          <w:color w:val="000000"/>
          <w:spacing w:val="0"/>
          <w:w w:val="100"/>
          <w:position w:val="0"/>
          <w:sz w:val="24"/>
          <w:szCs w:val="24"/>
        </w:rPr>
        <w:t>[2014048</w:t>
      </w:r>
      <w:r>
        <w:rPr>
          <w:color w:val="000000"/>
          <w:spacing w:val="0"/>
          <w:w w:val="100"/>
          <w:position w:val="0"/>
          <w:sz w:val="24"/>
          <w:szCs w:val="24"/>
        </w:rPr>
        <w:t>号文确认陕西苏宁云 商销售有限公司属于国家鼓励类产业项目。</w:t>
      </w:r>
    </w:p>
    <w:p>
      <w:pPr>
        <w:pStyle w:val="Style32"/>
        <w:keepNext w:val="0"/>
        <w:keepLines w:val="0"/>
        <w:widowControl w:val="0"/>
        <w:shd w:val="clear" w:color="auto" w:fill="auto"/>
        <w:bidi w:val="0"/>
        <w:spacing w:before="0" w:after="240" w:line="310" w:lineRule="exact"/>
        <w:ind w:left="720" w:right="0" w:firstLine="20"/>
        <w:jc w:val="left"/>
        <w:rPr>
          <w:sz w:val="24"/>
          <w:szCs w:val="24"/>
        </w:rPr>
        <w:sectPr>
          <w:footnotePr>
            <w:pos w:val="pageBottom"/>
            <w:numFmt w:val="decimal"/>
            <w:numRestart w:val="continuous"/>
          </w:footnotePr>
          <w:pgSz w:w="11900" w:h="16840"/>
          <w:pgMar w:top="1354" w:right="1189" w:bottom="1767" w:left="1573" w:header="0" w:footer="3" w:gutter="0"/>
          <w:cols w:space="720"/>
          <w:noEndnote/>
          <w:rtlGutter w:val="0"/>
          <w:docGrid w:linePitch="360"/>
        </w:sectPr>
      </w:pPr>
      <w:r>
        <w:rPr>
          <w:color w:val="000000"/>
          <w:spacing w:val="0"/>
          <w:w w:val="100"/>
          <w:position w:val="0"/>
          <w:sz w:val="24"/>
          <w:szCs w:val="24"/>
        </w:rPr>
        <w:t>根据《西藏自治区人民政府关于我区企业所得税税率问题的通知》</w:t>
      </w:r>
      <w:r>
        <w:rPr>
          <w:color w:val="000000"/>
          <w:spacing w:val="0"/>
          <w:w w:val="100"/>
          <w:position w:val="0"/>
          <w:sz w:val="24"/>
          <w:szCs w:val="24"/>
        </w:rPr>
        <w:t>（</w:t>
      </w:r>
      <w:r>
        <w:rPr>
          <w:color w:val="000000"/>
          <w:spacing w:val="0"/>
          <w:w w:val="100"/>
          <w:position w:val="0"/>
          <w:sz w:val="24"/>
          <w:szCs w:val="24"/>
        </w:rPr>
        <w:t xml:space="preserve">藏政发 </w:t>
      </w:r>
      <w:r>
        <w:rPr>
          <w:rFonts w:ascii="Times New Roman" w:eastAsia="Times New Roman" w:hAnsi="Times New Roman" w:cs="Times New Roman"/>
          <w:color w:val="000000"/>
          <w:spacing w:val="0"/>
          <w:w w:val="100"/>
          <w:position w:val="0"/>
          <w:sz w:val="24"/>
          <w:szCs w:val="24"/>
        </w:rPr>
        <w:t>[2011]14</w:t>
      </w:r>
      <w:r>
        <w:rPr>
          <w:color w:val="000000"/>
          <w:spacing w:val="0"/>
          <w:w w:val="100"/>
          <w:position w:val="0"/>
          <w:sz w:val="24"/>
          <w:szCs w:val="24"/>
        </w:rPr>
        <w:t>号</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的规定，对设在西藏自治区的各类企业</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含西藏驻区外企业</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 xml:space="preserve">，在 </w:t>
      </w:r>
      <w:r>
        <w:rPr>
          <w:rFonts w:ascii="Times New Roman" w:eastAsia="Times New Roman" w:hAnsi="Times New Roman" w:cs="Times New Roman"/>
          <w:color w:val="000000"/>
          <w:spacing w:val="0"/>
          <w:w w:val="100"/>
          <w:position w:val="0"/>
          <w:sz w:val="24"/>
          <w:szCs w:val="24"/>
        </w:rPr>
        <w:t>2011</w:t>
      </w:r>
      <w:r>
        <w:rPr>
          <w:color w:val="000000"/>
          <w:spacing w:val="0"/>
          <w:w w:val="100"/>
          <w:position w:val="0"/>
          <w:sz w:val="24"/>
          <w:szCs w:val="24"/>
        </w:rPr>
        <w:t>年至</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年期间，继续按</w:t>
      </w:r>
      <w:r>
        <w:rPr>
          <w:rFonts w:ascii="Times New Roman" w:eastAsia="Times New Roman" w:hAnsi="Times New Roman" w:cs="Times New Roman"/>
          <w:color w:val="000000"/>
          <w:spacing w:val="0"/>
          <w:w w:val="100"/>
          <w:position w:val="0"/>
          <w:sz w:val="24"/>
          <w:szCs w:val="24"/>
        </w:rPr>
        <w:t>15%</w:t>
      </w:r>
      <w:r>
        <w:rPr>
          <w:color w:val="000000"/>
          <w:spacing w:val="0"/>
          <w:w w:val="100"/>
          <w:position w:val="0"/>
          <w:sz w:val="24"/>
          <w:szCs w:val="24"/>
        </w:rPr>
        <w:t>的税率征收企业所得税，因此西藏苏宁 云商销售有限公司可以享受</w:t>
      </w:r>
      <w:r>
        <w:rPr>
          <w:rFonts w:ascii="Times New Roman" w:eastAsia="Times New Roman" w:hAnsi="Times New Roman" w:cs="Times New Roman"/>
          <w:color w:val="000000"/>
          <w:spacing w:val="0"/>
          <w:w w:val="100"/>
          <w:position w:val="0"/>
          <w:sz w:val="24"/>
          <w:szCs w:val="24"/>
        </w:rPr>
        <w:t>15%</w:t>
      </w:r>
      <w:r>
        <w:rPr>
          <w:color w:val="000000"/>
          <w:spacing w:val="0"/>
          <w:w w:val="100"/>
          <w:position w:val="0"/>
          <w:sz w:val="24"/>
          <w:szCs w:val="24"/>
        </w:rPr>
        <w:t>的西部大开发优惠税率政策。</w:t>
      </w:r>
    </w:p>
    <w:p>
      <w:pPr>
        <w:pStyle w:val="Style32"/>
        <w:keepNext w:val="0"/>
        <w:keepLines w:val="0"/>
        <w:widowControl w:val="0"/>
        <w:shd w:val="clear" w:color="auto" w:fill="auto"/>
        <w:bidi w:val="0"/>
        <w:spacing w:before="0" w:after="0" w:line="240" w:lineRule="auto"/>
        <w:ind w:left="0" w:right="0" w:firstLine="700"/>
        <w:jc w:val="both"/>
        <w:rPr>
          <w:sz w:val="24"/>
          <w:szCs w:val="24"/>
        </w:rPr>
      </w:pPr>
      <w:r>
        <w:rPr>
          <w:b/>
          <w:bCs/>
          <w:color w:val="000000"/>
          <w:spacing w:val="0"/>
          <w:w w:val="100"/>
          <w:position w:val="0"/>
          <w:sz w:val="24"/>
          <w:szCs w:val="24"/>
        </w:rPr>
        <w:t>财务报表附注</w:t>
      </w:r>
    </w:p>
    <w:p>
      <w:pPr>
        <w:pStyle w:val="Style88"/>
        <w:keepNext/>
        <w:keepLines/>
        <w:widowControl w:val="0"/>
        <w:shd w:val="clear" w:color="auto" w:fill="auto"/>
        <w:bidi w:val="0"/>
        <w:spacing w:before="0" w:after="0" w:line="240" w:lineRule="auto"/>
        <w:ind w:left="0" w:right="0"/>
        <w:jc w:val="both"/>
      </w:pPr>
      <w:bookmarkStart w:id="802" w:name="bookmark802"/>
      <w:bookmarkStart w:id="803" w:name="bookmark803"/>
      <w:bookmarkStart w:id="804" w:name="bookmark804"/>
      <w:r>
        <w:rPr>
          <w:color w:val="000000"/>
          <w:spacing w:val="0"/>
          <w:w w:val="100"/>
          <w:position w:val="0"/>
          <w:sz w:val="24"/>
          <w:szCs w:val="24"/>
        </w:rPr>
        <w:t>2016</w:t>
      </w:r>
      <w:r>
        <w:rPr>
          <w:rFonts w:ascii="SimSun" w:eastAsia="SimSun" w:hAnsi="SimSun" w:cs="SimSun"/>
          <w:b/>
          <w:bCs/>
          <w:color w:val="000000"/>
          <w:spacing w:val="0"/>
          <w:w w:val="100"/>
          <w:position w:val="0"/>
          <w:sz w:val="24"/>
          <w:szCs w:val="24"/>
        </w:rPr>
        <w:t>年度</w:t>
      </w:r>
      <w:bookmarkEnd w:id="802"/>
      <w:bookmarkEnd w:id="803"/>
      <w:bookmarkEnd w:id="804"/>
    </w:p>
    <w:p>
      <w:pPr>
        <w:pStyle w:val="Style32"/>
        <w:keepNext w:val="0"/>
        <w:keepLines w:val="0"/>
        <w:widowControl w:val="0"/>
        <w:shd w:val="clear" w:color="auto" w:fill="auto"/>
        <w:bidi w:val="0"/>
        <w:spacing w:before="0" w:after="260" w:line="240" w:lineRule="auto"/>
        <w:ind w:left="0" w:right="0" w:firstLine="700"/>
        <w:jc w:val="both"/>
        <w:rPr>
          <w:sz w:val="20"/>
          <w:szCs w:val="20"/>
        </w:rPr>
      </w:pPr>
      <w:r>
        <w:rPr>
          <w:rFonts w:ascii="Arial" w:eastAsia="Arial" w:hAnsi="Arial" w:cs="Arial"/>
          <w:color w:val="000000"/>
          <w:spacing w:val="0"/>
          <w:w w:val="100"/>
          <w:position w:val="0"/>
          <w:sz w:val="20"/>
          <w:szCs w:val="20"/>
        </w:rPr>
        <w:t>（</w:t>
      </w:r>
      <w:r>
        <w:rPr>
          <w:color w:val="000000"/>
          <w:spacing w:val="0"/>
          <w:w w:val="100"/>
          <w:position w:val="0"/>
          <w:sz w:val="20"/>
          <w:szCs w:val="20"/>
        </w:rPr>
        <w:t>除特别注明外，金额单位为人民币千元</w:t>
      </w:r>
      <w:r>
        <w:rPr>
          <w:rFonts w:ascii="Arial" w:eastAsia="Arial" w:hAnsi="Arial" w:cs="Arial"/>
          <w:color w:val="000000"/>
          <w:spacing w:val="0"/>
          <w:w w:val="100"/>
          <w:position w:val="0"/>
          <w:sz w:val="20"/>
          <w:szCs w:val="20"/>
        </w:rPr>
        <w:t>）</w:t>
      </w:r>
    </w:p>
    <w:p>
      <w:pPr>
        <w:pStyle w:val="Style32"/>
        <w:keepNext w:val="0"/>
        <w:keepLines w:val="0"/>
        <w:widowControl w:val="0"/>
        <w:shd w:val="clear" w:color="auto" w:fill="auto"/>
        <w:tabs>
          <w:tab w:pos="602" w:val="left"/>
        </w:tabs>
        <w:bidi w:val="0"/>
        <w:spacing w:before="0" w:after="260" w:line="240" w:lineRule="auto"/>
        <w:ind w:left="0" w:right="0" w:firstLine="0"/>
        <w:jc w:val="left"/>
        <w:rPr>
          <w:sz w:val="24"/>
          <w:szCs w:val="24"/>
        </w:rPr>
      </w:pPr>
      <w:r>
        <w:rPr>
          <w:b/>
          <w:bCs/>
          <w:color w:val="000000"/>
          <w:spacing w:val="0"/>
          <w:w w:val="100"/>
          <w:position w:val="0"/>
          <w:sz w:val="24"/>
          <w:szCs w:val="24"/>
        </w:rPr>
        <w:t>四</w:t>
        <w:tab/>
        <w:t>合并财务报表项目附注</w:t>
      </w:r>
    </w:p>
    <w:p>
      <w:pPr>
        <w:pStyle w:val="Style32"/>
        <w:keepNext w:val="0"/>
        <w:keepLines w:val="0"/>
        <w:widowControl w:val="0"/>
        <w:shd w:val="clear" w:color="auto" w:fill="auto"/>
        <w:tabs>
          <w:tab w:pos="602" w:val="left"/>
        </w:tabs>
        <w:bidi w:val="0"/>
        <w:spacing w:before="0" w:after="26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（1）</w:t>
        <w:tab/>
      </w:r>
      <w:r>
        <w:rPr>
          <w:b/>
          <w:bCs/>
          <w:color w:val="000000"/>
          <w:spacing w:val="0"/>
          <w:w w:val="100"/>
          <w:position w:val="0"/>
          <w:sz w:val="24"/>
          <w:szCs w:val="24"/>
        </w:rPr>
        <w:t>货币资金</w:t>
      </w:r>
    </w:p>
    <w:tbl>
      <w:tblPr>
        <w:tblOverlap w:val="never"/>
        <w:jc w:val="right"/>
        <w:tblLayout w:type="fixed"/>
      </w:tblPr>
      <w:tblGrid>
        <w:gridCol w:w="3499"/>
        <w:gridCol w:w="2630"/>
        <w:gridCol w:w="2299"/>
      </w:tblGrid>
      <w:tr>
        <w:trPr>
          <w:trHeight w:val="437"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1200" w:right="0" w:firstLine="0"/>
              <w:jc w:val="left"/>
              <w:rPr>
                <w:sz w:val="24"/>
                <w:szCs w:val="24"/>
              </w:rPr>
            </w:pP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2015</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w:t>
            </w:r>
          </w:p>
        </w:tc>
      </w:tr>
      <w:tr>
        <w:trPr>
          <w:trHeight w:val="451"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库存现金</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200" w:right="0" w:firstLine="0"/>
              <w:jc w:val="left"/>
              <w:rPr>
                <w:sz w:val="24"/>
                <w:szCs w:val="24"/>
              </w:rPr>
            </w:pPr>
            <w:r>
              <w:rPr>
                <w:rFonts w:ascii="Times New Roman" w:eastAsia="Times New Roman" w:hAnsi="Times New Roman" w:cs="Times New Roman"/>
                <w:color w:val="000000"/>
                <w:spacing w:val="0"/>
                <w:w w:val="100"/>
                <w:position w:val="0"/>
                <w:sz w:val="24"/>
                <w:szCs w:val="24"/>
              </w:rPr>
              <w:t>21,268</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21,928</w:t>
            </w:r>
          </w:p>
        </w:tc>
      </w:tr>
      <w:tr>
        <w:trPr>
          <w:trHeight w:val="322"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银行存款</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200" w:right="0" w:firstLine="0"/>
              <w:jc w:val="left"/>
              <w:rPr>
                <w:sz w:val="24"/>
                <w:szCs w:val="24"/>
              </w:rPr>
            </w:pPr>
            <w:r>
              <w:rPr>
                <w:rFonts w:ascii="Times New Roman" w:eastAsia="Times New Roman" w:hAnsi="Times New Roman" w:cs="Times New Roman"/>
                <w:color w:val="000000"/>
                <w:spacing w:val="0"/>
                <w:w w:val="100"/>
                <w:position w:val="0"/>
                <w:sz w:val="24"/>
                <w:szCs w:val="24"/>
              </w:rPr>
              <w:t>16,434,582</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140" w:right="0" w:firstLine="0"/>
              <w:jc w:val="both"/>
              <w:rPr>
                <w:sz w:val="24"/>
                <w:szCs w:val="24"/>
              </w:rPr>
            </w:pPr>
            <w:r>
              <w:rPr>
                <w:rFonts w:ascii="Times New Roman" w:eastAsia="Times New Roman" w:hAnsi="Times New Roman" w:cs="Times New Roman"/>
                <w:color w:val="000000"/>
                <w:spacing w:val="0"/>
                <w:w w:val="100"/>
                <w:position w:val="0"/>
                <w:sz w:val="24"/>
                <w:szCs w:val="24"/>
              </w:rPr>
              <w:t>15,518,320</w:t>
            </w:r>
          </w:p>
        </w:tc>
      </w:tr>
      <w:tr>
        <w:trPr>
          <w:trHeight w:val="298"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其他货币资金</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200" w:right="0" w:firstLine="0"/>
              <w:jc w:val="left"/>
              <w:rPr>
                <w:sz w:val="24"/>
                <w:szCs w:val="24"/>
              </w:rPr>
            </w:pPr>
            <w:r>
              <w:rPr>
                <w:rFonts w:ascii="Times New Roman" w:eastAsia="Times New Roman" w:hAnsi="Times New Roman" w:cs="Times New Roman"/>
                <w:color w:val="000000"/>
                <w:spacing w:val="0"/>
                <w:w w:val="100"/>
                <w:position w:val="0"/>
                <w:sz w:val="24"/>
                <w:szCs w:val="24"/>
              </w:rPr>
              <w:t>10,753,379</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140" w:right="0" w:firstLine="0"/>
              <w:jc w:val="both"/>
              <w:rPr>
                <w:sz w:val="24"/>
                <w:szCs w:val="24"/>
              </w:rPr>
            </w:pPr>
            <w:r>
              <w:rPr>
                <w:rFonts w:ascii="Times New Roman" w:eastAsia="Times New Roman" w:hAnsi="Times New Roman" w:cs="Times New Roman"/>
                <w:color w:val="000000"/>
                <w:spacing w:val="0"/>
                <w:w w:val="100"/>
                <w:position w:val="0"/>
                <w:sz w:val="24"/>
                <w:szCs w:val="24"/>
              </w:rPr>
              <w:t>11,575,309</w:t>
            </w:r>
          </w:p>
        </w:tc>
      </w:tr>
      <w:tr>
        <w:trPr>
          <w:trHeight w:val="298" w:hRule="exact"/>
        </w:trPr>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200" w:right="0" w:firstLine="0"/>
              <w:jc w:val="left"/>
              <w:rPr>
                <w:sz w:val="24"/>
                <w:szCs w:val="24"/>
              </w:rPr>
            </w:pPr>
            <w:r>
              <w:rPr>
                <w:rFonts w:ascii="Times New Roman" w:eastAsia="Times New Roman" w:hAnsi="Times New Roman" w:cs="Times New Roman"/>
                <w:color w:val="000000"/>
                <w:spacing w:val="0"/>
                <w:w w:val="100"/>
                <w:position w:val="0"/>
                <w:sz w:val="24"/>
                <w:szCs w:val="24"/>
              </w:rPr>
              <w:t>27,209,229</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140" w:right="0" w:firstLine="0"/>
              <w:jc w:val="both"/>
              <w:rPr>
                <w:sz w:val="24"/>
                <w:szCs w:val="24"/>
              </w:rPr>
            </w:pPr>
            <w:r>
              <w:rPr>
                <w:rFonts w:ascii="Times New Roman" w:eastAsia="Times New Roman" w:hAnsi="Times New Roman" w:cs="Times New Roman"/>
                <w:color w:val="000000"/>
                <w:spacing w:val="0"/>
                <w:w w:val="100"/>
                <w:position w:val="0"/>
                <w:sz w:val="24"/>
                <w:szCs w:val="24"/>
              </w:rPr>
              <w:t>27,115,557</w:t>
            </w:r>
          </w:p>
        </w:tc>
      </w:tr>
      <w:tr>
        <w:trPr>
          <w:trHeight w:val="634"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其中：存放在境外的款项总额</w:t>
            </w:r>
          </w:p>
        </w:tc>
        <w:tc>
          <w:tcPr>
            <w:tcBorders>
              <w:top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300" w:firstLine="0"/>
              <w:jc w:val="right"/>
              <w:rPr>
                <w:sz w:val="24"/>
                <w:szCs w:val="24"/>
              </w:rPr>
            </w:pPr>
            <w:r>
              <w:rPr>
                <w:rFonts w:ascii="Times New Roman" w:eastAsia="Times New Roman" w:hAnsi="Times New Roman" w:cs="Times New Roman"/>
                <w:color w:val="000000"/>
                <w:spacing w:val="0"/>
                <w:w w:val="100"/>
                <w:position w:val="0"/>
                <w:sz w:val="24"/>
                <w:szCs w:val="24"/>
              </w:rPr>
              <w:t>3,649,032</w:t>
            </w:r>
          </w:p>
        </w:tc>
        <w:tc>
          <w:tcPr>
            <w:tcBorders>
              <w:top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4,859,423</w:t>
            </w:r>
          </w:p>
        </w:tc>
      </w:tr>
    </w:tbl>
    <w:p>
      <w:pPr>
        <w:widowControl w:val="0"/>
        <w:spacing w:after="259" w:line="1" w:lineRule="exact"/>
      </w:pPr>
    </w:p>
    <w:p>
      <w:pPr>
        <w:pStyle w:val="Style32"/>
        <w:keepNext w:val="0"/>
        <w:keepLines w:val="0"/>
        <w:widowControl w:val="0"/>
        <w:shd w:val="clear" w:color="auto" w:fill="auto"/>
        <w:bidi w:val="0"/>
        <w:spacing w:before="0" w:after="260" w:line="314" w:lineRule="exact"/>
        <w:ind w:left="700" w:right="0" w:firstLine="20"/>
        <w:jc w:val="both"/>
        <w:rPr>
          <w:sz w:val="24"/>
          <w:szCs w:val="24"/>
        </w:rPr>
      </w:pPr>
      <w:r>
        <w:rPr>
          <w:color w:val="000000"/>
          <w:spacing w:val="0"/>
          <w:w w:val="100"/>
          <w:position w:val="0"/>
          <w:sz w:val="24"/>
          <w:szCs w:val="24"/>
        </w:rPr>
        <w:t>于</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日，本集团约人民币</w:t>
      </w:r>
      <w:r>
        <w:rPr>
          <w:rFonts w:ascii="Times New Roman" w:eastAsia="Times New Roman" w:hAnsi="Times New Roman" w:cs="Times New Roman"/>
          <w:color w:val="000000"/>
          <w:spacing w:val="0"/>
          <w:w w:val="100"/>
          <w:position w:val="0"/>
          <w:sz w:val="24"/>
          <w:szCs w:val="24"/>
        </w:rPr>
        <w:t>83.76</w:t>
      </w:r>
      <w:r>
        <w:rPr>
          <w:color w:val="000000"/>
          <w:spacing w:val="0"/>
          <w:w w:val="100"/>
          <w:position w:val="0"/>
          <w:sz w:val="24"/>
          <w:szCs w:val="24"/>
        </w:rPr>
        <w:t>亿元</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日：约人民 币</w:t>
      </w:r>
      <w:r>
        <w:rPr>
          <w:rFonts w:ascii="Times New Roman" w:eastAsia="Times New Roman" w:hAnsi="Times New Roman" w:cs="Times New Roman"/>
          <w:color w:val="000000"/>
          <w:spacing w:val="0"/>
          <w:w w:val="100"/>
          <w:position w:val="0"/>
          <w:sz w:val="24"/>
          <w:szCs w:val="24"/>
        </w:rPr>
        <w:t>82.12</w:t>
      </w:r>
      <w:r>
        <w:rPr>
          <w:color w:val="000000"/>
          <w:spacing w:val="0"/>
          <w:w w:val="100"/>
          <w:position w:val="0"/>
          <w:sz w:val="24"/>
          <w:szCs w:val="24"/>
        </w:rPr>
        <w:t>亿元</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的其他货币资金质押给银行用于开立银行承兑汇票</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附注四</w:t>
      </w:r>
      <w:r>
        <w:rPr>
          <w:rFonts w:ascii="Times New Roman" w:eastAsia="Times New Roman" w:hAnsi="Times New Roman" w:cs="Times New Roman"/>
          <w:color w:val="000000"/>
          <w:spacing w:val="0"/>
          <w:w w:val="100"/>
          <w:position w:val="0"/>
          <w:sz w:val="24"/>
          <w:szCs w:val="24"/>
        </w:rPr>
        <w:t>（24））</w:t>
      </w:r>
      <w:r>
        <w:rPr>
          <w:color w:val="000000"/>
          <w:spacing w:val="0"/>
          <w:w w:val="100"/>
          <w:position w:val="0"/>
          <w:sz w:val="24"/>
          <w:szCs w:val="24"/>
        </w:rPr>
        <w:t>, 无银行承兑保证金</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日：人民币</w:t>
      </w:r>
      <w:r>
        <w:rPr>
          <w:rFonts w:ascii="Times New Roman" w:eastAsia="Times New Roman" w:hAnsi="Times New Roman" w:cs="Times New Roman"/>
          <w:color w:val="000000"/>
          <w:spacing w:val="0"/>
          <w:w w:val="100"/>
          <w:position w:val="0"/>
          <w:sz w:val="24"/>
          <w:szCs w:val="24"/>
        </w:rPr>
        <w:t>6,000</w:t>
      </w:r>
      <w:r>
        <w:rPr>
          <w:color w:val="000000"/>
          <w:spacing w:val="0"/>
          <w:w w:val="100"/>
          <w:position w:val="0"/>
          <w:sz w:val="24"/>
          <w:szCs w:val="24"/>
        </w:rPr>
        <w:t>万元</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质押给银行作为短期 借款的质押物</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附注四</w:t>
      </w:r>
      <w:r>
        <w:rPr>
          <w:rFonts w:ascii="Times New Roman" w:eastAsia="Times New Roman" w:hAnsi="Times New Roman" w:cs="Times New Roman"/>
          <w:color w:val="000000"/>
          <w:spacing w:val="0"/>
          <w:w w:val="100"/>
          <w:position w:val="0"/>
          <w:sz w:val="24"/>
          <w:szCs w:val="24"/>
        </w:rPr>
        <w:t>（22））</w:t>
      </w:r>
      <w:r>
        <w:rPr>
          <w:color w:val="000000"/>
          <w:spacing w:val="0"/>
          <w:w w:val="100"/>
          <w:position w:val="0"/>
          <w:sz w:val="24"/>
          <w:szCs w:val="24"/>
        </w:rPr>
        <w:t>。</w:t>
      </w:r>
    </w:p>
    <w:p>
      <w:pPr>
        <w:pStyle w:val="Style32"/>
        <w:keepNext w:val="0"/>
        <w:keepLines w:val="0"/>
        <w:widowControl w:val="0"/>
        <w:shd w:val="clear" w:color="auto" w:fill="auto"/>
        <w:bidi w:val="0"/>
        <w:spacing w:before="0" w:after="260" w:line="313" w:lineRule="exact"/>
        <w:ind w:left="700" w:right="0" w:firstLine="20"/>
        <w:jc w:val="both"/>
        <w:rPr>
          <w:sz w:val="24"/>
          <w:szCs w:val="24"/>
        </w:rPr>
      </w:pPr>
      <w:r>
        <w:rPr>
          <w:color w:val="000000"/>
          <w:spacing w:val="0"/>
          <w:w w:val="100"/>
          <w:position w:val="0"/>
          <w:sz w:val="24"/>
          <w:szCs w:val="24"/>
        </w:rPr>
        <w:t>于</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日，本集团将约人民币</w:t>
      </w:r>
      <w:r>
        <w:rPr>
          <w:rFonts w:ascii="Times New Roman" w:eastAsia="Times New Roman" w:hAnsi="Times New Roman" w:cs="Times New Roman"/>
          <w:color w:val="000000"/>
          <w:spacing w:val="0"/>
          <w:w w:val="100"/>
          <w:position w:val="0"/>
          <w:sz w:val="24"/>
          <w:szCs w:val="24"/>
        </w:rPr>
        <w:t>2,610</w:t>
      </w:r>
      <w:r>
        <w:rPr>
          <w:color w:val="000000"/>
          <w:spacing w:val="0"/>
          <w:w w:val="100"/>
          <w:position w:val="0"/>
          <w:sz w:val="24"/>
          <w:szCs w:val="24"/>
        </w:rPr>
        <w:t>万元</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w:t>
      </w:r>
      <w:r>
        <w:rPr>
          <w:rFonts w:ascii="Times New Roman" w:eastAsia="Times New Roman" w:hAnsi="Times New Roman" w:cs="Times New Roman"/>
          <w:color w:val="000000"/>
          <w:spacing w:val="0"/>
          <w:w w:val="100"/>
          <w:position w:val="0"/>
          <w:sz w:val="24"/>
          <w:szCs w:val="24"/>
        </w:rPr>
        <w:t xml:space="preserve">2,610 </w:t>
      </w:r>
      <w:r>
        <w:rPr>
          <w:color w:val="000000"/>
          <w:spacing w:val="0"/>
          <w:w w:val="100"/>
          <w:position w:val="0"/>
          <w:sz w:val="24"/>
          <w:szCs w:val="24"/>
        </w:rPr>
        <w:t>万元</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的其他货币资金质押给银行作为长期借款</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附注四</w:t>
      </w:r>
      <w:r>
        <w:rPr>
          <w:rFonts w:ascii="Times New Roman" w:eastAsia="Times New Roman" w:hAnsi="Times New Roman" w:cs="Times New Roman"/>
          <w:color w:val="000000"/>
          <w:spacing w:val="0"/>
          <w:w w:val="100"/>
          <w:position w:val="0"/>
          <w:sz w:val="24"/>
          <w:szCs w:val="24"/>
        </w:rPr>
        <w:t>（33））</w:t>
      </w:r>
      <w:r>
        <w:rPr>
          <w:color w:val="000000"/>
          <w:spacing w:val="0"/>
          <w:w w:val="100"/>
          <w:position w:val="0"/>
          <w:sz w:val="24"/>
          <w:szCs w:val="24"/>
        </w:rPr>
        <w:t>备用信用证保证金， 无其他货币资金质押给银行作为短期借款备用信用证保证金</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 xml:space="preserve">31 </w:t>
      </w:r>
      <w:r>
        <w:rPr>
          <w:color w:val="000000"/>
          <w:spacing w:val="0"/>
          <w:w w:val="100"/>
          <w:position w:val="0"/>
          <w:sz w:val="24"/>
          <w:szCs w:val="24"/>
        </w:rPr>
        <w:t>日：约人民币</w:t>
      </w:r>
      <w:r>
        <w:rPr>
          <w:rFonts w:ascii="Times New Roman" w:eastAsia="Times New Roman" w:hAnsi="Times New Roman" w:cs="Times New Roman"/>
          <w:color w:val="000000"/>
          <w:spacing w:val="0"/>
          <w:w w:val="100"/>
          <w:position w:val="0"/>
          <w:sz w:val="24"/>
          <w:szCs w:val="24"/>
        </w:rPr>
        <w:t>10.35</w:t>
      </w:r>
      <w:r>
        <w:rPr>
          <w:color w:val="000000"/>
          <w:spacing w:val="0"/>
          <w:w w:val="100"/>
          <w:position w:val="0"/>
          <w:sz w:val="24"/>
          <w:szCs w:val="24"/>
        </w:rPr>
        <w:t>亿元</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附注四</w:t>
      </w:r>
      <w:r>
        <w:rPr>
          <w:rFonts w:ascii="Times New Roman" w:eastAsia="Times New Roman" w:hAnsi="Times New Roman" w:cs="Times New Roman"/>
          <w:color w:val="000000"/>
          <w:spacing w:val="0"/>
          <w:w w:val="100"/>
          <w:position w:val="0"/>
          <w:sz w:val="24"/>
          <w:szCs w:val="24"/>
        </w:rPr>
        <w:t>（22））</w:t>
      </w:r>
      <w:r>
        <w:rPr>
          <w:color w:val="000000"/>
          <w:spacing w:val="0"/>
          <w:w w:val="100"/>
          <w:position w:val="0"/>
          <w:sz w:val="24"/>
          <w:szCs w:val="24"/>
        </w:rPr>
        <w:t>，约人民币</w:t>
      </w:r>
      <w:r>
        <w:rPr>
          <w:rFonts w:ascii="Times New Roman" w:eastAsia="Times New Roman" w:hAnsi="Times New Roman" w:cs="Times New Roman"/>
          <w:color w:val="000000"/>
          <w:spacing w:val="0"/>
          <w:w w:val="100"/>
          <w:position w:val="0"/>
          <w:sz w:val="24"/>
          <w:szCs w:val="24"/>
        </w:rPr>
        <w:t>3.54</w:t>
      </w:r>
      <w:r>
        <w:rPr>
          <w:color w:val="000000"/>
          <w:spacing w:val="0"/>
          <w:w w:val="100"/>
          <w:position w:val="0"/>
          <w:sz w:val="24"/>
          <w:szCs w:val="24"/>
        </w:rPr>
        <w:t>亿元</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 xml:space="preserve">31 </w:t>
      </w:r>
      <w:r>
        <w:rPr>
          <w:color w:val="000000"/>
          <w:spacing w:val="0"/>
          <w:w w:val="100"/>
          <w:position w:val="0"/>
          <w:sz w:val="24"/>
          <w:szCs w:val="24"/>
        </w:rPr>
        <w:t>日：约人民币</w:t>
      </w:r>
      <w:r>
        <w:rPr>
          <w:rFonts w:ascii="Times New Roman" w:eastAsia="Times New Roman" w:hAnsi="Times New Roman" w:cs="Times New Roman"/>
          <w:color w:val="000000"/>
          <w:spacing w:val="0"/>
          <w:w w:val="100"/>
          <w:position w:val="0"/>
          <w:sz w:val="24"/>
          <w:szCs w:val="24"/>
        </w:rPr>
        <w:t>4.33</w:t>
      </w:r>
      <w:r>
        <w:rPr>
          <w:color w:val="000000"/>
          <w:spacing w:val="0"/>
          <w:w w:val="100"/>
          <w:position w:val="0"/>
          <w:sz w:val="24"/>
          <w:szCs w:val="24"/>
        </w:rPr>
        <w:t>亿元</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作为保函保证金。</w:t>
      </w:r>
    </w:p>
    <w:p>
      <w:pPr>
        <w:pStyle w:val="Style32"/>
        <w:keepNext w:val="0"/>
        <w:keepLines w:val="0"/>
        <w:widowControl w:val="0"/>
        <w:shd w:val="clear" w:color="auto" w:fill="auto"/>
        <w:bidi w:val="0"/>
        <w:spacing w:before="0" w:after="260" w:line="314" w:lineRule="exact"/>
        <w:ind w:left="700" w:right="0" w:firstLine="20"/>
        <w:jc w:val="both"/>
        <w:rPr>
          <w:sz w:val="24"/>
          <w:szCs w:val="24"/>
        </w:rPr>
      </w:pPr>
      <w:r>
        <w:rPr>
          <w:color w:val="000000"/>
          <w:spacing w:val="0"/>
          <w:w w:val="100"/>
          <w:position w:val="0"/>
          <w:sz w:val="24"/>
          <w:szCs w:val="24"/>
        </w:rPr>
        <w:t>于</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 xml:space="preserve">日，本集团受中国人民银行监管的备付金账户有约人民币 </w:t>
      </w:r>
      <w:r>
        <w:rPr>
          <w:rFonts w:ascii="Times New Roman" w:eastAsia="Times New Roman" w:hAnsi="Times New Roman" w:cs="Times New Roman"/>
          <w:color w:val="000000"/>
          <w:spacing w:val="0"/>
          <w:w w:val="100"/>
          <w:position w:val="0"/>
          <w:sz w:val="24"/>
          <w:szCs w:val="24"/>
        </w:rPr>
        <w:t>5.51</w:t>
      </w:r>
      <w:r>
        <w:rPr>
          <w:color w:val="000000"/>
          <w:spacing w:val="0"/>
          <w:w w:val="100"/>
          <w:position w:val="0"/>
          <w:sz w:val="24"/>
          <w:szCs w:val="24"/>
        </w:rPr>
        <w:t>亿元</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日：约人民币</w:t>
      </w:r>
      <w:r>
        <w:rPr>
          <w:rFonts w:ascii="Times New Roman" w:eastAsia="Times New Roman" w:hAnsi="Times New Roman" w:cs="Times New Roman"/>
          <w:color w:val="000000"/>
          <w:spacing w:val="0"/>
          <w:w w:val="100"/>
          <w:position w:val="0"/>
          <w:sz w:val="24"/>
          <w:szCs w:val="24"/>
        </w:rPr>
        <w:t>5.32</w:t>
      </w:r>
      <w:r>
        <w:rPr>
          <w:color w:val="000000"/>
          <w:spacing w:val="0"/>
          <w:w w:val="100"/>
          <w:position w:val="0"/>
          <w:sz w:val="24"/>
          <w:szCs w:val="24"/>
        </w:rPr>
        <w:t>亿元</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易付宝账户充值余额</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含相应 的从备付金银行账户利息中计提的</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风险准备金</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w:t>
      </w:r>
    </w:p>
    <w:p>
      <w:pPr>
        <w:pStyle w:val="Style32"/>
        <w:keepNext w:val="0"/>
        <w:keepLines w:val="0"/>
        <w:widowControl w:val="0"/>
        <w:shd w:val="clear" w:color="auto" w:fill="auto"/>
        <w:bidi w:val="0"/>
        <w:spacing w:before="0" w:after="260" w:line="310" w:lineRule="exact"/>
        <w:ind w:left="700" w:right="0" w:firstLine="20"/>
        <w:jc w:val="both"/>
        <w:rPr>
          <w:sz w:val="24"/>
          <w:szCs w:val="24"/>
        </w:rPr>
        <w:sectPr>
          <w:footnotePr>
            <w:pos w:val="pageBottom"/>
            <w:numFmt w:val="decimal"/>
            <w:numRestart w:val="continuous"/>
          </w:footnotePr>
          <w:pgSz w:w="11900" w:h="16840"/>
          <w:pgMar w:top="1354" w:right="1057" w:bottom="1354" w:left="1703" w:header="0" w:footer="3" w:gutter="0"/>
          <w:cols w:space="720"/>
          <w:noEndnote/>
          <w:rtlGutter w:val="0"/>
          <w:docGrid w:linePitch="360"/>
        </w:sectPr>
      </w:pPr>
      <w:r>
        <w:rPr>
          <w:color w:val="000000"/>
          <w:spacing w:val="0"/>
          <w:w w:val="100"/>
          <w:position w:val="0"/>
          <w:sz w:val="24"/>
          <w:szCs w:val="24"/>
        </w:rPr>
        <w:t>于</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 xml:space="preserve">日，其他货币资金包含银行卡跨行交易的在途货款约人民币 </w:t>
      </w:r>
      <w:r>
        <w:rPr>
          <w:rFonts w:ascii="Times New Roman" w:eastAsia="Times New Roman" w:hAnsi="Times New Roman" w:cs="Times New Roman"/>
          <w:color w:val="000000"/>
          <w:spacing w:val="0"/>
          <w:w w:val="100"/>
          <w:position w:val="0"/>
          <w:sz w:val="24"/>
          <w:szCs w:val="24"/>
        </w:rPr>
        <w:t>5.56</w:t>
      </w:r>
      <w:r>
        <w:rPr>
          <w:color w:val="000000"/>
          <w:spacing w:val="0"/>
          <w:w w:val="100"/>
          <w:position w:val="0"/>
          <w:sz w:val="24"/>
          <w:szCs w:val="24"/>
        </w:rPr>
        <w:t>亿元</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日：约人民币</w:t>
      </w:r>
      <w:r>
        <w:rPr>
          <w:rFonts w:ascii="Times New Roman" w:eastAsia="Times New Roman" w:hAnsi="Times New Roman" w:cs="Times New Roman"/>
          <w:color w:val="000000"/>
          <w:spacing w:val="0"/>
          <w:w w:val="100"/>
          <w:position w:val="0"/>
          <w:sz w:val="24"/>
          <w:szCs w:val="24"/>
        </w:rPr>
        <w:t>1.08</w:t>
      </w:r>
      <w:r>
        <w:rPr>
          <w:color w:val="000000"/>
          <w:spacing w:val="0"/>
          <w:w w:val="100"/>
          <w:position w:val="0"/>
          <w:sz w:val="24"/>
          <w:szCs w:val="24"/>
        </w:rPr>
        <w:t>亿元</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和存放于本集团之联营公司 苏宁消费金融有限公司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苏宁消费金融</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的定期存款人民币</w:t>
      </w:r>
      <w:r>
        <w:rPr>
          <w:rFonts w:ascii="Times New Roman" w:eastAsia="Times New Roman" w:hAnsi="Times New Roman" w:cs="Times New Roman"/>
          <w:color w:val="000000"/>
          <w:spacing w:val="0"/>
          <w:w w:val="100"/>
          <w:position w:val="0"/>
          <w:sz w:val="24"/>
          <w:szCs w:val="24"/>
        </w:rPr>
        <w:t>8.9</w:t>
      </w:r>
      <w:r>
        <w:rPr>
          <w:color w:val="000000"/>
          <w:spacing w:val="0"/>
          <w:w w:val="100"/>
          <w:position w:val="0"/>
          <w:sz w:val="24"/>
          <w:szCs w:val="24"/>
        </w:rPr>
        <w:t>亿元</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 xml:space="preserve">12 </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日：人民币</w:t>
      </w:r>
      <w:r>
        <w:rPr>
          <w:rFonts w:ascii="Times New Roman" w:eastAsia="Times New Roman" w:hAnsi="Times New Roman" w:cs="Times New Roman"/>
          <w:color w:val="000000"/>
          <w:spacing w:val="0"/>
          <w:w w:val="100"/>
          <w:position w:val="0"/>
          <w:sz w:val="24"/>
          <w:szCs w:val="24"/>
        </w:rPr>
        <w:t>11.7</w:t>
      </w:r>
      <w:r>
        <w:rPr>
          <w:color w:val="000000"/>
          <w:spacing w:val="0"/>
          <w:w w:val="100"/>
          <w:position w:val="0"/>
          <w:sz w:val="24"/>
          <w:szCs w:val="24"/>
        </w:rPr>
        <w:t>亿元</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附注八</w:t>
      </w:r>
      <w:r>
        <w:rPr>
          <w:rFonts w:ascii="Times New Roman" w:eastAsia="Times New Roman" w:hAnsi="Times New Roman" w:cs="Times New Roman"/>
          <w:color w:val="000000"/>
          <w:spacing w:val="0"/>
          <w:w w:val="100"/>
          <w:position w:val="0"/>
          <w:sz w:val="24"/>
          <w:szCs w:val="24"/>
        </w:rPr>
        <w:t>（8））</w:t>
      </w:r>
      <w:r>
        <w:rPr>
          <w:color w:val="000000"/>
          <w:spacing w:val="0"/>
          <w:w w:val="100"/>
          <w:position w:val="0"/>
          <w:sz w:val="24"/>
          <w:szCs w:val="24"/>
        </w:rPr>
        <w:t>。</w:t>
      </w:r>
    </w:p>
    <w:p>
      <w:pPr>
        <w:pStyle w:val="Style32"/>
        <w:keepNext w:val="0"/>
        <w:keepLines w:val="0"/>
        <w:widowControl w:val="0"/>
        <w:shd w:val="clear" w:color="auto" w:fill="auto"/>
        <w:bidi w:val="0"/>
        <w:spacing w:before="0" w:after="0" w:line="240" w:lineRule="auto"/>
        <w:ind w:left="0" w:right="0" w:firstLine="660"/>
        <w:jc w:val="left"/>
        <w:rPr>
          <w:sz w:val="24"/>
          <w:szCs w:val="24"/>
        </w:rPr>
      </w:pPr>
      <w:r>
        <w:rPr>
          <w:b/>
          <w:bCs/>
          <w:color w:val="000000"/>
          <w:spacing w:val="0"/>
          <w:w w:val="100"/>
          <w:position w:val="0"/>
          <w:sz w:val="24"/>
          <w:szCs w:val="24"/>
        </w:rPr>
        <w:t>财务报表附注</w:t>
      </w:r>
    </w:p>
    <w:p>
      <w:pPr>
        <w:pStyle w:val="Style88"/>
        <w:keepNext/>
        <w:keepLines/>
        <w:widowControl w:val="0"/>
        <w:shd w:val="clear" w:color="auto" w:fill="auto"/>
        <w:bidi w:val="0"/>
        <w:spacing w:before="0" w:after="0" w:line="240" w:lineRule="auto"/>
        <w:ind w:left="0" w:right="0" w:firstLine="660"/>
        <w:jc w:val="left"/>
      </w:pPr>
      <w:bookmarkStart w:id="805" w:name="bookmark805"/>
      <w:bookmarkStart w:id="806" w:name="bookmark806"/>
      <w:bookmarkStart w:id="807" w:name="bookmark807"/>
      <w:r>
        <w:rPr>
          <w:color w:val="000000"/>
          <w:spacing w:val="0"/>
          <w:w w:val="100"/>
          <w:position w:val="0"/>
          <w:sz w:val="24"/>
          <w:szCs w:val="24"/>
        </w:rPr>
        <w:t>2016</w:t>
      </w:r>
      <w:r>
        <w:rPr>
          <w:rFonts w:ascii="SimSun" w:eastAsia="SimSun" w:hAnsi="SimSun" w:cs="SimSun"/>
          <w:b/>
          <w:bCs/>
          <w:color w:val="000000"/>
          <w:spacing w:val="0"/>
          <w:w w:val="100"/>
          <w:position w:val="0"/>
          <w:sz w:val="24"/>
          <w:szCs w:val="24"/>
        </w:rPr>
        <w:t>年度</w:t>
      </w:r>
      <w:bookmarkEnd w:id="805"/>
      <w:bookmarkEnd w:id="806"/>
      <w:bookmarkEnd w:id="807"/>
    </w:p>
    <w:p>
      <w:pPr>
        <w:pStyle w:val="Style32"/>
        <w:keepNext w:val="0"/>
        <w:keepLines w:val="0"/>
        <w:widowControl w:val="0"/>
        <w:shd w:val="clear" w:color="auto" w:fill="auto"/>
        <w:bidi w:val="0"/>
        <w:spacing w:before="0" w:after="260" w:line="240" w:lineRule="auto"/>
        <w:ind w:left="0" w:right="0" w:firstLine="660"/>
        <w:jc w:val="left"/>
        <w:rPr>
          <w:sz w:val="20"/>
          <w:szCs w:val="20"/>
        </w:rPr>
      </w:pPr>
      <w:r>
        <w:rPr>
          <w:rFonts w:ascii="Arial" w:eastAsia="Arial" w:hAnsi="Arial" w:cs="Arial"/>
          <w:color w:val="000000"/>
          <w:spacing w:val="0"/>
          <w:w w:val="100"/>
          <w:position w:val="0"/>
          <w:sz w:val="20"/>
          <w:szCs w:val="20"/>
        </w:rPr>
        <w:t>(</w:t>
      </w:r>
      <w:r>
        <w:rPr>
          <w:color w:val="000000"/>
          <w:spacing w:val="0"/>
          <w:w w:val="100"/>
          <w:position w:val="0"/>
          <w:sz w:val="20"/>
          <w:szCs w:val="20"/>
        </w:rPr>
        <w:t>除特别注明外，金额单位为人民币千元</w:t>
      </w:r>
      <w:r>
        <w:rPr>
          <w:rFonts w:ascii="Arial" w:eastAsia="Arial" w:hAnsi="Arial" w:cs="Arial"/>
          <w:color w:val="000000"/>
          <w:spacing w:val="0"/>
          <w:w w:val="100"/>
          <w:position w:val="0"/>
          <w:sz w:val="20"/>
          <w:szCs w:val="20"/>
        </w:rPr>
        <w:t>)</w:t>
      </w:r>
    </w:p>
    <w:p>
      <w:pPr>
        <w:pStyle w:val="Style32"/>
        <w:keepNext w:val="0"/>
        <w:keepLines w:val="0"/>
        <w:widowControl w:val="0"/>
        <w:shd w:val="clear" w:color="auto" w:fill="auto"/>
        <w:tabs>
          <w:tab w:pos="627" w:val="left"/>
        </w:tabs>
        <w:bidi w:val="0"/>
        <w:spacing w:before="0" w:after="260" w:line="240" w:lineRule="auto"/>
        <w:ind w:left="0" w:right="0" w:firstLine="0"/>
        <w:jc w:val="left"/>
        <w:rPr>
          <w:sz w:val="24"/>
          <w:szCs w:val="24"/>
        </w:rPr>
      </w:pPr>
      <w:r>
        <w:rPr>
          <w:b/>
          <w:bCs/>
          <w:color w:val="000000"/>
          <w:spacing w:val="0"/>
          <w:w w:val="100"/>
          <w:position w:val="0"/>
          <w:sz w:val="24"/>
          <w:szCs w:val="24"/>
        </w:rPr>
        <w:t>四</w:t>
        <w:tab/>
        <w:t>合并财务报表项目附注</w:t>
      </w:r>
      <w:r>
        <w:rPr>
          <w:rFonts w:ascii="Times New Roman" w:eastAsia="Times New Roman" w:hAnsi="Times New Roman" w:cs="Times New Roman"/>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4"/>
          <w:szCs w:val="24"/>
        </w:rPr>
        <w:t>)</w:t>
      </w:r>
    </w:p>
    <w:p>
      <w:pPr>
        <w:pStyle w:val="Style32"/>
        <w:keepNext w:val="0"/>
        <w:keepLines w:val="0"/>
        <w:widowControl w:val="0"/>
        <w:shd w:val="clear" w:color="auto" w:fill="auto"/>
        <w:tabs>
          <w:tab w:pos="627" w:val="left"/>
        </w:tabs>
        <w:bidi w:val="0"/>
        <w:spacing w:before="0" w:after="26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(2)</w:t>
        <w:tab/>
      </w:r>
      <w:r>
        <w:rPr>
          <w:b/>
          <w:bCs/>
          <w:color w:val="000000"/>
          <w:spacing w:val="0"/>
          <w:w w:val="100"/>
          <w:position w:val="0"/>
          <w:sz w:val="24"/>
          <w:szCs w:val="24"/>
        </w:rPr>
        <w:t>发放贷款及垫款</w:t>
      </w:r>
    </w:p>
    <w:tbl>
      <w:tblPr>
        <w:tblOverlap w:val="never"/>
        <w:jc w:val="right"/>
        <w:tblLayout w:type="fixed"/>
      </w:tblPr>
      <w:tblGrid>
        <w:gridCol w:w="3408"/>
        <w:gridCol w:w="2611"/>
        <w:gridCol w:w="2419"/>
      </w:tblGrid>
      <w:tr>
        <w:trPr>
          <w:trHeight w:val="427"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320" w:firstLine="0"/>
              <w:jc w:val="right"/>
              <w:rPr>
                <w:sz w:val="24"/>
                <w:szCs w:val="24"/>
              </w:rPr>
            </w:pP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2015</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w:t>
            </w:r>
          </w:p>
        </w:tc>
      </w:tr>
      <w:tr>
        <w:trPr>
          <w:trHeight w:val="494"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发放贷款及垫款总额</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160" w:right="0" w:firstLine="0"/>
              <w:jc w:val="left"/>
              <w:rPr>
                <w:sz w:val="24"/>
                <w:szCs w:val="24"/>
              </w:rPr>
            </w:pPr>
            <w:r>
              <w:rPr>
                <w:rFonts w:ascii="Times New Roman" w:eastAsia="Times New Roman" w:hAnsi="Times New Roman" w:cs="Times New Roman"/>
                <w:color w:val="000000"/>
                <w:spacing w:val="0"/>
                <w:w w:val="100"/>
                <w:position w:val="0"/>
                <w:sz w:val="24"/>
                <w:szCs w:val="24"/>
              </w:rPr>
              <w:t>4,224,669</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320" w:right="0" w:firstLine="0"/>
              <w:jc w:val="left"/>
              <w:rPr>
                <w:sz w:val="24"/>
                <w:szCs w:val="24"/>
              </w:rPr>
            </w:pPr>
            <w:r>
              <w:rPr>
                <w:rFonts w:ascii="Times New Roman" w:eastAsia="Times New Roman" w:hAnsi="Times New Roman" w:cs="Times New Roman"/>
                <w:color w:val="000000"/>
                <w:spacing w:val="0"/>
                <w:w w:val="100"/>
                <w:position w:val="0"/>
                <w:sz w:val="24"/>
                <w:szCs w:val="24"/>
              </w:rPr>
              <w:t>1,313,178</w:t>
            </w:r>
          </w:p>
        </w:tc>
      </w:tr>
      <w:tr>
        <w:trPr>
          <w:trHeight w:val="302"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减：贷款损失准备</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320" w:firstLine="0"/>
              <w:jc w:val="right"/>
              <w:rPr>
                <w:sz w:val="24"/>
                <w:szCs w:val="24"/>
              </w:rPr>
            </w:pPr>
            <w:r>
              <w:rPr>
                <w:rFonts w:ascii="Times New Roman" w:eastAsia="Times New Roman" w:hAnsi="Times New Roman" w:cs="Times New Roman"/>
                <w:color w:val="000000"/>
                <w:spacing w:val="0"/>
                <w:w w:val="100"/>
                <w:position w:val="0"/>
                <w:sz w:val="24"/>
                <w:szCs w:val="24"/>
              </w:rPr>
              <w:t>(3,543)</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(1,510)</w:t>
            </w:r>
          </w:p>
        </w:tc>
      </w:tr>
      <w:tr>
        <w:trPr>
          <w:trHeight w:val="427"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1160" w:right="0" w:firstLine="0"/>
              <w:jc w:val="left"/>
              <w:rPr>
                <w:sz w:val="24"/>
                <w:szCs w:val="24"/>
              </w:rPr>
            </w:pPr>
            <w:r>
              <w:rPr>
                <w:rFonts w:ascii="Times New Roman" w:eastAsia="Times New Roman" w:hAnsi="Times New Roman" w:cs="Times New Roman"/>
                <w:color w:val="000000"/>
                <w:spacing w:val="0"/>
                <w:w w:val="100"/>
                <w:position w:val="0"/>
                <w:sz w:val="24"/>
                <w:szCs w:val="24"/>
              </w:rPr>
              <w:t>4,221,126</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1320" w:right="0" w:firstLine="0"/>
              <w:jc w:val="left"/>
              <w:rPr>
                <w:sz w:val="24"/>
                <w:szCs w:val="24"/>
              </w:rPr>
            </w:pPr>
            <w:r>
              <w:rPr>
                <w:rFonts w:ascii="Times New Roman" w:eastAsia="Times New Roman" w:hAnsi="Times New Roman" w:cs="Times New Roman"/>
                <w:color w:val="000000"/>
                <w:spacing w:val="0"/>
                <w:w w:val="100"/>
                <w:position w:val="0"/>
                <w:sz w:val="24"/>
                <w:szCs w:val="24"/>
              </w:rPr>
              <w:t>1,311,668</w:t>
            </w:r>
          </w:p>
        </w:tc>
      </w:tr>
      <w:tr>
        <w:trPr>
          <w:trHeight w:val="446"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减：一年以上到期的发放贷</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07"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60"/>
              <w:jc w:val="left"/>
              <w:rPr>
                <w:sz w:val="24"/>
                <w:szCs w:val="24"/>
              </w:rPr>
            </w:pPr>
            <w:r>
              <w:rPr>
                <w:color w:val="000000"/>
                <w:spacing w:val="0"/>
                <w:w w:val="100"/>
                <w:position w:val="0"/>
                <w:sz w:val="24"/>
                <w:szCs w:val="24"/>
              </w:rPr>
              <w:t>款及垫款</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320" w:firstLine="0"/>
              <w:jc w:val="right"/>
              <w:rPr>
                <w:sz w:val="24"/>
                <w:szCs w:val="24"/>
              </w:rPr>
            </w:pPr>
            <w:r>
              <w:rPr>
                <w:rFonts w:ascii="Times New Roman" w:eastAsia="Times New Roman" w:hAnsi="Times New Roman" w:cs="Times New Roman"/>
                <w:color w:val="000000"/>
                <w:spacing w:val="0"/>
                <w:w w:val="100"/>
                <w:position w:val="0"/>
                <w:sz w:val="24"/>
                <w:szCs w:val="24"/>
              </w:rPr>
              <w:t>(1,288,959)</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1320" w:right="0" w:firstLine="0"/>
              <w:jc w:val="left"/>
              <w:rPr>
                <w:sz w:val="24"/>
                <w:szCs w:val="24"/>
              </w:rPr>
            </w:pPr>
            <w:r>
              <w:rPr>
                <w:rFonts w:ascii="Times New Roman" w:eastAsia="Times New Roman" w:hAnsi="Times New Roman" w:cs="Times New Roman"/>
                <w:color w:val="000000"/>
                <w:spacing w:val="0"/>
                <w:w w:val="100"/>
                <w:position w:val="0"/>
                <w:sz w:val="24"/>
                <w:szCs w:val="24"/>
              </w:rPr>
              <w:t>-</w:t>
            </w:r>
          </w:p>
        </w:tc>
      </w:tr>
      <w:tr>
        <w:trPr>
          <w:trHeight w:val="312" w:hRule="exact"/>
        </w:trPr>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160" w:right="0" w:firstLine="0"/>
              <w:jc w:val="left"/>
              <w:rPr>
                <w:sz w:val="24"/>
                <w:szCs w:val="24"/>
              </w:rPr>
            </w:pPr>
            <w:r>
              <w:rPr>
                <w:rFonts w:ascii="Times New Roman" w:eastAsia="Times New Roman" w:hAnsi="Times New Roman" w:cs="Times New Roman"/>
                <w:color w:val="000000"/>
                <w:spacing w:val="0"/>
                <w:w w:val="100"/>
                <w:position w:val="0"/>
                <w:sz w:val="24"/>
                <w:szCs w:val="24"/>
              </w:rPr>
              <w:t>2,932,167</w:t>
            </w:r>
          </w:p>
        </w:tc>
        <w:tc>
          <w:tcPr>
            <w:tcBorders>
              <w:top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320" w:right="0" w:firstLine="0"/>
              <w:jc w:val="left"/>
              <w:rPr>
                <w:sz w:val="24"/>
                <w:szCs w:val="24"/>
              </w:rPr>
            </w:pPr>
            <w:r>
              <w:rPr>
                <w:rFonts w:ascii="Times New Roman" w:eastAsia="Times New Roman" w:hAnsi="Times New Roman" w:cs="Times New Roman"/>
                <w:color w:val="000000"/>
                <w:spacing w:val="0"/>
                <w:w w:val="100"/>
                <w:position w:val="0"/>
                <w:sz w:val="24"/>
                <w:szCs w:val="24"/>
              </w:rPr>
              <w:t>1,311,668</w:t>
            </w:r>
          </w:p>
        </w:tc>
      </w:tr>
    </w:tbl>
    <w:p>
      <w:pPr>
        <w:widowControl w:val="0"/>
        <w:spacing w:after="259" w:line="1" w:lineRule="exact"/>
      </w:pPr>
    </w:p>
    <w:p>
      <w:pPr>
        <w:pStyle w:val="Style32"/>
        <w:keepNext w:val="0"/>
        <w:keepLines w:val="0"/>
        <w:widowControl w:val="0"/>
        <w:shd w:val="clear" w:color="auto" w:fill="auto"/>
        <w:bidi w:val="0"/>
        <w:spacing w:before="0" w:after="260" w:line="324" w:lineRule="exact"/>
        <w:ind w:left="660" w:right="0" w:firstLine="20"/>
        <w:jc w:val="both"/>
        <w:rPr>
          <w:sz w:val="24"/>
          <w:szCs w:val="24"/>
        </w:rPr>
      </w:pPr>
      <w:r>
        <w:rPr>
          <w:color w:val="000000"/>
          <w:spacing w:val="0"/>
          <w:w w:val="100"/>
          <w:position w:val="0"/>
          <w:sz w:val="24"/>
          <w:szCs w:val="24"/>
        </w:rPr>
        <w:t>于</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日，发放贷款及垫款系本集团下属子公司重庆苏宁小额贷款 有限公司和苏宁商业保理有限公司对外发放的公司类贷款及垫款、个人消费信 贷等。</w:t>
      </w:r>
    </w:p>
    <w:p>
      <w:pPr>
        <w:pStyle w:val="Style32"/>
        <w:keepNext w:val="0"/>
        <w:keepLines w:val="0"/>
        <w:widowControl w:val="0"/>
        <w:shd w:val="clear" w:color="auto" w:fill="auto"/>
        <w:bidi w:val="0"/>
        <w:spacing w:before="0" w:after="260" w:line="322" w:lineRule="exact"/>
        <w:ind w:left="660" w:right="0" w:firstLine="20"/>
        <w:jc w:val="both"/>
        <w:rPr>
          <w:sz w:val="24"/>
          <w:szCs w:val="24"/>
        </w:rPr>
      </w:pPr>
      <w:r>
        <w:rPr>
          <w:color w:val="000000"/>
          <w:spacing w:val="0"/>
          <w:w w:val="100"/>
          <w:position w:val="0"/>
          <w:sz w:val="24"/>
          <w:szCs w:val="24"/>
        </w:rPr>
        <w:t>于</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日，发放贷款及垫款合计人民币</w:t>
      </w:r>
      <w:r>
        <w:rPr>
          <w:rFonts w:ascii="Times New Roman" w:eastAsia="Times New Roman" w:hAnsi="Times New Roman" w:cs="Times New Roman"/>
          <w:color w:val="000000"/>
          <w:spacing w:val="0"/>
          <w:w w:val="100"/>
          <w:position w:val="0"/>
          <w:sz w:val="24"/>
          <w:szCs w:val="24"/>
        </w:rPr>
        <w:t>4,058</w:t>
      </w:r>
      <w:r>
        <w:rPr>
          <w:color w:val="000000"/>
          <w:spacing w:val="0"/>
          <w:w w:val="100"/>
          <w:position w:val="0"/>
          <w:sz w:val="24"/>
          <w:szCs w:val="24"/>
        </w:rPr>
        <w:t>万元</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 xml:space="preserve">31 </w:t>
      </w:r>
      <w:r>
        <w:rPr>
          <w:color w:val="000000"/>
          <w:spacing w:val="0"/>
          <w:w w:val="100"/>
          <w:position w:val="0"/>
          <w:sz w:val="24"/>
          <w:szCs w:val="24"/>
        </w:rPr>
        <w:t>日：无</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已逾期，但基于对客户财务状况及过往信用记录的分析，本集团认为这 部分款项可以收回，没有发生减值，故未单独计提减值准备。</w:t>
      </w:r>
    </w:p>
    <w:p>
      <w:pPr>
        <w:pStyle w:val="Style32"/>
        <w:keepNext w:val="0"/>
        <w:keepLines w:val="0"/>
        <w:widowControl w:val="0"/>
        <w:shd w:val="clear" w:color="auto" w:fill="auto"/>
        <w:bidi w:val="0"/>
        <w:spacing w:before="0" w:after="26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 xml:space="preserve">(3) </w:t>
      </w:r>
      <w:r>
        <w:rPr>
          <w:b/>
          <w:bCs/>
          <w:color w:val="000000"/>
          <w:spacing w:val="0"/>
          <w:w w:val="100"/>
          <w:position w:val="0"/>
          <w:sz w:val="24"/>
          <w:szCs w:val="24"/>
        </w:rPr>
        <w:t>以公允价值计量且其变动计入当期损益的金融资产</w:t>
      </w:r>
    </w:p>
    <w:p>
      <w:pPr>
        <w:pStyle w:val="Style53"/>
        <w:keepNext w:val="0"/>
        <w:keepLines w:val="0"/>
        <w:widowControl w:val="0"/>
        <w:shd w:val="clear" w:color="auto" w:fill="auto"/>
        <w:tabs>
          <w:tab w:pos="2669" w:val="left"/>
        </w:tabs>
        <w:bidi w:val="0"/>
        <w:spacing w:before="0" w:after="260" w:line="240" w:lineRule="auto"/>
        <w:ind w:left="0" w:right="0" w:firstLine="0"/>
        <w:jc w:val="right"/>
        <w:rPr>
          <w:sz w:val="24"/>
          <w:szCs w:val="24"/>
        </w:rPr>
      </w:pPr>
      <w:r>
        <w:rPr>
          <w:color w:val="000000"/>
          <w:spacing w:val="0"/>
          <w:w w:val="100"/>
          <w:position w:val="0"/>
          <w:sz w:val="24"/>
          <w:szCs w:val="24"/>
        </w:rPr>
        <w:t>2016</w:t>
      </w:r>
      <w:r>
        <w:rPr>
          <w:rFonts w:ascii="SimSun" w:eastAsia="SimSun" w:hAnsi="SimSun" w:cs="SimSun"/>
          <w:color w:val="000000"/>
          <w:spacing w:val="0"/>
          <w:w w:val="100"/>
          <w:position w:val="0"/>
          <w:sz w:val="24"/>
          <w:szCs w:val="24"/>
        </w:rPr>
        <w:t>年</w:t>
      </w:r>
      <w:r>
        <w:rPr>
          <w:color w:val="000000"/>
          <w:spacing w:val="0"/>
          <w:w w:val="100"/>
          <w:position w:val="0"/>
          <w:sz w:val="24"/>
          <w:szCs w:val="24"/>
        </w:rPr>
        <w:t>12</w:t>
      </w:r>
      <w:r>
        <w:rPr>
          <w:rFonts w:ascii="SimSun" w:eastAsia="SimSun" w:hAnsi="SimSun" w:cs="SimSun"/>
          <w:color w:val="000000"/>
          <w:spacing w:val="0"/>
          <w:w w:val="100"/>
          <w:position w:val="0"/>
          <w:sz w:val="24"/>
          <w:szCs w:val="24"/>
        </w:rPr>
        <w:t>月</w:t>
      </w:r>
      <w:r>
        <w:rPr>
          <w:color w:val="000000"/>
          <w:spacing w:val="0"/>
          <w:w w:val="100"/>
          <w:position w:val="0"/>
          <w:sz w:val="24"/>
          <w:szCs w:val="24"/>
        </w:rPr>
        <w:t>31</w:t>
      </w:r>
      <w:r>
        <w:rPr>
          <w:rFonts w:ascii="SimSun" w:eastAsia="SimSun" w:hAnsi="SimSun" w:cs="SimSun"/>
          <w:color w:val="000000"/>
          <w:spacing w:val="0"/>
          <w:w w:val="100"/>
          <w:position w:val="0"/>
          <w:sz w:val="24"/>
          <w:szCs w:val="24"/>
        </w:rPr>
        <w:t>日</w:t>
        <w:tab/>
      </w:r>
      <w:r>
        <w:rPr>
          <w:color w:val="000000"/>
          <w:spacing w:val="0"/>
          <w:w w:val="100"/>
          <w:position w:val="0"/>
          <w:sz w:val="24"/>
          <w:szCs w:val="24"/>
        </w:rPr>
        <w:t>2015</w:t>
      </w:r>
      <w:r>
        <w:rPr>
          <w:rFonts w:ascii="SimSun" w:eastAsia="SimSun" w:hAnsi="SimSun" w:cs="SimSun"/>
          <w:color w:val="000000"/>
          <w:spacing w:val="0"/>
          <w:w w:val="100"/>
          <w:position w:val="0"/>
          <w:sz w:val="24"/>
          <w:szCs w:val="24"/>
        </w:rPr>
        <w:t>年</w:t>
      </w:r>
      <w:r>
        <w:rPr>
          <w:color w:val="000000"/>
          <w:spacing w:val="0"/>
          <w:w w:val="100"/>
          <w:position w:val="0"/>
          <w:sz w:val="24"/>
          <w:szCs w:val="24"/>
        </w:rPr>
        <w:t>12</w:t>
      </w:r>
      <w:r>
        <w:rPr>
          <w:rFonts w:ascii="SimSun" w:eastAsia="SimSun" w:hAnsi="SimSun" w:cs="SimSun"/>
          <w:color w:val="000000"/>
          <w:spacing w:val="0"/>
          <w:w w:val="100"/>
          <w:position w:val="0"/>
          <w:sz w:val="24"/>
          <w:szCs w:val="24"/>
        </w:rPr>
        <w:t>月</w:t>
      </w:r>
      <w:r>
        <w:rPr>
          <w:color w:val="000000"/>
          <w:spacing w:val="0"/>
          <w:w w:val="100"/>
          <w:position w:val="0"/>
          <w:sz w:val="24"/>
          <w:szCs w:val="24"/>
        </w:rPr>
        <w:t>31</w:t>
      </w:r>
      <w:r>
        <w:rPr>
          <w:rFonts w:ascii="SimSun" w:eastAsia="SimSun" w:hAnsi="SimSun" w:cs="SimSun"/>
          <w:color w:val="000000"/>
          <w:spacing w:val="0"/>
          <w:w w:val="100"/>
          <w:position w:val="0"/>
          <w:sz w:val="24"/>
          <w:szCs w:val="24"/>
        </w:rPr>
        <w:t>日</w:t>
      </w:r>
    </w:p>
    <w:p>
      <w:pPr>
        <w:pStyle w:val="Style53"/>
        <w:keepNext w:val="0"/>
        <w:keepLines w:val="0"/>
        <w:widowControl w:val="0"/>
        <w:shd w:val="clear" w:color="auto" w:fill="auto"/>
        <w:tabs>
          <w:tab w:pos="5124" w:val="left"/>
          <w:tab w:pos="8134" w:val="left"/>
        </w:tabs>
        <w:bidi w:val="0"/>
        <w:spacing w:before="0" w:after="0" w:line="240" w:lineRule="auto"/>
        <w:ind w:left="0" w:right="0" w:firstLine="660"/>
        <w:jc w:val="both"/>
        <w:rPr>
          <w:sz w:val="24"/>
          <w:szCs w:val="24"/>
        </w:rPr>
      </w:pPr>
      <w:r>
        <w:rPr>
          <w:rFonts w:ascii="SimSun" w:eastAsia="SimSun" w:hAnsi="SimSun" w:cs="SimSun"/>
          <w:color w:val="000000"/>
          <w:spacing w:val="0"/>
          <w:w w:val="100"/>
          <w:position w:val="0"/>
          <w:sz w:val="24"/>
          <w:szCs w:val="24"/>
        </w:rPr>
        <w:t>理财产品</w:t>
      </w:r>
      <w:r>
        <w:rPr>
          <w:color w:val="000000"/>
          <w:spacing w:val="0"/>
          <w:w w:val="100"/>
          <w:position w:val="0"/>
          <w:sz w:val="24"/>
          <w:szCs w:val="24"/>
        </w:rPr>
        <w:t>(a)</w:t>
        <w:tab/>
      </w:r>
      <w:r>
        <w:rPr>
          <w:color w:val="000000"/>
          <w:spacing w:val="0"/>
          <w:w w:val="100"/>
          <w:position w:val="0"/>
          <w:sz w:val="24"/>
          <w:szCs w:val="24"/>
        </w:rPr>
        <w:t>2,227,389</w:t>
        <w:tab/>
        <w:t>657,495</w:t>
      </w:r>
    </w:p>
    <w:p>
      <w:pPr>
        <w:pStyle w:val="Style53"/>
        <w:keepNext w:val="0"/>
        <w:keepLines w:val="0"/>
        <w:widowControl w:val="0"/>
        <w:shd w:val="clear" w:color="auto" w:fill="auto"/>
        <w:tabs>
          <w:tab w:pos="3775" w:val="left"/>
          <w:tab w:leader="underscore" w:pos="5638" w:val="left"/>
          <w:tab w:pos="6598" w:val="left"/>
          <w:tab w:leader="underscore" w:pos="8134" w:val="left"/>
        </w:tabs>
        <w:bidi w:val="0"/>
        <w:spacing w:before="0" w:after="0" w:line="240" w:lineRule="auto"/>
        <w:ind w:left="0" w:right="0" w:firstLine="660"/>
        <w:jc w:val="both"/>
        <w:rPr>
          <w:sz w:val="24"/>
          <w:szCs w:val="24"/>
        </w:rPr>
      </w:pPr>
      <w:r>
        <w:rPr>
          <w:rFonts w:ascii="SimSun" w:eastAsia="SimSun" w:hAnsi="SimSun" w:cs="SimSun"/>
          <w:color w:val="000000"/>
          <w:spacing w:val="0"/>
          <w:w w:val="100"/>
          <w:position w:val="0"/>
          <w:sz w:val="24"/>
          <w:szCs w:val="24"/>
        </w:rPr>
        <w:t>新股预约权</w:t>
      </w:r>
      <w:r>
        <w:rPr>
          <w:color w:val="000000"/>
          <w:spacing w:val="0"/>
          <w:w w:val="100"/>
          <w:position w:val="0"/>
          <w:sz w:val="24"/>
          <w:szCs w:val="24"/>
        </w:rPr>
        <w:t>(b)</w:t>
        <w:tab/>
      </w:r>
      <w:r>
        <w:rPr>
          <w:color w:val="000000"/>
          <w:spacing w:val="0"/>
          <w:w w:val="100"/>
          <w:position w:val="0"/>
          <w:sz w:val="24"/>
          <w:szCs w:val="24"/>
        </w:rPr>
        <w:tab/>
      </w:r>
      <w:r>
        <w:rPr>
          <w:color w:val="000000"/>
          <w:spacing w:val="0"/>
          <w:w w:val="100"/>
          <w:position w:val="0"/>
          <w:sz w:val="24"/>
          <w:szCs w:val="24"/>
          <w:u w:val="single"/>
        </w:rPr>
        <w:t>1,244</w:t>
      </w:r>
      <w:r>
        <w:rPr>
          <w:color w:val="000000"/>
          <w:spacing w:val="0"/>
          <w:w w:val="100"/>
          <w:position w:val="0"/>
          <w:sz w:val="24"/>
          <w:szCs w:val="24"/>
        </w:rPr>
        <w:tab/>
        <w:tab/>
      </w:r>
      <w:r>
        <w:rPr>
          <w:color w:val="000000"/>
          <w:spacing w:val="0"/>
          <w:w w:val="100"/>
          <w:position w:val="0"/>
          <w:sz w:val="24"/>
          <w:szCs w:val="24"/>
          <w:u w:val="single"/>
        </w:rPr>
        <w:t>21,376</w:t>
      </w:r>
    </w:p>
    <w:p>
      <w:pPr>
        <w:pStyle w:val="Style53"/>
        <w:keepNext w:val="0"/>
        <w:keepLines w:val="0"/>
        <w:widowControl w:val="0"/>
        <w:shd w:val="clear" w:color="auto" w:fill="auto"/>
        <w:tabs>
          <w:tab w:pos="2899" w:val="left"/>
        </w:tabs>
        <w:bidi w:val="0"/>
        <w:spacing w:before="0" w:after="260" w:line="240" w:lineRule="auto"/>
        <w:ind w:left="0" w:right="0" w:firstLine="0"/>
        <w:jc w:val="right"/>
        <w:rPr>
          <w:sz w:val="24"/>
          <w:szCs w:val="24"/>
        </w:rPr>
      </w:pPr>
      <w:r>
        <w:rPr>
          <w:color w:val="000000"/>
          <w:spacing w:val="0"/>
          <w:w w:val="100"/>
          <w:position w:val="0"/>
          <w:sz w:val="24"/>
          <w:szCs w:val="24"/>
        </w:rPr>
        <w:t>2,228,633</w:t>
        <w:tab/>
        <w:t>678,871</w:t>
      </w:r>
    </w:p>
    <w:p>
      <w:pPr>
        <w:pStyle w:val="Style32"/>
        <w:keepNext w:val="0"/>
        <w:keepLines w:val="0"/>
        <w:widowControl w:val="0"/>
        <w:numPr>
          <w:ilvl w:val="0"/>
          <w:numId w:val="67"/>
        </w:numPr>
        <w:shd w:val="clear" w:color="auto" w:fill="auto"/>
        <w:tabs>
          <w:tab w:pos="627" w:val="left"/>
        </w:tabs>
        <w:bidi w:val="0"/>
        <w:spacing w:before="0" w:after="260" w:line="313" w:lineRule="exact"/>
        <w:ind w:left="660" w:right="0" w:hanging="660"/>
        <w:jc w:val="both"/>
        <w:rPr>
          <w:sz w:val="24"/>
          <w:szCs w:val="24"/>
        </w:rPr>
      </w:pPr>
      <w:bookmarkStart w:id="808" w:name="bookmark808"/>
      <w:bookmarkEnd w:id="808"/>
      <w:r>
        <w:rPr>
          <w:color w:val="000000"/>
          <w:spacing w:val="0"/>
          <w:w w:val="100"/>
          <w:position w:val="0"/>
          <w:sz w:val="24"/>
          <w:szCs w:val="24"/>
        </w:rPr>
        <w:t>于</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 xml:space="preserve">日，本集团以公允价值计量且其变动计入当期损益的金融 资产包含购买的多笔尚未到期的浮动收益理财产品。由于该理财产品含嵌入衍 生工具的混合工具，本集团将其直接指定为以公允价值计量且其变动计入当期 损益的金融资产。根据合同条款，该理财产品的收益挂钩工具一般为 </w:t>
      </w:r>
      <w:r>
        <w:rPr>
          <w:rFonts w:ascii="Times New Roman" w:eastAsia="Times New Roman" w:hAnsi="Times New Roman" w:cs="Times New Roman"/>
          <w:color w:val="000000"/>
          <w:spacing w:val="0"/>
          <w:w w:val="100"/>
          <w:position w:val="0"/>
          <w:sz w:val="24"/>
          <w:szCs w:val="24"/>
        </w:rPr>
        <w:t>SHIBOR</w:t>
      </w:r>
      <w:r>
        <w:rPr>
          <w:color w:val="000000"/>
          <w:spacing w:val="0"/>
          <w:w w:val="100"/>
          <w:position w:val="0"/>
          <w:sz w:val="24"/>
          <w:szCs w:val="24"/>
        </w:rPr>
        <w:t>、</w:t>
      </w:r>
      <w:r>
        <w:rPr>
          <w:color w:val="000000"/>
          <w:spacing w:val="0"/>
          <w:w w:val="100"/>
          <w:position w:val="0"/>
          <w:sz w:val="24"/>
          <w:szCs w:val="24"/>
        </w:rPr>
        <w:t>欧元</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美元汇率等，期末需根据挂钩工具的变动来确定理财产品收益 率。因此，该理财产品期末的公允价值根据其收益挂钩工具以</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 xml:space="preserve">31 </w:t>
      </w:r>
      <w:r>
        <w:rPr>
          <w:color w:val="000000"/>
          <w:spacing w:val="0"/>
          <w:w w:val="100"/>
          <w:position w:val="0"/>
          <w:sz w:val="24"/>
          <w:szCs w:val="24"/>
        </w:rPr>
        <w:t>日的观察值确定。</w:t>
      </w:r>
    </w:p>
    <w:p>
      <w:pPr>
        <w:pStyle w:val="Style32"/>
        <w:keepNext w:val="0"/>
        <w:keepLines w:val="0"/>
        <w:widowControl w:val="0"/>
        <w:shd w:val="clear" w:color="auto" w:fill="auto"/>
        <w:bidi w:val="0"/>
        <w:spacing w:before="0" w:after="0" w:line="240" w:lineRule="auto"/>
        <w:ind w:left="0" w:right="0" w:firstLine="720"/>
        <w:jc w:val="both"/>
        <w:rPr>
          <w:sz w:val="24"/>
          <w:szCs w:val="24"/>
        </w:rPr>
      </w:pPr>
      <w:r>
        <w:rPr>
          <w:b/>
          <w:bCs/>
          <w:color w:val="000000"/>
          <w:spacing w:val="0"/>
          <w:w w:val="100"/>
          <w:position w:val="0"/>
          <w:sz w:val="24"/>
          <w:szCs w:val="24"/>
        </w:rPr>
        <w:t>财务报表附注</w:t>
      </w:r>
    </w:p>
    <w:p>
      <w:pPr>
        <w:pStyle w:val="Style88"/>
        <w:keepNext/>
        <w:keepLines/>
        <w:widowControl w:val="0"/>
        <w:shd w:val="clear" w:color="auto" w:fill="auto"/>
        <w:bidi w:val="0"/>
        <w:spacing w:before="0" w:after="0" w:line="240" w:lineRule="auto"/>
        <w:ind w:left="0" w:right="0" w:firstLine="720"/>
        <w:jc w:val="both"/>
      </w:pPr>
      <w:bookmarkStart w:id="809" w:name="bookmark809"/>
      <w:bookmarkStart w:id="810" w:name="bookmark810"/>
      <w:bookmarkStart w:id="811" w:name="bookmark811"/>
      <w:r>
        <w:rPr>
          <w:color w:val="000000"/>
          <w:spacing w:val="0"/>
          <w:w w:val="100"/>
          <w:position w:val="0"/>
          <w:sz w:val="24"/>
          <w:szCs w:val="24"/>
        </w:rPr>
        <w:t>2016</w:t>
      </w:r>
      <w:r>
        <w:rPr>
          <w:rFonts w:ascii="SimSun" w:eastAsia="SimSun" w:hAnsi="SimSun" w:cs="SimSun"/>
          <w:b/>
          <w:bCs/>
          <w:color w:val="000000"/>
          <w:spacing w:val="0"/>
          <w:w w:val="100"/>
          <w:position w:val="0"/>
          <w:sz w:val="24"/>
          <w:szCs w:val="24"/>
        </w:rPr>
        <w:t>年度</w:t>
      </w:r>
      <w:bookmarkEnd w:id="809"/>
      <w:bookmarkEnd w:id="810"/>
      <w:bookmarkEnd w:id="811"/>
    </w:p>
    <w:p>
      <w:pPr>
        <w:pStyle w:val="Style32"/>
        <w:keepNext w:val="0"/>
        <w:keepLines w:val="0"/>
        <w:widowControl w:val="0"/>
        <w:shd w:val="clear" w:color="auto" w:fill="auto"/>
        <w:bidi w:val="0"/>
        <w:spacing w:before="0" w:after="260" w:line="240" w:lineRule="auto"/>
        <w:ind w:left="0" w:right="0" w:firstLine="720"/>
        <w:jc w:val="both"/>
        <w:rPr>
          <w:sz w:val="24"/>
          <w:szCs w:val="24"/>
        </w:rPr>
      </w:pPr>
      <w:r>
        <w:rPr>
          <w:rFonts w:ascii="Arial" w:eastAsia="Arial" w:hAnsi="Arial" w:cs="Arial"/>
          <w:color w:val="000000"/>
          <w:spacing w:val="0"/>
          <w:w w:val="100"/>
          <w:position w:val="0"/>
          <w:sz w:val="20"/>
          <w:szCs w:val="20"/>
        </w:rPr>
        <w:t>（</w:t>
      </w:r>
      <w:r>
        <w:rPr>
          <w:color w:val="000000"/>
          <w:spacing w:val="0"/>
          <w:w w:val="100"/>
          <w:position w:val="0"/>
          <w:sz w:val="20"/>
          <w:szCs w:val="20"/>
        </w:rPr>
        <w:t>除特别注明外，金额单位为人民币千元</w:t>
      </w:r>
      <w:r>
        <w:rPr>
          <w:color w:val="000000"/>
          <w:spacing w:val="0"/>
          <w:w w:val="100"/>
          <w:position w:val="0"/>
          <w:sz w:val="24"/>
          <w:szCs w:val="24"/>
        </w:rPr>
        <w:t>）</w:t>
      </w:r>
    </w:p>
    <w:p>
      <w:pPr>
        <w:pStyle w:val="Style32"/>
        <w:keepNext w:val="0"/>
        <w:keepLines w:val="0"/>
        <w:widowControl w:val="0"/>
        <w:shd w:val="clear" w:color="auto" w:fill="auto"/>
        <w:tabs>
          <w:tab w:pos="622" w:val="left"/>
        </w:tabs>
        <w:bidi w:val="0"/>
        <w:spacing w:before="0" w:after="260" w:line="240" w:lineRule="auto"/>
        <w:ind w:left="0" w:right="0" w:firstLine="0"/>
        <w:jc w:val="both"/>
        <w:rPr>
          <w:sz w:val="24"/>
          <w:szCs w:val="24"/>
        </w:rPr>
      </w:pPr>
      <w:r>
        <w:rPr>
          <w:b/>
          <w:bCs/>
          <w:color w:val="000000"/>
          <w:spacing w:val="0"/>
          <w:w w:val="100"/>
          <w:position w:val="0"/>
          <w:sz w:val="24"/>
          <w:szCs w:val="24"/>
        </w:rPr>
        <w:t>四</w:t>
        <w:tab/>
        <w:t>合并财务报表项目附注</w:t>
      </w:r>
      <w:r>
        <w:rPr>
          <w:rFonts w:ascii="Times New Roman" w:eastAsia="Times New Roman" w:hAnsi="Times New Roman" w:cs="Times New Roman"/>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4"/>
          <w:szCs w:val="24"/>
        </w:rPr>
        <w:t>）</w:t>
      </w:r>
    </w:p>
    <w:p>
      <w:pPr>
        <w:pStyle w:val="Style32"/>
        <w:keepNext w:val="0"/>
        <w:keepLines w:val="0"/>
        <w:widowControl w:val="0"/>
        <w:shd w:val="clear" w:color="auto" w:fill="auto"/>
        <w:tabs>
          <w:tab w:pos="622" w:val="left"/>
        </w:tabs>
        <w:bidi w:val="0"/>
        <w:spacing w:before="0" w:after="260" w:line="240" w:lineRule="auto"/>
        <w:ind w:left="0" w:right="0" w:firstLine="0"/>
        <w:jc w:val="both"/>
        <w:rPr>
          <w:sz w:val="24"/>
          <w:szCs w:val="24"/>
        </w:rPr>
      </w:pPr>
      <w:r>
        <w:rPr>
          <w:rFonts w:ascii="Times New Roman" w:eastAsia="Times New Roman" w:hAnsi="Times New Roman" w:cs="Times New Roman"/>
          <w:color w:val="000000"/>
          <w:spacing w:val="0"/>
          <w:w w:val="100"/>
          <w:position w:val="0"/>
          <w:sz w:val="24"/>
          <w:szCs w:val="24"/>
        </w:rPr>
        <w:t>（3）</w:t>
        <w:tab/>
      </w:r>
      <w:r>
        <w:rPr>
          <w:b/>
          <w:bCs/>
          <w:color w:val="000000"/>
          <w:spacing w:val="0"/>
          <w:w w:val="100"/>
          <w:position w:val="0"/>
          <w:sz w:val="24"/>
          <w:szCs w:val="24"/>
        </w:rPr>
        <w:t>以公允价值计量且其变动计入当期损益的金融资产</w:t>
      </w:r>
      <w:r>
        <w:rPr>
          <w:rFonts w:ascii="Times New Roman" w:eastAsia="Times New Roman" w:hAnsi="Times New Roman" w:cs="Times New Roman"/>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4"/>
          <w:szCs w:val="24"/>
        </w:rPr>
        <w:t>）</w:t>
      </w:r>
    </w:p>
    <w:p>
      <w:pPr>
        <w:pStyle w:val="Style32"/>
        <w:keepNext w:val="0"/>
        <w:keepLines w:val="0"/>
        <w:widowControl w:val="0"/>
        <w:shd w:val="clear" w:color="auto" w:fill="auto"/>
        <w:tabs>
          <w:tab w:pos="622" w:val="left"/>
        </w:tabs>
        <w:bidi w:val="0"/>
        <w:spacing w:before="0" w:after="0" w:line="315" w:lineRule="exact"/>
        <w:ind w:left="0" w:right="0" w:firstLine="0"/>
        <w:jc w:val="both"/>
        <w:rPr>
          <w:sz w:val="24"/>
          <w:szCs w:val="24"/>
        </w:rPr>
      </w:pPr>
      <w:bookmarkStart w:id="812" w:name="bookmark812"/>
      <w:r>
        <w:rPr>
          <w:rFonts w:ascii="Times New Roman" w:eastAsia="Times New Roman" w:hAnsi="Times New Roman" w:cs="Times New Roman"/>
          <w:color w:val="000000"/>
          <w:spacing w:val="0"/>
          <w:w w:val="100"/>
          <w:position w:val="0"/>
          <w:sz w:val="24"/>
          <w:szCs w:val="24"/>
        </w:rPr>
        <w:t>（</w:t>
      </w:r>
      <w:bookmarkEnd w:id="812"/>
      <w:r>
        <w:rPr>
          <w:rFonts w:ascii="Times New Roman" w:eastAsia="Times New Roman" w:hAnsi="Times New Roman" w:cs="Times New Roman"/>
          <w:color w:val="000000"/>
          <w:spacing w:val="0"/>
          <w:w w:val="100"/>
          <w:position w:val="0"/>
          <w:sz w:val="24"/>
          <w:szCs w:val="24"/>
        </w:rPr>
        <w:t>b）</w:t>
        <w:tab/>
      </w:r>
      <w:r>
        <w:rPr>
          <w:color w:val="000000"/>
          <w:spacing w:val="0"/>
          <w:w w:val="100"/>
          <w:position w:val="0"/>
          <w:sz w:val="24"/>
          <w:szCs w:val="24"/>
        </w:rPr>
        <w:t>根据本集团与本集团子公司日本</w:t>
      </w:r>
      <w:r>
        <w:rPr>
          <w:rFonts w:ascii="Times New Roman" w:eastAsia="Times New Roman" w:hAnsi="Times New Roman" w:cs="Times New Roman"/>
          <w:color w:val="000000"/>
          <w:spacing w:val="0"/>
          <w:w w:val="100"/>
          <w:position w:val="0"/>
          <w:sz w:val="24"/>
          <w:szCs w:val="24"/>
        </w:rPr>
        <w:t>LAOX</w:t>
      </w:r>
      <w:r>
        <w:rPr>
          <w:color w:val="000000"/>
          <w:spacing w:val="0"/>
          <w:w w:val="100"/>
          <w:position w:val="0"/>
          <w:sz w:val="24"/>
          <w:szCs w:val="24"/>
        </w:rPr>
        <w:t>株式会社</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日本</w:t>
      </w:r>
      <w:r>
        <w:rPr>
          <w:rFonts w:ascii="Times New Roman" w:eastAsia="Times New Roman" w:hAnsi="Times New Roman" w:cs="Times New Roman"/>
          <w:color w:val="000000"/>
          <w:spacing w:val="0"/>
          <w:w w:val="100"/>
          <w:position w:val="0"/>
          <w:sz w:val="24"/>
          <w:szCs w:val="24"/>
        </w:rPr>
        <w:t>LAOX”）</w:t>
      </w:r>
      <w:r>
        <w:rPr>
          <w:color w:val="000000"/>
          <w:spacing w:val="0"/>
          <w:w w:val="100"/>
          <w:position w:val="0"/>
          <w:sz w:val="24"/>
          <w:szCs w:val="24"/>
        </w:rPr>
        <w:t>于</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月</w:t>
      </w:r>
    </w:p>
    <w:p>
      <w:pPr>
        <w:pStyle w:val="Style32"/>
        <w:keepNext w:val="0"/>
        <w:keepLines w:val="0"/>
        <w:widowControl w:val="0"/>
        <w:shd w:val="clear" w:color="auto" w:fill="auto"/>
        <w:bidi w:val="0"/>
        <w:spacing w:before="0" w:after="260" w:line="315" w:lineRule="exact"/>
        <w:ind w:left="720" w:right="0" w:firstLine="0"/>
        <w:jc w:val="both"/>
        <w:rPr>
          <w:sz w:val="24"/>
          <w:szCs w:val="24"/>
        </w:rPr>
      </w:pPr>
      <w:r>
        <w:rPr>
          <w:rFonts w:ascii="Times New Roman" w:eastAsia="Times New Roman" w:hAnsi="Times New Roman" w:cs="Times New Roman"/>
          <w:color w:val="000000"/>
          <w:spacing w:val="0"/>
          <w:w w:val="100"/>
          <w:position w:val="0"/>
          <w:sz w:val="24"/>
          <w:szCs w:val="24"/>
        </w:rPr>
        <w:t>16</w:t>
      </w:r>
      <w:r>
        <w:rPr>
          <w:color w:val="000000"/>
          <w:spacing w:val="0"/>
          <w:w w:val="100"/>
          <w:position w:val="0"/>
          <w:sz w:val="24"/>
          <w:szCs w:val="24"/>
        </w:rPr>
        <w:t>日签订的执行价为日币计价的新股预约权购买合同，本集团认购日本</w:t>
      </w:r>
      <w:r>
        <w:rPr>
          <w:rFonts w:ascii="Times New Roman" w:eastAsia="Times New Roman" w:hAnsi="Times New Roman" w:cs="Times New Roman"/>
          <w:color w:val="000000"/>
          <w:spacing w:val="0"/>
          <w:w w:val="100"/>
          <w:position w:val="0"/>
          <w:sz w:val="24"/>
          <w:szCs w:val="24"/>
        </w:rPr>
        <w:t xml:space="preserve">LAOX </w:t>
      </w:r>
      <w:r>
        <w:rPr>
          <w:color w:val="000000"/>
          <w:spacing w:val="0"/>
          <w:w w:val="100"/>
          <w:position w:val="0"/>
          <w:sz w:val="24"/>
          <w:szCs w:val="24"/>
        </w:rPr>
        <w:t>发行的</w:t>
      </w:r>
      <w:r>
        <w:rPr>
          <w:rFonts w:ascii="Times New Roman" w:eastAsia="Times New Roman" w:hAnsi="Times New Roman" w:cs="Times New Roman"/>
          <w:color w:val="000000"/>
          <w:spacing w:val="0"/>
          <w:w w:val="100"/>
          <w:position w:val="0"/>
          <w:sz w:val="24"/>
          <w:szCs w:val="24"/>
        </w:rPr>
        <w:t>350</w:t>
      </w:r>
      <w:r>
        <w:rPr>
          <w:color w:val="000000"/>
          <w:spacing w:val="0"/>
          <w:w w:val="100"/>
          <w:position w:val="0"/>
          <w:sz w:val="24"/>
          <w:szCs w:val="24"/>
        </w:rPr>
        <w:t>个新股预约权，从而有权以约定的行权价在</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4"/>
          <w:szCs w:val="24"/>
        </w:rPr>
        <w:t>日至</w:t>
      </w:r>
      <w:r>
        <w:rPr>
          <w:rFonts w:ascii="Times New Roman" w:eastAsia="Times New Roman" w:hAnsi="Times New Roman" w:cs="Times New Roman"/>
          <w:color w:val="000000"/>
          <w:spacing w:val="0"/>
          <w:w w:val="100"/>
          <w:position w:val="0"/>
          <w:sz w:val="24"/>
          <w:szCs w:val="24"/>
        </w:rPr>
        <w:t xml:space="preserve">2018 </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日</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含当日</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期间，部分或全部认购日本</w:t>
      </w:r>
      <w:r>
        <w:rPr>
          <w:rFonts w:ascii="Times New Roman" w:eastAsia="Times New Roman" w:hAnsi="Times New Roman" w:cs="Times New Roman"/>
          <w:color w:val="000000"/>
          <w:spacing w:val="0"/>
          <w:w w:val="100"/>
          <w:position w:val="0"/>
          <w:sz w:val="24"/>
          <w:szCs w:val="24"/>
        </w:rPr>
        <w:t>LAOX</w:t>
      </w:r>
      <w:r>
        <w:rPr>
          <w:color w:val="000000"/>
          <w:spacing w:val="0"/>
          <w:w w:val="100"/>
          <w:position w:val="0"/>
          <w:sz w:val="24"/>
          <w:szCs w:val="24"/>
        </w:rPr>
        <w:t>发行的</w:t>
      </w:r>
      <w:r>
        <w:rPr>
          <w:rFonts w:ascii="Times New Roman" w:eastAsia="Times New Roman" w:hAnsi="Times New Roman" w:cs="Times New Roman"/>
          <w:color w:val="000000"/>
          <w:spacing w:val="0"/>
          <w:w w:val="100"/>
          <w:position w:val="0"/>
          <w:sz w:val="24"/>
          <w:szCs w:val="24"/>
        </w:rPr>
        <w:t>3,500</w:t>
      </w:r>
      <w:r>
        <w:rPr>
          <w:color w:val="000000"/>
          <w:spacing w:val="0"/>
          <w:w w:val="100"/>
          <w:position w:val="0"/>
          <w:sz w:val="24"/>
          <w:szCs w:val="24"/>
        </w:rPr>
        <w:t>万股新股。 该新股预约权的公允价值由专业评估机构采用蒙特卡罗模拟模型确定。</w:t>
      </w:r>
    </w:p>
    <w:p>
      <w:pPr>
        <w:pStyle w:val="Style32"/>
        <w:keepNext w:val="0"/>
        <w:keepLines w:val="0"/>
        <w:widowControl w:val="0"/>
        <w:shd w:val="clear" w:color="auto" w:fill="auto"/>
        <w:bidi w:val="0"/>
        <w:spacing w:before="0" w:after="260" w:line="240" w:lineRule="auto"/>
        <w:ind w:left="0" w:right="0" w:firstLine="0"/>
        <w:jc w:val="both"/>
        <w:rPr>
          <w:sz w:val="24"/>
          <w:szCs w:val="24"/>
        </w:rPr>
      </w:pPr>
      <w:r>
        <w:rPr>
          <w:rFonts w:ascii="Times New Roman" w:eastAsia="Times New Roman" w:hAnsi="Times New Roman" w:cs="Times New Roman"/>
          <w:color w:val="000000"/>
          <w:spacing w:val="0"/>
          <w:w w:val="100"/>
          <w:position w:val="0"/>
          <w:sz w:val="24"/>
          <w:szCs w:val="24"/>
        </w:rPr>
        <w:t xml:space="preserve">（4） </w:t>
      </w:r>
      <w:r>
        <w:rPr>
          <w:b/>
          <w:bCs/>
          <w:color w:val="000000"/>
          <w:spacing w:val="0"/>
          <w:w w:val="100"/>
          <w:position w:val="0"/>
          <w:sz w:val="24"/>
          <w:szCs w:val="24"/>
        </w:rPr>
        <w:t>应收票据</w:t>
      </w:r>
    </w:p>
    <w:p>
      <w:pPr>
        <w:pStyle w:val="Style53"/>
        <w:keepNext w:val="0"/>
        <w:keepLines w:val="0"/>
        <w:widowControl w:val="0"/>
        <w:shd w:val="clear" w:color="auto" w:fill="auto"/>
        <w:tabs>
          <w:tab w:pos="2645" w:val="left"/>
        </w:tabs>
        <w:bidi w:val="0"/>
        <w:spacing w:before="0" w:after="260" w:line="324" w:lineRule="exact"/>
        <w:ind w:left="0" w:right="720" w:firstLine="0"/>
        <w:jc w:val="right"/>
        <w:rPr>
          <w:sz w:val="24"/>
          <w:szCs w:val="24"/>
        </w:rPr>
      </w:pPr>
      <w:r>
        <w:rPr>
          <w:color w:val="000000"/>
          <w:spacing w:val="0"/>
          <w:w w:val="100"/>
          <w:position w:val="0"/>
          <w:sz w:val="24"/>
          <w:szCs w:val="24"/>
        </w:rPr>
        <w:t>2016</w:t>
      </w:r>
      <w:r>
        <w:rPr>
          <w:rFonts w:ascii="SimSun" w:eastAsia="SimSun" w:hAnsi="SimSun" w:cs="SimSun"/>
          <w:color w:val="000000"/>
          <w:spacing w:val="0"/>
          <w:w w:val="100"/>
          <w:position w:val="0"/>
          <w:sz w:val="24"/>
          <w:szCs w:val="24"/>
        </w:rPr>
        <w:t>年</w:t>
      </w:r>
      <w:r>
        <w:rPr>
          <w:color w:val="000000"/>
          <w:spacing w:val="0"/>
          <w:w w:val="100"/>
          <w:position w:val="0"/>
          <w:sz w:val="24"/>
          <w:szCs w:val="24"/>
        </w:rPr>
        <w:t>12</w:t>
      </w:r>
      <w:r>
        <w:rPr>
          <w:rFonts w:ascii="SimSun" w:eastAsia="SimSun" w:hAnsi="SimSun" w:cs="SimSun"/>
          <w:color w:val="000000"/>
          <w:spacing w:val="0"/>
          <w:w w:val="100"/>
          <w:position w:val="0"/>
          <w:sz w:val="24"/>
          <w:szCs w:val="24"/>
        </w:rPr>
        <w:t>月</w:t>
      </w:r>
      <w:r>
        <w:rPr>
          <w:color w:val="000000"/>
          <w:spacing w:val="0"/>
          <w:w w:val="100"/>
          <w:position w:val="0"/>
          <w:sz w:val="24"/>
          <w:szCs w:val="24"/>
        </w:rPr>
        <w:t>31</w:t>
      </w:r>
      <w:r>
        <w:rPr>
          <w:rFonts w:ascii="SimSun" w:eastAsia="SimSun" w:hAnsi="SimSun" w:cs="SimSun"/>
          <w:color w:val="000000"/>
          <w:spacing w:val="0"/>
          <w:w w:val="100"/>
          <w:position w:val="0"/>
          <w:sz w:val="24"/>
          <w:szCs w:val="24"/>
        </w:rPr>
        <w:t>日</w:t>
        <w:tab/>
      </w:r>
      <w:r>
        <w:rPr>
          <w:color w:val="000000"/>
          <w:spacing w:val="0"/>
          <w:w w:val="100"/>
          <w:position w:val="0"/>
          <w:sz w:val="24"/>
          <w:szCs w:val="24"/>
        </w:rPr>
        <w:t>2015</w:t>
      </w:r>
      <w:r>
        <w:rPr>
          <w:rFonts w:ascii="SimSun" w:eastAsia="SimSun" w:hAnsi="SimSun" w:cs="SimSun"/>
          <w:color w:val="000000"/>
          <w:spacing w:val="0"/>
          <w:w w:val="100"/>
          <w:position w:val="0"/>
          <w:sz w:val="24"/>
          <w:szCs w:val="24"/>
        </w:rPr>
        <w:t>年</w:t>
      </w:r>
      <w:r>
        <w:rPr>
          <w:color w:val="000000"/>
          <w:spacing w:val="0"/>
          <w:w w:val="100"/>
          <w:position w:val="0"/>
          <w:sz w:val="24"/>
          <w:szCs w:val="24"/>
        </w:rPr>
        <w:t>12</w:t>
      </w:r>
      <w:r>
        <w:rPr>
          <w:rFonts w:ascii="SimSun" w:eastAsia="SimSun" w:hAnsi="SimSun" w:cs="SimSun"/>
          <w:color w:val="000000"/>
          <w:spacing w:val="0"/>
          <w:w w:val="100"/>
          <w:position w:val="0"/>
          <w:sz w:val="24"/>
          <w:szCs w:val="24"/>
        </w:rPr>
        <w:t>月</w:t>
      </w:r>
      <w:r>
        <w:rPr>
          <w:color w:val="000000"/>
          <w:spacing w:val="0"/>
          <w:w w:val="100"/>
          <w:position w:val="0"/>
          <w:sz w:val="24"/>
          <w:szCs w:val="24"/>
        </w:rPr>
        <w:t>31</w:t>
      </w:r>
      <w:r>
        <w:rPr>
          <w:rFonts w:ascii="SimSun" w:eastAsia="SimSun" w:hAnsi="SimSun" w:cs="SimSun"/>
          <w:color w:val="000000"/>
          <w:spacing w:val="0"/>
          <w:w w:val="100"/>
          <w:position w:val="0"/>
          <w:sz w:val="24"/>
          <w:szCs w:val="24"/>
        </w:rPr>
        <w:t>日</w:t>
      </w:r>
    </w:p>
    <w:p>
      <w:pPr>
        <w:pStyle w:val="Style22"/>
        <w:keepNext w:val="0"/>
        <w:keepLines w:val="0"/>
        <w:widowControl w:val="0"/>
        <w:shd w:val="clear" w:color="auto" w:fill="auto"/>
        <w:tabs>
          <w:tab w:pos="5670" w:val="left"/>
          <w:tab w:pos="8654" w:val="left"/>
        </w:tabs>
        <w:bidi w:val="0"/>
        <w:spacing w:before="0" w:after="0" w:line="324" w:lineRule="exact"/>
        <w:ind w:left="0" w:right="0" w:firstLine="720"/>
        <w:jc w:val="both"/>
      </w:pPr>
      <w:r>
        <w:fldChar w:fldCharType="begin"/>
        <w:instrText xml:space="preserve"> TOC \o "1-5" \h \z </w:instrText>
        <w:fldChar w:fldCharType="separate"/>
      </w:r>
      <w:r>
        <w:rPr>
          <w:color w:val="000000"/>
          <w:spacing w:val="0"/>
          <w:w w:val="100"/>
          <w:position w:val="0"/>
          <w:sz w:val="24"/>
          <w:szCs w:val="24"/>
        </w:rPr>
        <w:t>商业承兑汇票</w:t>
        <w:tab/>
      </w:r>
      <w:r>
        <w:rPr>
          <w:rFonts w:ascii="Times New Roman" w:eastAsia="Times New Roman" w:hAnsi="Times New Roman" w:cs="Times New Roman"/>
          <w:color w:val="000000"/>
          <w:spacing w:val="0"/>
          <w:w w:val="100"/>
          <w:position w:val="0"/>
          <w:sz w:val="24"/>
          <w:szCs w:val="24"/>
        </w:rPr>
        <w:t>20,554</w:t>
        <w:tab/>
        <w:t>501</w:t>
      </w:r>
    </w:p>
    <w:p>
      <w:pPr>
        <w:pStyle w:val="Style22"/>
        <w:keepNext w:val="0"/>
        <w:keepLines w:val="0"/>
        <w:widowControl w:val="0"/>
        <w:shd w:val="clear" w:color="auto" w:fill="auto"/>
        <w:tabs>
          <w:tab w:pos="3718" w:val="left"/>
          <w:tab w:leader="underscore" w:pos="5670" w:val="left"/>
          <w:tab w:leader="underscore" w:pos="8362" w:val="left"/>
        </w:tabs>
        <w:bidi w:val="0"/>
        <w:spacing w:before="0" w:after="0" w:line="240" w:lineRule="auto"/>
        <w:ind w:left="0" w:right="0" w:firstLine="720"/>
        <w:jc w:val="both"/>
      </w:pPr>
      <w:r>
        <w:rPr>
          <w:color w:val="000000"/>
          <w:spacing w:val="0"/>
          <w:w w:val="100"/>
          <w:position w:val="0"/>
          <w:sz w:val="24"/>
          <w:szCs w:val="24"/>
        </w:rPr>
        <w:t>银行承兑汇票</w:t>
        <w:tab/>
        <w:tab/>
      </w:r>
      <w:r>
        <w:rPr>
          <w:rFonts w:ascii="Times New Roman" w:eastAsia="Times New Roman" w:hAnsi="Times New Roman" w:cs="Times New Roman"/>
          <w:color w:val="000000"/>
          <w:spacing w:val="0"/>
          <w:w w:val="100"/>
          <w:position w:val="0"/>
          <w:sz w:val="24"/>
          <w:szCs w:val="24"/>
          <w:u w:val="single"/>
        </w:rPr>
        <w:t>12,030</w:t>
      </w:r>
      <w:r>
        <w:rPr>
          <w:rFonts w:ascii="Times New Roman" w:eastAsia="Times New Roman" w:hAnsi="Times New Roman" w:cs="Times New Roman"/>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u w:val="single"/>
        </w:rPr>
        <w:t>4,424</w:t>
      </w:r>
    </w:p>
    <w:p>
      <w:pPr>
        <w:pStyle w:val="Style22"/>
        <w:keepNext w:val="0"/>
        <w:keepLines w:val="0"/>
        <w:widowControl w:val="0"/>
        <w:shd w:val="clear" w:color="auto" w:fill="auto"/>
        <w:tabs>
          <w:tab w:pos="2645" w:val="left"/>
        </w:tabs>
        <w:bidi w:val="0"/>
        <w:spacing w:before="0" w:after="260" w:line="240" w:lineRule="auto"/>
        <w:ind w:left="0" w:right="720" w:firstLine="0"/>
        <w:jc w:val="right"/>
      </w:pPr>
      <w:r>
        <w:rPr>
          <w:rFonts w:ascii="Times New Roman" w:eastAsia="Times New Roman" w:hAnsi="Times New Roman" w:cs="Times New Roman"/>
          <w:color w:val="000000"/>
          <w:spacing w:val="0"/>
          <w:w w:val="100"/>
          <w:position w:val="0"/>
          <w:sz w:val="24"/>
          <w:szCs w:val="24"/>
          <w:u w:val="single"/>
        </w:rPr>
        <w:t>32,584</w:t>
        <w:tab/>
        <w:t>4,925</w:t>
      </w:r>
      <w:r>
        <w:fldChar w:fldCharType="end"/>
      </w:r>
    </w:p>
    <w:p>
      <w:pPr>
        <w:pStyle w:val="Style32"/>
        <w:keepNext w:val="0"/>
        <w:keepLines w:val="0"/>
        <w:widowControl w:val="0"/>
        <w:shd w:val="clear" w:color="auto" w:fill="auto"/>
        <w:bidi w:val="0"/>
        <w:spacing w:before="0" w:after="260" w:line="336" w:lineRule="exact"/>
        <w:ind w:left="720" w:right="0" w:firstLine="0"/>
        <w:jc w:val="both"/>
        <w:rPr>
          <w:sz w:val="24"/>
          <w:szCs w:val="24"/>
        </w:rPr>
      </w:pPr>
      <w:r>
        <w:rPr>
          <w:color w:val="000000"/>
          <w:spacing w:val="0"/>
          <w:w w:val="100"/>
          <w:position w:val="0"/>
          <w:sz w:val="24"/>
          <w:szCs w:val="24"/>
        </w:rPr>
        <w:t>于</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日，本集团无用于质押的应收票据</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 无</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w:t>
      </w:r>
    </w:p>
    <w:p>
      <w:pPr>
        <w:pStyle w:val="Style32"/>
        <w:keepNext w:val="0"/>
        <w:keepLines w:val="0"/>
        <w:widowControl w:val="0"/>
        <w:shd w:val="clear" w:color="auto" w:fill="auto"/>
        <w:bidi w:val="0"/>
        <w:spacing w:before="0" w:after="260" w:line="312" w:lineRule="exact"/>
        <w:ind w:left="720" w:right="0" w:firstLine="0"/>
        <w:jc w:val="both"/>
        <w:rPr>
          <w:sz w:val="24"/>
          <w:szCs w:val="24"/>
        </w:rPr>
      </w:pPr>
      <w:r>
        <w:rPr>
          <w:color w:val="000000"/>
          <w:spacing w:val="0"/>
          <w:w w:val="100"/>
          <w:position w:val="0"/>
          <w:sz w:val="24"/>
          <w:szCs w:val="24"/>
        </w:rPr>
        <w:t>于</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日，本集团无已背书或已贴现但尚未到期的应收票据</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sz w:val="24"/>
          <w:szCs w:val="24"/>
        </w:rPr>
        <w:t xml:space="preserve">年 </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日：无</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w:t>
      </w:r>
    </w:p>
    <w:p>
      <w:pPr>
        <w:pStyle w:val="Style32"/>
        <w:keepNext w:val="0"/>
        <w:keepLines w:val="0"/>
        <w:widowControl w:val="0"/>
        <w:shd w:val="clear" w:color="auto" w:fill="auto"/>
        <w:tabs>
          <w:tab w:pos="622" w:val="left"/>
        </w:tabs>
        <w:bidi w:val="0"/>
        <w:spacing w:before="0" w:after="260" w:line="240" w:lineRule="auto"/>
        <w:ind w:left="0" w:right="0" w:firstLine="0"/>
        <w:jc w:val="both"/>
        <w:rPr>
          <w:sz w:val="24"/>
          <w:szCs w:val="24"/>
        </w:rPr>
      </w:pPr>
      <w:r>
        <w:rPr>
          <w:rFonts w:ascii="Times New Roman" w:eastAsia="Times New Roman" w:hAnsi="Times New Roman" w:cs="Times New Roman"/>
          <w:color w:val="000000"/>
          <w:spacing w:val="0"/>
          <w:w w:val="100"/>
          <w:position w:val="0"/>
          <w:sz w:val="24"/>
          <w:szCs w:val="24"/>
        </w:rPr>
        <w:t>（5）</w:t>
        <w:tab/>
      </w:r>
      <w:r>
        <w:rPr>
          <w:b/>
          <w:bCs/>
          <w:color w:val="000000"/>
          <w:spacing w:val="0"/>
          <w:w w:val="100"/>
          <w:position w:val="0"/>
          <w:sz w:val="24"/>
          <w:szCs w:val="24"/>
        </w:rPr>
        <w:t>应收账款</w:t>
      </w:r>
    </w:p>
    <w:p>
      <w:pPr>
        <w:pStyle w:val="Style53"/>
        <w:keepNext w:val="0"/>
        <w:keepLines w:val="0"/>
        <w:widowControl w:val="0"/>
        <w:shd w:val="clear" w:color="auto" w:fill="auto"/>
        <w:bidi w:val="0"/>
        <w:spacing w:before="0" w:after="320" w:line="324" w:lineRule="exact"/>
        <w:ind w:left="0" w:right="720" w:firstLine="0"/>
        <w:jc w:val="right"/>
        <w:rPr>
          <w:sz w:val="24"/>
          <w:szCs w:val="24"/>
        </w:rPr>
      </w:pPr>
      <w:r>
        <w:rPr>
          <w:color w:val="000000"/>
          <w:spacing w:val="0"/>
          <w:w w:val="100"/>
          <w:position w:val="0"/>
          <w:sz w:val="24"/>
          <w:szCs w:val="24"/>
        </w:rPr>
        <w:t>2016</w:t>
      </w:r>
      <w:r>
        <w:rPr>
          <w:rFonts w:ascii="SimSun" w:eastAsia="SimSun" w:hAnsi="SimSun" w:cs="SimSun"/>
          <w:color w:val="000000"/>
          <w:spacing w:val="0"/>
          <w:w w:val="100"/>
          <w:position w:val="0"/>
          <w:sz w:val="24"/>
          <w:szCs w:val="24"/>
        </w:rPr>
        <w:t>年</w:t>
      </w:r>
      <w:r>
        <w:rPr>
          <w:color w:val="000000"/>
          <w:spacing w:val="0"/>
          <w:w w:val="100"/>
          <w:position w:val="0"/>
          <w:sz w:val="24"/>
          <w:szCs w:val="24"/>
        </w:rPr>
        <w:t>12</w:t>
      </w:r>
      <w:r>
        <w:rPr>
          <w:rFonts w:ascii="SimSun" w:eastAsia="SimSun" w:hAnsi="SimSun" w:cs="SimSun"/>
          <w:color w:val="000000"/>
          <w:spacing w:val="0"/>
          <w:w w:val="100"/>
          <w:position w:val="0"/>
          <w:sz w:val="24"/>
          <w:szCs w:val="24"/>
        </w:rPr>
        <w:t>月</w:t>
      </w:r>
      <w:r>
        <w:rPr>
          <w:color w:val="000000"/>
          <w:spacing w:val="0"/>
          <w:w w:val="100"/>
          <w:position w:val="0"/>
          <w:sz w:val="24"/>
          <w:szCs w:val="24"/>
        </w:rPr>
        <w:t>31</w:t>
      </w:r>
      <w:r>
        <w:rPr>
          <w:rFonts w:ascii="SimSun" w:eastAsia="SimSun" w:hAnsi="SimSun" w:cs="SimSun"/>
          <w:color w:val="000000"/>
          <w:spacing w:val="0"/>
          <w:w w:val="100"/>
          <w:position w:val="0"/>
          <w:sz w:val="24"/>
          <w:szCs w:val="24"/>
        </w:rPr>
        <w:t xml:space="preserve">日 </w:t>
      </w:r>
      <w:r>
        <w:rPr>
          <w:color w:val="000000"/>
          <w:spacing w:val="0"/>
          <w:w w:val="100"/>
          <w:position w:val="0"/>
          <w:sz w:val="24"/>
          <w:szCs w:val="24"/>
        </w:rPr>
        <w:t>2015</w:t>
      </w:r>
      <w:r>
        <w:rPr>
          <w:rFonts w:ascii="SimSun" w:eastAsia="SimSun" w:hAnsi="SimSun" w:cs="SimSun"/>
          <w:color w:val="000000"/>
          <w:spacing w:val="0"/>
          <w:w w:val="100"/>
          <w:position w:val="0"/>
          <w:sz w:val="24"/>
          <w:szCs w:val="24"/>
        </w:rPr>
        <w:t>年</w:t>
      </w:r>
      <w:r>
        <w:rPr>
          <w:color w:val="000000"/>
          <w:spacing w:val="0"/>
          <w:w w:val="100"/>
          <w:position w:val="0"/>
          <w:sz w:val="24"/>
          <w:szCs w:val="24"/>
        </w:rPr>
        <w:t>12</w:t>
      </w:r>
      <w:r>
        <w:rPr>
          <w:rFonts w:ascii="SimSun" w:eastAsia="SimSun" w:hAnsi="SimSun" w:cs="SimSun"/>
          <w:color w:val="000000"/>
          <w:spacing w:val="0"/>
          <w:w w:val="100"/>
          <w:position w:val="0"/>
          <w:sz w:val="24"/>
          <w:szCs w:val="24"/>
        </w:rPr>
        <w:t>月</w:t>
      </w:r>
      <w:r>
        <w:rPr>
          <w:color w:val="000000"/>
          <w:spacing w:val="0"/>
          <w:w w:val="100"/>
          <w:position w:val="0"/>
          <w:sz w:val="24"/>
          <w:szCs w:val="24"/>
        </w:rPr>
        <w:t>31</w:t>
      </w:r>
      <w:r>
        <w:rPr>
          <w:rFonts w:ascii="SimSun" w:eastAsia="SimSun" w:hAnsi="SimSun" w:cs="SimSun"/>
          <w:color w:val="000000"/>
          <w:spacing w:val="0"/>
          <w:w w:val="100"/>
          <w:position w:val="0"/>
          <w:sz w:val="24"/>
          <w:szCs w:val="24"/>
        </w:rPr>
        <w:t>日</w:t>
      </w:r>
    </w:p>
    <w:p>
      <w:pPr>
        <w:pStyle w:val="Style53"/>
        <w:keepNext w:val="0"/>
        <w:keepLines w:val="0"/>
        <w:widowControl w:val="0"/>
        <w:shd w:val="clear" w:color="auto" w:fill="auto"/>
        <w:tabs>
          <w:tab w:pos="5347" w:val="left"/>
          <w:tab w:pos="8208" w:val="left"/>
        </w:tabs>
        <w:bidi w:val="0"/>
        <w:spacing w:before="0" w:after="0" w:line="324" w:lineRule="exact"/>
        <w:ind w:left="0" w:right="0" w:firstLine="720"/>
        <w:jc w:val="both"/>
        <w:rPr>
          <w:sz w:val="24"/>
          <w:szCs w:val="24"/>
        </w:rPr>
      </w:pPr>
      <w:r>
        <w:rPr>
          <w:rFonts w:ascii="SimSun" w:eastAsia="SimSun" w:hAnsi="SimSun" w:cs="SimSun"/>
          <w:color w:val="000000"/>
          <w:spacing w:val="0"/>
          <w:w w:val="100"/>
          <w:position w:val="0"/>
          <w:sz w:val="24"/>
          <w:szCs w:val="24"/>
        </w:rPr>
        <w:t>应收账款</w:t>
        <w:tab/>
      </w:r>
      <w:r>
        <w:rPr>
          <w:color w:val="000000"/>
          <w:spacing w:val="0"/>
          <w:w w:val="100"/>
          <w:position w:val="0"/>
          <w:sz w:val="24"/>
          <w:szCs w:val="24"/>
        </w:rPr>
        <w:t>1,173,521</w:t>
        <w:tab/>
        <w:t>775,041</w:t>
      </w:r>
    </w:p>
    <w:p>
      <w:pPr>
        <w:pStyle w:val="Style53"/>
        <w:keepNext w:val="0"/>
        <w:keepLines w:val="0"/>
        <w:widowControl w:val="0"/>
        <w:shd w:val="clear" w:color="auto" w:fill="auto"/>
        <w:tabs>
          <w:tab w:pos="3718" w:val="left"/>
          <w:tab w:leader="underscore" w:pos="5670" w:val="left"/>
          <w:tab w:pos="6677" w:val="left"/>
          <w:tab w:leader="underscore" w:pos="8362" w:val="left"/>
        </w:tabs>
        <w:bidi w:val="0"/>
        <w:spacing w:before="0" w:after="0" w:line="240" w:lineRule="auto"/>
        <w:ind w:left="0" w:right="0" w:firstLine="720"/>
        <w:jc w:val="both"/>
        <w:rPr>
          <w:sz w:val="24"/>
          <w:szCs w:val="24"/>
        </w:rPr>
      </w:pPr>
      <w:r>
        <w:rPr>
          <w:rFonts w:ascii="SimSun" w:eastAsia="SimSun" w:hAnsi="SimSun" w:cs="SimSun"/>
          <w:color w:val="000000"/>
          <w:spacing w:val="0"/>
          <w:w w:val="100"/>
          <w:position w:val="0"/>
          <w:sz w:val="24"/>
          <w:szCs w:val="24"/>
        </w:rPr>
        <w:t>减：坏账准备</w:t>
        <w:tab/>
        <w:tab/>
      </w:r>
      <w:r>
        <w:rPr>
          <w:color w:val="000000"/>
          <w:spacing w:val="0"/>
          <w:w w:val="100"/>
          <w:position w:val="0"/>
          <w:sz w:val="24"/>
          <w:szCs w:val="24"/>
          <w:u w:val="single"/>
        </w:rPr>
        <w:t>（69,990）</w:t>
      </w:r>
      <w:r>
        <w:rPr>
          <w:color w:val="000000"/>
          <w:spacing w:val="0"/>
          <w:w w:val="100"/>
          <w:position w:val="0"/>
          <w:sz w:val="24"/>
          <w:szCs w:val="24"/>
        </w:rPr>
        <w:tab/>
        <w:tab/>
      </w:r>
      <w:r>
        <w:rPr>
          <w:color w:val="000000"/>
          <w:spacing w:val="0"/>
          <w:w w:val="100"/>
          <w:position w:val="0"/>
          <w:sz w:val="24"/>
          <w:szCs w:val="24"/>
          <w:u w:val="single"/>
        </w:rPr>
        <w:t>（69,424）</w:t>
      </w:r>
    </w:p>
    <w:p>
      <w:pPr>
        <w:pStyle w:val="Style53"/>
        <w:keepNext w:val="0"/>
        <w:keepLines w:val="0"/>
        <w:widowControl w:val="0"/>
        <w:shd w:val="clear" w:color="auto" w:fill="auto"/>
        <w:tabs>
          <w:tab w:leader="underscore" w:pos="1598" w:val="left"/>
          <w:tab w:pos="2923" w:val="left"/>
          <w:tab w:leader="underscore" w:pos="4502" w:val="left"/>
        </w:tabs>
        <w:bidi w:val="0"/>
        <w:spacing w:before="0" w:after="260" w:line="240" w:lineRule="auto"/>
        <w:ind w:left="0" w:right="720" w:firstLine="0"/>
        <w:jc w:val="right"/>
        <w:rPr>
          <w:sz w:val="24"/>
          <w:szCs w:val="24"/>
        </w:rPr>
      </w:pPr>
      <w:r>
        <w:rPr>
          <w:color w:val="000000"/>
          <w:spacing w:val="0"/>
          <w:w w:val="100"/>
          <w:position w:val="0"/>
          <w:sz w:val="24"/>
          <w:szCs w:val="24"/>
        </w:rPr>
        <w:tab/>
      </w:r>
      <w:r>
        <w:rPr>
          <w:color w:val="000000"/>
          <w:spacing w:val="0"/>
          <w:w w:val="100"/>
          <w:position w:val="0"/>
          <w:sz w:val="24"/>
          <w:szCs w:val="24"/>
          <w:u w:val="single"/>
        </w:rPr>
        <w:t>1,103,531</w:t>
      </w:r>
      <w:r>
        <w:rPr>
          <w:color w:val="000000"/>
          <w:spacing w:val="0"/>
          <w:w w:val="100"/>
          <w:position w:val="0"/>
          <w:sz w:val="24"/>
          <w:szCs w:val="24"/>
        </w:rPr>
        <w:tab/>
        <w:tab/>
      </w:r>
      <w:r>
        <w:rPr>
          <w:color w:val="000000"/>
          <w:spacing w:val="0"/>
          <w:w w:val="100"/>
          <w:position w:val="0"/>
          <w:sz w:val="24"/>
          <w:szCs w:val="24"/>
          <w:u w:val="single"/>
        </w:rPr>
        <w:t>705,617</w:t>
      </w:r>
    </w:p>
    <w:p>
      <w:pPr>
        <w:pStyle w:val="Style32"/>
        <w:keepNext w:val="0"/>
        <w:keepLines w:val="0"/>
        <w:widowControl w:val="0"/>
        <w:shd w:val="clear" w:color="auto" w:fill="auto"/>
        <w:bidi w:val="0"/>
        <w:spacing w:before="0" w:after="260" w:line="322" w:lineRule="exact"/>
        <w:ind w:left="720" w:right="0" w:firstLine="0"/>
        <w:jc w:val="both"/>
        <w:rPr>
          <w:sz w:val="24"/>
          <w:szCs w:val="24"/>
        </w:rPr>
      </w:pPr>
      <w:r>
        <w:rPr>
          <w:color w:val="000000"/>
          <w:spacing w:val="0"/>
          <w:w w:val="100"/>
          <w:position w:val="0"/>
          <w:sz w:val="24"/>
          <w:szCs w:val="24"/>
        </w:rPr>
        <w:t>于</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日，本集团内部应收账款约人民币</w:t>
      </w:r>
      <w:r>
        <w:rPr>
          <w:rFonts w:ascii="Times New Roman" w:eastAsia="Times New Roman" w:hAnsi="Times New Roman" w:cs="Times New Roman"/>
          <w:color w:val="000000"/>
          <w:spacing w:val="0"/>
          <w:w w:val="100"/>
          <w:position w:val="0"/>
          <w:sz w:val="24"/>
          <w:szCs w:val="24"/>
        </w:rPr>
        <w:t>9.9</w:t>
      </w:r>
      <w:r>
        <w:rPr>
          <w:color w:val="000000"/>
          <w:spacing w:val="0"/>
          <w:w w:val="100"/>
          <w:position w:val="0"/>
          <w:sz w:val="24"/>
          <w:szCs w:val="24"/>
        </w:rPr>
        <w:t>亿元</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 xml:space="preserve">31 </w:t>
      </w:r>
      <w:r>
        <w:rPr>
          <w:color w:val="000000"/>
          <w:spacing w:val="0"/>
          <w:w w:val="100"/>
          <w:position w:val="0"/>
          <w:sz w:val="24"/>
          <w:szCs w:val="24"/>
        </w:rPr>
        <w:t>日：无</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质押给银行作为短期借款约人民币</w:t>
      </w:r>
      <w:r>
        <w:rPr>
          <w:rFonts w:ascii="Times New Roman" w:eastAsia="Times New Roman" w:hAnsi="Times New Roman" w:cs="Times New Roman"/>
          <w:color w:val="000000"/>
          <w:spacing w:val="0"/>
          <w:w w:val="100"/>
          <w:position w:val="0"/>
          <w:sz w:val="24"/>
          <w:szCs w:val="24"/>
        </w:rPr>
        <w:t>7</w:t>
      </w:r>
      <w:r>
        <w:rPr>
          <w:color w:val="000000"/>
          <w:spacing w:val="0"/>
          <w:w w:val="100"/>
          <w:position w:val="0"/>
          <w:sz w:val="24"/>
          <w:szCs w:val="24"/>
        </w:rPr>
        <w:t>亿元的抵押物</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附注四</w:t>
      </w:r>
      <w:r>
        <w:rPr>
          <w:rFonts w:ascii="Times New Roman" w:eastAsia="Times New Roman" w:hAnsi="Times New Roman" w:cs="Times New Roman"/>
          <w:color w:val="000000"/>
          <w:spacing w:val="0"/>
          <w:w w:val="100"/>
          <w:position w:val="0"/>
          <w:sz w:val="24"/>
          <w:szCs w:val="24"/>
        </w:rPr>
        <w:t>（22））</w:t>
      </w:r>
      <w:r>
        <w:rPr>
          <w:color w:val="000000"/>
          <w:spacing w:val="0"/>
          <w:w w:val="100"/>
          <w:position w:val="0"/>
          <w:sz w:val="24"/>
          <w:szCs w:val="24"/>
        </w:rPr>
        <w:t>。</w:t>
      </w:r>
    </w:p>
    <w:p>
      <w:pPr>
        <w:pStyle w:val="Style32"/>
        <w:keepNext w:val="0"/>
        <w:keepLines w:val="0"/>
        <w:widowControl w:val="0"/>
        <w:shd w:val="clear" w:color="auto" w:fill="auto"/>
        <w:bidi w:val="0"/>
        <w:spacing w:before="0" w:after="0" w:line="288" w:lineRule="exact"/>
        <w:ind w:left="700" w:right="0" w:firstLine="40"/>
        <w:jc w:val="left"/>
        <w:rPr>
          <w:sz w:val="24"/>
          <w:szCs w:val="24"/>
        </w:rPr>
      </w:pPr>
      <w:r>
        <w:rPr>
          <w:b/>
          <w:bCs/>
          <w:color w:val="000000"/>
          <w:spacing w:val="0"/>
          <w:w w:val="100"/>
          <w:position w:val="0"/>
          <w:sz w:val="24"/>
          <w:szCs w:val="24"/>
        </w:rPr>
        <w:t xml:space="preserve">财务报表附注 </w:t>
      </w:r>
      <w:r>
        <w:rPr>
          <w:rFonts w:ascii="Arial" w:eastAsia="Arial" w:hAnsi="Arial" w:cs="Arial"/>
          <w:color w:val="000000"/>
          <w:spacing w:val="0"/>
          <w:w w:val="100"/>
          <w:position w:val="0"/>
          <w:sz w:val="24"/>
          <w:szCs w:val="24"/>
        </w:rPr>
        <w:t>2016</w:t>
      </w:r>
      <w:r>
        <w:rPr>
          <w:b/>
          <w:bCs/>
          <w:color w:val="000000"/>
          <w:spacing w:val="0"/>
          <w:w w:val="100"/>
          <w:position w:val="0"/>
          <w:sz w:val="24"/>
          <w:szCs w:val="24"/>
        </w:rPr>
        <w:t>年度</w:t>
      </w:r>
    </w:p>
    <w:p>
      <w:pPr>
        <w:pStyle w:val="Style32"/>
        <w:keepNext w:val="0"/>
        <w:keepLines w:val="0"/>
        <w:widowControl w:val="0"/>
        <w:shd w:val="clear" w:color="auto" w:fill="auto"/>
        <w:bidi w:val="0"/>
        <w:spacing w:before="0" w:after="260" w:line="240" w:lineRule="auto"/>
        <w:ind w:left="0" w:right="0" w:firstLine="700"/>
        <w:jc w:val="left"/>
        <w:rPr>
          <w:sz w:val="20"/>
          <w:szCs w:val="20"/>
        </w:rPr>
      </w:pPr>
      <w:r>
        <w:rPr>
          <w:rFonts w:ascii="Arial" w:eastAsia="Arial" w:hAnsi="Arial" w:cs="Arial"/>
          <w:color w:val="000000"/>
          <w:spacing w:val="0"/>
          <w:w w:val="100"/>
          <w:position w:val="0"/>
          <w:sz w:val="20"/>
          <w:szCs w:val="20"/>
        </w:rPr>
        <w:t>（</w:t>
      </w:r>
      <w:r>
        <w:rPr>
          <w:color w:val="000000"/>
          <w:spacing w:val="0"/>
          <w:w w:val="100"/>
          <w:position w:val="0"/>
          <w:sz w:val="20"/>
          <w:szCs w:val="20"/>
        </w:rPr>
        <w:t>除特别注明外，金额单位为人民币千元</w:t>
      </w:r>
      <w:r>
        <w:rPr>
          <w:rFonts w:ascii="Arial" w:eastAsia="Arial" w:hAnsi="Arial" w:cs="Arial"/>
          <w:color w:val="000000"/>
          <w:spacing w:val="0"/>
          <w:w w:val="100"/>
          <w:position w:val="0"/>
          <w:sz w:val="20"/>
          <w:szCs w:val="20"/>
        </w:rPr>
        <w:t>）</w:t>
      </w:r>
    </w:p>
    <w:p>
      <w:pPr>
        <w:pStyle w:val="Style32"/>
        <w:keepNext w:val="0"/>
        <w:keepLines w:val="0"/>
        <w:widowControl w:val="0"/>
        <w:shd w:val="clear" w:color="auto" w:fill="auto"/>
        <w:tabs>
          <w:tab w:pos="637" w:val="left"/>
        </w:tabs>
        <w:bidi w:val="0"/>
        <w:spacing w:before="0" w:after="260" w:line="240" w:lineRule="auto"/>
        <w:ind w:left="0" w:right="0" w:firstLine="0"/>
        <w:jc w:val="left"/>
        <w:rPr>
          <w:sz w:val="24"/>
          <w:szCs w:val="24"/>
        </w:rPr>
      </w:pPr>
      <w:r>
        <w:rPr>
          <w:b/>
          <w:bCs/>
          <w:color w:val="000000"/>
          <w:spacing w:val="0"/>
          <w:w w:val="100"/>
          <w:position w:val="0"/>
          <w:sz w:val="24"/>
          <w:szCs w:val="24"/>
        </w:rPr>
        <w:t>四</w:t>
        <w:tab/>
        <w:t>合并财务报表项目附注</w:t>
      </w:r>
      <w:r>
        <w:rPr>
          <w:rFonts w:ascii="Times New Roman" w:eastAsia="Times New Roman" w:hAnsi="Times New Roman" w:cs="Times New Roman"/>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4"/>
          <w:szCs w:val="24"/>
        </w:rPr>
        <w:t>）</w:t>
      </w:r>
    </w:p>
    <w:p>
      <w:pPr>
        <w:pStyle w:val="Style53"/>
        <w:keepNext w:val="0"/>
        <w:keepLines w:val="0"/>
        <w:widowControl w:val="0"/>
        <w:shd w:val="clear" w:color="auto" w:fill="auto"/>
        <w:tabs>
          <w:tab w:pos="637" w:val="left"/>
        </w:tabs>
        <w:bidi w:val="0"/>
        <w:spacing w:before="0" w:after="260" w:line="240" w:lineRule="auto"/>
        <w:ind w:left="0" w:right="0" w:firstLine="0"/>
        <w:jc w:val="left"/>
        <w:rPr>
          <w:sz w:val="24"/>
          <w:szCs w:val="24"/>
        </w:rPr>
      </w:pPr>
      <w:r>
        <w:rPr>
          <w:color w:val="000000"/>
          <w:spacing w:val="0"/>
          <w:w w:val="100"/>
          <w:position w:val="0"/>
          <w:sz w:val="24"/>
          <w:szCs w:val="24"/>
        </w:rPr>
        <w:t>（5）</w:t>
        <w:tab/>
      </w:r>
      <w:r>
        <w:rPr>
          <w:rFonts w:ascii="SimSun" w:eastAsia="SimSun" w:hAnsi="SimSun" w:cs="SimSun"/>
          <w:b/>
          <w:bCs/>
          <w:color w:val="000000"/>
          <w:spacing w:val="0"/>
          <w:w w:val="100"/>
          <w:position w:val="0"/>
          <w:sz w:val="24"/>
          <w:szCs w:val="24"/>
        </w:rPr>
        <w:t>应收账款</w:t>
      </w:r>
      <w:r>
        <w:rPr>
          <w:color w:val="000000"/>
          <w:spacing w:val="0"/>
          <w:w w:val="100"/>
          <w:position w:val="0"/>
          <w:sz w:val="24"/>
          <w:szCs w:val="24"/>
        </w:rPr>
        <w:t>（</w:t>
      </w:r>
      <w:r>
        <w:rPr>
          <w:rFonts w:ascii="SimSun" w:eastAsia="SimSun" w:hAnsi="SimSun" w:cs="SimSun"/>
          <w:b/>
          <w:bCs/>
          <w:color w:val="000000"/>
          <w:spacing w:val="0"/>
          <w:w w:val="100"/>
          <w:position w:val="0"/>
          <w:sz w:val="24"/>
          <w:szCs w:val="24"/>
        </w:rPr>
        <w:t>续</w:t>
      </w:r>
      <w:r>
        <w:rPr>
          <w:rFonts w:ascii="SimSun" w:eastAsia="SimSun" w:hAnsi="SimSun" w:cs="SimSun"/>
          <w:color w:val="000000"/>
          <w:spacing w:val="0"/>
          <w:w w:val="100"/>
          <w:position w:val="0"/>
          <w:sz w:val="24"/>
          <w:szCs w:val="24"/>
        </w:rPr>
        <w:t>）</w:t>
      </w:r>
    </w:p>
    <w:p>
      <w:pPr>
        <w:pStyle w:val="Style32"/>
        <w:keepNext w:val="0"/>
        <w:keepLines w:val="0"/>
        <w:widowControl w:val="0"/>
        <w:shd w:val="clear" w:color="auto" w:fill="auto"/>
        <w:tabs>
          <w:tab w:pos="637" w:val="left"/>
        </w:tabs>
        <w:bidi w:val="0"/>
        <w:spacing w:before="0" w:after="260" w:line="240" w:lineRule="auto"/>
        <w:ind w:left="0" w:right="0" w:firstLine="0"/>
        <w:jc w:val="left"/>
        <w:rPr>
          <w:sz w:val="24"/>
          <w:szCs w:val="24"/>
        </w:rPr>
      </w:pPr>
      <w:bookmarkStart w:id="813" w:name="bookmark813"/>
      <w:r>
        <w:rPr>
          <w:rFonts w:ascii="Times New Roman" w:eastAsia="Times New Roman" w:hAnsi="Times New Roman" w:cs="Times New Roman"/>
          <w:color w:val="000000"/>
          <w:spacing w:val="0"/>
          <w:w w:val="100"/>
          <w:position w:val="0"/>
          <w:sz w:val="24"/>
          <w:szCs w:val="24"/>
        </w:rPr>
        <w:t>（</w:t>
      </w:r>
      <w:bookmarkEnd w:id="813"/>
      <w:r>
        <w:rPr>
          <w:rFonts w:ascii="Times New Roman" w:eastAsia="Times New Roman" w:hAnsi="Times New Roman" w:cs="Times New Roman"/>
          <w:color w:val="000000"/>
          <w:spacing w:val="0"/>
          <w:w w:val="100"/>
          <w:position w:val="0"/>
          <w:sz w:val="24"/>
          <w:szCs w:val="24"/>
        </w:rPr>
        <w:t>a）</w:t>
        <w:tab/>
      </w:r>
      <w:r>
        <w:rPr>
          <w:color w:val="000000"/>
          <w:spacing w:val="0"/>
          <w:w w:val="100"/>
          <w:position w:val="0"/>
          <w:sz w:val="24"/>
          <w:szCs w:val="24"/>
        </w:rPr>
        <w:t>应收账款账龄分析如下：</w:t>
      </w:r>
    </w:p>
    <w:tbl>
      <w:tblPr>
        <w:tblOverlap w:val="never"/>
        <w:jc w:val="center"/>
        <w:tblLayout w:type="fixed"/>
      </w:tblPr>
      <w:tblGrid>
        <w:gridCol w:w="2342"/>
        <w:gridCol w:w="3706"/>
        <w:gridCol w:w="2438"/>
      </w:tblGrid>
      <w:tr>
        <w:trPr>
          <w:trHeight w:val="437"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380" w:firstLine="0"/>
              <w:jc w:val="right"/>
              <w:rPr>
                <w:sz w:val="24"/>
                <w:szCs w:val="24"/>
              </w:rPr>
            </w:pP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2015</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w:t>
            </w:r>
          </w:p>
        </w:tc>
      </w:tr>
      <w:tr>
        <w:trPr>
          <w:trHeight w:val="446"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一年以内</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380" w:firstLine="0"/>
              <w:jc w:val="right"/>
              <w:rPr>
                <w:sz w:val="24"/>
                <w:szCs w:val="24"/>
              </w:rPr>
            </w:pPr>
            <w:r>
              <w:rPr>
                <w:rFonts w:ascii="Times New Roman" w:eastAsia="Times New Roman" w:hAnsi="Times New Roman" w:cs="Times New Roman"/>
                <w:color w:val="000000"/>
                <w:spacing w:val="0"/>
                <w:w w:val="100"/>
                <w:position w:val="0"/>
                <w:sz w:val="24"/>
                <w:szCs w:val="24"/>
              </w:rPr>
              <w:t>1,064,413</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560" w:right="0" w:firstLine="0"/>
              <w:jc w:val="both"/>
              <w:rPr>
                <w:sz w:val="24"/>
                <w:szCs w:val="24"/>
              </w:rPr>
            </w:pPr>
            <w:r>
              <w:rPr>
                <w:rFonts w:ascii="Times New Roman" w:eastAsia="Times New Roman" w:hAnsi="Times New Roman" w:cs="Times New Roman"/>
                <w:color w:val="000000"/>
                <w:spacing w:val="0"/>
                <w:w w:val="100"/>
                <w:position w:val="0"/>
                <w:sz w:val="24"/>
                <w:szCs w:val="24"/>
              </w:rPr>
              <w:t>521,317</w:t>
            </w:r>
          </w:p>
        </w:tc>
      </w:tr>
      <w:tr>
        <w:trPr>
          <w:trHeight w:val="312"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一到二年</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2620" w:right="0" w:firstLine="0"/>
              <w:jc w:val="left"/>
              <w:rPr>
                <w:sz w:val="24"/>
                <w:szCs w:val="24"/>
              </w:rPr>
            </w:pPr>
            <w:r>
              <w:rPr>
                <w:rFonts w:ascii="Times New Roman" w:eastAsia="Times New Roman" w:hAnsi="Times New Roman" w:cs="Times New Roman"/>
                <w:color w:val="000000"/>
                <w:spacing w:val="0"/>
                <w:w w:val="100"/>
                <w:position w:val="0"/>
                <w:sz w:val="24"/>
                <w:szCs w:val="24"/>
              </w:rPr>
              <w:t>71,934</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560" w:right="0" w:firstLine="0"/>
              <w:jc w:val="both"/>
              <w:rPr>
                <w:sz w:val="24"/>
                <w:szCs w:val="24"/>
              </w:rPr>
            </w:pPr>
            <w:r>
              <w:rPr>
                <w:rFonts w:ascii="Times New Roman" w:eastAsia="Times New Roman" w:hAnsi="Times New Roman" w:cs="Times New Roman"/>
                <w:color w:val="000000"/>
                <w:spacing w:val="0"/>
                <w:w w:val="100"/>
                <w:position w:val="0"/>
                <w:sz w:val="24"/>
                <w:szCs w:val="24"/>
              </w:rPr>
              <w:t>127,806</w:t>
            </w:r>
          </w:p>
        </w:tc>
      </w:tr>
      <w:tr>
        <w:trPr>
          <w:trHeight w:val="317"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二到三年</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2620" w:right="0" w:firstLine="0"/>
              <w:jc w:val="left"/>
              <w:rPr>
                <w:sz w:val="24"/>
                <w:szCs w:val="24"/>
              </w:rPr>
            </w:pPr>
            <w:r>
              <w:rPr>
                <w:rFonts w:ascii="Times New Roman" w:eastAsia="Times New Roman" w:hAnsi="Times New Roman" w:cs="Times New Roman"/>
                <w:color w:val="000000"/>
                <w:spacing w:val="0"/>
                <w:w w:val="100"/>
                <w:position w:val="0"/>
                <w:sz w:val="24"/>
                <w:szCs w:val="24"/>
              </w:rPr>
              <w:t>17,603</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82,917</w:t>
            </w:r>
          </w:p>
        </w:tc>
      </w:tr>
      <w:tr>
        <w:trPr>
          <w:trHeight w:val="307"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三到四年</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2620" w:right="0" w:firstLine="0"/>
              <w:jc w:val="left"/>
              <w:rPr>
                <w:sz w:val="24"/>
                <w:szCs w:val="24"/>
              </w:rPr>
            </w:pPr>
            <w:r>
              <w:rPr>
                <w:rFonts w:ascii="Times New Roman" w:eastAsia="Times New Roman" w:hAnsi="Times New Roman" w:cs="Times New Roman"/>
                <w:color w:val="000000"/>
                <w:spacing w:val="0"/>
                <w:w w:val="100"/>
                <w:position w:val="0"/>
                <w:sz w:val="24"/>
                <w:szCs w:val="24"/>
              </w:rPr>
              <w:t>10,452</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31,411</w:t>
            </w:r>
          </w:p>
        </w:tc>
      </w:tr>
      <w:tr>
        <w:trPr>
          <w:trHeight w:val="312"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四到五年</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380" w:firstLine="0"/>
              <w:jc w:val="right"/>
              <w:rPr>
                <w:sz w:val="24"/>
                <w:szCs w:val="24"/>
              </w:rPr>
            </w:pPr>
            <w:r>
              <w:rPr>
                <w:rFonts w:ascii="Times New Roman" w:eastAsia="Times New Roman" w:hAnsi="Times New Roman" w:cs="Times New Roman"/>
                <w:color w:val="000000"/>
                <w:spacing w:val="0"/>
                <w:w w:val="100"/>
                <w:position w:val="0"/>
                <w:sz w:val="24"/>
                <w:szCs w:val="24"/>
              </w:rPr>
              <w:t>6,072</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6,865</w:t>
            </w:r>
          </w:p>
        </w:tc>
      </w:tr>
      <w:tr>
        <w:trPr>
          <w:trHeight w:val="312"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五年以上</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380" w:firstLine="0"/>
              <w:jc w:val="right"/>
              <w:rPr>
                <w:sz w:val="24"/>
                <w:szCs w:val="24"/>
              </w:rPr>
            </w:pPr>
            <w:r>
              <w:rPr>
                <w:rFonts w:ascii="Times New Roman" w:eastAsia="Times New Roman" w:hAnsi="Times New Roman" w:cs="Times New Roman"/>
                <w:color w:val="000000"/>
                <w:spacing w:val="0"/>
                <w:w w:val="100"/>
                <w:position w:val="0"/>
                <w:sz w:val="24"/>
                <w:szCs w:val="24"/>
              </w:rPr>
              <w:t>3,047</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4,725</w:t>
            </w:r>
          </w:p>
        </w:tc>
      </w:tr>
      <w:tr>
        <w:trPr>
          <w:trHeight w:val="307" w:hRule="exact"/>
        </w:trPr>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380" w:firstLine="0"/>
              <w:jc w:val="right"/>
              <w:rPr>
                <w:sz w:val="24"/>
                <w:szCs w:val="24"/>
              </w:rPr>
            </w:pPr>
            <w:r>
              <w:rPr>
                <w:rFonts w:ascii="Times New Roman" w:eastAsia="Times New Roman" w:hAnsi="Times New Roman" w:cs="Times New Roman"/>
                <w:color w:val="000000"/>
                <w:spacing w:val="0"/>
                <w:w w:val="100"/>
                <w:position w:val="0"/>
                <w:sz w:val="24"/>
                <w:szCs w:val="24"/>
              </w:rPr>
              <w:t>1,173,521</w:t>
            </w:r>
          </w:p>
        </w:tc>
        <w:tc>
          <w:tcPr>
            <w:tcBorders>
              <w:top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775,041</w:t>
            </w:r>
          </w:p>
        </w:tc>
      </w:tr>
    </w:tbl>
    <w:p>
      <w:pPr>
        <w:widowControl w:val="0"/>
        <w:spacing w:after="259" w:line="1" w:lineRule="exact"/>
      </w:pPr>
    </w:p>
    <w:p>
      <w:pPr>
        <w:pStyle w:val="Style32"/>
        <w:keepNext w:val="0"/>
        <w:keepLines w:val="0"/>
        <w:widowControl w:val="0"/>
        <w:shd w:val="clear" w:color="auto" w:fill="auto"/>
        <w:bidi w:val="0"/>
        <w:spacing w:before="0" w:after="260" w:line="336" w:lineRule="exact"/>
        <w:ind w:left="700" w:right="0" w:firstLine="40"/>
        <w:jc w:val="left"/>
        <w:rPr>
          <w:sz w:val="24"/>
          <w:szCs w:val="24"/>
        </w:rPr>
      </w:pPr>
      <w:r>
        <w:rPr>
          <w:color w:val="000000"/>
          <w:spacing w:val="0"/>
          <w:w w:val="100"/>
          <w:position w:val="0"/>
          <w:sz w:val="24"/>
          <w:szCs w:val="24"/>
        </w:rPr>
        <w:t>于</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日，本集团无已逾期未减值的应收账款</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 :无</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w:t>
      </w:r>
    </w:p>
    <w:p>
      <w:pPr>
        <w:pStyle w:val="Style32"/>
        <w:keepNext w:val="0"/>
        <w:keepLines w:val="0"/>
        <w:widowControl w:val="0"/>
        <w:shd w:val="clear" w:color="auto" w:fill="auto"/>
        <w:tabs>
          <w:tab w:pos="637" w:val="left"/>
        </w:tabs>
        <w:bidi w:val="0"/>
        <w:spacing w:before="0" w:after="260" w:line="240" w:lineRule="auto"/>
        <w:ind w:left="0" w:right="0" w:firstLine="0"/>
        <w:jc w:val="left"/>
        <w:rPr>
          <w:sz w:val="24"/>
          <w:szCs w:val="24"/>
        </w:rPr>
      </w:pPr>
      <w:bookmarkStart w:id="814" w:name="bookmark814"/>
      <w:r>
        <w:rPr>
          <w:rFonts w:ascii="Times New Roman" w:eastAsia="Times New Roman" w:hAnsi="Times New Roman" w:cs="Times New Roman"/>
          <w:color w:val="000000"/>
          <w:spacing w:val="0"/>
          <w:w w:val="100"/>
          <w:position w:val="0"/>
          <w:sz w:val="24"/>
          <w:szCs w:val="24"/>
        </w:rPr>
        <w:t>（</w:t>
      </w:r>
      <w:bookmarkEnd w:id="814"/>
      <w:r>
        <w:rPr>
          <w:rFonts w:ascii="Times New Roman" w:eastAsia="Times New Roman" w:hAnsi="Times New Roman" w:cs="Times New Roman"/>
          <w:color w:val="000000"/>
          <w:spacing w:val="0"/>
          <w:w w:val="100"/>
          <w:position w:val="0"/>
          <w:sz w:val="24"/>
          <w:szCs w:val="24"/>
        </w:rPr>
        <w:t>b）</w:t>
        <w:tab/>
      </w:r>
      <w:r>
        <w:rPr>
          <w:color w:val="000000"/>
          <w:spacing w:val="0"/>
          <w:w w:val="100"/>
          <w:position w:val="0"/>
          <w:sz w:val="24"/>
          <w:szCs w:val="24"/>
        </w:rPr>
        <w:t>应收账款按类别分析如下:</w:t>
      </w:r>
    </w:p>
    <w:tbl>
      <w:tblPr>
        <w:tblOverlap w:val="never"/>
        <w:jc w:val="right"/>
        <w:tblLayout w:type="fixed"/>
      </w:tblPr>
      <w:tblGrid>
        <w:gridCol w:w="1886"/>
        <w:gridCol w:w="898"/>
        <w:gridCol w:w="1152"/>
        <w:gridCol w:w="984"/>
        <w:gridCol w:w="701"/>
        <w:gridCol w:w="931"/>
        <w:gridCol w:w="1018"/>
        <w:gridCol w:w="941"/>
        <w:gridCol w:w="586"/>
      </w:tblGrid>
      <w:tr>
        <w:trPr>
          <w:trHeight w:val="250" w:hRule="exact"/>
        </w:trPr>
        <w:tc>
          <w:tcPr>
            <w:vMerge w:val="restart"/>
            <w:tcBorders/>
            <w:shd w:val="clear" w:color="auto" w:fill="FFFFFF"/>
            <w:vAlign w:val="top"/>
          </w:tcPr>
          <w:p>
            <w:pPr>
              <w:widowControl w:val="0"/>
              <w:rPr>
                <w:sz w:val="10"/>
                <w:szCs w:val="10"/>
              </w:rPr>
            </w:pPr>
          </w:p>
        </w:tc>
        <w:tc>
          <w:tcPr>
            <w:gridSpan w:val="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w:t>
            </w:r>
          </w:p>
        </w:tc>
        <w:tc>
          <w:tcPr>
            <w:gridSpan w:val="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2015</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w:t>
            </w:r>
          </w:p>
        </w:tc>
      </w:tr>
      <w:tr>
        <w:trPr>
          <w:trHeight w:val="269" w:hRule="exact"/>
        </w:trPr>
        <w:tc>
          <w:tcPr>
            <w:vMerge/>
            <w:tcBorders/>
            <w:shd w:val="clear" w:color="auto" w:fill="FFFFFF"/>
            <w:vAlign w:val="top"/>
          </w:tcPr>
          <w:p>
            <w:pPr/>
          </w:p>
        </w:tc>
        <w:tc>
          <w:tcPr>
            <w:gridSpan w:val="2"/>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账面余额</w:t>
            </w:r>
          </w:p>
        </w:tc>
        <w:tc>
          <w:tcPr>
            <w:gridSpan w:val="2"/>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坏账准备</w:t>
            </w:r>
          </w:p>
        </w:tc>
        <w:tc>
          <w:tcPr>
            <w:gridSpan w:val="2"/>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账面余额</w:t>
            </w:r>
          </w:p>
        </w:tc>
        <w:tc>
          <w:tcPr>
            <w:gridSpan w:val="2"/>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280" w:firstLine="0"/>
              <w:jc w:val="right"/>
              <w:rPr>
                <w:sz w:val="20"/>
                <w:szCs w:val="20"/>
              </w:rPr>
            </w:pPr>
            <w:r>
              <w:rPr>
                <w:color w:val="000000"/>
                <w:spacing w:val="0"/>
                <w:w w:val="100"/>
                <w:position w:val="0"/>
                <w:sz w:val="20"/>
                <w:szCs w:val="20"/>
              </w:rPr>
              <w:t>坏账准备</w:t>
            </w:r>
          </w:p>
        </w:tc>
      </w:tr>
      <w:tr>
        <w:trPr>
          <w:trHeight w:val="638" w:hRule="exact"/>
        </w:trPr>
        <w:tc>
          <w:tcPr>
            <w:vMerge/>
            <w:tcBorders/>
            <w:shd w:val="clear" w:color="auto" w:fill="FFFFFF"/>
            <w:vAlign w:val="top"/>
          </w:tcPr>
          <w:p>
            <w:pP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金额</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占总额</w:t>
            </w:r>
          </w:p>
          <w:p>
            <w:pPr>
              <w:pStyle w:val="Style28"/>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比例</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金额</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59" w:lineRule="exact"/>
              <w:ind w:left="0" w:right="0" w:firstLine="0"/>
              <w:jc w:val="left"/>
              <w:rPr>
                <w:sz w:val="20"/>
                <w:szCs w:val="20"/>
              </w:rPr>
            </w:pPr>
            <w:r>
              <w:rPr>
                <w:color w:val="000000"/>
                <w:spacing w:val="0"/>
                <w:w w:val="100"/>
                <w:position w:val="0"/>
                <w:sz w:val="20"/>
                <w:szCs w:val="20"/>
              </w:rPr>
              <w:t>计提 比例</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金额</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占总额</w:t>
            </w:r>
          </w:p>
          <w:p>
            <w:pPr>
              <w:pStyle w:val="Style28"/>
              <w:keepNext w:val="0"/>
              <w:keepLines w:val="0"/>
              <w:widowControl w:val="0"/>
              <w:shd w:val="clear" w:color="auto" w:fill="auto"/>
              <w:bidi w:val="0"/>
              <w:spacing w:before="0" w:after="0" w:line="240" w:lineRule="auto"/>
              <w:ind w:left="0" w:right="160" w:firstLine="0"/>
              <w:jc w:val="right"/>
              <w:rPr>
                <w:sz w:val="20"/>
                <w:szCs w:val="20"/>
              </w:rPr>
            </w:pPr>
            <w:r>
              <w:rPr>
                <w:color w:val="000000"/>
                <w:spacing w:val="0"/>
                <w:w w:val="100"/>
                <w:position w:val="0"/>
                <w:sz w:val="20"/>
                <w:szCs w:val="20"/>
              </w:rPr>
              <w:t>比例</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金额</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59" w:lineRule="exact"/>
              <w:ind w:left="0" w:right="0" w:firstLine="0"/>
              <w:jc w:val="center"/>
              <w:rPr>
                <w:sz w:val="20"/>
                <w:szCs w:val="20"/>
              </w:rPr>
            </w:pPr>
            <w:r>
              <w:rPr>
                <w:color w:val="000000"/>
                <w:spacing w:val="0"/>
                <w:w w:val="100"/>
                <w:position w:val="0"/>
                <w:sz w:val="20"/>
                <w:szCs w:val="20"/>
              </w:rPr>
              <w:t>计提 比例</w:t>
            </w:r>
          </w:p>
        </w:tc>
      </w:tr>
      <w:tr>
        <w:trPr>
          <w:trHeight w:val="490"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按组合计提坏账准备</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84"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应收政府补贴组合</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6,191</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0.5%</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20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6,224</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0.8%</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2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r>
      <w:tr>
        <w:trPr>
          <w:trHeight w:val="264"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应收节能补贴组合</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69,391</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5.9%</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8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79,373</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10.2%</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2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r>
      <w:tr>
        <w:trPr>
          <w:trHeight w:val="254"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应收其他款项组合</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1,097,939</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93.6%</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(69,990)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6.4%</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689,444</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89.0%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(69,424)</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10.1%</w:t>
            </w:r>
          </w:p>
        </w:tc>
      </w:tr>
      <w:tr>
        <w:trPr>
          <w:trHeight w:val="259" w:hRule="exact"/>
        </w:trPr>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1,173,521</w:t>
            </w:r>
          </w:p>
        </w:tc>
        <w:tc>
          <w:tcPr>
            <w:tcBorders>
              <w:top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100.0%</w:t>
            </w:r>
          </w:p>
        </w:tc>
        <w:tc>
          <w:tcPr>
            <w:tcBorders>
              <w:top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(69,990)</w:t>
            </w:r>
          </w:p>
        </w:tc>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775,041</w:t>
            </w:r>
          </w:p>
        </w:tc>
        <w:tc>
          <w:tcPr>
            <w:tcBorders>
              <w:top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100.0%</w:t>
            </w:r>
          </w:p>
        </w:tc>
        <w:tc>
          <w:tcPr>
            <w:tcBorders>
              <w:top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(69,424)</w:t>
            </w:r>
          </w:p>
        </w:tc>
        <w:tc>
          <w:tcPr>
            <w:tcBorders/>
            <w:shd w:val="clear" w:color="auto" w:fill="FFFFFF"/>
            <w:vAlign w:val="top"/>
          </w:tcPr>
          <w:p>
            <w:pPr>
              <w:widowControl w:val="0"/>
              <w:rPr>
                <w:sz w:val="10"/>
                <w:szCs w:val="10"/>
              </w:rPr>
            </w:pPr>
          </w:p>
        </w:tc>
      </w:tr>
    </w:tbl>
    <w:p>
      <w:pPr>
        <w:sectPr>
          <w:footnotePr>
            <w:pos w:val="pageBottom"/>
            <w:numFmt w:val="decimal"/>
            <w:numRestart w:val="continuous"/>
          </w:footnotePr>
          <w:pgSz w:w="11900" w:h="16840"/>
          <w:pgMar w:top="1326" w:right="459" w:bottom="3203" w:left="1592" w:header="0" w:footer="3" w:gutter="0"/>
          <w:cols w:space="720"/>
          <w:noEndnote/>
          <w:rtlGutter w:val="0"/>
          <w:docGrid w:linePitch="360"/>
        </w:sectPr>
      </w:pPr>
    </w:p>
    <w:p>
      <w:pPr>
        <w:pStyle w:val="Style32"/>
        <w:keepNext w:val="0"/>
        <w:keepLines w:val="0"/>
        <w:widowControl w:val="0"/>
        <w:shd w:val="clear" w:color="auto" w:fill="auto"/>
        <w:bidi w:val="0"/>
        <w:spacing w:before="0" w:after="0" w:line="240" w:lineRule="auto"/>
        <w:ind w:left="0" w:right="0" w:firstLine="700"/>
        <w:jc w:val="left"/>
        <w:rPr>
          <w:sz w:val="24"/>
          <w:szCs w:val="24"/>
        </w:rPr>
      </w:pPr>
      <w:r>
        <w:rPr>
          <w:b/>
          <w:bCs/>
          <w:color w:val="000000"/>
          <w:spacing w:val="0"/>
          <w:w w:val="100"/>
          <w:position w:val="0"/>
          <w:sz w:val="24"/>
          <w:szCs w:val="24"/>
        </w:rPr>
        <w:t>财务报表附注</w:t>
      </w:r>
    </w:p>
    <w:p>
      <w:pPr>
        <w:pStyle w:val="Style88"/>
        <w:keepNext/>
        <w:keepLines/>
        <w:widowControl w:val="0"/>
        <w:shd w:val="clear" w:color="auto" w:fill="auto"/>
        <w:bidi w:val="0"/>
        <w:spacing w:before="0" w:after="0" w:line="240" w:lineRule="auto"/>
        <w:ind w:left="0" w:right="0"/>
        <w:jc w:val="left"/>
      </w:pPr>
      <w:bookmarkStart w:id="815" w:name="bookmark815"/>
      <w:bookmarkStart w:id="816" w:name="bookmark816"/>
      <w:bookmarkStart w:id="817" w:name="bookmark817"/>
      <w:r>
        <w:rPr>
          <w:color w:val="000000"/>
          <w:spacing w:val="0"/>
          <w:w w:val="100"/>
          <w:position w:val="0"/>
          <w:sz w:val="24"/>
          <w:szCs w:val="24"/>
        </w:rPr>
        <w:t>2016</w:t>
      </w:r>
      <w:r>
        <w:rPr>
          <w:rFonts w:ascii="SimSun" w:eastAsia="SimSun" w:hAnsi="SimSun" w:cs="SimSun"/>
          <w:b/>
          <w:bCs/>
          <w:color w:val="000000"/>
          <w:spacing w:val="0"/>
          <w:w w:val="100"/>
          <w:position w:val="0"/>
          <w:sz w:val="24"/>
          <w:szCs w:val="24"/>
        </w:rPr>
        <w:t>年度</w:t>
      </w:r>
      <w:bookmarkEnd w:id="815"/>
      <w:bookmarkEnd w:id="816"/>
      <w:bookmarkEnd w:id="817"/>
    </w:p>
    <w:p>
      <w:pPr>
        <w:pStyle w:val="Style32"/>
        <w:keepNext w:val="0"/>
        <w:keepLines w:val="0"/>
        <w:widowControl w:val="0"/>
        <w:shd w:val="clear" w:color="auto" w:fill="auto"/>
        <w:bidi w:val="0"/>
        <w:spacing w:before="0" w:after="240" w:line="240" w:lineRule="auto"/>
        <w:ind w:left="0" w:right="0" w:firstLine="700"/>
        <w:jc w:val="left"/>
        <w:rPr>
          <w:sz w:val="24"/>
          <w:szCs w:val="24"/>
        </w:rPr>
      </w:pPr>
      <w:r>
        <w:rPr>
          <w:rFonts w:ascii="Arial" w:eastAsia="Arial" w:hAnsi="Arial" w:cs="Arial"/>
          <w:color w:val="000000"/>
          <w:spacing w:val="0"/>
          <w:w w:val="100"/>
          <w:position w:val="0"/>
          <w:sz w:val="20"/>
          <w:szCs w:val="20"/>
        </w:rPr>
        <w:t>(</w:t>
      </w:r>
      <w:r>
        <w:rPr>
          <w:color w:val="000000"/>
          <w:spacing w:val="0"/>
          <w:w w:val="100"/>
          <w:position w:val="0"/>
          <w:sz w:val="20"/>
          <w:szCs w:val="20"/>
        </w:rPr>
        <w:t>除特别注明外，金额单位为人民币千元</w:t>
      </w:r>
      <w:r>
        <w:rPr>
          <w:color w:val="000000"/>
          <w:spacing w:val="0"/>
          <w:w w:val="100"/>
          <w:position w:val="0"/>
          <w:sz w:val="24"/>
          <w:szCs w:val="24"/>
        </w:rPr>
        <w:t>)</w:t>
      </w:r>
    </w:p>
    <w:p>
      <w:pPr>
        <w:pStyle w:val="Style32"/>
        <w:keepNext w:val="0"/>
        <w:keepLines w:val="0"/>
        <w:widowControl w:val="0"/>
        <w:shd w:val="clear" w:color="auto" w:fill="auto"/>
        <w:tabs>
          <w:tab w:pos="704" w:val="left"/>
        </w:tabs>
        <w:bidi w:val="0"/>
        <w:spacing w:before="0" w:after="240" w:line="240" w:lineRule="auto"/>
        <w:ind w:left="0" w:right="0" w:firstLine="0"/>
        <w:jc w:val="left"/>
        <w:rPr>
          <w:sz w:val="24"/>
          <w:szCs w:val="24"/>
        </w:rPr>
      </w:pPr>
      <w:r>
        <w:rPr>
          <w:b/>
          <w:bCs/>
          <w:color w:val="000000"/>
          <w:spacing w:val="0"/>
          <w:w w:val="100"/>
          <w:position w:val="0"/>
          <w:sz w:val="24"/>
          <w:szCs w:val="24"/>
        </w:rPr>
        <w:t>四</w:t>
        <w:tab/>
        <w:t>合并财务报表项目附注</w:t>
      </w:r>
      <w:r>
        <w:rPr>
          <w:rFonts w:ascii="Times New Roman" w:eastAsia="Times New Roman" w:hAnsi="Times New Roman" w:cs="Times New Roman"/>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4"/>
          <w:szCs w:val="24"/>
        </w:rPr>
        <w:t>)</w:t>
      </w:r>
    </w:p>
    <w:p>
      <w:pPr>
        <w:pStyle w:val="Style53"/>
        <w:keepNext w:val="0"/>
        <w:keepLines w:val="0"/>
        <w:widowControl w:val="0"/>
        <w:shd w:val="clear" w:color="auto" w:fill="auto"/>
        <w:tabs>
          <w:tab w:pos="704" w:val="left"/>
        </w:tabs>
        <w:bidi w:val="0"/>
        <w:spacing w:before="0" w:after="240" w:line="331" w:lineRule="exact"/>
        <w:ind w:left="0" w:right="0" w:firstLine="0"/>
        <w:jc w:val="left"/>
        <w:rPr>
          <w:sz w:val="24"/>
          <w:szCs w:val="24"/>
        </w:rPr>
      </w:pPr>
      <w:r>
        <w:rPr>
          <w:color w:val="000000"/>
          <w:spacing w:val="0"/>
          <w:w w:val="100"/>
          <w:position w:val="0"/>
          <w:sz w:val="24"/>
          <w:szCs w:val="24"/>
        </w:rPr>
        <w:t>(5)</w:t>
        <w:tab/>
      </w:r>
      <w:r>
        <w:rPr>
          <w:rFonts w:ascii="SimSun" w:eastAsia="SimSun" w:hAnsi="SimSun" w:cs="SimSun"/>
          <w:b/>
          <w:bCs/>
          <w:color w:val="000000"/>
          <w:spacing w:val="0"/>
          <w:w w:val="100"/>
          <w:position w:val="0"/>
          <w:sz w:val="24"/>
          <w:szCs w:val="24"/>
        </w:rPr>
        <w:t>应收账款</w:t>
      </w:r>
      <w:r>
        <w:rPr>
          <w:color w:val="000000"/>
          <w:spacing w:val="0"/>
          <w:w w:val="100"/>
          <w:position w:val="0"/>
          <w:sz w:val="24"/>
          <w:szCs w:val="24"/>
        </w:rPr>
        <w:t>(</w:t>
      </w:r>
      <w:r>
        <w:rPr>
          <w:rFonts w:ascii="SimSun" w:eastAsia="SimSun" w:hAnsi="SimSun" w:cs="SimSun"/>
          <w:b/>
          <w:bCs/>
          <w:color w:val="000000"/>
          <w:spacing w:val="0"/>
          <w:w w:val="100"/>
          <w:position w:val="0"/>
          <w:sz w:val="24"/>
          <w:szCs w:val="24"/>
        </w:rPr>
        <w:t>续</w:t>
      </w:r>
      <w:r>
        <w:rPr>
          <w:rFonts w:ascii="SimSun" w:eastAsia="SimSun" w:hAnsi="SimSun" w:cs="SimSun"/>
          <w:color w:val="000000"/>
          <w:spacing w:val="0"/>
          <w:w w:val="100"/>
          <w:position w:val="0"/>
          <w:sz w:val="24"/>
          <w:szCs w:val="24"/>
        </w:rPr>
        <w:t>)</w:t>
      </w:r>
    </w:p>
    <w:p>
      <w:pPr>
        <w:pStyle w:val="Style32"/>
        <w:keepNext w:val="0"/>
        <w:keepLines w:val="0"/>
        <w:widowControl w:val="0"/>
        <w:numPr>
          <w:ilvl w:val="0"/>
          <w:numId w:val="63"/>
        </w:numPr>
        <w:shd w:val="clear" w:color="auto" w:fill="auto"/>
        <w:tabs>
          <w:tab w:pos="704" w:val="left"/>
        </w:tabs>
        <w:bidi w:val="0"/>
        <w:spacing w:before="0" w:after="240" w:line="331" w:lineRule="exact"/>
        <w:ind w:left="700" w:right="0" w:hanging="700"/>
        <w:jc w:val="left"/>
        <w:rPr>
          <w:sz w:val="24"/>
          <w:szCs w:val="24"/>
        </w:rPr>
      </w:pPr>
      <w:bookmarkStart w:id="818" w:name="bookmark818"/>
      <w:bookmarkEnd w:id="818"/>
      <w:r>
        <w:rPr>
          <w:color w:val="000000"/>
          <w:spacing w:val="0"/>
          <w:w w:val="100"/>
          <w:position w:val="0"/>
          <w:sz w:val="24"/>
          <w:szCs w:val="24"/>
        </w:rPr>
        <w:t>按应收其他款项组合计提坏账准备的应收账款中，采用账龄分析法的组合分析 如下：</w:t>
      </w:r>
    </w:p>
    <w:tbl>
      <w:tblPr>
        <w:tblOverlap w:val="never"/>
        <w:jc w:val="center"/>
        <w:tblLayout w:type="fixed"/>
      </w:tblPr>
      <w:tblGrid>
        <w:gridCol w:w="1248"/>
        <w:gridCol w:w="1555"/>
        <w:gridCol w:w="1344"/>
        <w:gridCol w:w="941"/>
        <w:gridCol w:w="1594"/>
        <w:gridCol w:w="1363"/>
        <w:gridCol w:w="509"/>
      </w:tblGrid>
      <w:tr>
        <w:trPr>
          <w:trHeight w:val="250" w:hRule="exact"/>
        </w:trPr>
        <w:tc>
          <w:tcPr>
            <w:vMerge w:val="restart"/>
            <w:tcBorders/>
            <w:shd w:val="clear" w:color="auto" w:fill="FFFFFF"/>
            <w:vAlign w:val="top"/>
          </w:tcPr>
          <w:p>
            <w:pPr>
              <w:widowControl w:val="0"/>
              <w:rPr>
                <w:sz w:val="10"/>
                <w:szCs w:val="10"/>
              </w:rPr>
            </w:pPr>
          </w:p>
        </w:tc>
        <w:tc>
          <w:tcPr>
            <w:gridSpan w:val="3"/>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w:t>
            </w:r>
          </w:p>
        </w:tc>
        <w:tc>
          <w:tcPr>
            <w:gridSpan w:val="3"/>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2015</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w:t>
            </w:r>
          </w:p>
        </w:tc>
      </w:tr>
      <w:tr>
        <w:trPr>
          <w:trHeight w:val="269" w:hRule="exact"/>
        </w:trPr>
        <w:tc>
          <w:tcPr>
            <w:vMerge/>
            <w:tcBorders/>
            <w:shd w:val="clear" w:color="auto" w:fill="FFFFFF"/>
            <w:vAlign w:val="top"/>
          </w:tcPr>
          <w:p>
            <w:pP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账面余额</w:t>
            </w:r>
          </w:p>
        </w:tc>
        <w:tc>
          <w:tcPr>
            <w:gridSpan w:val="2"/>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坏账准备</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300" w:firstLine="0"/>
              <w:jc w:val="right"/>
              <w:rPr>
                <w:sz w:val="20"/>
                <w:szCs w:val="20"/>
              </w:rPr>
            </w:pPr>
            <w:r>
              <w:rPr>
                <w:color w:val="000000"/>
                <w:spacing w:val="0"/>
                <w:w w:val="100"/>
                <w:position w:val="0"/>
                <w:sz w:val="20"/>
                <w:szCs w:val="20"/>
              </w:rPr>
              <w:t>账面余额</w:t>
            </w:r>
          </w:p>
        </w:tc>
        <w:tc>
          <w:tcPr>
            <w:gridSpan w:val="2"/>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坏账准备</w:t>
            </w:r>
          </w:p>
        </w:tc>
      </w:tr>
      <w:tr>
        <w:trPr>
          <w:trHeight w:val="667" w:hRule="exact"/>
        </w:trPr>
        <w:tc>
          <w:tcPr>
            <w:vMerge/>
            <w:tcBorders/>
            <w:shd w:val="clear" w:color="auto" w:fill="FFFFFF"/>
            <w:vAlign w:val="top"/>
          </w:tcPr>
          <w:p>
            <w:pP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rPr>
              <w:t>金额</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金额</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54" w:lineRule="exact"/>
              <w:ind w:left="0" w:right="0" w:firstLine="0"/>
              <w:jc w:val="left"/>
              <w:rPr>
                <w:sz w:val="20"/>
                <w:szCs w:val="20"/>
              </w:rPr>
            </w:pPr>
            <w:r>
              <w:rPr>
                <w:color w:val="000000"/>
                <w:spacing w:val="0"/>
                <w:w w:val="100"/>
                <w:position w:val="0"/>
                <w:sz w:val="20"/>
                <w:szCs w:val="20"/>
              </w:rPr>
              <w:t>计提 比例</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300" w:firstLine="0"/>
              <w:jc w:val="right"/>
              <w:rPr>
                <w:sz w:val="20"/>
                <w:szCs w:val="20"/>
              </w:rPr>
            </w:pPr>
            <w:r>
              <w:rPr>
                <w:color w:val="000000"/>
                <w:spacing w:val="0"/>
                <w:w w:val="100"/>
                <w:position w:val="0"/>
                <w:sz w:val="20"/>
                <w:szCs w:val="20"/>
              </w:rPr>
              <w:t>金额</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59" w:lineRule="exact"/>
              <w:ind w:left="0" w:right="0" w:firstLine="0"/>
              <w:jc w:val="left"/>
              <w:rPr>
                <w:sz w:val="20"/>
                <w:szCs w:val="20"/>
              </w:rPr>
            </w:pPr>
            <w:r>
              <w:rPr>
                <w:color w:val="000000"/>
                <w:spacing w:val="0"/>
                <w:w w:val="100"/>
                <w:position w:val="0"/>
                <w:sz w:val="20"/>
                <w:szCs w:val="20"/>
              </w:rPr>
              <w:t>计提 比例</w:t>
            </w:r>
          </w:p>
        </w:tc>
      </w:tr>
      <w:tr>
        <w:trPr>
          <w:trHeight w:val="403"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一年以内</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left"/>
              <w:rPr>
                <w:sz w:val="20"/>
                <w:szCs w:val="20"/>
              </w:rPr>
            </w:pPr>
            <w:r>
              <w:rPr>
                <w:rFonts w:ascii="Times New Roman" w:eastAsia="Times New Roman" w:hAnsi="Times New Roman" w:cs="Times New Roman"/>
                <w:color w:val="000000"/>
                <w:spacing w:val="0"/>
                <w:w w:val="100"/>
                <w:position w:val="0"/>
                <w:sz w:val="20"/>
                <w:szCs w:val="20"/>
              </w:rPr>
              <w:t>988,831</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(49,450)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5%</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20"/>
              <w:jc w:val="left"/>
              <w:rPr>
                <w:sz w:val="20"/>
                <w:szCs w:val="20"/>
              </w:rPr>
            </w:pPr>
            <w:r>
              <w:rPr>
                <w:rFonts w:ascii="Times New Roman" w:eastAsia="Times New Roman" w:hAnsi="Times New Roman" w:cs="Times New Roman"/>
                <w:color w:val="000000"/>
                <w:spacing w:val="0"/>
                <w:w w:val="100"/>
                <w:position w:val="0"/>
                <w:sz w:val="20"/>
                <w:szCs w:val="20"/>
              </w:rPr>
              <w:t>435,720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(21,793)</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w:t>
            </w:r>
          </w:p>
        </w:tc>
      </w:tr>
      <w:tr>
        <w:trPr>
          <w:trHeight w:val="269"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一到二年</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60"/>
              <w:jc w:val="left"/>
              <w:rPr>
                <w:sz w:val="20"/>
                <w:szCs w:val="20"/>
              </w:rPr>
            </w:pPr>
            <w:r>
              <w:rPr>
                <w:rFonts w:ascii="Times New Roman" w:eastAsia="Times New Roman" w:hAnsi="Times New Roman" w:cs="Times New Roman"/>
                <w:color w:val="000000"/>
                <w:spacing w:val="0"/>
                <w:w w:val="100"/>
                <w:position w:val="0"/>
                <w:sz w:val="20"/>
                <w:szCs w:val="20"/>
              </w:rPr>
              <w:t>71,934</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(7,193)</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20"/>
              <w:jc w:val="left"/>
              <w:rPr>
                <w:sz w:val="20"/>
                <w:szCs w:val="20"/>
              </w:rPr>
            </w:pPr>
            <w:r>
              <w:rPr>
                <w:rFonts w:ascii="Times New Roman" w:eastAsia="Times New Roman" w:hAnsi="Times New Roman" w:cs="Times New Roman"/>
                <w:color w:val="000000"/>
                <w:spacing w:val="0"/>
                <w:w w:val="100"/>
                <w:position w:val="0"/>
                <w:sz w:val="20"/>
                <w:szCs w:val="20"/>
              </w:rPr>
              <w:t>127,806</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(12,781)</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w:t>
            </w:r>
          </w:p>
        </w:tc>
      </w:tr>
      <w:tr>
        <w:trPr>
          <w:trHeight w:val="269"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二到三年</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60"/>
              <w:jc w:val="left"/>
              <w:rPr>
                <w:sz w:val="20"/>
                <w:szCs w:val="20"/>
              </w:rPr>
            </w:pPr>
            <w:r>
              <w:rPr>
                <w:rFonts w:ascii="Times New Roman" w:eastAsia="Times New Roman" w:hAnsi="Times New Roman" w:cs="Times New Roman"/>
                <w:color w:val="000000"/>
                <w:spacing w:val="0"/>
                <w:w w:val="100"/>
                <w:position w:val="0"/>
                <w:sz w:val="20"/>
                <w:szCs w:val="20"/>
              </w:rPr>
              <w:t>17,603</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(3,521)</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40"/>
              <w:jc w:val="left"/>
              <w:rPr>
                <w:sz w:val="20"/>
                <w:szCs w:val="20"/>
              </w:rPr>
            </w:pPr>
            <w:r>
              <w:rPr>
                <w:rFonts w:ascii="Times New Roman" w:eastAsia="Times New Roman" w:hAnsi="Times New Roman" w:cs="Times New Roman"/>
                <w:color w:val="000000"/>
                <w:spacing w:val="0"/>
                <w:w w:val="100"/>
                <w:position w:val="0"/>
                <w:sz w:val="20"/>
                <w:szCs w:val="20"/>
              </w:rPr>
              <w:t>82,917</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(16,583)</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20%</w:t>
            </w:r>
          </w:p>
        </w:tc>
      </w:tr>
      <w:tr>
        <w:trPr>
          <w:trHeight w:val="269"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三到四年</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60"/>
              <w:jc w:val="left"/>
              <w:rPr>
                <w:sz w:val="20"/>
                <w:szCs w:val="20"/>
              </w:rPr>
            </w:pPr>
            <w:r>
              <w:rPr>
                <w:rFonts w:ascii="Times New Roman" w:eastAsia="Times New Roman" w:hAnsi="Times New Roman" w:cs="Times New Roman"/>
                <w:color w:val="000000"/>
                <w:spacing w:val="0"/>
                <w:w w:val="100"/>
                <w:position w:val="0"/>
                <w:sz w:val="20"/>
                <w:szCs w:val="20"/>
              </w:rPr>
              <w:t>10,452</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(3,136)</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40"/>
              <w:jc w:val="left"/>
              <w:rPr>
                <w:sz w:val="20"/>
                <w:szCs w:val="20"/>
              </w:rPr>
            </w:pPr>
            <w:r>
              <w:rPr>
                <w:rFonts w:ascii="Times New Roman" w:eastAsia="Times New Roman" w:hAnsi="Times New Roman" w:cs="Times New Roman"/>
                <w:color w:val="000000"/>
                <w:spacing w:val="0"/>
                <w:w w:val="100"/>
                <w:position w:val="0"/>
                <w:sz w:val="20"/>
                <w:szCs w:val="20"/>
              </w:rPr>
              <w:t>31,411</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(9,423)</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30%</w:t>
            </w:r>
          </w:p>
        </w:tc>
      </w:tr>
      <w:tr>
        <w:trPr>
          <w:trHeight w:val="269"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四到五年</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60"/>
              <w:jc w:val="left"/>
              <w:rPr>
                <w:sz w:val="20"/>
                <w:szCs w:val="20"/>
              </w:rPr>
            </w:pPr>
            <w:r>
              <w:rPr>
                <w:rFonts w:ascii="Times New Roman" w:eastAsia="Times New Roman" w:hAnsi="Times New Roman" w:cs="Times New Roman"/>
                <w:color w:val="000000"/>
                <w:spacing w:val="0"/>
                <w:w w:val="100"/>
                <w:position w:val="0"/>
                <w:sz w:val="20"/>
                <w:szCs w:val="20"/>
              </w:rPr>
              <w:t>6,072</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(3,643)</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60%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40"/>
              <w:jc w:val="left"/>
              <w:rPr>
                <w:sz w:val="20"/>
                <w:szCs w:val="20"/>
              </w:rPr>
            </w:pPr>
            <w:r>
              <w:rPr>
                <w:rFonts w:ascii="Times New Roman" w:eastAsia="Times New Roman" w:hAnsi="Times New Roman" w:cs="Times New Roman"/>
                <w:color w:val="000000"/>
                <w:spacing w:val="0"/>
                <w:w w:val="100"/>
                <w:position w:val="0"/>
                <w:sz w:val="20"/>
                <w:szCs w:val="20"/>
              </w:rPr>
              <w:t>6,865</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(4,119)</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60%</w:t>
            </w:r>
          </w:p>
        </w:tc>
      </w:tr>
      <w:tr>
        <w:trPr>
          <w:trHeight w:val="240"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五年以上</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60"/>
              <w:jc w:val="left"/>
              <w:rPr>
                <w:sz w:val="20"/>
                <w:szCs w:val="20"/>
              </w:rPr>
            </w:pPr>
            <w:r>
              <w:rPr>
                <w:rFonts w:ascii="Times New Roman" w:eastAsia="Times New Roman" w:hAnsi="Times New Roman" w:cs="Times New Roman"/>
                <w:color w:val="000000"/>
                <w:spacing w:val="0"/>
                <w:w w:val="100"/>
                <w:position w:val="0"/>
                <w:sz w:val="20"/>
                <w:szCs w:val="20"/>
              </w:rPr>
              <w:t>3,047</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(3,047)</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100%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40"/>
              <w:jc w:val="left"/>
              <w:rPr>
                <w:sz w:val="20"/>
                <w:szCs w:val="20"/>
              </w:rPr>
            </w:pPr>
            <w:r>
              <w:rPr>
                <w:rFonts w:ascii="Times New Roman" w:eastAsia="Times New Roman" w:hAnsi="Times New Roman" w:cs="Times New Roman"/>
                <w:color w:val="000000"/>
                <w:spacing w:val="0"/>
                <w:w w:val="100"/>
                <w:position w:val="0"/>
                <w:sz w:val="20"/>
                <w:szCs w:val="20"/>
              </w:rPr>
              <w:t>4,725</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(4,725)</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w:t>
            </w:r>
          </w:p>
        </w:tc>
      </w:tr>
      <w:tr>
        <w:trPr>
          <w:trHeight w:val="264" w:hRule="exact"/>
        </w:trPr>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1,097,939</w:t>
            </w:r>
          </w:p>
        </w:tc>
        <w:tc>
          <w:tcPr>
            <w:tcBorders>
              <w:top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(69,990)</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20"/>
              <w:jc w:val="left"/>
              <w:rPr>
                <w:sz w:val="20"/>
                <w:szCs w:val="20"/>
              </w:rPr>
            </w:pPr>
            <w:r>
              <w:rPr>
                <w:rFonts w:ascii="Times New Roman" w:eastAsia="Times New Roman" w:hAnsi="Times New Roman" w:cs="Times New Roman"/>
                <w:color w:val="000000"/>
                <w:spacing w:val="0"/>
                <w:w w:val="100"/>
                <w:position w:val="0"/>
                <w:sz w:val="20"/>
                <w:szCs w:val="20"/>
              </w:rPr>
              <w:t>689,444</w:t>
            </w:r>
          </w:p>
        </w:tc>
        <w:tc>
          <w:tcPr>
            <w:tcBorders>
              <w:top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(69,424)</w:t>
            </w:r>
          </w:p>
        </w:tc>
        <w:tc>
          <w:tcPr>
            <w:tcBorders/>
            <w:shd w:val="clear" w:color="auto" w:fill="FFFFFF"/>
            <w:vAlign w:val="top"/>
          </w:tcPr>
          <w:p>
            <w:pPr>
              <w:widowControl w:val="0"/>
              <w:rPr>
                <w:sz w:val="10"/>
                <w:szCs w:val="10"/>
              </w:rPr>
            </w:pPr>
          </w:p>
        </w:tc>
      </w:tr>
    </w:tbl>
    <w:p>
      <w:pPr>
        <w:widowControl w:val="0"/>
        <w:spacing w:after="239" w:line="1" w:lineRule="exact"/>
      </w:pPr>
    </w:p>
    <w:p>
      <w:pPr>
        <w:pStyle w:val="Style32"/>
        <w:keepNext w:val="0"/>
        <w:keepLines w:val="0"/>
        <w:widowControl w:val="0"/>
        <w:numPr>
          <w:ilvl w:val="0"/>
          <w:numId w:val="63"/>
        </w:numPr>
        <w:shd w:val="clear" w:color="auto" w:fill="auto"/>
        <w:tabs>
          <w:tab w:pos="704" w:val="left"/>
        </w:tabs>
        <w:bidi w:val="0"/>
        <w:spacing w:before="0" w:after="240" w:line="326" w:lineRule="exact"/>
        <w:ind w:left="700" w:right="0" w:hanging="700"/>
        <w:jc w:val="left"/>
        <w:rPr>
          <w:sz w:val="24"/>
          <w:szCs w:val="24"/>
        </w:rPr>
      </w:pPr>
      <w:bookmarkStart w:id="819" w:name="bookmark819"/>
      <w:bookmarkEnd w:id="819"/>
      <w:r>
        <w:rPr>
          <w:color w:val="000000"/>
          <w:spacing w:val="0"/>
          <w:w w:val="100"/>
          <w:position w:val="0"/>
          <w:sz w:val="24"/>
          <w:szCs w:val="24"/>
        </w:rPr>
        <w:t>本年度实际核销的应收账款约为人民币</w:t>
      </w:r>
      <w:r>
        <w:rPr>
          <w:rFonts w:ascii="Times New Roman" w:eastAsia="Times New Roman" w:hAnsi="Times New Roman" w:cs="Times New Roman"/>
          <w:color w:val="000000"/>
          <w:spacing w:val="0"/>
          <w:w w:val="100"/>
          <w:position w:val="0"/>
          <w:sz w:val="24"/>
          <w:szCs w:val="24"/>
        </w:rPr>
        <w:t>107</w:t>
      </w:r>
      <w:r>
        <w:rPr>
          <w:color w:val="000000"/>
          <w:spacing w:val="0"/>
          <w:w w:val="100"/>
          <w:position w:val="0"/>
          <w:sz w:val="24"/>
          <w:szCs w:val="24"/>
        </w:rPr>
        <w:t>万元</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sz w:val="24"/>
          <w:szCs w:val="24"/>
        </w:rPr>
        <w:t>年度：约人民币</w:t>
      </w:r>
      <w:r>
        <w:rPr>
          <w:rFonts w:ascii="Times New Roman" w:eastAsia="Times New Roman" w:hAnsi="Times New Roman" w:cs="Times New Roman"/>
          <w:color w:val="000000"/>
          <w:spacing w:val="0"/>
          <w:w w:val="100"/>
          <w:position w:val="0"/>
          <w:sz w:val="24"/>
          <w:szCs w:val="24"/>
        </w:rPr>
        <w:t>303</w:t>
      </w:r>
      <w:r>
        <w:rPr>
          <w:color w:val="000000"/>
          <w:spacing w:val="0"/>
          <w:w w:val="100"/>
          <w:position w:val="0"/>
          <w:sz w:val="24"/>
          <w:szCs w:val="24"/>
        </w:rPr>
        <w:t>万 元</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，无重大的应收账款核销。</w:t>
      </w:r>
    </w:p>
    <w:p>
      <w:pPr>
        <w:pStyle w:val="Style32"/>
        <w:keepNext w:val="0"/>
        <w:keepLines w:val="0"/>
        <w:widowControl w:val="0"/>
        <w:numPr>
          <w:ilvl w:val="0"/>
          <w:numId w:val="63"/>
        </w:numPr>
        <w:shd w:val="clear" w:color="auto" w:fill="auto"/>
        <w:tabs>
          <w:tab w:pos="704" w:val="left"/>
        </w:tabs>
        <w:bidi w:val="0"/>
        <w:spacing w:before="0" w:after="240" w:line="322" w:lineRule="exact"/>
        <w:ind w:left="0" w:right="0" w:firstLine="0"/>
        <w:jc w:val="left"/>
        <w:rPr>
          <w:sz w:val="24"/>
          <w:szCs w:val="24"/>
        </w:rPr>
      </w:pPr>
      <w:bookmarkStart w:id="820" w:name="bookmark820"/>
      <w:bookmarkEnd w:id="820"/>
      <w:r>
        <w:rPr>
          <w:color w:val="000000"/>
          <w:spacing w:val="0"/>
          <w:w w:val="100"/>
          <w:position w:val="0"/>
          <w:sz w:val="24"/>
          <w:szCs w:val="24"/>
        </w:rPr>
        <w:t>于</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日，按欠款方归集的余额前五名的应收账款汇总分析如下：</w:t>
      </w:r>
    </w:p>
    <w:p>
      <w:pPr>
        <w:pStyle w:val="Style32"/>
        <w:keepNext w:val="0"/>
        <w:keepLines w:val="0"/>
        <w:widowControl w:val="0"/>
        <w:shd w:val="clear" w:color="auto" w:fill="auto"/>
        <w:tabs>
          <w:tab w:pos="5697" w:val="left"/>
          <w:tab w:pos="7838" w:val="left"/>
        </w:tabs>
        <w:bidi w:val="0"/>
        <w:spacing w:before="0" w:after="240" w:line="317" w:lineRule="exact"/>
        <w:ind w:left="4900" w:right="720" w:firstLine="0"/>
        <w:jc w:val="right"/>
        <w:rPr>
          <w:sz w:val="24"/>
          <w:szCs w:val="24"/>
        </w:rPr>
      </w:pPr>
      <w:r>
        <w:rPr>
          <w:color w:val="000000"/>
          <w:spacing w:val="0"/>
          <w:w w:val="100"/>
          <w:position w:val="0"/>
          <w:sz w:val="24"/>
          <w:szCs w:val="24"/>
        </w:rPr>
        <w:t>占应收账款余 余额</w:t>
        <w:tab/>
        <w:t>坏账准备金额</w:t>
        <w:tab/>
        <w:t>额总额比例</w:t>
      </w:r>
    </w:p>
    <w:p>
      <w:pPr>
        <w:pStyle w:val="Style53"/>
        <w:keepNext w:val="0"/>
        <w:keepLines w:val="0"/>
        <w:widowControl w:val="0"/>
        <w:shd w:val="clear" w:color="auto" w:fill="auto"/>
        <w:tabs>
          <w:tab w:pos="4559" w:val="left"/>
          <w:tab w:pos="6652" w:val="left"/>
          <w:tab w:pos="8644" w:val="left"/>
        </w:tabs>
        <w:bidi w:val="0"/>
        <w:spacing w:before="0" w:after="240" w:line="322" w:lineRule="exact"/>
        <w:ind w:left="0" w:right="0" w:firstLine="700"/>
        <w:jc w:val="both"/>
        <w:rPr>
          <w:sz w:val="24"/>
          <w:szCs w:val="24"/>
        </w:rPr>
      </w:pPr>
      <w:r>
        <w:rPr>
          <w:rFonts w:ascii="SimSun" w:eastAsia="SimSun" w:hAnsi="SimSun" w:cs="SimSun"/>
          <w:color w:val="000000"/>
          <w:spacing w:val="0"/>
          <w:w w:val="100"/>
          <w:position w:val="0"/>
          <w:sz w:val="24"/>
          <w:szCs w:val="24"/>
        </w:rPr>
        <w:t>余额前五名的应收账款总额</w:t>
        <w:tab/>
      </w:r>
      <w:r>
        <w:rPr>
          <w:color w:val="000000"/>
          <w:spacing w:val="0"/>
          <w:w w:val="100"/>
          <w:position w:val="0"/>
          <w:sz w:val="24"/>
          <w:szCs w:val="24"/>
          <w:u w:val="single"/>
        </w:rPr>
        <w:t>312,814</w:t>
        <w:tab/>
        <w:t>15,451</w:t>
        <w:tab/>
        <w:t>27%</w:t>
      </w:r>
    </w:p>
    <w:p>
      <w:pPr>
        <w:pStyle w:val="Style32"/>
        <w:keepNext w:val="0"/>
        <w:keepLines w:val="0"/>
        <w:widowControl w:val="0"/>
        <w:numPr>
          <w:ilvl w:val="0"/>
          <w:numId w:val="63"/>
        </w:numPr>
        <w:shd w:val="clear" w:color="auto" w:fill="auto"/>
        <w:tabs>
          <w:tab w:pos="704" w:val="left"/>
        </w:tabs>
        <w:bidi w:val="0"/>
        <w:spacing w:before="0" w:after="240" w:line="322" w:lineRule="exact"/>
        <w:ind w:left="0" w:right="0" w:firstLine="0"/>
        <w:jc w:val="left"/>
        <w:rPr>
          <w:sz w:val="24"/>
          <w:szCs w:val="24"/>
        </w:rPr>
      </w:pPr>
      <w:bookmarkStart w:id="821" w:name="bookmark821"/>
      <w:bookmarkEnd w:id="821"/>
      <w:r>
        <w:rPr>
          <w:color w:val="000000"/>
          <w:spacing w:val="0"/>
          <w:w w:val="100"/>
          <w:position w:val="0"/>
          <w:sz w:val="24"/>
          <w:szCs w:val="24"/>
        </w:rPr>
        <w:t>本年度无因金融资产转移而终止确认的应收账款</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sz w:val="24"/>
          <w:szCs w:val="24"/>
        </w:rPr>
        <w:t>年度：无</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w:t>
      </w:r>
    </w:p>
    <w:p>
      <w:pPr>
        <w:pStyle w:val="Style32"/>
        <w:keepNext w:val="0"/>
        <w:keepLines w:val="0"/>
        <w:widowControl w:val="0"/>
        <w:numPr>
          <w:ilvl w:val="0"/>
          <w:numId w:val="63"/>
        </w:numPr>
        <w:shd w:val="clear" w:color="auto" w:fill="auto"/>
        <w:tabs>
          <w:tab w:pos="704" w:val="left"/>
        </w:tabs>
        <w:bidi w:val="0"/>
        <w:spacing w:before="0" w:after="240" w:line="322" w:lineRule="exact"/>
        <w:ind w:left="700" w:right="0" w:hanging="700"/>
        <w:jc w:val="left"/>
        <w:rPr>
          <w:sz w:val="24"/>
          <w:szCs w:val="24"/>
        </w:rPr>
        <w:sectPr>
          <w:footnotePr>
            <w:pos w:val="pageBottom"/>
            <w:numFmt w:val="decimal"/>
            <w:numRestart w:val="continuous"/>
          </w:footnotePr>
          <w:pgSz w:w="11900" w:h="16840"/>
          <w:pgMar w:top="1326" w:right="349" w:bottom="1326" w:left="1701" w:header="0" w:footer="3" w:gutter="0"/>
          <w:cols w:space="720"/>
          <w:noEndnote/>
          <w:rtlGutter w:val="0"/>
          <w:docGrid w:linePitch="360"/>
        </w:sectPr>
      </w:pPr>
      <w:bookmarkStart w:id="822" w:name="bookmark822"/>
      <w:bookmarkEnd w:id="822"/>
      <w:r>
        <w:rPr>
          <w:color w:val="000000"/>
          <w:spacing w:val="0"/>
          <w:w w:val="100"/>
          <w:position w:val="0"/>
          <w:sz w:val="24"/>
          <w:szCs w:val="24"/>
        </w:rPr>
        <w:t>本集团本年度无向金融机构以不附追索权的方式转让的应收账款</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sz w:val="24"/>
          <w:szCs w:val="24"/>
        </w:rPr>
        <w:t>年度: 无</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w:t>
      </w:r>
    </w:p>
    <w:p>
      <w:pPr>
        <w:pStyle w:val="Style32"/>
        <w:keepNext w:val="0"/>
        <w:keepLines w:val="0"/>
        <w:widowControl w:val="0"/>
        <w:shd w:val="clear" w:color="auto" w:fill="auto"/>
        <w:bidi w:val="0"/>
        <w:spacing w:before="0" w:after="0" w:line="240" w:lineRule="auto"/>
        <w:ind w:left="0" w:right="0" w:firstLine="720"/>
        <w:jc w:val="left"/>
        <w:rPr>
          <w:sz w:val="24"/>
          <w:szCs w:val="24"/>
        </w:rPr>
      </w:pPr>
      <w:r>
        <w:rPr>
          <w:b/>
          <w:bCs/>
          <w:color w:val="000000"/>
          <w:spacing w:val="0"/>
          <w:w w:val="100"/>
          <w:position w:val="0"/>
          <w:sz w:val="24"/>
          <w:szCs w:val="24"/>
        </w:rPr>
        <w:t>财务报表附注</w:t>
      </w:r>
    </w:p>
    <w:p>
      <w:pPr>
        <w:pStyle w:val="Style88"/>
        <w:keepNext/>
        <w:keepLines/>
        <w:widowControl w:val="0"/>
        <w:shd w:val="clear" w:color="auto" w:fill="auto"/>
        <w:bidi w:val="0"/>
        <w:spacing w:before="0" w:after="0" w:line="240" w:lineRule="auto"/>
        <w:ind w:left="0" w:right="0" w:firstLine="720"/>
        <w:jc w:val="left"/>
      </w:pPr>
      <w:bookmarkStart w:id="823" w:name="bookmark823"/>
      <w:bookmarkStart w:id="824" w:name="bookmark824"/>
      <w:bookmarkStart w:id="825" w:name="bookmark825"/>
      <w:r>
        <w:rPr>
          <w:color w:val="000000"/>
          <w:spacing w:val="0"/>
          <w:w w:val="100"/>
          <w:position w:val="0"/>
          <w:sz w:val="24"/>
          <w:szCs w:val="24"/>
        </w:rPr>
        <w:t>2016</w:t>
      </w:r>
      <w:r>
        <w:rPr>
          <w:rFonts w:ascii="SimSun" w:eastAsia="SimSun" w:hAnsi="SimSun" w:cs="SimSun"/>
          <w:b/>
          <w:bCs/>
          <w:color w:val="000000"/>
          <w:spacing w:val="0"/>
          <w:w w:val="100"/>
          <w:position w:val="0"/>
          <w:sz w:val="24"/>
          <w:szCs w:val="24"/>
        </w:rPr>
        <w:t>年度</w:t>
      </w:r>
      <w:bookmarkEnd w:id="823"/>
      <w:bookmarkEnd w:id="824"/>
      <w:bookmarkEnd w:id="825"/>
    </w:p>
    <w:p>
      <w:pPr>
        <w:pStyle w:val="Style32"/>
        <w:keepNext w:val="0"/>
        <w:keepLines w:val="0"/>
        <w:widowControl w:val="0"/>
        <w:shd w:val="clear" w:color="auto" w:fill="auto"/>
        <w:bidi w:val="0"/>
        <w:spacing w:before="0" w:after="260" w:line="240" w:lineRule="auto"/>
        <w:ind w:left="0" w:right="0" w:firstLine="720"/>
        <w:jc w:val="left"/>
        <w:rPr>
          <w:sz w:val="24"/>
          <w:szCs w:val="24"/>
        </w:rPr>
      </w:pPr>
      <w:r>
        <w:rPr>
          <w:rFonts w:ascii="Arial" w:eastAsia="Arial" w:hAnsi="Arial" w:cs="Arial"/>
          <w:color w:val="000000"/>
          <w:spacing w:val="0"/>
          <w:w w:val="100"/>
          <w:position w:val="0"/>
          <w:sz w:val="20"/>
          <w:szCs w:val="20"/>
        </w:rPr>
        <w:t>(</w:t>
      </w:r>
      <w:r>
        <w:rPr>
          <w:color w:val="000000"/>
          <w:spacing w:val="0"/>
          <w:w w:val="100"/>
          <w:position w:val="0"/>
          <w:sz w:val="20"/>
          <w:szCs w:val="20"/>
        </w:rPr>
        <w:t>除特别注明外，金额单位为人民币千元</w:t>
      </w:r>
      <w:r>
        <w:rPr>
          <w:color w:val="000000"/>
          <w:spacing w:val="0"/>
          <w:w w:val="100"/>
          <w:position w:val="0"/>
          <w:sz w:val="24"/>
          <w:szCs w:val="24"/>
        </w:rPr>
        <w:t>)</w:t>
      </w:r>
    </w:p>
    <w:p>
      <w:pPr>
        <w:pStyle w:val="Style32"/>
        <w:keepNext w:val="0"/>
        <w:keepLines w:val="0"/>
        <w:widowControl w:val="0"/>
        <w:shd w:val="clear" w:color="auto" w:fill="auto"/>
        <w:tabs>
          <w:tab w:pos="665" w:val="left"/>
        </w:tabs>
        <w:bidi w:val="0"/>
        <w:spacing w:before="0" w:after="260" w:line="240" w:lineRule="auto"/>
        <w:ind w:left="0" w:right="0" w:firstLine="0"/>
        <w:jc w:val="left"/>
        <w:rPr>
          <w:sz w:val="24"/>
          <w:szCs w:val="24"/>
        </w:rPr>
      </w:pPr>
      <w:r>
        <w:rPr>
          <w:b/>
          <w:bCs/>
          <w:color w:val="000000"/>
          <w:spacing w:val="0"/>
          <w:w w:val="100"/>
          <w:position w:val="0"/>
          <w:sz w:val="24"/>
          <w:szCs w:val="24"/>
        </w:rPr>
        <w:t>四</w:t>
        <w:tab/>
        <w:t>合并财务报表项目附注</w:t>
      </w:r>
      <w:r>
        <w:rPr>
          <w:rFonts w:ascii="Times New Roman" w:eastAsia="Times New Roman" w:hAnsi="Times New Roman" w:cs="Times New Roman"/>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4"/>
          <w:szCs w:val="24"/>
        </w:rPr>
        <w:t>)</w:t>
      </w:r>
    </w:p>
    <w:p>
      <w:pPr>
        <w:pStyle w:val="Style32"/>
        <w:keepNext w:val="0"/>
        <w:keepLines w:val="0"/>
        <w:widowControl w:val="0"/>
        <w:shd w:val="clear" w:color="auto" w:fill="auto"/>
        <w:tabs>
          <w:tab w:pos="665" w:val="left"/>
        </w:tabs>
        <w:bidi w:val="0"/>
        <w:spacing w:before="0" w:after="26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(6)</w:t>
        <w:tab/>
      </w:r>
      <w:r>
        <w:rPr>
          <w:b/>
          <w:bCs/>
          <w:color w:val="000000"/>
          <w:spacing w:val="0"/>
          <w:w w:val="100"/>
          <w:position w:val="0"/>
          <w:sz w:val="24"/>
          <w:szCs w:val="24"/>
        </w:rPr>
        <w:t>预付款项</w:t>
      </w:r>
    </w:p>
    <w:p>
      <w:pPr>
        <w:pStyle w:val="Style32"/>
        <w:keepNext w:val="0"/>
        <w:keepLines w:val="0"/>
        <w:widowControl w:val="0"/>
        <w:numPr>
          <w:ilvl w:val="0"/>
          <w:numId w:val="69"/>
        </w:numPr>
        <w:shd w:val="clear" w:color="auto" w:fill="auto"/>
        <w:tabs>
          <w:tab w:pos="665" w:val="left"/>
        </w:tabs>
        <w:bidi w:val="0"/>
        <w:spacing w:before="0" w:after="320" w:line="240" w:lineRule="auto"/>
        <w:ind w:left="0" w:right="0" w:firstLine="0"/>
        <w:jc w:val="left"/>
        <w:rPr>
          <w:sz w:val="24"/>
          <w:szCs w:val="24"/>
        </w:rPr>
      </w:pPr>
      <w:bookmarkStart w:id="826" w:name="bookmark826"/>
      <w:bookmarkEnd w:id="826"/>
      <w:r>
        <w:rPr>
          <w:color w:val="000000"/>
          <w:spacing w:val="0"/>
          <w:w w:val="100"/>
          <w:position w:val="0"/>
          <w:sz w:val="24"/>
          <w:szCs w:val="24"/>
        </w:rPr>
        <w:t>预付款项账龄分析如下：</w:t>
      </w:r>
    </w:p>
    <w:p>
      <w:pPr>
        <w:pStyle w:val="Style25"/>
        <w:keepNext w:val="0"/>
        <w:keepLines w:val="0"/>
        <w:widowControl w:val="0"/>
        <w:shd w:val="clear" w:color="auto" w:fill="auto"/>
        <w:tabs>
          <w:tab w:pos="3749" w:val="left"/>
        </w:tabs>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w:t>
        <w:tab/>
      </w:r>
      <w:r>
        <w:rPr>
          <w:rFonts w:ascii="Times New Roman" w:eastAsia="Times New Roman" w:hAnsi="Times New Roman" w:cs="Times New Roman"/>
          <w:color w:val="000000"/>
          <w:spacing w:val="0"/>
          <w:w w:val="100"/>
          <w:position w:val="0"/>
          <w:sz w:val="24"/>
          <w:szCs w:val="24"/>
        </w:rPr>
        <w:t>2015</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w:t>
      </w:r>
    </w:p>
    <w:tbl>
      <w:tblPr>
        <w:tblOverlap w:val="never"/>
        <w:jc w:val="center"/>
        <w:tblLayout w:type="fixed"/>
      </w:tblPr>
      <w:tblGrid>
        <w:gridCol w:w="3595"/>
        <w:gridCol w:w="5683"/>
      </w:tblGrid>
      <w:tr>
        <w:trPr>
          <w:trHeight w:val="446" w:hRule="exact"/>
        </w:trPr>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260" w:firstLine="0"/>
              <w:jc w:val="right"/>
              <w:rPr>
                <w:sz w:val="24"/>
                <w:szCs w:val="24"/>
              </w:rPr>
            </w:pPr>
            <w:r>
              <w:rPr>
                <w:color w:val="000000"/>
                <w:spacing w:val="0"/>
                <w:w w:val="100"/>
                <w:position w:val="0"/>
                <w:sz w:val="24"/>
                <w:szCs w:val="24"/>
              </w:rPr>
              <w:t>金额</w:t>
            </w:r>
          </w:p>
        </w:tc>
        <w:tc>
          <w:tcPr>
            <w:tcBorders>
              <w:top w:val="single" w:sz="4"/>
            </w:tcBorders>
            <w:shd w:val="clear" w:color="auto" w:fill="FFFFFF"/>
            <w:vAlign w:val="top"/>
          </w:tcPr>
          <w:p>
            <w:pPr>
              <w:pStyle w:val="Style28"/>
              <w:keepNext w:val="0"/>
              <w:keepLines w:val="0"/>
              <w:widowControl w:val="0"/>
              <w:shd w:val="clear" w:color="auto" w:fill="auto"/>
              <w:tabs>
                <w:tab w:pos="2472" w:val="left"/>
                <w:tab w:pos="3816" w:val="left"/>
              </w:tabs>
              <w:bidi w:val="0"/>
              <w:spacing w:before="0" w:after="0" w:line="240" w:lineRule="auto"/>
              <w:ind w:left="0" w:right="0" w:firstLine="0"/>
              <w:jc w:val="right"/>
              <w:rPr>
                <w:sz w:val="24"/>
                <w:szCs w:val="24"/>
              </w:rPr>
            </w:pPr>
            <w:r>
              <w:rPr>
                <w:color w:val="000000"/>
                <w:spacing w:val="0"/>
                <w:w w:val="100"/>
                <w:position w:val="0"/>
                <w:sz w:val="24"/>
                <w:szCs w:val="24"/>
              </w:rPr>
              <w:t>占总额比例</w:t>
              <w:tab/>
              <w:t>金额</w:t>
              <w:tab/>
              <w:t>占总额比例</w:t>
            </w:r>
          </w:p>
        </w:tc>
      </w:tr>
      <w:tr>
        <w:trPr>
          <w:trHeight w:val="456" w:hRule="exact"/>
        </w:trPr>
        <w:tc>
          <w:tcPr>
            <w:tcBorders>
              <w:bottom w:val="single" w:sz="4"/>
            </w:tcBorders>
            <w:shd w:val="clear" w:color="auto" w:fill="FFFFFF"/>
            <w:vAlign w:val="bottom"/>
          </w:tcPr>
          <w:p>
            <w:pPr>
              <w:pStyle w:val="Style28"/>
              <w:keepNext w:val="0"/>
              <w:keepLines w:val="0"/>
              <w:widowControl w:val="0"/>
              <w:shd w:val="clear" w:color="auto" w:fill="auto"/>
              <w:tabs>
                <w:tab w:pos="2215" w:val="left"/>
              </w:tabs>
              <w:bidi w:val="0"/>
              <w:spacing w:before="0" w:after="0" w:line="240" w:lineRule="auto"/>
              <w:ind w:left="0" w:right="0" w:firstLine="660"/>
              <w:jc w:val="left"/>
              <w:rPr>
                <w:sz w:val="24"/>
                <w:szCs w:val="24"/>
              </w:rPr>
            </w:pPr>
            <w:r>
              <w:rPr>
                <w:color w:val="000000"/>
                <w:spacing w:val="0"/>
                <w:w w:val="100"/>
                <w:position w:val="0"/>
                <w:sz w:val="24"/>
                <w:szCs w:val="24"/>
              </w:rPr>
              <w:t>一年以内</w:t>
              <w:tab/>
            </w:r>
            <w:r>
              <w:rPr>
                <w:rFonts w:ascii="Times New Roman" w:eastAsia="Times New Roman" w:hAnsi="Times New Roman" w:cs="Times New Roman"/>
                <w:color w:val="000000"/>
                <w:spacing w:val="0"/>
                <w:w w:val="100"/>
                <w:position w:val="0"/>
                <w:sz w:val="24"/>
                <w:szCs w:val="24"/>
              </w:rPr>
              <w:t>9,750,546</w:t>
            </w:r>
          </w:p>
        </w:tc>
        <w:tc>
          <w:tcPr>
            <w:tcBorders>
              <w:bottom w:val="single" w:sz="4"/>
            </w:tcBorders>
            <w:shd w:val="clear" w:color="auto" w:fill="FFFFFF"/>
            <w:vAlign w:val="bottom"/>
          </w:tcPr>
          <w:p>
            <w:pPr>
              <w:pStyle w:val="Style28"/>
              <w:keepNext w:val="0"/>
              <w:keepLines w:val="0"/>
              <w:widowControl w:val="0"/>
              <w:shd w:val="clear" w:color="auto" w:fill="auto"/>
              <w:tabs>
                <w:tab w:pos="1363" w:val="left"/>
                <w:tab w:pos="3816" w:val="left"/>
              </w:tabs>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100%</w:t>
              <w:tab/>
              <w:t>6,706,522</w:t>
              <w:tab/>
              <w:t>100%</w:t>
            </w:r>
          </w:p>
        </w:tc>
      </w:tr>
    </w:tbl>
    <w:p>
      <w:pPr>
        <w:widowControl w:val="0"/>
        <w:spacing w:after="259" w:line="1" w:lineRule="exact"/>
      </w:pPr>
    </w:p>
    <w:p>
      <w:pPr>
        <w:pStyle w:val="Style32"/>
        <w:keepNext w:val="0"/>
        <w:keepLines w:val="0"/>
        <w:widowControl w:val="0"/>
        <w:numPr>
          <w:ilvl w:val="0"/>
          <w:numId w:val="69"/>
        </w:numPr>
        <w:shd w:val="clear" w:color="auto" w:fill="auto"/>
        <w:tabs>
          <w:tab w:pos="665" w:val="left"/>
        </w:tabs>
        <w:bidi w:val="0"/>
        <w:spacing w:before="0" w:after="320" w:line="240" w:lineRule="auto"/>
        <w:ind w:left="0" w:right="0" w:firstLine="0"/>
        <w:jc w:val="left"/>
        <w:rPr>
          <w:sz w:val="24"/>
          <w:szCs w:val="24"/>
        </w:rPr>
      </w:pPr>
      <w:bookmarkStart w:id="827" w:name="bookmark827"/>
      <w:bookmarkEnd w:id="827"/>
      <w:r>
        <w:rPr>
          <w:color w:val="000000"/>
          <w:spacing w:val="0"/>
          <w:w w:val="100"/>
          <w:position w:val="0"/>
          <w:sz w:val="24"/>
          <w:szCs w:val="24"/>
        </w:rPr>
        <w:t>于</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日，按收款方归集的余额前五名的预付款项汇总分析如下：</w:t>
      </w:r>
    </w:p>
    <w:p>
      <w:pPr>
        <w:pStyle w:val="Style32"/>
        <w:keepNext w:val="0"/>
        <w:keepLines w:val="0"/>
        <w:widowControl w:val="0"/>
        <w:shd w:val="clear" w:color="auto" w:fill="auto"/>
        <w:tabs>
          <w:tab w:pos="1114" w:val="left"/>
        </w:tabs>
        <w:bidi w:val="0"/>
        <w:spacing w:before="0" w:after="260" w:line="240" w:lineRule="auto"/>
        <w:ind w:left="0" w:right="680" w:firstLine="0"/>
        <w:jc w:val="right"/>
        <w:rPr>
          <w:sz w:val="24"/>
          <w:szCs w:val="24"/>
        </w:rPr>
      </w:pPr>
      <w:r>
        <w:rPr>
          <w:color w:val="000000"/>
          <w:spacing w:val="0"/>
          <w:w w:val="100"/>
          <w:position w:val="0"/>
          <w:sz w:val="24"/>
          <w:szCs w:val="24"/>
        </w:rPr>
        <w:t>金额</w:t>
        <w:tab/>
        <w:t>占预付款项总额比例</w:t>
      </w:r>
    </w:p>
    <w:p>
      <w:pPr>
        <w:pStyle w:val="Style32"/>
        <w:keepNext w:val="0"/>
        <w:keepLines w:val="0"/>
        <w:widowControl w:val="0"/>
        <w:shd w:val="clear" w:color="auto" w:fill="auto"/>
        <w:tabs>
          <w:tab w:pos="5270" w:val="left"/>
          <w:tab w:pos="6662" w:val="left"/>
          <w:tab w:leader="underscore" w:pos="8707" w:val="left"/>
        </w:tabs>
        <w:bidi w:val="0"/>
        <w:spacing w:before="0" w:after="320" w:line="240" w:lineRule="auto"/>
        <w:ind w:left="0" w:right="0" w:firstLine="720"/>
        <w:jc w:val="left"/>
        <w:rPr>
          <w:sz w:val="24"/>
          <w:szCs w:val="24"/>
        </w:rPr>
      </w:pPr>
      <w:r>
        <w:rPr>
          <w:color w:val="000000"/>
          <w:spacing w:val="0"/>
          <w:w w:val="100"/>
          <w:position w:val="0"/>
          <w:sz w:val="24"/>
          <w:szCs w:val="24"/>
        </w:rPr>
        <w:t>余额前五名的预付款项总额</w:t>
        <w:tab/>
      </w:r>
      <w:r>
        <w:rPr>
          <w:rFonts w:ascii="Times New Roman" w:eastAsia="Times New Roman" w:hAnsi="Times New Roman" w:cs="Times New Roman"/>
          <w:color w:val="000000"/>
          <w:spacing w:val="0"/>
          <w:w w:val="100"/>
          <w:position w:val="0"/>
          <w:sz w:val="24"/>
          <w:szCs w:val="24"/>
          <w:u w:val="single"/>
        </w:rPr>
        <w:t>2,413,186</w:t>
      </w:r>
      <w:r>
        <w:rPr>
          <w:rFonts w:ascii="Times New Roman" w:eastAsia="Times New Roman" w:hAnsi="Times New Roman" w:cs="Times New Roman"/>
          <w:color w:val="000000"/>
          <w:spacing w:val="0"/>
          <w:w w:val="100"/>
          <w:position w:val="0"/>
          <w:sz w:val="24"/>
          <w:szCs w:val="24"/>
        </w:rPr>
        <w:tab/>
        <w:tab/>
        <w:t>25%</w:t>
      </w:r>
    </w:p>
    <w:tbl>
      <w:tblPr>
        <w:tblOverlap w:val="never"/>
        <w:jc w:val="center"/>
        <w:tblLayout w:type="fixed"/>
      </w:tblPr>
      <w:tblGrid>
        <w:gridCol w:w="3595"/>
        <w:gridCol w:w="5683"/>
      </w:tblGrid>
      <w:tr>
        <w:trPr>
          <w:trHeight w:val="1022"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 xml:space="preserve">(7) </w:t>
            </w:r>
            <w:r>
              <w:rPr>
                <w:b/>
                <w:bCs/>
                <w:color w:val="000000"/>
                <w:spacing w:val="0"/>
                <w:w w:val="100"/>
                <w:position w:val="0"/>
                <w:sz w:val="24"/>
                <w:szCs w:val="24"/>
              </w:rPr>
              <w:t>应收利息</w:t>
            </w:r>
          </w:p>
        </w:tc>
        <w:tc>
          <w:tcPr>
            <w:tcBorders/>
            <w:shd w:val="clear" w:color="auto" w:fill="FFFFFF"/>
            <w:vAlign w:val="bottom"/>
          </w:tcPr>
          <w:p>
            <w:pPr>
              <w:pStyle w:val="Style28"/>
              <w:keepNext w:val="0"/>
              <w:keepLines w:val="0"/>
              <w:widowControl w:val="0"/>
              <w:shd w:val="clear" w:color="auto" w:fill="auto"/>
              <w:tabs>
                <w:tab w:pos="2654" w:val="left"/>
              </w:tabs>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w:t>
              <w:tab/>
            </w:r>
            <w:r>
              <w:rPr>
                <w:rFonts w:ascii="Times New Roman" w:eastAsia="Times New Roman" w:hAnsi="Times New Roman" w:cs="Times New Roman"/>
                <w:color w:val="000000"/>
                <w:spacing w:val="0"/>
                <w:w w:val="100"/>
                <w:position w:val="0"/>
                <w:sz w:val="24"/>
                <w:szCs w:val="24"/>
              </w:rPr>
              <w:t>2015</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w:t>
            </w:r>
          </w:p>
        </w:tc>
      </w:tr>
      <w:tr>
        <w:trPr>
          <w:trHeight w:val="1378" w:hRule="exact"/>
        </w:trPr>
        <w:tc>
          <w:tcPr>
            <w:tcBorders/>
            <w:shd w:val="clear" w:color="auto" w:fill="FFFFFF"/>
            <w:vAlign w:val="center"/>
          </w:tcPr>
          <w:p>
            <w:pPr>
              <w:pStyle w:val="Style28"/>
              <w:keepNext w:val="0"/>
              <w:keepLines w:val="0"/>
              <w:widowControl w:val="0"/>
              <w:shd w:val="clear" w:color="auto" w:fill="auto"/>
              <w:bidi w:val="0"/>
              <w:spacing w:before="0" w:after="0" w:line="314" w:lineRule="exact"/>
              <w:ind w:left="660" w:right="0" w:firstLine="20"/>
              <w:jc w:val="left"/>
              <w:rPr>
                <w:sz w:val="24"/>
                <w:szCs w:val="24"/>
              </w:rPr>
            </w:pPr>
            <w:r>
              <w:rPr>
                <w:color w:val="000000"/>
                <w:spacing w:val="0"/>
                <w:w w:val="100"/>
                <w:position w:val="0"/>
                <w:sz w:val="24"/>
                <w:szCs w:val="24"/>
              </w:rPr>
              <w:t>银行保证金及存款利息 保本保收益理财产品利息 发放贷款及垫款利息</w:t>
            </w:r>
          </w:p>
        </w:tc>
        <w:tc>
          <w:tcPr>
            <w:tcBorders>
              <w:bottom w:val="single" w:sz="4"/>
            </w:tcBorders>
            <w:shd w:val="clear" w:color="auto" w:fill="FFFFFF"/>
            <w:vAlign w:val="bottom"/>
          </w:tcPr>
          <w:p>
            <w:pPr>
              <w:pStyle w:val="Style28"/>
              <w:keepNext w:val="0"/>
              <w:keepLines w:val="0"/>
              <w:widowControl w:val="0"/>
              <w:shd w:val="clear" w:color="auto" w:fill="auto"/>
              <w:tabs>
                <w:tab w:pos="5466" w:val="right"/>
              </w:tabs>
              <w:bidi w:val="0"/>
              <w:spacing w:before="0" w:after="0" w:line="240" w:lineRule="auto"/>
              <w:ind w:left="2120" w:right="0" w:firstLine="0"/>
              <w:jc w:val="left"/>
              <w:rPr>
                <w:sz w:val="24"/>
                <w:szCs w:val="24"/>
              </w:rPr>
            </w:pPr>
            <w:r>
              <w:rPr>
                <w:rFonts w:ascii="Times New Roman" w:eastAsia="Times New Roman" w:hAnsi="Times New Roman" w:cs="Times New Roman"/>
                <w:color w:val="000000"/>
                <w:spacing w:val="0"/>
                <w:w w:val="100"/>
                <w:position w:val="0"/>
                <w:sz w:val="24"/>
                <w:szCs w:val="24"/>
              </w:rPr>
              <w:t>72,680</w:t>
              <w:tab/>
              <w:t>63,262</w:t>
            </w:r>
          </w:p>
          <w:p>
            <w:pPr>
              <w:pStyle w:val="Style28"/>
              <w:keepNext w:val="0"/>
              <w:keepLines w:val="0"/>
              <w:widowControl w:val="0"/>
              <w:shd w:val="clear" w:color="auto" w:fill="auto"/>
              <w:tabs>
                <w:tab w:pos="5470" w:val="right"/>
              </w:tabs>
              <w:bidi w:val="0"/>
              <w:spacing w:before="0" w:after="0" w:line="240" w:lineRule="auto"/>
              <w:ind w:left="2120" w:right="0" w:firstLine="0"/>
              <w:jc w:val="left"/>
              <w:rPr>
                <w:sz w:val="24"/>
                <w:szCs w:val="24"/>
              </w:rPr>
            </w:pPr>
            <w:r>
              <w:rPr>
                <w:rFonts w:ascii="Times New Roman" w:eastAsia="Times New Roman" w:hAnsi="Times New Roman" w:cs="Times New Roman"/>
                <w:color w:val="000000"/>
                <w:spacing w:val="0"/>
                <w:w w:val="100"/>
                <w:position w:val="0"/>
                <w:sz w:val="24"/>
                <w:szCs w:val="24"/>
              </w:rPr>
              <w:t>42,485</w:t>
              <w:tab/>
              <w:t>18,796</w:t>
            </w:r>
          </w:p>
          <w:p>
            <w:pPr>
              <w:pStyle w:val="Style28"/>
              <w:keepNext w:val="0"/>
              <w:keepLines w:val="0"/>
              <w:widowControl w:val="0"/>
              <w:shd w:val="clear" w:color="auto" w:fill="auto"/>
              <w:tabs>
                <w:tab w:leader="underscore" w:pos="2045" w:val="left"/>
                <w:tab w:leader="underscore" w:pos="4747" w:val="left"/>
              </w:tabs>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u w:val="single"/>
              </w:rPr>
              <w:t>14,605</w:t>
            </w:r>
            <w:r>
              <w:rPr>
                <w:rFonts w:ascii="Times New Roman" w:eastAsia="Times New Roman" w:hAnsi="Times New Roman" w:cs="Times New Roman"/>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u w:val="single"/>
              </w:rPr>
              <w:t>12,275</w:t>
            </w:r>
          </w:p>
          <w:p>
            <w:pPr>
              <w:pStyle w:val="Style28"/>
              <w:keepNext w:val="0"/>
              <w:keepLines w:val="0"/>
              <w:widowControl w:val="0"/>
              <w:shd w:val="clear" w:color="auto" w:fill="auto"/>
              <w:tabs>
                <w:tab w:pos="3432" w:val="right"/>
              </w:tabs>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129,770</w:t>
              <w:tab/>
              <w:t>94,333</w:t>
            </w:r>
          </w:p>
        </w:tc>
      </w:tr>
    </w:tbl>
    <w:p>
      <w:pPr>
        <w:spacing w:lineRule="exact" w:line="1"/>
        <w:rPr>
          <w:sz w:val="2"/>
          <w:szCs w:val="2"/>
        </w:rPr>
      </w:pPr>
      <w:r>
        <w:br w:type="page"/>
      </w:r>
    </w:p>
    <w:p>
      <w:pPr>
        <w:pStyle w:val="Style32"/>
        <w:keepNext w:val="0"/>
        <w:keepLines w:val="0"/>
        <w:widowControl w:val="0"/>
        <w:shd w:val="clear" w:color="auto" w:fill="auto"/>
        <w:bidi w:val="0"/>
        <w:spacing w:before="0" w:after="0" w:line="288" w:lineRule="exact"/>
        <w:ind w:left="720" w:right="0" w:firstLine="0"/>
        <w:jc w:val="left"/>
        <w:rPr>
          <w:sz w:val="24"/>
          <w:szCs w:val="24"/>
        </w:rPr>
      </w:pPr>
      <w:r>
        <w:rPr>
          <w:b/>
          <w:bCs/>
          <w:color w:val="000000"/>
          <w:spacing w:val="0"/>
          <w:w w:val="100"/>
          <w:position w:val="0"/>
          <w:sz w:val="24"/>
          <w:szCs w:val="24"/>
        </w:rPr>
        <w:t xml:space="preserve">财务报表附注 </w:t>
      </w:r>
      <w:r>
        <w:rPr>
          <w:rFonts w:ascii="Arial" w:eastAsia="Arial" w:hAnsi="Arial" w:cs="Arial"/>
          <w:color w:val="000000"/>
          <w:spacing w:val="0"/>
          <w:w w:val="100"/>
          <w:position w:val="0"/>
          <w:sz w:val="24"/>
          <w:szCs w:val="24"/>
        </w:rPr>
        <w:t>2016</w:t>
      </w:r>
      <w:r>
        <w:rPr>
          <w:b/>
          <w:bCs/>
          <w:color w:val="000000"/>
          <w:spacing w:val="0"/>
          <w:w w:val="100"/>
          <w:position w:val="0"/>
          <w:sz w:val="24"/>
          <w:szCs w:val="24"/>
        </w:rPr>
        <w:t>年度</w:t>
      </w:r>
    </w:p>
    <w:p>
      <w:pPr>
        <w:pStyle w:val="Style32"/>
        <w:keepNext w:val="0"/>
        <w:keepLines w:val="0"/>
        <w:widowControl w:val="0"/>
        <w:shd w:val="clear" w:color="auto" w:fill="auto"/>
        <w:bidi w:val="0"/>
        <w:spacing w:before="0" w:after="240" w:line="240" w:lineRule="auto"/>
        <w:ind w:left="0" w:right="0" w:firstLine="720"/>
        <w:jc w:val="both"/>
        <w:rPr>
          <w:sz w:val="20"/>
          <w:szCs w:val="20"/>
        </w:rPr>
      </w:pPr>
      <w:r>
        <w:rPr>
          <w:rFonts w:ascii="Arial" w:eastAsia="Arial" w:hAnsi="Arial" w:cs="Arial"/>
          <w:color w:val="000000"/>
          <w:spacing w:val="0"/>
          <w:w w:val="100"/>
          <w:position w:val="0"/>
          <w:sz w:val="20"/>
          <w:szCs w:val="20"/>
        </w:rPr>
        <w:t>(</w:t>
      </w:r>
      <w:r>
        <w:rPr>
          <w:color w:val="000000"/>
          <w:spacing w:val="0"/>
          <w:w w:val="100"/>
          <w:position w:val="0"/>
          <w:sz w:val="20"/>
          <w:szCs w:val="20"/>
        </w:rPr>
        <w:t>除特别注明外，金额单位为人民币千元</w:t>
      </w:r>
      <w:r>
        <w:rPr>
          <w:rFonts w:ascii="Arial" w:eastAsia="Arial" w:hAnsi="Arial" w:cs="Arial"/>
          <w:color w:val="000000"/>
          <w:spacing w:val="0"/>
          <w:w w:val="100"/>
          <w:position w:val="0"/>
          <w:sz w:val="20"/>
          <w:szCs w:val="20"/>
        </w:rPr>
        <w:t>)</w:t>
      </w:r>
    </w:p>
    <w:p>
      <w:pPr>
        <w:pStyle w:val="Style32"/>
        <w:keepNext w:val="0"/>
        <w:keepLines w:val="0"/>
        <w:widowControl w:val="0"/>
        <w:shd w:val="clear" w:color="auto" w:fill="auto"/>
        <w:tabs>
          <w:tab w:pos="670" w:val="left"/>
        </w:tabs>
        <w:bidi w:val="0"/>
        <w:spacing w:before="0" w:after="240" w:line="240" w:lineRule="auto"/>
        <w:ind w:left="0" w:right="0" w:firstLine="0"/>
        <w:jc w:val="left"/>
        <w:rPr>
          <w:sz w:val="24"/>
          <w:szCs w:val="24"/>
        </w:rPr>
      </w:pPr>
      <w:r>
        <w:rPr>
          <w:b/>
          <w:bCs/>
          <w:color w:val="000000"/>
          <w:spacing w:val="0"/>
          <w:w w:val="100"/>
          <w:position w:val="0"/>
          <w:sz w:val="24"/>
          <w:szCs w:val="24"/>
        </w:rPr>
        <w:t>四</w:t>
        <w:tab/>
        <w:t>合并财务报表项目附注</w:t>
      </w:r>
      <w:r>
        <w:rPr>
          <w:rFonts w:ascii="Times New Roman" w:eastAsia="Times New Roman" w:hAnsi="Times New Roman" w:cs="Times New Roman"/>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4"/>
          <w:szCs w:val="24"/>
        </w:rPr>
        <w:t>)</w:t>
      </w:r>
    </w:p>
    <w:p>
      <w:pPr>
        <w:pStyle w:val="Style32"/>
        <w:keepNext w:val="0"/>
        <w:keepLines w:val="0"/>
        <w:widowControl w:val="0"/>
        <w:shd w:val="clear" w:color="auto" w:fill="auto"/>
        <w:tabs>
          <w:tab w:pos="670" w:val="left"/>
        </w:tabs>
        <w:bidi w:val="0"/>
        <w:spacing w:before="0" w:after="30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(8)</w:t>
        <w:tab/>
      </w:r>
      <w:r>
        <w:rPr>
          <w:b/>
          <w:bCs/>
          <w:color w:val="000000"/>
          <w:spacing w:val="0"/>
          <w:w w:val="100"/>
          <w:position w:val="0"/>
          <w:sz w:val="24"/>
          <w:szCs w:val="24"/>
        </w:rPr>
        <w:t>其他应收款和长期应收款</w:t>
      </w:r>
    </w:p>
    <w:tbl>
      <w:tblPr>
        <w:tblOverlap w:val="never"/>
        <w:jc w:val="center"/>
        <w:tblLayout w:type="fixed"/>
      </w:tblPr>
      <w:tblGrid>
        <w:gridCol w:w="3341"/>
        <w:gridCol w:w="2587"/>
        <w:gridCol w:w="2309"/>
      </w:tblGrid>
      <w:tr>
        <w:trPr>
          <w:trHeight w:val="437"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220" w:firstLine="0"/>
              <w:jc w:val="right"/>
              <w:rPr>
                <w:sz w:val="24"/>
                <w:szCs w:val="24"/>
              </w:rPr>
            </w:pP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2015</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w:t>
            </w:r>
          </w:p>
        </w:tc>
      </w:tr>
      <w:tr>
        <w:trPr>
          <w:trHeight w:val="461"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保本保收益理财产品</w:t>
            </w:r>
            <w:r>
              <w:rPr>
                <w:rFonts w:ascii="Times New Roman" w:eastAsia="Times New Roman" w:hAnsi="Times New Roman" w:cs="Times New Roman"/>
                <w:color w:val="000000"/>
                <w:spacing w:val="0"/>
                <w:w w:val="100"/>
                <w:position w:val="0"/>
                <w:sz w:val="24"/>
                <w:szCs w:val="24"/>
              </w:rPr>
              <w:t>(i)</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300" w:right="0" w:firstLine="0"/>
              <w:jc w:val="left"/>
              <w:rPr>
                <w:sz w:val="24"/>
                <w:szCs w:val="24"/>
              </w:rPr>
            </w:pPr>
            <w:r>
              <w:rPr>
                <w:rFonts w:ascii="Times New Roman" w:eastAsia="Times New Roman" w:hAnsi="Times New Roman" w:cs="Times New Roman"/>
                <w:color w:val="000000"/>
                <w:spacing w:val="0"/>
                <w:w w:val="100"/>
                <w:position w:val="0"/>
                <w:sz w:val="24"/>
                <w:szCs w:val="24"/>
              </w:rPr>
              <w:t>3,147,000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200" w:right="0" w:firstLine="0"/>
              <w:jc w:val="both"/>
              <w:rPr>
                <w:sz w:val="24"/>
                <w:szCs w:val="24"/>
              </w:rPr>
            </w:pPr>
            <w:r>
              <w:rPr>
                <w:rFonts w:ascii="Times New Roman" w:eastAsia="Times New Roman" w:hAnsi="Times New Roman" w:cs="Times New Roman"/>
                <w:color w:val="000000"/>
                <w:spacing w:val="0"/>
                <w:w w:val="100"/>
                <w:position w:val="0"/>
                <w:sz w:val="24"/>
                <w:szCs w:val="24"/>
              </w:rPr>
              <w:t>2,080,000</w:t>
            </w:r>
          </w:p>
        </w:tc>
      </w:tr>
      <w:tr>
        <w:trPr>
          <w:trHeight w:val="298"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押金及保证金</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480" w:right="0" w:firstLine="0"/>
              <w:jc w:val="left"/>
              <w:rPr>
                <w:sz w:val="24"/>
                <w:szCs w:val="24"/>
              </w:rPr>
            </w:pPr>
            <w:r>
              <w:rPr>
                <w:rFonts w:ascii="Times New Roman" w:eastAsia="Times New Roman" w:hAnsi="Times New Roman" w:cs="Times New Roman"/>
                <w:color w:val="000000"/>
                <w:spacing w:val="0"/>
                <w:w w:val="100"/>
                <w:position w:val="0"/>
                <w:sz w:val="24"/>
                <w:szCs w:val="24"/>
              </w:rPr>
              <w:t>734,167</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380" w:right="0" w:firstLine="0"/>
              <w:jc w:val="both"/>
              <w:rPr>
                <w:sz w:val="24"/>
                <w:szCs w:val="24"/>
              </w:rPr>
            </w:pPr>
            <w:r>
              <w:rPr>
                <w:rFonts w:ascii="Times New Roman" w:eastAsia="Times New Roman" w:hAnsi="Times New Roman" w:cs="Times New Roman"/>
                <w:color w:val="000000"/>
                <w:spacing w:val="0"/>
                <w:w w:val="100"/>
                <w:position w:val="0"/>
                <w:sz w:val="24"/>
                <w:szCs w:val="24"/>
              </w:rPr>
              <w:t>679,389</w:t>
            </w:r>
          </w:p>
        </w:tc>
      </w:tr>
      <w:tr>
        <w:trPr>
          <w:trHeight w:val="322"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应收股权转让款</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附注四</w:t>
            </w:r>
            <w:r>
              <w:rPr>
                <w:rFonts w:ascii="Times New Roman" w:eastAsia="Times New Roman" w:hAnsi="Times New Roman" w:cs="Times New Roman"/>
                <w:color w:val="000000"/>
                <w:spacing w:val="0"/>
                <w:w w:val="100"/>
                <w:position w:val="0"/>
                <w:sz w:val="24"/>
                <w:szCs w:val="24"/>
              </w:rPr>
              <w:t>(51))</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480" w:right="0" w:firstLine="0"/>
              <w:jc w:val="left"/>
              <w:rPr>
                <w:sz w:val="24"/>
                <w:szCs w:val="24"/>
              </w:rPr>
            </w:pPr>
            <w:r>
              <w:rPr>
                <w:rFonts w:ascii="Times New Roman" w:eastAsia="Times New Roman" w:hAnsi="Times New Roman" w:cs="Times New Roman"/>
                <w:color w:val="000000"/>
                <w:spacing w:val="0"/>
                <w:w w:val="100"/>
                <w:position w:val="0"/>
                <w:sz w:val="24"/>
                <w:szCs w:val="24"/>
              </w:rPr>
              <w:t>502,500</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w:t>
            </w:r>
          </w:p>
        </w:tc>
      </w:tr>
      <w:tr>
        <w:trPr>
          <w:trHeight w:val="302"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应收基金代垫款</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480" w:right="0" w:firstLine="0"/>
              <w:jc w:val="left"/>
              <w:rPr>
                <w:sz w:val="24"/>
                <w:szCs w:val="24"/>
              </w:rPr>
            </w:pPr>
            <w:r>
              <w:rPr>
                <w:rFonts w:ascii="Times New Roman" w:eastAsia="Times New Roman" w:hAnsi="Times New Roman" w:cs="Times New Roman"/>
                <w:color w:val="000000"/>
                <w:spacing w:val="0"/>
                <w:w w:val="100"/>
                <w:position w:val="0"/>
                <w:sz w:val="24"/>
                <w:szCs w:val="24"/>
              </w:rPr>
              <w:t>125,717</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7,804</w:t>
            </w:r>
          </w:p>
        </w:tc>
      </w:tr>
      <w:tr>
        <w:trPr>
          <w:trHeight w:val="307"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代垫水电费</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220" w:firstLine="0"/>
              <w:jc w:val="right"/>
              <w:rPr>
                <w:sz w:val="24"/>
                <w:szCs w:val="24"/>
              </w:rPr>
            </w:pPr>
            <w:r>
              <w:rPr>
                <w:rFonts w:ascii="Times New Roman" w:eastAsia="Times New Roman" w:hAnsi="Times New Roman" w:cs="Times New Roman"/>
                <w:color w:val="000000"/>
                <w:spacing w:val="0"/>
                <w:w w:val="100"/>
                <w:position w:val="0"/>
                <w:sz w:val="24"/>
                <w:szCs w:val="24"/>
              </w:rPr>
              <w:t>90,111</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500" w:right="0" w:firstLine="0"/>
              <w:jc w:val="both"/>
              <w:rPr>
                <w:sz w:val="24"/>
                <w:szCs w:val="24"/>
              </w:rPr>
            </w:pPr>
            <w:r>
              <w:rPr>
                <w:rFonts w:ascii="Times New Roman" w:eastAsia="Times New Roman" w:hAnsi="Times New Roman" w:cs="Times New Roman"/>
                <w:color w:val="000000"/>
                <w:spacing w:val="0"/>
                <w:w w:val="100"/>
                <w:position w:val="0"/>
                <w:sz w:val="24"/>
                <w:szCs w:val="24"/>
              </w:rPr>
              <w:t>93,879</w:t>
            </w:r>
          </w:p>
        </w:tc>
      </w:tr>
      <w:tr>
        <w:trPr>
          <w:trHeight w:val="331"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员工借款</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220" w:firstLine="0"/>
              <w:jc w:val="right"/>
              <w:rPr>
                <w:sz w:val="24"/>
                <w:szCs w:val="24"/>
              </w:rPr>
            </w:pPr>
            <w:r>
              <w:rPr>
                <w:rFonts w:ascii="Times New Roman" w:eastAsia="Times New Roman" w:hAnsi="Times New Roman" w:cs="Times New Roman"/>
                <w:color w:val="000000"/>
                <w:spacing w:val="0"/>
                <w:w w:val="100"/>
                <w:position w:val="0"/>
                <w:sz w:val="24"/>
                <w:szCs w:val="24"/>
              </w:rPr>
              <w:t>15,025</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500" w:right="0" w:firstLine="0"/>
              <w:jc w:val="both"/>
              <w:rPr>
                <w:sz w:val="24"/>
                <w:szCs w:val="24"/>
              </w:rPr>
            </w:pPr>
            <w:r>
              <w:rPr>
                <w:rFonts w:ascii="Times New Roman" w:eastAsia="Times New Roman" w:hAnsi="Times New Roman" w:cs="Times New Roman"/>
                <w:color w:val="000000"/>
                <w:spacing w:val="0"/>
                <w:w w:val="100"/>
                <w:position w:val="0"/>
                <w:sz w:val="24"/>
                <w:szCs w:val="24"/>
              </w:rPr>
              <w:t>16,827</w:t>
            </w:r>
          </w:p>
        </w:tc>
      </w:tr>
      <w:tr>
        <w:trPr>
          <w:trHeight w:val="298"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其他</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480" w:right="0" w:firstLine="0"/>
              <w:jc w:val="left"/>
              <w:rPr>
                <w:sz w:val="24"/>
                <w:szCs w:val="24"/>
              </w:rPr>
            </w:pPr>
            <w:r>
              <w:rPr>
                <w:rFonts w:ascii="Times New Roman" w:eastAsia="Times New Roman" w:hAnsi="Times New Roman" w:cs="Times New Roman"/>
                <w:color w:val="000000"/>
                <w:spacing w:val="0"/>
                <w:w w:val="100"/>
                <w:position w:val="0"/>
                <w:sz w:val="24"/>
                <w:szCs w:val="24"/>
              </w:rPr>
              <w:t>228,216</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380" w:right="0" w:firstLine="0"/>
              <w:jc w:val="both"/>
              <w:rPr>
                <w:sz w:val="24"/>
                <w:szCs w:val="24"/>
              </w:rPr>
            </w:pPr>
            <w:r>
              <w:rPr>
                <w:rFonts w:ascii="Times New Roman" w:eastAsia="Times New Roman" w:hAnsi="Times New Roman" w:cs="Times New Roman"/>
                <w:color w:val="000000"/>
                <w:spacing w:val="0"/>
                <w:w w:val="100"/>
                <w:position w:val="0"/>
                <w:sz w:val="24"/>
                <w:szCs w:val="24"/>
              </w:rPr>
              <w:t>188,545</w:t>
            </w:r>
          </w:p>
        </w:tc>
      </w:tr>
      <w:tr>
        <w:trPr>
          <w:trHeight w:val="437" w:hRule="exact"/>
        </w:trPr>
        <w:tc>
          <w:tcPr>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1300" w:right="0" w:firstLine="0"/>
              <w:jc w:val="left"/>
              <w:rPr>
                <w:sz w:val="24"/>
                <w:szCs w:val="24"/>
              </w:rPr>
            </w:pPr>
            <w:r>
              <w:rPr>
                <w:rFonts w:ascii="Times New Roman" w:eastAsia="Times New Roman" w:hAnsi="Times New Roman" w:cs="Times New Roman"/>
                <w:color w:val="000000"/>
                <w:spacing w:val="0"/>
                <w:w w:val="100"/>
                <w:position w:val="0"/>
                <w:sz w:val="24"/>
                <w:szCs w:val="24"/>
              </w:rPr>
              <w:t>4,842,736</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1200" w:right="0" w:firstLine="0"/>
              <w:jc w:val="both"/>
              <w:rPr>
                <w:sz w:val="24"/>
                <w:szCs w:val="24"/>
              </w:rPr>
            </w:pPr>
            <w:r>
              <w:rPr>
                <w:rFonts w:ascii="Times New Roman" w:eastAsia="Times New Roman" w:hAnsi="Times New Roman" w:cs="Times New Roman"/>
                <w:color w:val="000000"/>
                <w:spacing w:val="0"/>
                <w:w w:val="100"/>
                <w:position w:val="0"/>
                <w:sz w:val="24"/>
                <w:szCs w:val="24"/>
              </w:rPr>
              <w:t>3,066,444</w:t>
            </w:r>
          </w:p>
        </w:tc>
      </w:tr>
      <w:tr>
        <w:trPr>
          <w:trHeight w:val="437"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减：坏账准备</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480" w:right="0" w:firstLine="0"/>
              <w:jc w:val="left"/>
              <w:rPr>
                <w:sz w:val="24"/>
                <w:szCs w:val="24"/>
              </w:rPr>
            </w:pPr>
            <w:r>
              <w:rPr>
                <w:rFonts w:ascii="Times New Roman" w:eastAsia="Times New Roman" w:hAnsi="Times New Roman" w:cs="Times New Roman"/>
                <w:color w:val="000000"/>
                <w:spacing w:val="0"/>
                <w:w w:val="100"/>
                <w:position w:val="0"/>
                <w:sz w:val="24"/>
                <w:szCs w:val="24"/>
              </w:rPr>
              <w:t>(39,751)</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380" w:right="0" w:firstLine="0"/>
              <w:jc w:val="left"/>
              <w:rPr>
                <w:sz w:val="24"/>
                <w:szCs w:val="24"/>
              </w:rPr>
            </w:pPr>
            <w:r>
              <w:rPr>
                <w:rFonts w:ascii="Times New Roman" w:eastAsia="Times New Roman" w:hAnsi="Times New Roman" w:cs="Times New Roman"/>
                <w:color w:val="000000"/>
                <w:spacing w:val="0"/>
                <w:w w:val="100"/>
                <w:position w:val="0"/>
                <w:sz w:val="24"/>
                <w:szCs w:val="24"/>
              </w:rPr>
              <w:t>(31,213)</w:t>
            </w:r>
          </w:p>
        </w:tc>
      </w:tr>
      <w:tr>
        <w:trPr>
          <w:trHeight w:val="283" w:hRule="exact"/>
        </w:trPr>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300" w:right="0" w:firstLine="0"/>
              <w:jc w:val="left"/>
              <w:rPr>
                <w:sz w:val="24"/>
                <w:szCs w:val="24"/>
              </w:rPr>
            </w:pPr>
            <w:r>
              <w:rPr>
                <w:rFonts w:ascii="Times New Roman" w:eastAsia="Times New Roman" w:hAnsi="Times New Roman" w:cs="Times New Roman"/>
                <w:color w:val="000000"/>
                <w:spacing w:val="0"/>
                <w:w w:val="100"/>
                <w:position w:val="0"/>
                <w:sz w:val="24"/>
                <w:szCs w:val="24"/>
              </w:rPr>
              <w:t>4,802,985</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200" w:right="0" w:firstLine="0"/>
              <w:jc w:val="both"/>
              <w:rPr>
                <w:sz w:val="24"/>
                <w:szCs w:val="24"/>
              </w:rPr>
            </w:pPr>
            <w:r>
              <w:rPr>
                <w:rFonts w:ascii="Times New Roman" w:eastAsia="Times New Roman" w:hAnsi="Times New Roman" w:cs="Times New Roman"/>
                <w:color w:val="000000"/>
                <w:spacing w:val="0"/>
                <w:w w:val="100"/>
                <w:position w:val="0"/>
                <w:sz w:val="24"/>
                <w:szCs w:val="24"/>
              </w:rPr>
              <w:t>3,035,231</w:t>
            </w:r>
          </w:p>
        </w:tc>
      </w:tr>
      <w:tr>
        <w:trPr>
          <w:trHeight w:val="322"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减：长期应收款</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26"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left"/>
              <w:rPr>
                <w:sz w:val="24"/>
                <w:szCs w:val="24"/>
              </w:rPr>
            </w:pPr>
            <w:r>
              <w:rPr>
                <w:color w:val="000000"/>
                <w:spacing w:val="0"/>
                <w:w w:val="100"/>
                <w:position w:val="0"/>
                <w:sz w:val="24"/>
                <w:szCs w:val="24"/>
              </w:rPr>
              <w:t>一年以上租赁保证金</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220" w:firstLine="0"/>
              <w:jc w:val="right"/>
              <w:rPr>
                <w:sz w:val="24"/>
                <w:szCs w:val="24"/>
              </w:rPr>
            </w:pPr>
            <w:r>
              <w:rPr>
                <w:rFonts w:ascii="Times New Roman" w:eastAsia="Times New Roman" w:hAnsi="Times New Roman" w:cs="Times New Roman"/>
                <w:color w:val="000000"/>
                <w:spacing w:val="0"/>
                <w:w w:val="100"/>
                <w:position w:val="0"/>
                <w:sz w:val="24"/>
                <w:szCs w:val="24"/>
              </w:rPr>
              <w:t>(679,218)</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(591,684)</w:t>
            </w:r>
          </w:p>
        </w:tc>
      </w:tr>
      <w:tr>
        <w:trPr>
          <w:trHeight w:val="298"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left"/>
              <w:rPr>
                <w:sz w:val="24"/>
                <w:szCs w:val="24"/>
              </w:rPr>
            </w:pPr>
            <w:r>
              <w:rPr>
                <w:color w:val="000000"/>
                <w:spacing w:val="0"/>
                <w:w w:val="100"/>
                <w:position w:val="0"/>
                <w:sz w:val="24"/>
                <w:szCs w:val="24"/>
              </w:rPr>
              <w:t>一年以上采购保证金</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480" w:right="0" w:firstLine="0"/>
              <w:jc w:val="left"/>
              <w:rPr>
                <w:sz w:val="24"/>
                <w:szCs w:val="24"/>
              </w:rPr>
            </w:pPr>
            <w:r>
              <w:rPr>
                <w:rFonts w:ascii="Times New Roman" w:eastAsia="Times New Roman" w:hAnsi="Times New Roman" w:cs="Times New Roman"/>
                <w:color w:val="000000"/>
                <w:spacing w:val="0"/>
                <w:w w:val="100"/>
                <w:position w:val="0"/>
                <w:sz w:val="24"/>
                <w:szCs w:val="24"/>
              </w:rPr>
              <w:t>(28,546)</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380" w:right="0" w:firstLine="0"/>
              <w:jc w:val="left"/>
              <w:rPr>
                <w:sz w:val="24"/>
                <w:szCs w:val="24"/>
              </w:rPr>
            </w:pPr>
            <w:r>
              <w:rPr>
                <w:rFonts w:ascii="Times New Roman" w:eastAsia="Times New Roman" w:hAnsi="Times New Roman" w:cs="Times New Roman"/>
                <w:color w:val="000000"/>
                <w:spacing w:val="0"/>
                <w:w w:val="100"/>
                <w:position w:val="0"/>
                <w:sz w:val="24"/>
                <w:szCs w:val="24"/>
              </w:rPr>
              <w:t>(38,718)</w:t>
            </w:r>
          </w:p>
        </w:tc>
      </w:tr>
      <w:tr>
        <w:trPr>
          <w:trHeight w:val="307" w:hRule="exact"/>
        </w:trPr>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300" w:right="0" w:firstLine="0"/>
              <w:jc w:val="left"/>
              <w:rPr>
                <w:sz w:val="24"/>
                <w:szCs w:val="24"/>
              </w:rPr>
            </w:pPr>
            <w:r>
              <w:rPr>
                <w:rFonts w:ascii="Times New Roman" w:eastAsia="Times New Roman" w:hAnsi="Times New Roman" w:cs="Times New Roman"/>
                <w:color w:val="000000"/>
                <w:spacing w:val="0"/>
                <w:w w:val="100"/>
                <w:position w:val="0"/>
                <w:sz w:val="24"/>
                <w:szCs w:val="24"/>
              </w:rPr>
              <w:t>4,095,221</w:t>
            </w:r>
          </w:p>
        </w:tc>
        <w:tc>
          <w:tcPr>
            <w:tcBorders>
              <w:top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200" w:right="0" w:firstLine="0"/>
              <w:jc w:val="both"/>
              <w:rPr>
                <w:sz w:val="24"/>
                <w:szCs w:val="24"/>
              </w:rPr>
            </w:pPr>
            <w:r>
              <w:rPr>
                <w:rFonts w:ascii="Times New Roman" w:eastAsia="Times New Roman" w:hAnsi="Times New Roman" w:cs="Times New Roman"/>
                <w:color w:val="000000"/>
                <w:spacing w:val="0"/>
                <w:w w:val="100"/>
                <w:position w:val="0"/>
                <w:sz w:val="24"/>
                <w:szCs w:val="24"/>
              </w:rPr>
              <w:t>2,404,829</w:t>
            </w:r>
          </w:p>
        </w:tc>
      </w:tr>
    </w:tbl>
    <w:p>
      <w:pPr>
        <w:widowControl w:val="0"/>
        <w:spacing w:after="239" w:line="1" w:lineRule="exact"/>
      </w:pPr>
    </w:p>
    <w:p>
      <w:pPr>
        <w:pStyle w:val="Style32"/>
        <w:keepNext w:val="0"/>
        <w:keepLines w:val="0"/>
        <w:widowControl w:val="0"/>
        <w:shd w:val="clear" w:color="auto" w:fill="auto"/>
        <w:bidi w:val="0"/>
        <w:spacing w:before="0" w:after="240" w:line="317" w:lineRule="exact"/>
        <w:ind w:left="920" w:right="0" w:hanging="280"/>
        <w:jc w:val="both"/>
        <w:rPr>
          <w:sz w:val="24"/>
          <w:szCs w:val="24"/>
        </w:rPr>
      </w:pPr>
      <w:r>
        <w:rPr>
          <w:color w:val="000000"/>
          <w:spacing w:val="0"/>
          <w:w w:val="100"/>
          <w:position w:val="0"/>
          <w:sz w:val="24"/>
          <w:szCs w:val="24"/>
        </w:rPr>
        <w:t>⑴于</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日，本集团购买的多笔尚未到期的银行保本保收益理财 产品本金金额约人民币</w:t>
      </w:r>
      <w:r>
        <w:rPr>
          <w:rFonts w:ascii="Times New Roman" w:eastAsia="Times New Roman" w:hAnsi="Times New Roman" w:cs="Times New Roman"/>
          <w:color w:val="000000"/>
          <w:spacing w:val="0"/>
          <w:w w:val="100"/>
          <w:position w:val="0"/>
          <w:sz w:val="24"/>
          <w:szCs w:val="24"/>
        </w:rPr>
        <w:t>31.5</w:t>
      </w:r>
      <w:r>
        <w:rPr>
          <w:color w:val="000000"/>
          <w:spacing w:val="0"/>
          <w:w w:val="100"/>
          <w:position w:val="0"/>
          <w:sz w:val="24"/>
          <w:szCs w:val="24"/>
        </w:rPr>
        <w:t>亿元</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日：约人民币</w:t>
      </w:r>
      <w:r>
        <w:rPr>
          <w:rFonts w:ascii="Times New Roman" w:eastAsia="Times New Roman" w:hAnsi="Times New Roman" w:cs="Times New Roman"/>
          <w:color w:val="000000"/>
          <w:spacing w:val="0"/>
          <w:w w:val="100"/>
          <w:position w:val="0"/>
          <w:sz w:val="24"/>
          <w:szCs w:val="24"/>
        </w:rPr>
        <w:t>20.8</w:t>
      </w:r>
      <w:r>
        <w:rPr>
          <w:color w:val="000000"/>
          <w:spacing w:val="0"/>
          <w:w w:val="100"/>
          <w:position w:val="0"/>
          <w:sz w:val="24"/>
          <w:szCs w:val="24"/>
        </w:rPr>
        <w:t>亿 元</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，根据合同规定，全部将于一年内到期，到期后利随本清。</w:t>
      </w:r>
    </w:p>
    <w:p>
      <w:pPr>
        <w:pStyle w:val="Style32"/>
        <w:keepNext w:val="0"/>
        <w:keepLines w:val="0"/>
        <w:widowControl w:val="0"/>
        <w:shd w:val="clear" w:color="auto" w:fill="auto"/>
        <w:bidi w:val="0"/>
        <w:spacing w:before="0" w:after="240" w:line="317" w:lineRule="exact"/>
        <w:ind w:left="920" w:right="0" w:firstLine="0"/>
        <w:jc w:val="both"/>
        <w:rPr>
          <w:sz w:val="24"/>
          <w:szCs w:val="24"/>
        </w:rPr>
      </w:pPr>
      <w:r>
        <w:rPr>
          <w:color w:val="000000"/>
          <w:spacing w:val="0"/>
          <w:w w:val="100"/>
          <w:position w:val="0"/>
          <w:sz w:val="24"/>
          <w:szCs w:val="24"/>
        </w:rPr>
        <w:t>于</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日，本集团无理财产品</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 xml:space="preserve">日：约人民币 </w:t>
      </w:r>
      <w:r>
        <w:rPr>
          <w:rFonts w:ascii="Times New Roman" w:eastAsia="Times New Roman" w:hAnsi="Times New Roman" w:cs="Times New Roman"/>
          <w:color w:val="000000"/>
          <w:spacing w:val="0"/>
          <w:w w:val="100"/>
          <w:position w:val="0"/>
          <w:sz w:val="24"/>
          <w:szCs w:val="24"/>
        </w:rPr>
        <w:t>8.5</w:t>
      </w:r>
      <w:r>
        <w:rPr>
          <w:color w:val="000000"/>
          <w:spacing w:val="0"/>
          <w:w w:val="100"/>
          <w:position w:val="0"/>
          <w:sz w:val="24"/>
          <w:szCs w:val="24"/>
        </w:rPr>
        <w:t>亿元</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质押给银行用于开立银行承兑汇票</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附注四</w:t>
      </w:r>
      <w:r>
        <w:rPr>
          <w:rFonts w:ascii="Times New Roman" w:eastAsia="Times New Roman" w:hAnsi="Times New Roman" w:cs="Times New Roman"/>
          <w:color w:val="000000"/>
          <w:spacing w:val="0"/>
          <w:w w:val="100"/>
          <w:position w:val="0"/>
          <w:sz w:val="24"/>
          <w:szCs w:val="24"/>
        </w:rPr>
        <w:t>(24))</w:t>
      </w:r>
      <w:r>
        <w:rPr>
          <w:color w:val="000000"/>
          <w:spacing w:val="0"/>
          <w:w w:val="100"/>
          <w:position w:val="0"/>
          <w:sz w:val="24"/>
          <w:szCs w:val="24"/>
        </w:rPr>
        <w:t>,无理财产品</w:t>
      </w:r>
      <w:r>
        <w:rPr>
          <w:rFonts w:ascii="Times New Roman" w:eastAsia="Times New Roman" w:hAnsi="Times New Roman" w:cs="Times New Roman"/>
          <w:color w:val="000000"/>
          <w:spacing w:val="0"/>
          <w:w w:val="100"/>
          <w:position w:val="0"/>
          <w:sz w:val="24"/>
          <w:szCs w:val="24"/>
        </w:rPr>
        <w:t xml:space="preserve">(2015 </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日：约人民币</w:t>
      </w:r>
      <w:r>
        <w:rPr>
          <w:rFonts w:ascii="Times New Roman" w:eastAsia="Times New Roman" w:hAnsi="Times New Roman" w:cs="Times New Roman"/>
          <w:color w:val="000000"/>
          <w:spacing w:val="0"/>
          <w:w w:val="100"/>
          <w:position w:val="0"/>
          <w:sz w:val="24"/>
          <w:szCs w:val="24"/>
        </w:rPr>
        <w:t>7</w:t>
      </w:r>
      <w:r>
        <w:rPr>
          <w:color w:val="000000"/>
          <w:spacing w:val="0"/>
          <w:w w:val="100"/>
          <w:position w:val="0"/>
          <w:sz w:val="24"/>
          <w:szCs w:val="24"/>
        </w:rPr>
        <w:t>亿元</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质押给银行作为短期借款的质押物</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 xml:space="preserve">附注四 </w:t>
      </w:r>
      <w:r>
        <w:rPr>
          <w:rFonts w:ascii="Times New Roman" w:eastAsia="Times New Roman" w:hAnsi="Times New Roman" w:cs="Times New Roman"/>
          <w:color w:val="000000"/>
          <w:spacing w:val="0"/>
          <w:w w:val="100"/>
          <w:position w:val="0"/>
          <w:sz w:val="24"/>
          <w:szCs w:val="24"/>
        </w:rPr>
        <w:t>(22))</w:t>
      </w:r>
      <w:r>
        <w:rPr>
          <w:color w:val="000000"/>
          <w:spacing w:val="0"/>
          <w:w w:val="100"/>
          <w:position w:val="0"/>
          <w:sz w:val="24"/>
          <w:szCs w:val="24"/>
        </w:rPr>
        <w:t>。</w:t>
      </w:r>
    </w:p>
    <w:p>
      <w:pPr>
        <w:pStyle w:val="Style32"/>
        <w:keepNext w:val="0"/>
        <w:keepLines w:val="0"/>
        <w:widowControl w:val="0"/>
        <w:numPr>
          <w:ilvl w:val="0"/>
          <w:numId w:val="71"/>
        </w:numPr>
        <w:shd w:val="clear" w:color="auto" w:fill="auto"/>
        <w:tabs>
          <w:tab w:pos="670" w:val="left"/>
        </w:tabs>
        <w:bidi w:val="0"/>
        <w:spacing w:before="0" w:after="300" w:line="317" w:lineRule="exact"/>
        <w:ind w:left="0" w:right="0" w:firstLine="0"/>
        <w:jc w:val="left"/>
        <w:rPr>
          <w:sz w:val="24"/>
          <w:szCs w:val="24"/>
        </w:rPr>
      </w:pPr>
      <w:bookmarkStart w:id="828" w:name="bookmark828"/>
      <w:bookmarkEnd w:id="828"/>
      <w:r>
        <w:rPr>
          <w:color w:val="000000"/>
          <w:spacing w:val="0"/>
          <w:w w:val="100"/>
          <w:position w:val="0"/>
          <w:sz w:val="24"/>
          <w:szCs w:val="24"/>
        </w:rPr>
        <w:t>其他应收款账龄分析如下：</w:t>
      </w:r>
    </w:p>
    <w:tbl>
      <w:tblPr>
        <w:tblOverlap w:val="never"/>
        <w:jc w:val="center"/>
        <w:tblLayout w:type="fixed"/>
      </w:tblPr>
      <w:tblGrid>
        <w:gridCol w:w="2342"/>
        <w:gridCol w:w="3542"/>
        <w:gridCol w:w="2280"/>
      </w:tblGrid>
      <w:tr>
        <w:trPr>
          <w:trHeight w:val="442"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220" w:firstLine="0"/>
              <w:jc w:val="right"/>
              <w:rPr>
                <w:sz w:val="24"/>
                <w:szCs w:val="24"/>
              </w:rPr>
            </w:pP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2015</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w:t>
            </w:r>
          </w:p>
        </w:tc>
      </w:tr>
      <w:tr>
        <w:trPr>
          <w:trHeight w:val="456"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一年以内</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220" w:firstLine="0"/>
              <w:jc w:val="right"/>
              <w:rPr>
                <w:sz w:val="24"/>
                <w:szCs w:val="24"/>
              </w:rPr>
            </w:pPr>
            <w:r>
              <w:rPr>
                <w:rFonts w:ascii="Times New Roman" w:eastAsia="Times New Roman" w:hAnsi="Times New Roman" w:cs="Times New Roman"/>
                <w:color w:val="000000"/>
                <w:spacing w:val="0"/>
                <w:w w:val="100"/>
                <w:position w:val="0"/>
                <w:sz w:val="24"/>
                <w:szCs w:val="24"/>
              </w:rPr>
              <w:t>4,035,775</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240" w:right="0" w:firstLine="0"/>
              <w:jc w:val="both"/>
              <w:rPr>
                <w:sz w:val="24"/>
                <w:szCs w:val="24"/>
              </w:rPr>
            </w:pPr>
            <w:r>
              <w:rPr>
                <w:rFonts w:ascii="Times New Roman" w:eastAsia="Times New Roman" w:hAnsi="Times New Roman" w:cs="Times New Roman"/>
                <w:color w:val="000000"/>
                <w:spacing w:val="0"/>
                <w:w w:val="100"/>
                <w:position w:val="0"/>
                <w:sz w:val="24"/>
                <w:szCs w:val="24"/>
              </w:rPr>
              <w:t>2,370,151</w:t>
            </w:r>
          </w:p>
        </w:tc>
      </w:tr>
      <w:tr>
        <w:trPr>
          <w:trHeight w:val="307"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一到二年</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220" w:firstLine="0"/>
              <w:jc w:val="right"/>
              <w:rPr>
                <w:sz w:val="24"/>
                <w:szCs w:val="24"/>
              </w:rPr>
            </w:pPr>
            <w:r>
              <w:rPr>
                <w:rFonts w:ascii="Times New Roman" w:eastAsia="Times New Roman" w:hAnsi="Times New Roman" w:cs="Times New Roman"/>
                <w:color w:val="000000"/>
                <w:spacing w:val="0"/>
                <w:w w:val="100"/>
                <w:position w:val="0"/>
                <w:sz w:val="24"/>
                <w:szCs w:val="24"/>
              </w:rPr>
              <w:t>64,493</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34,744</w:t>
            </w:r>
          </w:p>
        </w:tc>
      </w:tr>
      <w:tr>
        <w:trPr>
          <w:trHeight w:val="307"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二到三年</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220" w:firstLine="0"/>
              <w:jc w:val="right"/>
              <w:rPr>
                <w:sz w:val="24"/>
                <w:szCs w:val="24"/>
              </w:rPr>
            </w:pPr>
            <w:r>
              <w:rPr>
                <w:rFonts w:ascii="Times New Roman" w:eastAsia="Times New Roman" w:hAnsi="Times New Roman" w:cs="Times New Roman"/>
                <w:color w:val="000000"/>
                <w:spacing w:val="0"/>
                <w:w w:val="100"/>
                <w:position w:val="0"/>
                <w:sz w:val="24"/>
                <w:szCs w:val="24"/>
              </w:rPr>
              <w:t>15,981</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11,676</w:t>
            </w:r>
          </w:p>
        </w:tc>
      </w:tr>
      <w:tr>
        <w:trPr>
          <w:trHeight w:val="307"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三到四年</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2720" w:right="0" w:firstLine="0"/>
              <w:jc w:val="left"/>
              <w:rPr>
                <w:sz w:val="24"/>
                <w:szCs w:val="24"/>
              </w:rPr>
            </w:pPr>
            <w:r>
              <w:rPr>
                <w:rFonts w:ascii="Times New Roman" w:eastAsia="Times New Roman" w:hAnsi="Times New Roman" w:cs="Times New Roman"/>
                <w:color w:val="000000"/>
                <w:spacing w:val="0"/>
                <w:w w:val="100"/>
                <w:position w:val="0"/>
                <w:sz w:val="24"/>
                <w:szCs w:val="24"/>
              </w:rPr>
              <w:t>7,336</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660" w:right="0" w:firstLine="0"/>
              <w:jc w:val="both"/>
              <w:rPr>
                <w:sz w:val="24"/>
                <w:szCs w:val="24"/>
              </w:rPr>
            </w:pPr>
            <w:r>
              <w:rPr>
                <w:rFonts w:ascii="Times New Roman" w:eastAsia="Times New Roman" w:hAnsi="Times New Roman" w:cs="Times New Roman"/>
                <w:color w:val="000000"/>
                <w:spacing w:val="0"/>
                <w:w w:val="100"/>
                <w:position w:val="0"/>
                <w:sz w:val="24"/>
                <w:szCs w:val="24"/>
              </w:rPr>
              <w:t>7,969</w:t>
            </w:r>
          </w:p>
        </w:tc>
      </w:tr>
      <w:tr>
        <w:trPr>
          <w:trHeight w:val="317"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四到五年</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2720" w:right="0" w:firstLine="0"/>
              <w:jc w:val="left"/>
              <w:rPr>
                <w:sz w:val="24"/>
                <w:szCs w:val="24"/>
              </w:rPr>
            </w:pPr>
            <w:r>
              <w:rPr>
                <w:rFonts w:ascii="Times New Roman" w:eastAsia="Times New Roman" w:hAnsi="Times New Roman" w:cs="Times New Roman"/>
                <w:color w:val="000000"/>
                <w:spacing w:val="0"/>
                <w:w w:val="100"/>
                <w:position w:val="0"/>
                <w:sz w:val="24"/>
                <w:szCs w:val="24"/>
              </w:rPr>
              <w:t>6,987</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660" w:right="0" w:firstLine="0"/>
              <w:jc w:val="both"/>
              <w:rPr>
                <w:sz w:val="24"/>
                <w:szCs w:val="24"/>
              </w:rPr>
            </w:pPr>
            <w:r>
              <w:rPr>
                <w:rFonts w:ascii="Times New Roman" w:eastAsia="Times New Roman" w:hAnsi="Times New Roman" w:cs="Times New Roman"/>
                <w:color w:val="000000"/>
                <w:spacing w:val="0"/>
                <w:w w:val="100"/>
                <w:position w:val="0"/>
                <w:sz w:val="24"/>
                <w:szCs w:val="24"/>
              </w:rPr>
              <w:t>7,484</w:t>
            </w:r>
          </w:p>
        </w:tc>
      </w:tr>
      <w:tr>
        <w:trPr>
          <w:trHeight w:val="307"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五年以上</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2720" w:right="0" w:firstLine="0"/>
              <w:jc w:val="left"/>
              <w:rPr>
                <w:sz w:val="24"/>
                <w:szCs w:val="24"/>
              </w:rPr>
            </w:pPr>
            <w:r>
              <w:rPr>
                <w:rFonts w:ascii="Times New Roman" w:eastAsia="Times New Roman" w:hAnsi="Times New Roman" w:cs="Times New Roman"/>
                <w:color w:val="000000"/>
                <w:spacing w:val="0"/>
                <w:w w:val="100"/>
                <w:position w:val="0"/>
                <w:sz w:val="24"/>
                <w:szCs w:val="24"/>
              </w:rPr>
              <w:t>4,400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660" w:right="0" w:firstLine="0"/>
              <w:jc w:val="both"/>
              <w:rPr>
                <w:sz w:val="24"/>
                <w:szCs w:val="24"/>
              </w:rPr>
            </w:pPr>
            <w:r>
              <w:rPr>
                <w:rFonts w:ascii="Times New Roman" w:eastAsia="Times New Roman" w:hAnsi="Times New Roman" w:cs="Times New Roman"/>
                <w:color w:val="000000"/>
                <w:spacing w:val="0"/>
                <w:w w:val="100"/>
                <w:position w:val="0"/>
                <w:sz w:val="24"/>
                <w:szCs w:val="24"/>
              </w:rPr>
              <w:t>4,018</w:t>
            </w:r>
          </w:p>
        </w:tc>
      </w:tr>
      <w:tr>
        <w:trPr>
          <w:trHeight w:val="312" w:hRule="exact"/>
        </w:trPr>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220" w:firstLine="0"/>
              <w:jc w:val="right"/>
              <w:rPr>
                <w:sz w:val="24"/>
                <w:szCs w:val="24"/>
              </w:rPr>
            </w:pPr>
            <w:r>
              <w:rPr>
                <w:rFonts w:ascii="Times New Roman" w:eastAsia="Times New Roman" w:hAnsi="Times New Roman" w:cs="Times New Roman"/>
                <w:color w:val="000000"/>
                <w:spacing w:val="0"/>
                <w:w w:val="100"/>
                <w:position w:val="0"/>
                <w:sz w:val="24"/>
                <w:szCs w:val="24"/>
              </w:rPr>
              <w:t>4,134,972</w:t>
            </w:r>
          </w:p>
        </w:tc>
        <w:tc>
          <w:tcPr>
            <w:tcBorders>
              <w:top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240" w:right="0" w:firstLine="0"/>
              <w:jc w:val="both"/>
              <w:rPr>
                <w:sz w:val="24"/>
                <w:szCs w:val="24"/>
              </w:rPr>
            </w:pPr>
            <w:r>
              <w:rPr>
                <w:rFonts w:ascii="Times New Roman" w:eastAsia="Times New Roman" w:hAnsi="Times New Roman" w:cs="Times New Roman"/>
                <w:color w:val="000000"/>
                <w:spacing w:val="0"/>
                <w:w w:val="100"/>
                <w:position w:val="0"/>
                <w:sz w:val="24"/>
                <w:szCs w:val="24"/>
              </w:rPr>
              <w:t>2,436,042</w:t>
            </w:r>
          </w:p>
        </w:tc>
      </w:tr>
    </w:tbl>
    <w:p>
      <w:pPr>
        <w:pStyle w:val="Style32"/>
        <w:keepNext w:val="0"/>
        <w:keepLines w:val="0"/>
        <w:widowControl w:val="0"/>
        <w:shd w:val="clear" w:color="auto" w:fill="auto"/>
        <w:bidi w:val="0"/>
        <w:spacing w:before="0" w:after="0" w:line="240" w:lineRule="auto"/>
        <w:ind w:left="0" w:right="0" w:firstLine="660"/>
        <w:jc w:val="left"/>
        <w:rPr>
          <w:sz w:val="24"/>
          <w:szCs w:val="24"/>
        </w:rPr>
      </w:pPr>
      <w:r>
        <w:rPr>
          <w:b/>
          <w:bCs/>
          <w:color w:val="000000"/>
          <w:spacing w:val="0"/>
          <w:w w:val="100"/>
          <w:position w:val="0"/>
          <w:sz w:val="24"/>
          <w:szCs w:val="24"/>
        </w:rPr>
        <w:t>财务报表附注</w:t>
      </w:r>
    </w:p>
    <w:p>
      <w:pPr>
        <w:pStyle w:val="Style88"/>
        <w:keepNext/>
        <w:keepLines/>
        <w:widowControl w:val="0"/>
        <w:shd w:val="clear" w:color="auto" w:fill="auto"/>
        <w:bidi w:val="0"/>
        <w:spacing w:before="0" w:after="0" w:line="240" w:lineRule="auto"/>
        <w:ind w:left="0" w:right="0" w:firstLine="660"/>
        <w:jc w:val="left"/>
      </w:pPr>
      <w:bookmarkStart w:id="829" w:name="bookmark829"/>
      <w:bookmarkStart w:id="830" w:name="bookmark830"/>
      <w:bookmarkStart w:id="831" w:name="bookmark831"/>
      <w:r>
        <w:rPr>
          <w:color w:val="000000"/>
          <w:spacing w:val="0"/>
          <w:w w:val="100"/>
          <w:position w:val="0"/>
          <w:sz w:val="24"/>
          <w:szCs w:val="24"/>
        </w:rPr>
        <w:t>2016</w:t>
      </w:r>
      <w:r>
        <w:rPr>
          <w:rFonts w:ascii="SimSun" w:eastAsia="SimSun" w:hAnsi="SimSun" w:cs="SimSun"/>
          <w:b/>
          <w:bCs/>
          <w:color w:val="000000"/>
          <w:spacing w:val="0"/>
          <w:w w:val="100"/>
          <w:position w:val="0"/>
          <w:sz w:val="24"/>
          <w:szCs w:val="24"/>
        </w:rPr>
        <w:t>年度</w:t>
      </w:r>
      <w:bookmarkEnd w:id="829"/>
      <w:bookmarkEnd w:id="830"/>
      <w:bookmarkEnd w:id="831"/>
    </w:p>
    <w:p>
      <w:pPr>
        <w:pStyle w:val="Style32"/>
        <w:keepNext w:val="0"/>
        <w:keepLines w:val="0"/>
        <w:widowControl w:val="0"/>
        <w:shd w:val="clear" w:color="auto" w:fill="auto"/>
        <w:bidi w:val="0"/>
        <w:spacing w:before="0" w:after="220" w:line="240" w:lineRule="auto"/>
        <w:ind w:left="0" w:right="0" w:firstLine="660"/>
        <w:jc w:val="left"/>
        <w:rPr>
          <w:sz w:val="24"/>
          <w:szCs w:val="24"/>
        </w:rPr>
      </w:pPr>
      <w:r>
        <w:rPr>
          <w:rFonts w:ascii="Arial" w:eastAsia="Arial" w:hAnsi="Arial" w:cs="Arial"/>
          <w:color w:val="000000"/>
          <w:spacing w:val="0"/>
          <w:w w:val="100"/>
          <w:position w:val="0"/>
          <w:sz w:val="20"/>
          <w:szCs w:val="20"/>
        </w:rPr>
        <w:t>（</w:t>
      </w:r>
      <w:r>
        <w:rPr>
          <w:color w:val="000000"/>
          <w:spacing w:val="0"/>
          <w:w w:val="100"/>
          <w:position w:val="0"/>
          <w:sz w:val="20"/>
          <w:szCs w:val="20"/>
        </w:rPr>
        <w:t>除特别注明外，金额单位为人民币千元</w:t>
      </w:r>
      <w:r>
        <w:rPr>
          <w:color w:val="000000"/>
          <w:spacing w:val="0"/>
          <w:w w:val="100"/>
          <w:position w:val="0"/>
          <w:sz w:val="24"/>
          <w:szCs w:val="24"/>
        </w:rPr>
        <w:t>）</w:t>
      </w:r>
    </w:p>
    <w:p>
      <w:pPr>
        <w:pStyle w:val="Style32"/>
        <w:keepNext w:val="0"/>
        <w:keepLines w:val="0"/>
        <w:widowControl w:val="0"/>
        <w:shd w:val="clear" w:color="auto" w:fill="auto"/>
        <w:tabs>
          <w:tab w:pos="637" w:val="left"/>
        </w:tabs>
        <w:bidi w:val="0"/>
        <w:spacing w:before="0" w:after="220" w:line="240" w:lineRule="auto"/>
        <w:ind w:left="0" w:right="0" w:firstLine="0"/>
        <w:jc w:val="left"/>
        <w:rPr>
          <w:sz w:val="24"/>
          <w:szCs w:val="24"/>
        </w:rPr>
      </w:pPr>
      <w:r>
        <w:rPr>
          <w:b/>
          <w:bCs/>
          <w:color w:val="000000"/>
          <w:spacing w:val="0"/>
          <w:w w:val="100"/>
          <w:position w:val="0"/>
          <w:sz w:val="24"/>
          <w:szCs w:val="24"/>
        </w:rPr>
        <w:t>四</w:t>
        <w:tab/>
        <w:t>合并财务报表项目附注</w:t>
      </w:r>
      <w:r>
        <w:rPr>
          <w:rFonts w:ascii="Times New Roman" w:eastAsia="Times New Roman" w:hAnsi="Times New Roman" w:cs="Times New Roman"/>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4"/>
          <w:szCs w:val="24"/>
        </w:rPr>
        <w:t>）</w:t>
      </w:r>
    </w:p>
    <w:p>
      <w:pPr>
        <w:pStyle w:val="Style32"/>
        <w:keepNext w:val="0"/>
        <w:keepLines w:val="0"/>
        <w:widowControl w:val="0"/>
        <w:shd w:val="clear" w:color="auto" w:fill="auto"/>
        <w:tabs>
          <w:tab w:pos="637" w:val="left"/>
        </w:tabs>
        <w:bidi w:val="0"/>
        <w:spacing w:before="0" w:after="28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（8）</w:t>
        <w:tab/>
      </w:r>
      <w:r>
        <w:rPr>
          <w:b/>
          <w:bCs/>
          <w:color w:val="000000"/>
          <w:spacing w:val="0"/>
          <w:w w:val="100"/>
          <w:position w:val="0"/>
          <w:sz w:val="24"/>
          <w:szCs w:val="24"/>
        </w:rPr>
        <w:t>其他应收款和长期应收款</w:t>
      </w:r>
      <w:r>
        <w:rPr>
          <w:rFonts w:ascii="Times New Roman" w:eastAsia="Times New Roman" w:hAnsi="Times New Roman" w:cs="Times New Roman"/>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4"/>
          <w:szCs w:val="24"/>
        </w:rPr>
        <w:t>）</w:t>
      </w:r>
    </w:p>
    <w:p>
      <w:pPr>
        <w:pStyle w:val="Style32"/>
        <w:keepNext w:val="0"/>
        <w:keepLines w:val="0"/>
        <w:widowControl w:val="0"/>
        <w:shd w:val="clear" w:color="auto" w:fill="auto"/>
        <w:tabs>
          <w:tab w:pos="637" w:val="left"/>
        </w:tabs>
        <w:bidi w:val="0"/>
        <w:spacing w:before="0" w:after="280" w:line="240" w:lineRule="auto"/>
        <w:ind w:left="0" w:right="0" w:firstLine="0"/>
        <w:jc w:val="left"/>
        <w:rPr>
          <w:sz w:val="24"/>
          <w:szCs w:val="24"/>
        </w:rPr>
      </w:pPr>
      <w:bookmarkStart w:id="832" w:name="bookmark832"/>
      <w:r>
        <w:rPr>
          <w:rFonts w:ascii="Times New Roman" w:eastAsia="Times New Roman" w:hAnsi="Times New Roman" w:cs="Times New Roman"/>
          <w:color w:val="000000"/>
          <w:spacing w:val="0"/>
          <w:w w:val="100"/>
          <w:position w:val="0"/>
          <w:sz w:val="24"/>
          <w:szCs w:val="24"/>
        </w:rPr>
        <w:t>（</w:t>
      </w:r>
      <w:bookmarkEnd w:id="832"/>
      <w:r>
        <w:rPr>
          <w:rFonts w:ascii="Times New Roman" w:eastAsia="Times New Roman" w:hAnsi="Times New Roman" w:cs="Times New Roman"/>
          <w:color w:val="000000"/>
          <w:spacing w:val="0"/>
          <w:w w:val="100"/>
          <w:position w:val="0"/>
          <w:sz w:val="24"/>
          <w:szCs w:val="24"/>
        </w:rPr>
        <w:t>a）</w:t>
        <w:tab/>
      </w:r>
      <w:r>
        <w:rPr>
          <w:color w:val="000000"/>
          <w:spacing w:val="0"/>
          <w:w w:val="100"/>
          <w:position w:val="0"/>
          <w:sz w:val="24"/>
          <w:szCs w:val="24"/>
        </w:rPr>
        <w:t>其他应收款账龄分析如下</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续</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w:t>
      </w:r>
    </w:p>
    <w:p>
      <w:pPr>
        <w:pStyle w:val="Style32"/>
        <w:keepNext w:val="0"/>
        <w:keepLines w:val="0"/>
        <w:widowControl w:val="0"/>
        <w:shd w:val="clear" w:color="auto" w:fill="auto"/>
        <w:bidi w:val="0"/>
        <w:spacing w:before="0" w:after="220" w:line="240" w:lineRule="auto"/>
        <w:ind w:left="0" w:right="0" w:firstLine="660"/>
        <w:jc w:val="left"/>
        <w:rPr>
          <w:sz w:val="24"/>
          <w:szCs w:val="24"/>
        </w:rPr>
      </w:pPr>
      <w:r>
        <w:rPr>
          <w:color w:val="000000"/>
          <w:spacing w:val="0"/>
          <w:w w:val="100"/>
          <w:position w:val="0"/>
          <w:sz w:val="24"/>
          <w:szCs w:val="24"/>
        </w:rPr>
        <w:t>于</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日，无已逾期未减值的其他应收款</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日：无</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w:t>
      </w:r>
    </w:p>
    <w:p>
      <w:pPr>
        <w:pStyle w:val="Style32"/>
        <w:keepNext w:val="0"/>
        <w:keepLines w:val="0"/>
        <w:widowControl w:val="0"/>
        <w:shd w:val="clear" w:color="auto" w:fill="auto"/>
        <w:tabs>
          <w:tab w:pos="637" w:val="left"/>
        </w:tabs>
        <w:bidi w:val="0"/>
        <w:spacing w:before="0" w:after="280" w:line="240" w:lineRule="auto"/>
        <w:ind w:left="0" w:right="0" w:firstLine="0"/>
        <w:jc w:val="left"/>
        <w:rPr>
          <w:sz w:val="24"/>
          <w:szCs w:val="24"/>
        </w:rPr>
      </w:pPr>
      <w:bookmarkStart w:id="833" w:name="bookmark833"/>
      <w:r>
        <w:rPr>
          <w:rFonts w:ascii="Times New Roman" w:eastAsia="Times New Roman" w:hAnsi="Times New Roman" w:cs="Times New Roman"/>
          <w:color w:val="000000"/>
          <w:spacing w:val="0"/>
          <w:w w:val="100"/>
          <w:position w:val="0"/>
          <w:sz w:val="24"/>
          <w:szCs w:val="24"/>
        </w:rPr>
        <w:t>（</w:t>
      </w:r>
      <w:bookmarkEnd w:id="833"/>
      <w:r>
        <w:rPr>
          <w:rFonts w:ascii="Times New Roman" w:eastAsia="Times New Roman" w:hAnsi="Times New Roman" w:cs="Times New Roman"/>
          <w:color w:val="000000"/>
          <w:spacing w:val="0"/>
          <w:w w:val="100"/>
          <w:position w:val="0"/>
          <w:sz w:val="24"/>
          <w:szCs w:val="24"/>
        </w:rPr>
        <w:t>b）</w:t>
        <w:tab/>
      </w:r>
      <w:r>
        <w:rPr>
          <w:color w:val="000000"/>
          <w:spacing w:val="0"/>
          <w:w w:val="100"/>
          <w:position w:val="0"/>
          <w:sz w:val="24"/>
          <w:szCs w:val="24"/>
        </w:rPr>
        <w:t>长期应收款账龄分析如下：</w:t>
      </w:r>
    </w:p>
    <w:p>
      <w:pPr>
        <w:pStyle w:val="Style53"/>
        <w:keepNext w:val="0"/>
        <w:keepLines w:val="0"/>
        <w:widowControl w:val="0"/>
        <w:shd w:val="clear" w:color="auto" w:fill="auto"/>
        <w:bidi w:val="0"/>
        <w:spacing w:before="0" w:after="280" w:line="240" w:lineRule="auto"/>
        <w:ind w:left="4640" w:right="0" w:firstLine="0"/>
        <w:jc w:val="left"/>
        <w:rPr>
          <w:sz w:val="24"/>
          <w:szCs w:val="24"/>
        </w:rPr>
      </w:pPr>
      <w:r>
        <w:rPr>
          <w:color w:val="000000"/>
          <w:spacing w:val="0"/>
          <w:w w:val="100"/>
          <w:position w:val="0"/>
          <w:sz w:val="24"/>
          <w:szCs w:val="24"/>
        </w:rPr>
        <w:t>2016</w:t>
      </w:r>
      <w:r>
        <w:rPr>
          <w:rFonts w:ascii="SimSun" w:eastAsia="SimSun" w:hAnsi="SimSun" w:cs="SimSun"/>
          <w:color w:val="000000"/>
          <w:spacing w:val="0"/>
          <w:w w:val="100"/>
          <w:position w:val="0"/>
          <w:sz w:val="24"/>
          <w:szCs w:val="24"/>
        </w:rPr>
        <w:t>年</w:t>
      </w:r>
      <w:r>
        <w:rPr>
          <w:color w:val="000000"/>
          <w:spacing w:val="0"/>
          <w:w w:val="100"/>
          <w:position w:val="0"/>
          <w:sz w:val="24"/>
          <w:szCs w:val="24"/>
        </w:rPr>
        <w:t>12</w:t>
      </w:r>
      <w:r>
        <w:rPr>
          <w:rFonts w:ascii="SimSun" w:eastAsia="SimSun" w:hAnsi="SimSun" w:cs="SimSun"/>
          <w:color w:val="000000"/>
          <w:spacing w:val="0"/>
          <w:w w:val="100"/>
          <w:position w:val="0"/>
          <w:sz w:val="24"/>
          <w:szCs w:val="24"/>
        </w:rPr>
        <w:t>月</w:t>
      </w:r>
      <w:r>
        <w:rPr>
          <w:color w:val="000000"/>
          <w:spacing w:val="0"/>
          <w:w w:val="100"/>
          <w:position w:val="0"/>
          <w:sz w:val="24"/>
          <w:szCs w:val="24"/>
        </w:rPr>
        <w:t>31</w:t>
      </w:r>
      <w:r>
        <w:rPr>
          <w:rFonts w:ascii="SimSun" w:eastAsia="SimSun" w:hAnsi="SimSun" w:cs="SimSun"/>
          <w:color w:val="000000"/>
          <w:spacing w:val="0"/>
          <w:w w:val="100"/>
          <w:position w:val="0"/>
          <w:sz w:val="24"/>
          <w:szCs w:val="24"/>
        </w:rPr>
        <w:t xml:space="preserve">日 </w:t>
      </w:r>
      <w:r>
        <w:rPr>
          <w:color w:val="000000"/>
          <w:spacing w:val="0"/>
          <w:w w:val="100"/>
          <w:position w:val="0"/>
          <w:sz w:val="24"/>
          <w:szCs w:val="24"/>
        </w:rPr>
        <w:t>2015</w:t>
      </w:r>
      <w:r>
        <w:rPr>
          <w:rFonts w:ascii="SimSun" w:eastAsia="SimSun" w:hAnsi="SimSun" w:cs="SimSun"/>
          <w:color w:val="000000"/>
          <w:spacing w:val="0"/>
          <w:w w:val="100"/>
          <w:position w:val="0"/>
          <w:sz w:val="24"/>
          <w:szCs w:val="24"/>
        </w:rPr>
        <w:t>年</w:t>
      </w:r>
      <w:r>
        <w:rPr>
          <w:color w:val="000000"/>
          <w:spacing w:val="0"/>
          <w:w w:val="100"/>
          <w:position w:val="0"/>
          <w:sz w:val="24"/>
          <w:szCs w:val="24"/>
        </w:rPr>
        <w:t>12</w:t>
      </w:r>
      <w:r>
        <w:rPr>
          <w:rFonts w:ascii="SimSun" w:eastAsia="SimSun" w:hAnsi="SimSun" w:cs="SimSun"/>
          <w:color w:val="000000"/>
          <w:spacing w:val="0"/>
          <w:w w:val="100"/>
          <w:position w:val="0"/>
          <w:sz w:val="24"/>
          <w:szCs w:val="24"/>
        </w:rPr>
        <w:t>月</w:t>
      </w:r>
      <w:r>
        <w:rPr>
          <w:color w:val="000000"/>
          <w:spacing w:val="0"/>
          <w:w w:val="100"/>
          <w:position w:val="0"/>
          <w:sz w:val="24"/>
          <w:szCs w:val="24"/>
        </w:rPr>
        <w:t>31</w:t>
      </w:r>
      <w:r>
        <w:rPr>
          <w:rFonts w:ascii="SimSun" w:eastAsia="SimSun" w:hAnsi="SimSun" w:cs="SimSun"/>
          <w:color w:val="000000"/>
          <w:spacing w:val="0"/>
          <w:w w:val="100"/>
          <w:position w:val="0"/>
          <w:sz w:val="24"/>
          <w:szCs w:val="24"/>
        </w:rPr>
        <w:t>日</w:t>
      </w:r>
    </w:p>
    <w:tbl>
      <w:tblPr>
        <w:tblOverlap w:val="never"/>
        <w:jc w:val="center"/>
        <w:tblLayout w:type="fixed"/>
      </w:tblPr>
      <w:tblGrid>
        <w:gridCol w:w="3000"/>
        <w:gridCol w:w="3701"/>
        <w:gridCol w:w="1814"/>
      </w:tblGrid>
      <w:tr>
        <w:trPr>
          <w:trHeight w:val="307"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一年以内</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2020" w:right="0" w:firstLine="0"/>
              <w:jc w:val="left"/>
              <w:rPr>
                <w:sz w:val="24"/>
                <w:szCs w:val="24"/>
              </w:rPr>
            </w:pPr>
            <w:r>
              <w:rPr>
                <w:rFonts w:ascii="Times New Roman" w:eastAsia="Times New Roman" w:hAnsi="Times New Roman" w:cs="Times New Roman"/>
                <w:color w:val="000000"/>
                <w:spacing w:val="0"/>
                <w:w w:val="100"/>
                <w:position w:val="0"/>
                <w:sz w:val="24"/>
                <w:szCs w:val="24"/>
              </w:rPr>
              <w:t>244,400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80"/>
              <w:jc w:val="both"/>
              <w:rPr>
                <w:sz w:val="24"/>
                <w:szCs w:val="24"/>
              </w:rPr>
            </w:pPr>
            <w:r>
              <w:rPr>
                <w:rFonts w:ascii="Times New Roman" w:eastAsia="Times New Roman" w:hAnsi="Times New Roman" w:cs="Times New Roman"/>
                <w:color w:val="000000"/>
                <w:spacing w:val="0"/>
                <w:w w:val="100"/>
                <w:position w:val="0"/>
                <w:sz w:val="24"/>
                <w:szCs w:val="24"/>
              </w:rPr>
              <w:t>190,517</w:t>
            </w:r>
          </w:p>
        </w:tc>
      </w:tr>
      <w:tr>
        <w:trPr>
          <w:trHeight w:val="298"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一到二年</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2140" w:right="0" w:firstLine="0"/>
              <w:jc w:val="left"/>
              <w:rPr>
                <w:sz w:val="24"/>
                <w:szCs w:val="24"/>
              </w:rPr>
            </w:pPr>
            <w:r>
              <w:rPr>
                <w:rFonts w:ascii="Times New Roman" w:eastAsia="Times New Roman" w:hAnsi="Times New Roman" w:cs="Times New Roman"/>
                <w:color w:val="000000"/>
                <w:spacing w:val="0"/>
                <w:w w:val="100"/>
                <w:position w:val="0"/>
                <w:sz w:val="24"/>
                <w:szCs w:val="24"/>
              </w:rPr>
              <w:t>93,067</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000"/>
              <w:jc w:val="both"/>
              <w:rPr>
                <w:sz w:val="24"/>
                <w:szCs w:val="24"/>
              </w:rPr>
            </w:pPr>
            <w:r>
              <w:rPr>
                <w:rFonts w:ascii="Times New Roman" w:eastAsia="Times New Roman" w:hAnsi="Times New Roman" w:cs="Times New Roman"/>
                <w:color w:val="000000"/>
                <w:spacing w:val="0"/>
                <w:w w:val="100"/>
                <w:position w:val="0"/>
                <w:sz w:val="24"/>
                <w:szCs w:val="24"/>
              </w:rPr>
              <w:t>61,763</w:t>
            </w:r>
          </w:p>
        </w:tc>
      </w:tr>
      <w:tr>
        <w:trPr>
          <w:trHeight w:val="322"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二到三年</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2140" w:right="0" w:firstLine="0"/>
              <w:jc w:val="left"/>
              <w:rPr>
                <w:sz w:val="24"/>
                <w:szCs w:val="24"/>
              </w:rPr>
            </w:pPr>
            <w:r>
              <w:rPr>
                <w:rFonts w:ascii="Times New Roman" w:eastAsia="Times New Roman" w:hAnsi="Times New Roman" w:cs="Times New Roman"/>
                <w:color w:val="000000"/>
                <w:spacing w:val="0"/>
                <w:w w:val="100"/>
                <w:position w:val="0"/>
                <w:sz w:val="24"/>
                <w:szCs w:val="24"/>
              </w:rPr>
              <w:t>55,683</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000"/>
              <w:jc w:val="both"/>
              <w:rPr>
                <w:sz w:val="24"/>
                <w:szCs w:val="24"/>
              </w:rPr>
            </w:pPr>
            <w:r>
              <w:rPr>
                <w:rFonts w:ascii="Times New Roman" w:eastAsia="Times New Roman" w:hAnsi="Times New Roman" w:cs="Times New Roman"/>
                <w:color w:val="000000"/>
                <w:spacing w:val="0"/>
                <w:w w:val="100"/>
                <w:position w:val="0"/>
                <w:sz w:val="24"/>
                <w:szCs w:val="24"/>
              </w:rPr>
              <w:t>20,231</w:t>
            </w:r>
          </w:p>
        </w:tc>
      </w:tr>
      <w:tr>
        <w:trPr>
          <w:trHeight w:val="307"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三到四年</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2140" w:right="0" w:firstLine="0"/>
              <w:jc w:val="left"/>
              <w:rPr>
                <w:sz w:val="24"/>
                <w:szCs w:val="24"/>
              </w:rPr>
            </w:pPr>
            <w:r>
              <w:rPr>
                <w:rFonts w:ascii="Times New Roman" w:eastAsia="Times New Roman" w:hAnsi="Times New Roman" w:cs="Times New Roman"/>
                <w:color w:val="000000"/>
                <w:spacing w:val="0"/>
                <w:w w:val="100"/>
                <w:position w:val="0"/>
                <w:sz w:val="24"/>
                <w:szCs w:val="24"/>
              </w:rPr>
              <w:t>15,000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000"/>
              <w:jc w:val="both"/>
              <w:rPr>
                <w:sz w:val="24"/>
                <w:szCs w:val="24"/>
              </w:rPr>
            </w:pPr>
            <w:r>
              <w:rPr>
                <w:rFonts w:ascii="Times New Roman" w:eastAsia="Times New Roman" w:hAnsi="Times New Roman" w:cs="Times New Roman"/>
                <w:color w:val="000000"/>
                <w:spacing w:val="0"/>
                <w:w w:val="100"/>
                <w:position w:val="0"/>
                <w:sz w:val="24"/>
                <w:szCs w:val="24"/>
              </w:rPr>
              <w:t>56,554</w:t>
            </w:r>
          </w:p>
        </w:tc>
      </w:tr>
      <w:tr>
        <w:trPr>
          <w:trHeight w:val="326"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四到五年</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2140" w:right="0" w:firstLine="0"/>
              <w:jc w:val="left"/>
              <w:rPr>
                <w:sz w:val="24"/>
                <w:szCs w:val="24"/>
              </w:rPr>
            </w:pPr>
            <w:r>
              <w:rPr>
                <w:rFonts w:ascii="Times New Roman" w:eastAsia="Times New Roman" w:hAnsi="Times New Roman" w:cs="Times New Roman"/>
                <w:color w:val="000000"/>
                <w:spacing w:val="0"/>
                <w:w w:val="100"/>
                <w:position w:val="0"/>
                <w:sz w:val="24"/>
                <w:szCs w:val="24"/>
              </w:rPr>
              <w:t>39,481</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000"/>
              <w:jc w:val="both"/>
              <w:rPr>
                <w:sz w:val="24"/>
                <w:szCs w:val="24"/>
              </w:rPr>
            </w:pPr>
            <w:r>
              <w:rPr>
                <w:rFonts w:ascii="Times New Roman" w:eastAsia="Times New Roman" w:hAnsi="Times New Roman" w:cs="Times New Roman"/>
                <w:color w:val="000000"/>
                <w:spacing w:val="0"/>
                <w:w w:val="100"/>
                <w:position w:val="0"/>
                <w:sz w:val="24"/>
                <w:szCs w:val="24"/>
              </w:rPr>
              <w:t>37,233</w:t>
            </w:r>
          </w:p>
        </w:tc>
      </w:tr>
      <w:tr>
        <w:trPr>
          <w:trHeight w:val="293"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五年以上</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2020" w:right="0" w:firstLine="0"/>
              <w:jc w:val="left"/>
              <w:rPr>
                <w:sz w:val="24"/>
                <w:szCs w:val="24"/>
              </w:rPr>
            </w:pPr>
            <w:r>
              <w:rPr>
                <w:rFonts w:ascii="Times New Roman" w:eastAsia="Times New Roman" w:hAnsi="Times New Roman" w:cs="Times New Roman"/>
                <w:color w:val="000000"/>
                <w:spacing w:val="0"/>
                <w:w w:val="100"/>
                <w:position w:val="0"/>
                <w:sz w:val="24"/>
                <w:szCs w:val="24"/>
              </w:rPr>
              <w:t>260,133</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80"/>
              <w:jc w:val="both"/>
              <w:rPr>
                <w:sz w:val="24"/>
                <w:szCs w:val="24"/>
              </w:rPr>
            </w:pPr>
            <w:r>
              <w:rPr>
                <w:rFonts w:ascii="Times New Roman" w:eastAsia="Times New Roman" w:hAnsi="Times New Roman" w:cs="Times New Roman"/>
                <w:color w:val="000000"/>
                <w:spacing w:val="0"/>
                <w:w w:val="100"/>
                <w:position w:val="0"/>
                <w:sz w:val="24"/>
                <w:szCs w:val="24"/>
              </w:rPr>
              <w:t>264,104</w:t>
            </w:r>
          </w:p>
        </w:tc>
      </w:tr>
      <w:tr>
        <w:trPr>
          <w:trHeight w:val="312" w:hRule="exact"/>
        </w:trPr>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2020" w:right="0" w:firstLine="0"/>
              <w:jc w:val="left"/>
              <w:rPr>
                <w:sz w:val="24"/>
                <w:szCs w:val="24"/>
              </w:rPr>
            </w:pPr>
            <w:r>
              <w:rPr>
                <w:rFonts w:ascii="Times New Roman" w:eastAsia="Times New Roman" w:hAnsi="Times New Roman" w:cs="Times New Roman"/>
                <w:color w:val="000000"/>
                <w:spacing w:val="0"/>
                <w:w w:val="100"/>
                <w:position w:val="0"/>
                <w:sz w:val="24"/>
                <w:szCs w:val="24"/>
              </w:rPr>
              <w:t>707,764</w:t>
            </w:r>
          </w:p>
        </w:tc>
        <w:tc>
          <w:tcPr>
            <w:tcBorders>
              <w:top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80"/>
              <w:jc w:val="both"/>
              <w:rPr>
                <w:sz w:val="24"/>
                <w:szCs w:val="24"/>
              </w:rPr>
            </w:pPr>
            <w:r>
              <w:rPr>
                <w:rFonts w:ascii="Times New Roman" w:eastAsia="Times New Roman" w:hAnsi="Times New Roman" w:cs="Times New Roman"/>
                <w:color w:val="000000"/>
                <w:spacing w:val="0"/>
                <w:w w:val="100"/>
                <w:position w:val="0"/>
                <w:sz w:val="24"/>
                <w:szCs w:val="24"/>
              </w:rPr>
              <w:t>630,402</w:t>
            </w:r>
          </w:p>
        </w:tc>
      </w:tr>
    </w:tbl>
    <w:p>
      <w:pPr>
        <w:widowControl w:val="0"/>
        <w:spacing w:after="219" w:line="1" w:lineRule="exact"/>
      </w:pPr>
    </w:p>
    <w:p>
      <w:pPr>
        <w:pStyle w:val="Style32"/>
        <w:keepNext w:val="0"/>
        <w:keepLines w:val="0"/>
        <w:widowControl w:val="0"/>
        <w:shd w:val="clear" w:color="auto" w:fill="auto"/>
        <w:tabs>
          <w:tab w:pos="637" w:val="left"/>
        </w:tabs>
        <w:bidi w:val="0"/>
        <w:spacing w:before="0" w:after="220" w:line="240" w:lineRule="auto"/>
        <w:ind w:left="0" w:right="0" w:firstLine="0"/>
        <w:jc w:val="left"/>
        <w:rPr>
          <w:sz w:val="24"/>
          <w:szCs w:val="24"/>
        </w:rPr>
      </w:pPr>
      <w:bookmarkStart w:id="834" w:name="bookmark834"/>
      <w:r>
        <w:rPr>
          <w:rFonts w:ascii="Times New Roman" w:eastAsia="Times New Roman" w:hAnsi="Times New Roman" w:cs="Times New Roman"/>
          <w:color w:val="000000"/>
          <w:spacing w:val="0"/>
          <w:w w:val="100"/>
          <w:position w:val="0"/>
          <w:sz w:val="24"/>
          <w:szCs w:val="24"/>
        </w:rPr>
        <w:t>（</w:t>
      </w:r>
      <w:bookmarkEnd w:id="834"/>
      <w:r>
        <w:rPr>
          <w:rFonts w:ascii="Times New Roman" w:eastAsia="Times New Roman" w:hAnsi="Times New Roman" w:cs="Times New Roman"/>
          <w:color w:val="000000"/>
          <w:spacing w:val="0"/>
          <w:w w:val="100"/>
          <w:position w:val="0"/>
          <w:sz w:val="24"/>
          <w:szCs w:val="24"/>
        </w:rPr>
        <w:t>c）</w:t>
        <w:tab/>
      </w:r>
      <w:r>
        <w:rPr>
          <w:color w:val="000000"/>
          <w:spacing w:val="0"/>
          <w:w w:val="100"/>
          <w:position w:val="0"/>
          <w:sz w:val="24"/>
          <w:szCs w:val="24"/>
        </w:rPr>
        <w:t>其他应收款和长期应收款按类别分析如下:</w:t>
      </w:r>
    </w:p>
    <w:p>
      <w:pPr>
        <w:pStyle w:val="Style25"/>
        <w:keepNext w:val="0"/>
        <w:keepLines w:val="0"/>
        <w:widowControl w:val="0"/>
        <w:shd w:val="clear" w:color="auto" w:fill="auto"/>
        <w:tabs>
          <w:tab w:pos="3461" w:val="left"/>
        </w:tabs>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tab/>
      </w: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tbl>
      <w:tblPr>
        <w:tblOverlap w:val="never"/>
        <w:jc w:val="center"/>
        <w:tblLayout w:type="fixed"/>
      </w:tblPr>
      <w:tblGrid>
        <w:gridCol w:w="1814"/>
        <w:gridCol w:w="989"/>
        <w:gridCol w:w="802"/>
        <w:gridCol w:w="926"/>
        <w:gridCol w:w="696"/>
        <w:gridCol w:w="1027"/>
        <w:gridCol w:w="864"/>
        <w:gridCol w:w="898"/>
        <w:gridCol w:w="518"/>
      </w:tblGrid>
      <w:tr>
        <w:trPr>
          <w:trHeight w:val="245" w:hRule="exact"/>
        </w:trPr>
        <w:tc>
          <w:tcPr>
            <w:vMerge w:val="restart"/>
            <w:tcBorders/>
            <w:shd w:val="clear" w:color="auto" w:fill="FFFFFF"/>
            <w:vAlign w:val="top"/>
          </w:tcPr>
          <w:p>
            <w:pPr>
              <w:widowControl w:val="0"/>
              <w:rPr>
                <w:sz w:val="10"/>
                <w:szCs w:val="10"/>
              </w:rPr>
            </w:pPr>
          </w:p>
        </w:tc>
        <w:tc>
          <w:tcPr>
            <w:gridSpan w:val="2"/>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账面余额</w:t>
            </w:r>
          </w:p>
        </w:tc>
        <w:tc>
          <w:tcPr>
            <w:gridSpan w:val="2"/>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坏账准备</w:t>
            </w:r>
          </w:p>
        </w:tc>
        <w:tc>
          <w:tcPr>
            <w:gridSpan w:val="2"/>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账面余额</w:t>
            </w:r>
          </w:p>
        </w:tc>
        <w:tc>
          <w:tcPr>
            <w:gridSpan w:val="2"/>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坏账准备</w:t>
            </w:r>
          </w:p>
        </w:tc>
      </w:tr>
      <w:tr>
        <w:trPr>
          <w:trHeight w:val="576" w:hRule="exact"/>
        </w:trPr>
        <w:tc>
          <w:tcPr>
            <w:vMerge/>
            <w:tcBorders/>
            <w:shd w:val="clear" w:color="auto" w:fill="FFFFFF"/>
            <w:vAlign w:val="top"/>
          </w:tcPr>
          <w:p>
            <w:pP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金额</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占总额</w:t>
            </w:r>
          </w:p>
          <w:p>
            <w:pPr>
              <w:pStyle w:val="Style28"/>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比例</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金额</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5" w:lineRule="exact"/>
              <w:ind w:left="0" w:right="0" w:firstLine="0"/>
              <w:jc w:val="center"/>
              <w:rPr>
                <w:sz w:val="18"/>
                <w:szCs w:val="18"/>
              </w:rPr>
            </w:pPr>
            <w:r>
              <w:rPr>
                <w:color w:val="000000"/>
                <w:spacing w:val="0"/>
                <w:w w:val="100"/>
                <w:position w:val="0"/>
                <w:sz w:val="18"/>
                <w:szCs w:val="18"/>
              </w:rPr>
              <w:t>计提 比例</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140" w:firstLine="0"/>
              <w:jc w:val="right"/>
              <w:rPr>
                <w:sz w:val="18"/>
                <w:szCs w:val="18"/>
              </w:rPr>
            </w:pPr>
            <w:r>
              <w:rPr>
                <w:color w:val="000000"/>
                <w:spacing w:val="0"/>
                <w:w w:val="100"/>
                <w:position w:val="0"/>
                <w:sz w:val="18"/>
                <w:szCs w:val="18"/>
              </w:rPr>
              <w:t>金额</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220" w:firstLine="0"/>
              <w:jc w:val="right"/>
              <w:rPr>
                <w:sz w:val="18"/>
                <w:szCs w:val="18"/>
              </w:rPr>
            </w:pPr>
            <w:r>
              <w:rPr>
                <w:color w:val="000000"/>
                <w:spacing w:val="0"/>
                <w:w w:val="100"/>
                <w:position w:val="0"/>
                <w:sz w:val="18"/>
                <w:szCs w:val="18"/>
              </w:rPr>
              <w:t>占总额</w:t>
            </w:r>
          </w:p>
          <w:p>
            <w:pPr>
              <w:pStyle w:val="Style28"/>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比例</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200" w:firstLine="0"/>
              <w:jc w:val="right"/>
              <w:rPr>
                <w:sz w:val="18"/>
                <w:szCs w:val="18"/>
              </w:rPr>
            </w:pPr>
            <w:r>
              <w:rPr>
                <w:color w:val="000000"/>
                <w:spacing w:val="0"/>
                <w:w w:val="100"/>
                <w:position w:val="0"/>
                <w:sz w:val="18"/>
                <w:szCs w:val="18"/>
              </w:rPr>
              <w:t>金额</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计提</w:t>
            </w:r>
          </w:p>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比例</w:t>
            </w:r>
          </w:p>
        </w:tc>
      </w:tr>
      <w:tr>
        <w:trPr>
          <w:trHeight w:val="811" w:hRule="exact"/>
        </w:trPr>
        <w:tc>
          <w:tcPr>
            <w:tcBorders/>
            <w:shd w:val="clear" w:color="auto" w:fill="FFFFFF"/>
            <w:vAlign w:val="bottom"/>
          </w:tcPr>
          <w:p>
            <w:pPr>
              <w:pStyle w:val="Style28"/>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按组合计提坏账准备 应收关联方非经常 性交易款项</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502,500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70" w:hRule="exact"/>
        </w:trPr>
        <w:tc>
          <w:tcPr>
            <w:tcBorders/>
            <w:shd w:val="clear" w:color="auto" w:fill="FFFFFF"/>
            <w:vAlign w:val="top"/>
          </w:tcPr>
          <w:p>
            <w:pPr>
              <w:pStyle w:val="Style28"/>
              <w:keepNext w:val="0"/>
              <w:keepLines w:val="0"/>
              <w:widowControl w:val="0"/>
              <w:shd w:val="clear" w:color="auto" w:fill="auto"/>
              <w:bidi w:val="0"/>
              <w:spacing w:before="0" w:after="0" w:line="226" w:lineRule="exact"/>
              <w:ind w:left="400" w:right="0" w:hanging="180"/>
              <w:jc w:val="left"/>
              <w:rPr>
                <w:sz w:val="18"/>
                <w:szCs w:val="18"/>
              </w:rPr>
            </w:pPr>
            <w:r>
              <w:rPr>
                <w:color w:val="000000"/>
                <w:spacing w:val="0"/>
                <w:w w:val="100"/>
                <w:position w:val="0"/>
                <w:sz w:val="18"/>
                <w:szCs w:val="18"/>
              </w:rPr>
              <w:t>应收保本保收益理 财产品组合</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3,147,000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65%</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2,080,000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67%</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70" w:hRule="exact"/>
        </w:trPr>
        <w:tc>
          <w:tcPr>
            <w:tcBorders/>
            <w:shd w:val="clear" w:color="auto" w:fill="FFFFFF"/>
            <w:vAlign w:val="top"/>
          </w:tcPr>
          <w:p>
            <w:pPr>
              <w:pStyle w:val="Style28"/>
              <w:keepNext w:val="0"/>
              <w:keepLines w:val="0"/>
              <w:widowControl w:val="0"/>
              <w:shd w:val="clear" w:color="auto" w:fill="auto"/>
              <w:bidi w:val="0"/>
              <w:spacing w:before="0" w:after="0" w:line="235" w:lineRule="exact"/>
              <w:ind w:left="0" w:right="140" w:firstLine="0"/>
              <w:jc w:val="right"/>
              <w:rPr>
                <w:sz w:val="18"/>
                <w:szCs w:val="18"/>
              </w:rPr>
            </w:pPr>
            <w:r>
              <w:rPr>
                <w:color w:val="000000"/>
                <w:spacing w:val="0"/>
                <w:w w:val="100"/>
                <w:position w:val="0"/>
                <w:sz w:val="18"/>
                <w:szCs w:val="18"/>
              </w:rPr>
              <w:t>应收租赁保证金及 采购保证金组合</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707,764</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630,402</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21%</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26"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应收其他款项组合</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485,472</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(39,751)</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8.2%</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356,042</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12%</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(31,213)</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w:t>
            </w:r>
          </w:p>
        </w:tc>
      </w:tr>
      <w:tr>
        <w:trPr>
          <w:trHeight w:val="264" w:hRule="exact"/>
        </w:trPr>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4,842,736</w:t>
            </w:r>
          </w:p>
        </w:tc>
        <w:tc>
          <w:tcPr>
            <w:tcBorders>
              <w:top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(39,751)</w:t>
            </w:r>
          </w:p>
        </w:tc>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3,066,444</w:t>
            </w:r>
          </w:p>
        </w:tc>
        <w:tc>
          <w:tcPr>
            <w:tcBorders>
              <w:top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(31,213)</w:t>
            </w:r>
          </w:p>
        </w:tc>
        <w:tc>
          <w:tcPr>
            <w:tcBorders/>
            <w:shd w:val="clear" w:color="auto" w:fill="FFFFFF"/>
            <w:vAlign w:val="top"/>
          </w:tcPr>
          <w:p>
            <w:pPr>
              <w:widowControl w:val="0"/>
              <w:rPr>
                <w:sz w:val="10"/>
                <w:szCs w:val="10"/>
              </w:rPr>
            </w:pPr>
          </w:p>
        </w:tc>
      </w:tr>
    </w:tbl>
    <w:p>
      <w:pPr>
        <w:sectPr>
          <w:footnotePr>
            <w:pos w:val="pageBottom"/>
            <w:numFmt w:val="decimal"/>
            <w:numRestart w:val="continuous"/>
          </w:footnotePr>
          <w:pgSz w:w="11900" w:h="16840"/>
          <w:pgMar w:top="1326" w:right="350" w:bottom="1696" w:left="1700" w:header="0" w:footer="3" w:gutter="0"/>
          <w:cols w:space="720"/>
          <w:noEndnote/>
          <w:rtlGutter w:val="0"/>
          <w:docGrid w:linePitch="360"/>
        </w:sectPr>
      </w:pPr>
    </w:p>
    <w:p>
      <w:pPr>
        <w:pStyle w:val="Style32"/>
        <w:keepNext w:val="0"/>
        <w:keepLines w:val="0"/>
        <w:widowControl w:val="0"/>
        <w:shd w:val="clear" w:color="auto" w:fill="auto"/>
        <w:bidi w:val="0"/>
        <w:spacing w:before="0" w:after="0" w:line="240" w:lineRule="auto"/>
        <w:ind w:left="0" w:right="0" w:firstLine="660"/>
        <w:jc w:val="left"/>
        <w:rPr>
          <w:sz w:val="24"/>
          <w:szCs w:val="24"/>
        </w:rPr>
      </w:pPr>
      <w:r>
        <w:rPr>
          <w:b/>
          <w:bCs/>
          <w:color w:val="000000"/>
          <w:spacing w:val="0"/>
          <w:w w:val="100"/>
          <w:position w:val="0"/>
          <w:sz w:val="24"/>
          <w:szCs w:val="24"/>
        </w:rPr>
        <w:t>财务报表附注</w:t>
      </w:r>
    </w:p>
    <w:p>
      <w:pPr>
        <w:pStyle w:val="Style88"/>
        <w:keepNext/>
        <w:keepLines/>
        <w:widowControl w:val="0"/>
        <w:shd w:val="clear" w:color="auto" w:fill="auto"/>
        <w:bidi w:val="0"/>
        <w:spacing w:before="0" w:after="0" w:line="240" w:lineRule="auto"/>
        <w:ind w:left="0" w:right="0" w:firstLine="660"/>
        <w:jc w:val="left"/>
      </w:pPr>
      <w:bookmarkStart w:id="835" w:name="bookmark835"/>
      <w:bookmarkStart w:id="836" w:name="bookmark836"/>
      <w:bookmarkStart w:id="837" w:name="bookmark837"/>
      <w:r>
        <w:rPr>
          <w:color w:val="000000"/>
          <w:spacing w:val="0"/>
          <w:w w:val="100"/>
          <w:position w:val="0"/>
          <w:sz w:val="24"/>
          <w:szCs w:val="24"/>
        </w:rPr>
        <w:t>2016</w:t>
      </w:r>
      <w:r>
        <w:rPr>
          <w:rFonts w:ascii="SimSun" w:eastAsia="SimSun" w:hAnsi="SimSun" w:cs="SimSun"/>
          <w:b/>
          <w:bCs/>
          <w:color w:val="000000"/>
          <w:spacing w:val="0"/>
          <w:w w:val="100"/>
          <w:position w:val="0"/>
          <w:sz w:val="24"/>
          <w:szCs w:val="24"/>
        </w:rPr>
        <w:t>年度</w:t>
      </w:r>
      <w:bookmarkEnd w:id="835"/>
      <w:bookmarkEnd w:id="836"/>
      <w:bookmarkEnd w:id="837"/>
    </w:p>
    <w:p>
      <w:pPr>
        <w:pStyle w:val="Style32"/>
        <w:keepNext w:val="0"/>
        <w:keepLines w:val="0"/>
        <w:widowControl w:val="0"/>
        <w:shd w:val="clear" w:color="auto" w:fill="auto"/>
        <w:bidi w:val="0"/>
        <w:spacing w:before="0" w:after="240" w:line="240" w:lineRule="auto"/>
        <w:ind w:left="0" w:right="0" w:firstLine="660"/>
        <w:jc w:val="left"/>
        <w:rPr>
          <w:sz w:val="24"/>
          <w:szCs w:val="24"/>
        </w:rPr>
      </w:pPr>
      <w:r>
        <w:rPr>
          <w:rFonts w:ascii="Arial" w:eastAsia="Arial" w:hAnsi="Arial" w:cs="Arial"/>
          <w:color w:val="000000"/>
          <w:spacing w:val="0"/>
          <w:w w:val="100"/>
          <w:position w:val="0"/>
          <w:sz w:val="20"/>
          <w:szCs w:val="20"/>
        </w:rPr>
        <w:t>(</w:t>
      </w:r>
      <w:r>
        <w:rPr>
          <w:color w:val="000000"/>
          <w:spacing w:val="0"/>
          <w:w w:val="100"/>
          <w:position w:val="0"/>
          <w:sz w:val="20"/>
          <w:szCs w:val="20"/>
        </w:rPr>
        <w:t>除特别注明外，金额单位为人民币千元</w:t>
      </w:r>
      <w:r>
        <w:rPr>
          <w:color w:val="000000"/>
          <w:spacing w:val="0"/>
          <w:w w:val="100"/>
          <w:position w:val="0"/>
          <w:sz w:val="24"/>
          <w:szCs w:val="24"/>
        </w:rPr>
        <w:t>)</w:t>
      </w:r>
    </w:p>
    <w:p>
      <w:pPr>
        <w:pStyle w:val="Style32"/>
        <w:keepNext w:val="0"/>
        <w:keepLines w:val="0"/>
        <w:widowControl w:val="0"/>
        <w:shd w:val="clear" w:color="auto" w:fill="auto"/>
        <w:tabs>
          <w:tab w:pos="635" w:val="left"/>
        </w:tabs>
        <w:bidi w:val="0"/>
        <w:spacing w:before="0" w:after="240" w:line="240" w:lineRule="auto"/>
        <w:ind w:left="0" w:right="0" w:firstLine="0"/>
        <w:jc w:val="left"/>
        <w:rPr>
          <w:sz w:val="24"/>
          <w:szCs w:val="24"/>
        </w:rPr>
      </w:pPr>
      <w:r>
        <w:rPr>
          <w:b/>
          <w:bCs/>
          <w:color w:val="000000"/>
          <w:spacing w:val="0"/>
          <w:w w:val="100"/>
          <w:position w:val="0"/>
          <w:sz w:val="24"/>
          <w:szCs w:val="24"/>
        </w:rPr>
        <w:t>四</w:t>
        <w:tab/>
        <w:t>合并财务报表项目附注</w:t>
      </w:r>
      <w:r>
        <w:rPr>
          <w:rFonts w:ascii="Times New Roman" w:eastAsia="Times New Roman" w:hAnsi="Times New Roman" w:cs="Times New Roman"/>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4"/>
          <w:szCs w:val="24"/>
        </w:rPr>
        <w:t>)</w:t>
      </w:r>
    </w:p>
    <w:p>
      <w:pPr>
        <w:pStyle w:val="Style32"/>
        <w:keepNext w:val="0"/>
        <w:keepLines w:val="0"/>
        <w:widowControl w:val="0"/>
        <w:shd w:val="clear" w:color="auto" w:fill="auto"/>
        <w:tabs>
          <w:tab w:pos="635" w:val="left"/>
        </w:tabs>
        <w:bidi w:val="0"/>
        <w:spacing w:before="0" w:after="24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(8)</w:t>
        <w:tab/>
      </w:r>
      <w:r>
        <w:rPr>
          <w:b/>
          <w:bCs/>
          <w:color w:val="000000"/>
          <w:spacing w:val="0"/>
          <w:w w:val="100"/>
          <w:position w:val="0"/>
          <w:sz w:val="24"/>
          <w:szCs w:val="24"/>
        </w:rPr>
        <w:t>其他应收款和长期应收款</w:t>
      </w:r>
      <w:r>
        <w:rPr>
          <w:rFonts w:ascii="Times New Roman" w:eastAsia="Times New Roman" w:hAnsi="Times New Roman" w:cs="Times New Roman"/>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4"/>
          <w:szCs w:val="24"/>
        </w:rPr>
        <w:t>)</w:t>
      </w:r>
    </w:p>
    <w:p>
      <w:pPr>
        <w:pStyle w:val="Style32"/>
        <w:keepNext w:val="0"/>
        <w:keepLines w:val="0"/>
        <w:widowControl w:val="0"/>
        <w:numPr>
          <w:ilvl w:val="0"/>
          <w:numId w:val="73"/>
        </w:numPr>
        <w:shd w:val="clear" w:color="auto" w:fill="auto"/>
        <w:tabs>
          <w:tab w:pos="635" w:val="left"/>
        </w:tabs>
        <w:bidi w:val="0"/>
        <w:spacing w:before="0" w:after="0" w:line="240" w:lineRule="auto"/>
        <w:ind w:left="0" w:right="0" w:firstLine="0"/>
        <w:jc w:val="left"/>
        <w:rPr>
          <w:sz w:val="24"/>
          <w:szCs w:val="24"/>
        </w:rPr>
      </w:pPr>
      <w:bookmarkStart w:id="838" w:name="bookmark838"/>
      <w:bookmarkEnd w:id="838"/>
      <w:r>
        <w:rPr>
          <w:color w:val="000000"/>
          <w:spacing w:val="0"/>
          <w:w w:val="100"/>
          <w:position w:val="0"/>
          <w:sz w:val="24"/>
          <w:szCs w:val="24"/>
        </w:rPr>
        <w:t>按应收其他款项组合计提坏账准备的其他应收款中，采用账龄分析法的组合分</w:t>
      </w:r>
    </w:p>
    <w:p>
      <w:pPr>
        <w:pStyle w:val="Style32"/>
        <w:keepNext w:val="0"/>
        <w:keepLines w:val="0"/>
        <w:widowControl w:val="0"/>
        <w:shd w:val="clear" w:color="auto" w:fill="auto"/>
        <w:bidi w:val="0"/>
        <w:spacing w:before="0" w:after="240" w:line="240" w:lineRule="auto"/>
        <w:ind w:left="0" w:right="0" w:firstLine="660"/>
        <w:jc w:val="left"/>
        <w:rPr>
          <w:sz w:val="24"/>
          <w:szCs w:val="24"/>
        </w:rPr>
      </w:pPr>
      <w:r>
        <w:rPr>
          <w:color w:val="000000"/>
          <w:spacing w:val="0"/>
          <w:w w:val="100"/>
          <w:position w:val="0"/>
          <w:sz w:val="24"/>
          <w:szCs w:val="24"/>
        </w:rPr>
        <w:t>析如下：</w:t>
      </w:r>
    </w:p>
    <w:p>
      <w:pPr>
        <w:pStyle w:val="Style25"/>
        <w:keepNext w:val="0"/>
        <w:keepLines w:val="0"/>
        <w:widowControl w:val="0"/>
        <w:shd w:val="clear" w:color="auto" w:fill="auto"/>
        <w:tabs>
          <w:tab w:pos="3816" w:val="left"/>
        </w:tabs>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w:t>
        <w:tab/>
      </w:r>
      <w:r>
        <w:rPr>
          <w:rFonts w:ascii="Times New Roman" w:eastAsia="Times New Roman" w:hAnsi="Times New Roman" w:cs="Times New Roman"/>
          <w:color w:val="000000"/>
          <w:spacing w:val="0"/>
          <w:w w:val="100"/>
          <w:position w:val="0"/>
          <w:sz w:val="20"/>
          <w:szCs w:val="20"/>
        </w:rPr>
        <w:t>2015</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w:t>
      </w:r>
    </w:p>
    <w:tbl>
      <w:tblPr>
        <w:tblOverlap w:val="never"/>
        <w:jc w:val="center"/>
        <w:tblLayout w:type="fixed"/>
      </w:tblPr>
      <w:tblGrid>
        <w:gridCol w:w="1373"/>
        <w:gridCol w:w="1618"/>
        <w:gridCol w:w="1114"/>
        <w:gridCol w:w="1133"/>
        <w:gridCol w:w="1613"/>
        <w:gridCol w:w="1075"/>
        <w:gridCol w:w="648"/>
      </w:tblGrid>
      <w:tr>
        <w:trPr>
          <w:trHeight w:val="274" w:hRule="exact"/>
        </w:trPr>
        <w:tc>
          <w:tcPr>
            <w:vMerge w:val="restart"/>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账面余额</w:t>
            </w:r>
          </w:p>
        </w:tc>
        <w:tc>
          <w:tcPr>
            <w:gridSpan w:val="2"/>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坏账准备</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240" w:firstLine="0"/>
              <w:jc w:val="right"/>
              <w:rPr>
                <w:sz w:val="20"/>
                <w:szCs w:val="20"/>
              </w:rPr>
            </w:pPr>
            <w:r>
              <w:rPr>
                <w:color w:val="000000"/>
                <w:spacing w:val="0"/>
                <w:w w:val="100"/>
                <w:position w:val="0"/>
                <w:sz w:val="20"/>
                <w:szCs w:val="20"/>
              </w:rPr>
              <w:t>账面余额</w:t>
            </w:r>
          </w:p>
        </w:tc>
        <w:tc>
          <w:tcPr>
            <w:gridSpan w:val="2"/>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坏账准备</w:t>
            </w:r>
          </w:p>
        </w:tc>
      </w:tr>
      <w:tr>
        <w:trPr>
          <w:trHeight w:val="653" w:hRule="exact"/>
        </w:trPr>
        <w:tc>
          <w:tcPr>
            <w:vMerge/>
            <w:tcBorders/>
            <w:shd w:val="clear" w:color="auto" w:fill="FFFFFF"/>
            <w:vAlign w:val="top"/>
          </w:tcPr>
          <w:p>
            <w:pP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60"/>
              <w:jc w:val="left"/>
              <w:rPr>
                <w:sz w:val="20"/>
                <w:szCs w:val="20"/>
              </w:rPr>
            </w:pPr>
            <w:r>
              <w:rPr>
                <w:color w:val="000000"/>
                <w:spacing w:val="0"/>
                <w:w w:val="100"/>
                <w:position w:val="0"/>
                <w:sz w:val="20"/>
                <w:szCs w:val="20"/>
              </w:rPr>
              <w:t>金额</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金额</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54" w:lineRule="exact"/>
              <w:ind w:left="160" w:right="0" w:firstLine="20"/>
              <w:jc w:val="both"/>
              <w:rPr>
                <w:sz w:val="20"/>
                <w:szCs w:val="20"/>
              </w:rPr>
            </w:pPr>
            <w:r>
              <w:rPr>
                <w:color w:val="000000"/>
                <w:spacing w:val="0"/>
                <w:w w:val="100"/>
                <w:position w:val="0"/>
                <w:sz w:val="20"/>
                <w:szCs w:val="20"/>
              </w:rPr>
              <w:t>计提 比例</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240" w:firstLine="0"/>
              <w:jc w:val="right"/>
              <w:rPr>
                <w:sz w:val="20"/>
                <w:szCs w:val="20"/>
              </w:rPr>
            </w:pPr>
            <w:r>
              <w:rPr>
                <w:color w:val="000000"/>
                <w:spacing w:val="0"/>
                <w:w w:val="100"/>
                <w:position w:val="0"/>
                <w:sz w:val="20"/>
                <w:szCs w:val="20"/>
              </w:rPr>
              <w:t>金额</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金额</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59" w:lineRule="exact"/>
              <w:ind w:left="180" w:right="0" w:firstLine="20"/>
              <w:jc w:val="left"/>
              <w:rPr>
                <w:sz w:val="20"/>
                <w:szCs w:val="20"/>
              </w:rPr>
            </w:pPr>
            <w:r>
              <w:rPr>
                <w:color w:val="000000"/>
                <w:spacing w:val="0"/>
                <w:w w:val="100"/>
                <w:position w:val="0"/>
                <w:sz w:val="20"/>
                <w:szCs w:val="20"/>
              </w:rPr>
              <w:t>计提 比例</w:t>
            </w:r>
          </w:p>
        </w:tc>
      </w:tr>
      <w:tr>
        <w:trPr>
          <w:trHeight w:val="389"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一年以内</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60"/>
              <w:jc w:val="left"/>
              <w:rPr>
                <w:sz w:val="20"/>
                <w:szCs w:val="20"/>
              </w:rPr>
            </w:pPr>
            <w:r>
              <w:rPr>
                <w:rFonts w:ascii="Times New Roman" w:eastAsia="Times New Roman" w:hAnsi="Times New Roman" w:cs="Times New Roman"/>
                <w:color w:val="000000"/>
                <w:spacing w:val="0"/>
                <w:w w:val="100"/>
                <w:position w:val="0"/>
                <w:sz w:val="20"/>
                <w:szCs w:val="20"/>
              </w:rPr>
              <w:t>386,275</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(19,313)</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both"/>
              <w:rPr>
                <w:sz w:val="20"/>
                <w:szCs w:val="20"/>
              </w:rPr>
            </w:pPr>
            <w:r>
              <w:rPr>
                <w:rFonts w:ascii="Times New Roman" w:eastAsia="Times New Roman" w:hAnsi="Times New Roman" w:cs="Times New Roman"/>
                <w:color w:val="000000"/>
                <w:spacing w:val="0"/>
                <w:w w:val="100"/>
                <w:position w:val="0"/>
                <w:sz w:val="20"/>
                <w:szCs w:val="20"/>
              </w:rPr>
              <w:t>5%</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290,151</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(14,504)</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w:t>
            </w:r>
          </w:p>
        </w:tc>
      </w:tr>
      <w:tr>
        <w:trPr>
          <w:trHeight w:val="259"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一到二年</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60"/>
              <w:jc w:val="left"/>
              <w:rPr>
                <w:sz w:val="20"/>
                <w:szCs w:val="20"/>
              </w:rPr>
            </w:pPr>
            <w:r>
              <w:rPr>
                <w:rFonts w:ascii="Times New Roman" w:eastAsia="Times New Roman" w:hAnsi="Times New Roman" w:cs="Times New Roman"/>
                <w:color w:val="000000"/>
                <w:spacing w:val="0"/>
                <w:w w:val="100"/>
                <w:position w:val="0"/>
                <w:sz w:val="20"/>
                <w:szCs w:val="20"/>
              </w:rPr>
              <w:t>64,493</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(6,449)</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both"/>
              <w:rPr>
                <w:sz w:val="20"/>
                <w:szCs w:val="20"/>
              </w:rPr>
            </w:pPr>
            <w:r>
              <w:rPr>
                <w:rFonts w:ascii="Times New Roman" w:eastAsia="Times New Roman" w:hAnsi="Times New Roman" w:cs="Times New Roman"/>
                <w:color w:val="000000"/>
                <w:spacing w:val="0"/>
                <w:w w:val="100"/>
                <w:position w:val="0"/>
                <w:sz w:val="20"/>
                <w:szCs w:val="20"/>
              </w:rPr>
              <w:t>10%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00"/>
              <w:jc w:val="left"/>
              <w:rPr>
                <w:sz w:val="20"/>
                <w:szCs w:val="20"/>
              </w:rPr>
            </w:pPr>
            <w:r>
              <w:rPr>
                <w:rFonts w:ascii="Times New Roman" w:eastAsia="Times New Roman" w:hAnsi="Times New Roman" w:cs="Times New Roman"/>
                <w:color w:val="000000"/>
                <w:spacing w:val="0"/>
                <w:w w:val="100"/>
                <w:position w:val="0"/>
                <w:sz w:val="20"/>
                <w:szCs w:val="20"/>
              </w:rPr>
              <w:t>34,744</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(3,474)</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w:t>
            </w:r>
          </w:p>
        </w:tc>
      </w:tr>
      <w:tr>
        <w:trPr>
          <w:trHeight w:val="259"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二到三年</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60"/>
              <w:jc w:val="left"/>
              <w:rPr>
                <w:sz w:val="20"/>
                <w:szCs w:val="20"/>
              </w:rPr>
            </w:pPr>
            <w:r>
              <w:rPr>
                <w:rFonts w:ascii="Times New Roman" w:eastAsia="Times New Roman" w:hAnsi="Times New Roman" w:cs="Times New Roman"/>
                <w:color w:val="000000"/>
                <w:spacing w:val="0"/>
                <w:w w:val="100"/>
                <w:position w:val="0"/>
                <w:sz w:val="20"/>
                <w:szCs w:val="20"/>
              </w:rPr>
              <w:t>15,981</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(3,196)</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both"/>
              <w:rPr>
                <w:sz w:val="20"/>
                <w:szCs w:val="20"/>
              </w:rPr>
            </w:pPr>
            <w:r>
              <w:rPr>
                <w:rFonts w:ascii="Times New Roman" w:eastAsia="Times New Roman" w:hAnsi="Times New Roman" w:cs="Times New Roman"/>
                <w:color w:val="000000"/>
                <w:spacing w:val="0"/>
                <w:w w:val="100"/>
                <w:position w:val="0"/>
                <w:sz w:val="20"/>
                <w:szCs w:val="20"/>
              </w:rPr>
              <w:t>20%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00"/>
              <w:jc w:val="left"/>
              <w:rPr>
                <w:sz w:val="20"/>
                <w:szCs w:val="20"/>
              </w:rPr>
            </w:pPr>
            <w:r>
              <w:rPr>
                <w:rFonts w:ascii="Times New Roman" w:eastAsia="Times New Roman" w:hAnsi="Times New Roman" w:cs="Times New Roman"/>
                <w:color w:val="000000"/>
                <w:spacing w:val="0"/>
                <w:w w:val="100"/>
                <w:position w:val="0"/>
                <w:sz w:val="20"/>
                <w:szCs w:val="20"/>
              </w:rPr>
              <w:t>11,676</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(2,335)</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20%</w:t>
            </w:r>
          </w:p>
        </w:tc>
      </w:tr>
      <w:tr>
        <w:trPr>
          <w:trHeight w:val="254"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三到四年</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60"/>
              <w:jc w:val="left"/>
              <w:rPr>
                <w:sz w:val="20"/>
                <w:szCs w:val="20"/>
              </w:rPr>
            </w:pPr>
            <w:r>
              <w:rPr>
                <w:rFonts w:ascii="Times New Roman" w:eastAsia="Times New Roman" w:hAnsi="Times New Roman" w:cs="Times New Roman"/>
                <w:color w:val="000000"/>
                <w:spacing w:val="0"/>
                <w:w w:val="100"/>
                <w:position w:val="0"/>
                <w:sz w:val="20"/>
                <w:szCs w:val="20"/>
              </w:rPr>
              <w:t>7,336</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(2,201)</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both"/>
              <w:rPr>
                <w:sz w:val="20"/>
                <w:szCs w:val="20"/>
              </w:rPr>
            </w:pPr>
            <w:r>
              <w:rPr>
                <w:rFonts w:ascii="Times New Roman" w:eastAsia="Times New Roman" w:hAnsi="Times New Roman" w:cs="Times New Roman"/>
                <w:color w:val="000000"/>
                <w:spacing w:val="0"/>
                <w:w w:val="100"/>
                <w:position w:val="0"/>
                <w:sz w:val="20"/>
                <w:szCs w:val="20"/>
              </w:rPr>
              <w:t>30%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00"/>
              <w:jc w:val="both"/>
              <w:rPr>
                <w:sz w:val="20"/>
                <w:szCs w:val="20"/>
              </w:rPr>
            </w:pPr>
            <w:r>
              <w:rPr>
                <w:rFonts w:ascii="Times New Roman" w:eastAsia="Times New Roman" w:hAnsi="Times New Roman" w:cs="Times New Roman"/>
                <w:color w:val="000000"/>
                <w:spacing w:val="0"/>
                <w:w w:val="100"/>
                <w:position w:val="0"/>
                <w:sz w:val="20"/>
                <w:szCs w:val="20"/>
              </w:rPr>
              <w:t>7,969</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(2,391)</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30%</w:t>
            </w:r>
          </w:p>
        </w:tc>
      </w:tr>
      <w:tr>
        <w:trPr>
          <w:trHeight w:val="264"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四到五年</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60"/>
              <w:jc w:val="left"/>
              <w:rPr>
                <w:sz w:val="20"/>
                <w:szCs w:val="20"/>
              </w:rPr>
            </w:pPr>
            <w:r>
              <w:rPr>
                <w:rFonts w:ascii="Times New Roman" w:eastAsia="Times New Roman" w:hAnsi="Times New Roman" w:cs="Times New Roman"/>
                <w:color w:val="000000"/>
                <w:spacing w:val="0"/>
                <w:w w:val="100"/>
                <w:position w:val="0"/>
                <w:sz w:val="20"/>
                <w:szCs w:val="20"/>
              </w:rPr>
              <w:t>6,987</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(4,192)</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both"/>
              <w:rPr>
                <w:sz w:val="20"/>
                <w:szCs w:val="20"/>
              </w:rPr>
            </w:pPr>
            <w:r>
              <w:rPr>
                <w:rFonts w:ascii="Times New Roman" w:eastAsia="Times New Roman" w:hAnsi="Times New Roman" w:cs="Times New Roman"/>
                <w:color w:val="000000"/>
                <w:spacing w:val="0"/>
                <w:w w:val="100"/>
                <w:position w:val="0"/>
                <w:sz w:val="20"/>
                <w:szCs w:val="20"/>
              </w:rPr>
              <w:t>60%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00"/>
              <w:jc w:val="both"/>
              <w:rPr>
                <w:sz w:val="20"/>
                <w:szCs w:val="20"/>
              </w:rPr>
            </w:pPr>
            <w:r>
              <w:rPr>
                <w:rFonts w:ascii="Times New Roman" w:eastAsia="Times New Roman" w:hAnsi="Times New Roman" w:cs="Times New Roman"/>
                <w:color w:val="000000"/>
                <w:spacing w:val="0"/>
                <w:w w:val="100"/>
                <w:position w:val="0"/>
                <w:sz w:val="20"/>
                <w:szCs w:val="20"/>
              </w:rPr>
              <w:t>7,484</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(4,491)</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60%</w:t>
            </w:r>
          </w:p>
        </w:tc>
      </w:tr>
      <w:tr>
        <w:trPr>
          <w:trHeight w:val="235"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五年以上</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60"/>
              <w:jc w:val="left"/>
              <w:rPr>
                <w:sz w:val="20"/>
                <w:szCs w:val="20"/>
              </w:rPr>
            </w:pPr>
            <w:r>
              <w:rPr>
                <w:rFonts w:ascii="Times New Roman" w:eastAsia="Times New Roman" w:hAnsi="Times New Roman" w:cs="Times New Roman"/>
                <w:color w:val="000000"/>
                <w:spacing w:val="0"/>
                <w:w w:val="100"/>
                <w:position w:val="0"/>
                <w:sz w:val="20"/>
                <w:szCs w:val="20"/>
              </w:rPr>
              <w:t>4,400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(4,400)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00" w:right="0" w:firstLine="0"/>
              <w:jc w:val="center"/>
              <w:rPr>
                <w:sz w:val="20"/>
                <w:szCs w:val="20"/>
              </w:rPr>
            </w:pPr>
            <w:r>
              <w:rPr>
                <w:rFonts w:ascii="Times New Roman" w:eastAsia="Times New Roman" w:hAnsi="Times New Roman" w:cs="Times New Roman"/>
                <w:color w:val="000000"/>
                <w:spacing w:val="0"/>
                <w:w w:val="100"/>
                <w:position w:val="0"/>
                <w:sz w:val="20"/>
                <w:szCs w:val="20"/>
              </w:rPr>
              <w:t>100%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00"/>
              <w:jc w:val="both"/>
              <w:rPr>
                <w:sz w:val="20"/>
                <w:szCs w:val="20"/>
              </w:rPr>
            </w:pPr>
            <w:r>
              <w:rPr>
                <w:rFonts w:ascii="Times New Roman" w:eastAsia="Times New Roman" w:hAnsi="Times New Roman" w:cs="Times New Roman"/>
                <w:color w:val="000000"/>
                <w:spacing w:val="0"/>
                <w:w w:val="100"/>
                <w:position w:val="0"/>
                <w:sz w:val="20"/>
                <w:szCs w:val="20"/>
              </w:rPr>
              <w:t>4,018</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(4,018)</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w:t>
            </w:r>
          </w:p>
        </w:tc>
      </w:tr>
      <w:tr>
        <w:trPr>
          <w:trHeight w:val="264" w:hRule="exact"/>
        </w:trPr>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60"/>
              <w:jc w:val="left"/>
              <w:rPr>
                <w:sz w:val="20"/>
                <w:szCs w:val="20"/>
              </w:rPr>
            </w:pPr>
            <w:r>
              <w:rPr>
                <w:rFonts w:ascii="Times New Roman" w:eastAsia="Times New Roman" w:hAnsi="Times New Roman" w:cs="Times New Roman"/>
                <w:color w:val="000000"/>
                <w:spacing w:val="0"/>
                <w:w w:val="100"/>
                <w:position w:val="0"/>
                <w:sz w:val="20"/>
                <w:szCs w:val="20"/>
              </w:rPr>
              <w:t>485,472</w:t>
            </w:r>
          </w:p>
        </w:tc>
        <w:tc>
          <w:tcPr>
            <w:tcBorders>
              <w:top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(39,751)</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356,042</w:t>
            </w:r>
          </w:p>
        </w:tc>
        <w:tc>
          <w:tcPr>
            <w:tcBorders>
              <w:top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(31,213)</w:t>
            </w:r>
          </w:p>
        </w:tc>
        <w:tc>
          <w:tcPr>
            <w:tcBorders/>
            <w:shd w:val="clear" w:color="auto" w:fill="FFFFFF"/>
            <w:vAlign w:val="top"/>
          </w:tcPr>
          <w:p>
            <w:pPr>
              <w:widowControl w:val="0"/>
              <w:rPr>
                <w:sz w:val="10"/>
                <w:szCs w:val="10"/>
              </w:rPr>
            </w:pPr>
          </w:p>
        </w:tc>
      </w:tr>
    </w:tbl>
    <w:p>
      <w:pPr>
        <w:widowControl w:val="0"/>
        <w:spacing w:after="239" w:line="1" w:lineRule="exact"/>
      </w:pPr>
    </w:p>
    <w:p>
      <w:pPr>
        <w:pStyle w:val="Style32"/>
        <w:keepNext w:val="0"/>
        <w:keepLines w:val="0"/>
        <w:widowControl w:val="0"/>
        <w:numPr>
          <w:ilvl w:val="0"/>
          <w:numId w:val="73"/>
        </w:numPr>
        <w:shd w:val="clear" w:color="auto" w:fill="auto"/>
        <w:tabs>
          <w:tab w:pos="635" w:val="left"/>
        </w:tabs>
        <w:bidi w:val="0"/>
        <w:spacing w:before="0" w:after="240" w:line="326" w:lineRule="exact"/>
        <w:ind w:left="660" w:right="0" w:hanging="660"/>
        <w:jc w:val="left"/>
        <w:rPr>
          <w:sz w:val="24"/>
          <w:szCs w:val="24"/>
        </w:rPr>
      </w:pPr>
      <w:bookmarkStart w:id="839" w:name="bookmark839"/>
      <w:bookmarkEnd w:id="839"/>
      <w:r>
        <w:rPr>
          <w:color w:val="000000"/>
          <w:spacing w:val="0"/>
          <w:w w:val="100"/>
          <w:position w:val="0"/>
          <w:sz w:val="24"/>
          <w:szCs w:val="24"/>
        </w:rPr>
        <w:t>本年度实际核销的其他应收款约为人民币</w:t>
      </w:r>
      <w:r>
        <w:rPr>
          <w:rFonts w:ascii="Times New Roman" w:eastAsia="Times New Roman" w:hAnsi="Times New Roman" w:cs="Times New Roman"/>
          <w:color w:val="000000"/>
          <w:spacing w:val="0"/>
          <w:w w:val="100"/>
          <w:position w:val="0"/>
          <w:sz w:val="24"/>
          <w:szCs w:val="24"/>
        </w:rPr>
        <w:t>602</w:t>
      </w:r>
      <w:r>
        <w:rPr>
          <w:color w:val="000000"/>
          <w:spacing w:val="0"/>
          <w:w w:val="100"/>
          <w:position w:val="0"/>
          <w:sz w:val="24"/>
          <w:szCs w:val="24"/>
        </w:rPr>
        <w:t>万元</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sz w:val="24"/>
          <w:szCs w:val="24"/>
        </w:rPr>
        <w:t>年度：</w:t>
      </w:r>
      <w:r>
        <w:rPr>
          <w:rFonts w:ascii="Times New Roman" w:eastAsia="Times New Roman" w:hAnsi="Times New Roman" w:cs="Times New Roman"/>
          <w:color w:val="000000"/>
          <w:spacing w:val="0"/>
          <w:w w:val="100"/>
          <w:position w:val="0"/>
          <w:sz w:val="24"/>
          <w:szCs w:val="24"/>
        </w:rPr>
        <w:t>74</w:t>
      </w:r>
      <w:r>
        <w:rPr>
          <w:color w:val="000000"/>
          <w:spacing w:val="0"/>
          <w:w w:val="100"/>
          <w:position w:val="0"/>
          <w:sz w:val="24"/>
          <w:szCs w:val="24"/>
        </w:rPr>
        <w:t>万元</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，无重大 的其他应收款核销。</w:t>
      </w:r>
    </w:p>
    <w:p>
      <w:pPr>
        <w:pStyle w:val="Style32"/>
        <w:keepNext w:val="0"/>
        <w:keepLines w:val="0"/>
        <w:widowControl w:val="0"/>
        <w:numPr>
          <w:ilvl w:val="0"/>
          <w:numId w:val="73"/>
        </w:numPr>
        <w:shd w:val="clear" w:color="auto" w:fill="auto"/>
        <w:tabs>
          <w:tab w:pos="635" w:val="left"/>
        </w:tabs>
        <w:bidi w:val="0"/>
        <w:spacing w:before="0" w:after="240" w:line="326" w:lineRule="exact"/>
        <w:ind w:left="0" w:right="0" w:firstLine="0"/>
        <w:jc w:val="left"/>
        <w:rPr>
          <w:sz w:val="24"/>
          <w:szCs w:val="24"/>
        </w:rPr>
      </w:pPr>
      <w:bookmarkStart w:id="840" w:name="bookmark840"/>
      <w:bookmarkEnd w:id="840"/>
      <w:r>
        <w:rPr>
          <w:color w:val="000000"/>
          <w:spacing w:val="0"/>
          <w:w w:val="100"/>
          <w:position w:val="0"/>
          <w:sz w:val="24"/>
          <w:szCs w:val="24"/>
        </w:rPr>
        <w:t>于</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日，按欠款方归集的余额前五名的其他应收款分析如下：</w:t>
      </w:r>
    </w:p>
    <w:p>
      <w:pPr>
        <w:pStyle w:val="Style25"/>
        <w:keepNext w:val="0"/>
        <w:keepLines w:val="0"/>
        <w:widowControl w:val="0"/>
        <w:shd w:val="clear" w:color="auto" w:fill="auto"/>
        <w:bidi w:val="0"/>
        <w:spacing w:before="0" w:after="0" w:line="254" w:lineRule="exact"/>
        <w:ind w:left="6192" w:right="0" w:firstLine="0"/>
        <w:jc w:val="left"/>
        <w:rPr>
          <w:sz w:val="20"/>
          <w:szCs w:val="20"/>
        </w:rPr>
      </w:pPr>
      <w:r>
        <w:rPr>
          <w:color w:val="000000"/>
          <w:spacing w:val="0"/>
          <w:w w:val="100"/>
          <w:position w:val="0"/>
          <w:sz w:val="20"/>
          <w:szCs w:val="20"/>
        </w:rPr>
        <w:t>占其他应收款 和长期应收款</w:t>
      </w:r>
    </w:p>
    <w:tbl>
      <w:tblPr>
        <w:tblOverlap w:val="never"/>
        <w:jc w:val="center"/>
        <w:tblLayout w:type="fixed"/>
      </w:tblPr>
      <w:tblGrid>
        <w:gridCol w:w="2621"/>
        <w:gridCol w:w="1358"/>
        <w:gridCol w:w="1128"/>
        <w:gridCol w:w="979"/>
        <w:gridCol w:w="2371"/>
      </w:tblGrid>
      <w:tr>
        <w:trPr>
          <w:trHeight w:val="374"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rPr>
              <w:t>性质</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余额</w:t>
            </w:r>
          </w:p>
        </w:tc>
        <w:tc>
          <w:tcPr>
            <w:gridSpan w:val="2"/>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账龄余额总额比例坏账准备</w:t>
            </w:r>
          </w:p>
        </w:tc>
      </w:tr>
      <w:tr>
        <w:trPr>
          <w:trHeight w:val="384"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中国光大银行股份有限公司</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69"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南京分行</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理财产品</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2,150,000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年以内</w:t>
            </w:r>
          </w:p>
        </w:tc>
        <w:tc>
          <w:tcPr>
            <w:tcBorders/>
            <w:shd w:val="clear" w:color="auto" w:fill="FFFFFF"/>
            <w:vAlign w:val="bottom"/>
          </w:tcPr>
          <w:p>
            <w:pPr>
              <w:pStyle w:val="Style28"/>
              <w:keepNext w:val="0"/>
              <w:keepLines w:val="0"/>
              <w:widowControl w:val="0"/>
              <w:shd w:val="clear" w:color="auto" w:fill="auto"/>
              <w:tabs>
                <w:tab w:pos="1325" w:val="left"/>
              </w:tabs>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44%</w:t>
              <w:tab/>
              <w:t>-</w:t>
            </w:r>
          </w:p>
        </w:tc>
      </w:tr>
      <w:tr>
        <w:trPr>
          <w:trHeight w:val="269"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苏宁电器集团有限公司</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苏</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59"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宁电器集团</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股权转让款</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502,500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年以内</w:t>
            </w:r>
          </w:p>
        </w:tc>
        <w:tc>
          <w:tcPr>
            <w:tcBorders/>
            <w:shd w:val="clear" w:color="auto" w:fill="FFFFFF"/>
            <w:vAlign w:val="bottom"/>
          </w:tcPr>
          <w:p>
            <w:pPr>
              <w:pStyle w:val="Style28"/>
              <w:keepNext w:val="0"/>
              <w:keepLines w:val="0"/>
              <w:widowControl w:val="0"/>
              <w:shd w:val="clear" w:color="auto" w:fill="auto"/>
              <w:tabs>
                <w:tab w:pos="1306" w:val="left"/>
              </w:tabs>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w:t>
              <w:tab/>
              <w:t>-</w:t>
            </w:r>
          </w:p>
        </w:tc>
      </w:tr>
      <w:tr>
        <w:trPr>
          <w:trHeight w:val="259"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中信证券股份有限公司南京</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64"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高楼门营业部</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理财产品</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500,000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年以内</w:t>
            </w:r>
          </w:p>
        </w:tc>
        <w:tc>
          <w:tcPr>
            <w:tcBorders/>
            <w:shd w:val="clear" w:color="auto" w:fill="FFFFFF"/>
            <w:vAlign w:val="bottom"/>
          </w:tcPr>
          <w:p>
            <w:pPr>
              <w:pStyle w:val="Style28"/>
              <w:keepNext w:val="0"/>
              <w:keepLines w:val="0"/>
              <w:widowControl w:val="0"/>
              <w:shd w:val="clear" w:color="auto" w:fill="auto"/>
              <w:tabs>
                <w:tab w:pos="1301" w:val="left"/>
              </w:tabs>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w:t>
              <w:tab/>
              <w:t>-</w:t>
            </w:r>
          </w:p>
        </w:tc>
      </w:tr>
      <w:tr>
        <w:trPr>
          <w:trHeight w:val="264"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上海浦东发展银行股份有限</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64"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公司南京分行城北支行</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理财产品</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250,000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年以内</w:t>
            </w:r>
          </w:p>
        </w:tc>
        <w:tc>
          <w:tcPr>
            <w:tcBorders/>
            <w:shd w:val="clear" w:color="auto" w:fill="FFFFFF"/>
            <w:vAlign w:val="bottom"/>
          </w:tcPr>
          <w:p>
            <w:pPr>
              <w:pStyle w:val="Style28"/>
              <w:keepNext w:val="0"/>
              <w:keepLines w:val="0"/>
              <w:widowControl w:val="0"/>
              <w:shd w:val="clear" w:color="auto" w:fill="auto"/>
              <w:tabs>
                <w:tab w:pos="1214" w:val="left"/>
              </w:tabs>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w:t>
              <w:tab/>
              <w:t>-</w:t>
            </w:r>
          </w:p>
        </w:tc>
      </w:tr>
      <w:tr>
        <w:trPr>
          <w:trHeight w:val="264"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中国银行股份有限公司南京</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64"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鼓楼支行</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理财产品</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247,000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年以内</w:t>
            </w:r>
          </w:p>
        </w:tc>
        <w:tc>
          <w:tcPr>
            <w:tcBorders/>
            <w:shd w:val="clear" w:color="auto" w:fill="FFFFFF"/>
            <w:vAlign w:val="bottom"/>
          </w:tcPr>
          <w:p>
            <w:pPr>
              <w:pStyle w:val="Style28"/>
              <w:keepNext w:val="0"/>
              <w:keepLines w:val="0"/>
              <w:widowControl w:val="0"/>
              <w:shd w:val="clear" w:color="auto" w:fill="auto"/>
              <w:tabs>
                <w:tab w:pos="1214" w:val="left"/>
              </w:tabs>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w:t>
              <w:tab/>
              <w:t>-</w:t>
            </w:r>
          </w:p>
        </w:tc>
      </w:tr>
      <w:tr>
        <w:trPr>
          <w:trHeight w:val="264" w:hRule="exact"/>
        </w:trPr>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3,649,500</w:t>
            </w:r>
          </w:p>
        </w:tc>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pStyle w:val="Style28"/>
              <w:keepNext w:val="0"/>
              <w:keepLines w:val="0"/>
              <w:widowControl w:val="0"/>
              <w:shd w:val="clear" w:color="auto" w:fill="auto"/>
              <w:tabs>
                <w:tab w:pos="1320" w:val="left"/>
              </w:tabs>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74%</w:t>
              <w:tab/>
              <w:t>-</w:t>
            </w:r>
          </w:p>
        </w:tc>
      </w:tr>
    </w:tbl>
    <w:p>
      <w:pPr>
        <w:spacing w:lineRule="exact" w:line="1"/>
        <w:rPr>
          <w:sz w:val="2"/>
          <w:szCs w:val="2"/>
        </w:rPr>
      </w:pPr>
      <w:r>
        <w:br w:type="page"/>
      </w:r>
    </w:p>
    <w:p>
      <w:pPr>
        <w:pStyle w:val="Style32"/>
        <w:keepNext w:val="0"/>
        <w:keepLines w:val="0"/>
        <w:widowControl w:val="0"/>
        <w:shd w:val="clear" w:color="auto" w:fill="auto"/>
        <w:bidi w:val="0"/>
        <w:spacing w:before="0" w:after="0" w:line="240" w:lineRule="auto"/>
        <w:ind w:left="0" w:right="0" w:firstLine="660"/>
        <w:jc w:val="both"/>
        <w:rPr>
          <w:sz w:val="24"/>
          <w:szCs w:val="24"/>
        </w:rPr>
      </w:pPr>
      <w:r>
        <w:rPr>
          <w:b/>
          <w:bCs/>
          <w:color w:val="000000"/>
          <w:spacing w:val="0"/>
          <w:w w:val="100"/>
          <w:position w:val="0"/>
          <w:sz w:val="24"/>
          <w:szCs w:val="24"/>
        </w:rPr>
        <w:t>财务报表附注</w:t>
      </w:r>
    </w:p>
    <w:p>
      <w:pPr>
        <w:pStyle w:val="Style88"/>
        <w:keepNext/>
        <w:keepLines/>
        <w:widowControl w:val="0"/>
        <w:shd w:val="clear" w:color="auto" w:fill="auto"/>
        <w:bidi w:val="0"/>
        <w:spacing w:before="0" w:after="0" w:line="240" w:lineRule="auto"/>
        <w:ind w:left="0" w:right="0" w:firstLine="660"/>
        <w:jc w:val="both"/>
      </w:pPr>
      <w:bookmarkStart w:id="841" w:name="bookmark841"/>
      <w:bookmarkStart w:id="842" w:name="bookmark842"/>
      <w:bookmarkStart w:id="843" w:name="bookmark843"/>
      <w:r>
        <w:rPr>
          <w:color w:val="000000"/>
          <w:spacing w:val="0"/>
          <w:w w:val="100"/>
          <w:position w:val="0"/>
          <w:sz w:val="24"/>
          <w:szCs w:val="24"/>
        </w:rPr>
        <w:t>2016</w:t>
      </w:r>
      <w:r>
        <w:rPr>
          <w:rFonts w:ascii="SimSun" w:eastAsia="SimSun" w:hAnsi="SimSun" w:cs="SimSun"/>
          <w:b/>
          <w:bCs/>
          <w:color w:val="000000"/>
          <w:spacing w:val="0"/>
          <w:w w:val="100"/>
          <w:position w:val="0"/>
          <w:sz w:val="24"/>
          <w:szCs w:val="24"/>
        </w:rPr>
        <w:t>年度</w:t>
      </w:r>
      <w:bookmarkEnd w:id="841"/>
      <w:bookmarkEnd w:id="842"/>
      <w:bookmarkEnd w:id="843"/>
    </w:p>
    <w:p>
      <w:pPr>
        <w:pStyle w:val="Style32"/>
        <w:keepNext w:val="0"/>
        <w:keepLines w:val="0"/>
        <w:widowControl w:val="0"/>
        <w:shd w:val="clear" w:color="auto" w:fill="auto"/>
        <w:bidi w:val="0"/>
        <w:spacing w:before="0" w:after="240" w:line="240" w:lineRule="auto"/>
        <w:ind w:left="0" w:right="0" w:firstLine="660"/>
        <w:jc w:val="both"/>
        <w:rPr>
          <w:sz w:val="20"/>
          <w:szCs w:val="20"/>
        </w:rPr>
      </w:pPr>
      <w:r>
        <w:rPr>
          <w:rFonts w:ascii="Arial" w:eastAsia="Arial" w:hAnsi="Arial" w:cs="Arial"/>
          <w:color w:val="000000"/>
          <w:spacing w:val="0"/>
          <w:w w:val="100"/>
          <w:position w:val="0"/>
          <w:sz w:val="20"/>
          <w:szCs w:val="20"/>
        </w:rPr>
        <w:t>(</w:t>
      </w:r>
      <w:r>
        <w:rPr>
          <w:color w:val="000000"/>
          <w:spacing w:val="0"/>
          <w:w w:val="100"/>
          <w:position w:val="0"/>
          <w:sz w:val="20"/>
          <w:szCs w:val="20"/>
        </w:rPr>
        <w:t>除特别注明外，金额单位为人民币千元</w:t>
      </w:r>
      <w:r>
        <w:rPr>
          <w:rFonts w:ascii="Arial" w:eastAsia="Arial" w:hAnsi="Arial" w:cs="Arial"/>
          <w:color w:val="000000"/>
          <w:spacing w:val="0"/>
          <w:w w:val="100"/>
          <w:position w:val="0"/>
          <w:sz w:val="20"/>
          <w:szCs w:val="20"/>
        </w:rPr>
        <w:t>)</w:t>
      </w:r>
    </w:p>
    <w:p>
      <w:pPr>
        <w:pStyle w:val="Style32"/>
        <w:keepNext w:val="0"/>
        <w:keepLines w:val="0"/>
        <w:widowControl w:val="0"/>
        <w:shd w:val="clear" w:color="auto" w:fill="auto"/>
        <w:tabs>
          <w:tab w:pos="635" w:val="left"/>
        </w:tabs>
        <w:bidi w:val="0"/>
        <w:spacing w:before="0" w:after="240" w:line="240" w:lineRule="auto"/>
        <w:ind w:left="0" w:right="0" w:firstLine="0"/>
        <w:jc w:val="left"/>
        <w:rPr>
          <w:sz w:val="24"/>
          <w:szCs w:val="24"/>
        </w:rPr>
      </w:pPr>
      <w:r>
        <w:rPr>
          <w:b/>
          <w:bCs/>
          <w:color w:val="000000"/>
          <w:spacing w:val="0"/>
          <w:w w:val="100"/>
          <w:position w:val="0"/>
          <w:sz w:val="24"/>
          <w:szCs w:val="24"/>
        </w:rPr>
        <w:t>四</w:t>
        <w:tab/>
        <w:t>合并财务报表项目附注</w:t>
      </w:r>
      <w:r>
        <w:rPr>
          <w:rFonts w:ascii="Times New Roman" w:eastAsia="Times New Roman" w:hAnsi="Times New Roman" w:cs="Times New Roman"/>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4"/>
          <w:szCs w:val="24"/>
        </w:rPr>
        <w:t>)</w:t>
      </w:r>
    </w:p>
    <w:p>
      <w:pPr>
        <w:pStyle w:val="Style53"/>
        <w:keepNext w:val="0"/>
        <w:keepLines w:val="0"/>
        <w:widowControl w:val="0"/>
        <w:shd w:val="clear" w:color="auto" w:fill="auto"/>
        <w:bidi w:val="0"/>
        <w:spacing w:before="0" w:after="240" w:line="240" w:lineRule="auto"/>
        <w:ind w:left="0" w:right="0" w:firstLine="0"/>
        <w:jc w:val="left"/>
        <w:rPr>
          <w:sz w:val="24"/>
          <w:szCs w:val="24"/>
        </w:rPr>
      </w:pPr>
      <w:r>
        <w:rPr>
          <w:color w:val="000000"/>
          <w:spacing w:val="0"/>
          <w:w w:val="100"/>
          <w:position w:val="0"/>
          <w:sz w:val="24"/>
          <w:szCs w:val="24"/>
        </w:rPr>
        <w:t xml:space="preserve">(9) </w:t>
      </w:r>
      <w:r>
        <w:rPr>
          <w:rFonts w:ascii="SimSun" w:eastAsia="SimSun" w:hAnsi="SimSun" w:cs="SimSun"/>
          <w:b/>
          <w:bCs/>
          <w:color w:val="000000"/>
          <w:spacing w:val="0"/>
          <w:w w:val="100"/>
          <w:position w:val="0"/>
          <w:sz w:val="24"/>
          <w:szCs w:val="24"/>
        </w:rPr>
        <w:t>存货</w:t>
      </w:r>
    </w:p>
    <w:p>
      <w:pPr>
        <w:pStyle w:val="Style32"/>
        <w:keepNext w:val="0"/>
        <w:keepLines w:val="0"/>
        <w:widowControl w:val="0"/>
        <w:numPr>
          <w:ilvl w:val="0"/>
          <w:numId w:val="75"/>
        </w:numPr>
        <w:shd w:val="clear" w:color="auto" w:fill="auto"/>
        <w:tabs>
          <w:tab w:pos="635" w:val="left"/>
        </w:tabs>
        <w:bidi w:val="0"/>
        <w:spacing w:before="0" w:after="320" w:line="240" w:lineRule="auto"/>
        <w:ind w:left="0" w:right="0" w:firstLine="0"/>
        <w:jc w:val="left"/>
        <w:rPr>
          <w:sz w:val="24"/>
          <w:szCs w:val="24"/>
        </w:rPr>
      </w:pPr>
      <w:bookmarkStart w:id="844" w:name="bookmark844"/>
      <w:bookmarkEnd w:id="844"/>
      <w:r>
        <w:rPr>
          <w:color w:val="000000"/>
          <w:spacing w:val="0"/>
          <w:w w:val="100"/>
          <w:position w:val="0"/>
          <w:sz w:val="24"/>
          <w:szCs w:val="24"/>
        </w:rPr>
        <w:t>存货分类如下：</w:t>
      </w:r>
    </w:p>
    <w:p>
      <w:pPr>
        <w:pStyle w:val="Style25"/>
        <w:keepNext w:val="0"/>
        <w:keepLines w:val="0"/>
        <w:widowControl w:val="0"/>
        <w:shd w:val="clear" w:color="auto" w:fill="auto"/>
        <w:tabs>
          <w:tab w:pos="4056" w:val="left"/>
        </w:tabs>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tab/>
      </w: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tbl>
      <w:tblPr>
        <w:tblOverlap w:val="never"/>
        <w:jc w:val="center"/>
        <w:tblLayout w:type="fixed"/>
      </w:tblPr>
      <w:tblGrid>
        <w:gridCol w:w="955"/>
        <w:gridCol w:w="1277"/>
        <w:gridCol w:w="1229"/>
        <w:gridCol w:w="1363"/>
        <w:gridCol w:w="1406"/>
        <w:gridCol w:w="1306"/>
        <w:gridCol w:w="1123"/>
      </w:tblGrid>
      <w:tr>
        <w:trPr>
          <w:trHeight w:val="590"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30" w:lineRule="exact"/>
              <w:ind w:left="0" w:right="260" w:firstLine="0"/>
              <w:jc w:val="right"/>
              <w:rPr>
                <w:sz w:val="18"/>
                <w:szCs w:val="18"/>
              </w:rPr>
            </w:pPr>
            <w:r>
              <w:rPr>
                <w:color w:val="000000"/>
                <w:spacing w:val="0"/>
                <w:w w:val="100"/>
                <w:position w:val="0"/>
                <w:sz w:val="18"/>
                <w:szCs w:val="18"/>
              </w:rPr>
              <w:t>账面 余额</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26" w:lineRule="exact"/>
              <w:ind w:left="0" w:right="240" w:firstLine="0"/>
              <w:jc w:val="right"/>
              <w:rPr>
                <w:sz w:val="18"/>
                <w:szCs w:val="18"/>
              </w:rPr>
            </w:pPr>
            <w:r>
              <w:rPr>
                <w:color w:val="000000"/>
                <w:spacing w:val="0"/>
                <w:w w:val="100"/>
                <w:position w:val="0"/>
                <w:sz w:val="18"/>
                <w:szCs w:val="18"/>
              </w:rPr>
              <w:t>存货跌 价准备</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5" w:lineRule="exact"/>
              <w:ind w:left="0" w:right="300" w:firstLine="0"/>
              <w:jc w:val="right"/>
              <w:rPr>
                <w:sz w:val="18"/>
                <w:szCs w:val="18"/>
              </w:rPr>
            </w:pPr>
            <w:r>
              <w:rPr>
                <w:color w:val="000000"/>
                <w:spacing w:val="0"/>
                <w:w w:val="100"/>
                <w:position w:val="0"/>
                <w:sz w:val="18"/>
                <w:szCs w:val="18"/>
              </w:rPr>
              <w:t>账面 价值</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30" w:lineRule="exact"/>
              <w:ind w:left="0" w:right="300" w:firstLine="0"/>
              <w:jc w:val="right"/>
              <w:rPr>
                <w:sz w:val="18"/>
                <w:szCs w:val="18"/>
              </w:rPr>
            </w:pPr>
            <w:r>
              <w:rPr>
                <w:color w:val="000000"/>
                <w:spacing w:val="0"/>
                <w:w w:val="100"/>
                <w:position w:val="0"/>
                <w:sz w:val="18"/>
                <w:szCs w:val="18"/>
              </w:rPr>
              <w:t>账面 余额</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30" w:lineRule="exact"/>
              <w:ind w:left="420" w:right="0" w:firstLine="0"/>
              <w:jc w:val="left"/>
              <w:rPr>
                <w:sz w:val="18"/>
                <w:szCs w:val="18"/>
              </w:rPr>
            </w:pPr>
            <w:r>
              <w:rPr>
                <w:color w:val="000000"/>
                <w:spacing w:val="0"/>
                <w:w w:val="100"/>
                <w:position w:val="0"/>
                <w:sz w:val="18"/>
                <w:szCs w:val="18"/>
              </w:rPr>
              <w:t>存货跌 价准备</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30" w:lineRule="exact"/>
              <w:ind w:left="0" w:right="0" w:firstLine="0"/>
              <w:jc w:val="right"/>
              <w:rPr>
                <w:sz w:val="18"/>
                <w:szCs w:val="18"/>
              </w:rPr>
            </w:pPr>
            <w:r>
              <w:rPr>
                <w:color w:val="000000"/>
                <w:spacing w:val="0"/>
                <w:w w:val="100"/>
                <w:position w:val="0"/>
                <w:sz w:val="18"/>
                <w:szCs w:val="18"/>
              </w:rPr>
              <w:t>账面 价值</w:t>
            </w:r>
          </w:p>
        </w:tc>
      </w:tr>
      <w:tr>
        <w:trPr>
          <w:trHeight w:val="571" w:hRule="exact"/>
        </w:trPr>
        <w:tc>
          <w:tcPr>
            <w:tcBorders/>
            <w:shd w:val="clear" w:color="auto" w:fill="FFFFFF"/>
            <w:vAlign w:val="bottom"/>
          </w:tcPr>
          <w:p>
            <w:pPr>
              <w:pStyle w:val="Style28"/>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库存商品 安装维修</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13,464,643</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(410,656)</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300" w:firstLine="0"/>
              <w:jc w:val="right"/>
              <w:rPr>
                <w:sz w:val="18"/>
                <w:szCs w:val="18"/>
              </w:rPr>
            </w:pPr>
            <w:r>
              <w:rPr>
                <w:rFonts w:ascii="Times New Roman" w:eastAsia="Times New Roman" w:hAnsi="Times New Roman" w:cs="Times New Roman"/>
                <w:color w:val="000000"/>
                <w:spacing w:val="0"/>
                <w:w w:val="100"/>
                <w:position w:val="0"/>
                <w:sz w:val="18"/>
                <w:szCs w:val="18"/>
              </w:rPr>
              <w:t>13,053,987</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13,028,278</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(300,304)</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12,727,974</w:t>
            </w:r>
          </w:p>
        </w:tc>
      </w:tr>
      <w:tr>
        <w:trPr>
          <w:trHeight w:val="466" w:hRule="exact"/>
        </w:trPr>
        <w:tc>
          <w:tcPr>
            <w:tcBorders/>
            <w:shd w:val="clear" w:color="auto" w:fill="FFFFFF"/>
            <w:vAlign w:val="bottom"/>
          </w:tcPr>
          <w:p>
            <w:pPr>
              <w:pStyle w:val="Style28"/>
              <w:keepNext w:val="0"/>
              <w:keepLines w:val="0"/>
              <w:widowControl w:val="0"/>
              <w:shd w:val="clear" w:color="auto" w:fill="auto"/>
              <w:bidi w:val="0"/>
              <w:spacing w:before="0" w:after="0" w:line="235" w:lineRule="exact"/>
              <w:ind w:left="0" w:right="0" w:firstLine="200"/>
              <w:jc w:val="left"/>
              <w:rPr>
                <w:sz w:val="18"/>
                <w:szCs w:val="18"/>
              </w:rPr>
            </w:pPr>
            <w:r>
              <w:rPr>
                <w:color w:val="000000"/>
                <w:spacing w:val="0"/>
                <w:w w:val="100"/>
                <w:position w:val="0"/>
                <w:sz w:val="18"/>
                <w:szCs w:val="18"/>
              </w:rPr>
              <w:t>用备件 房地产开</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39,763</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39,763</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300" w:firstLine="0"/>
              <w:jc w:val="right"/>
              <w:rPr>
                <w:sz w:val="18"/>
                <w:szCs w:val="18"/>
              </w:rPr>
            </w:pPr>
            <w:r>
              <w:rPr>
                <w:rFonts w:ascii="Times New Roman" w:eastAsia="Times New Roman" w:hAnsi="Times New Roman" w:cs="Times New Roman"/>
                <w:color w:val="000000"/>
                <w:spacing w:val="0"/>
                <w:w w:val="100"/>
                <w:position w:val="0"/>
                <w:sz w:val="18"/>
                <w:szCs w:val="18"/>
              </w:rPr>
              <w:t>75,080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30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75,080</w:t>
            </w:r>
          </w:p>
        </w:tc>
      </w:tr>
      <w:tr>
        <w:trPr>
          <w:trHeight w:val="466" w:hRule="exact"/>
        </w:trPr>
        <w:tc>
          <w:tcPr>
            <w:tcBorders/>
            <w:shd w:val="clear" w:color="auto" w:fill="FFFFFF"/>
            <w:vAlign w:val="bottom"/>
          </w:tcPr>
          <w:p>
            <w:pPr>
              <w:pStyle w:val="Style28"/>
              <w:keepNext w:val="0"/>
              <w:keepLines w:val="0"/>
              <w:widowControl w:val="0"/>
              <w:shd w:val="clear" w:color="auto" w:fill="auto"/>
              <w:bidi w:val="0"/>
              <w:spacing w:before="0" w:after="0" w:line="235" w:lineRule="exact"/>
              <w:ind w:left="0" w:right="0" w:firstLine="200"/>
              <w:jc w:val="left"/>
              <w:rPr>
                <w:sz w:val="18"/>
                <w:szCs w:val="18"/>
              </w:rPr>
            </w:pPr>
            <w:r>
              <w:rPr>
                <w:color w:val="000000"/>
                <w:spacing w:val="0"/>
                <w:w w:val="100"/>
                <w:position w:val="0"/>
                <w:sz w:val="18"/>
                <w:szCs w:val="18"/>
              </w:rPr>
              <w:t>发成本 房地产开</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700,997</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700,997</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628,167</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628,167</w:t>
            </w:r>
          </w:p>
        </w:tc>
      </w:tr>
      <w:tr>
        <w:trPr>
          <w:trHeight w:val="226"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发产品</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597,550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597,550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573,576</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30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573,576</w:t>
            </w:r>
          </w:p>
        </w:tc>
      </w:tr>
      <w:tr>
        <w:trPr>
          <w:trHeight w:val="264" w:hRule="exact"/>
        </w:trPr>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14,802,953</w:t>
            </w:r>
          </w:p>
        </w:tc>
        <w:tc>
          <w:tcPr>
            <w:tcBorders>
              <w:top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(410,656)</w:t>
            </w:r>
          </w:p>
        </w:tc>
        <w:tc>
          <w:tcPr>
            <w:tcBorders>
              <w:top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14,392,297</w:t>
            </w:r>
          </w:p>
        </w:tc>
        <w:tc>
          <w:tcPr>
            <w:tcBorders>
              <w:top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14,305,101</w:t>
            </w:r>
          </w:p>
        </w:tc>
        <w:tc>
          <w:tcPr>
            <w:tcBorders>
              <w:top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(300,304)</w:t>
            </w:r>
          </w:p>
        </w:tc>
        <w:tc>
          <w:tcPr>
            <w:tcBorders>
              <w:top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14,004,797</w:t>
            </w:r>
          </w:p>
        </w:tc>
      </w:tr>
    </w:tbl>
    <w:p>
      <w:pPr>
        <w:widowControl w:val="0"/>
        <w:spacing w:after="239" w:line="1" w:lineRule="exact"/>
      </w:pPr>
    </w:p>
    <w:p>
      <w:pPr>
        <w:pStyle w:val="Style32"/>
        <w:keepNext w:val="0"/>
        <w:keepLines w:val="0"/>
        <w:widowControl w:val="0"/>
        <w:numPr>
          <w:ilvl w:val="0"/>
          <w:numId w:val="75"/>
        </w:numPr>
        <w:shd w:val="clear" w:color="auto" w:fill="auto"/>
        <w:tabs>
          <w:tab w:pos="635" w:val="left"/>
        </w:tabs>
        <w:bidi w:val="0"/>
        <w:spacing w:before="0" w:after="240" w:line="240" w:lineRule="auto"/>
        <w:ind w:left="0" w:right="0" w:firstLine="0"/>
        <w:jc w:val="left"/>
        <w:rPr>
          <w:sz w:val="24"/>
          <w:szCs w:val="24"/>
        </w:rPr>
      </w:pPr>
      <w:bookmarkStart w:id="845" w:name="bookmark845"/>
      <w:bookmarkEnd w:id="845"/>
      <w:r>
        <w:rPr>
          <w:color w:val="000000"/>
          <w:spacing w:val="0"/>
          <w:w w:val="100"/>
          <w:position w:val="0"/>
          <w:sz w:val="24"/>
          <w:szCs w:val="24"/>
        </w:rPr>
        <w:t>存货跌价准备分析如下：</w:t>
      </w:r>
    </w:p>
    <w:p>
      <w:pPr>
        <w:pStyle w:val="Style53"/>
        <w:keepNext w:val="0"/>
        <w:keepLines w:val="0"/>
        <w:widowControl w:val="0"/>
        <w:shd w:val="clear" w:color="auto" w:fill="auto"/>
        <w:tabs>
          <w:tab w:pos="8486" w:val="left"/>
        </w:tabs>
        <w:bidi w:val="0"/>
        <w:spacing w:before="0" w:after="0" w:line="240" w:lineRule="auto"/>
        <w:ind w:left="2880" w:right="0" w:firstLine="0"/>
        <w:jc w:val="left"/>
        <w:rPr>
          <w:sz w:val="24"/>
          <w:szCs w:val="24"/>
        </w:rPr>
      </w:pPr>
      <w:r>
        <w:rPr>
          <w:color w:val="000000"/>
          <w:spacing w:val="0"/>
          <w:w w:val="100"/>
          <w:position w:val="0"/>
          <w:sz w:val="24"/>
          <w:szCs w:val="24"/>
        </w:rPr>
        <w:t xml:space="preserve">2015 </w:t>
      </w:r>
      <w:r>
        <w:rPr>
          <w:rFonts w:ascii="SimSun" w:eastAsia="SimSun" w:hAnsi="SimSun" w:cs="SimSun"/>
          <w:color w:val="000000"/>
          <w:spacing w:val="0"/>
          <w:w w:val="100"/>
          <w:position w:val="0"/>
          <w:sz w:val="24"/>
          <w:szCs w:val="24"/>
        </w:rPr>
        <w:t>年</w:t>
        <w:tab/>
      </w:r>
      <w:r>
        <w:rPr>
          <w:color w:val="000000"/>
          <w:spacing w:val="0"/>
          <w:w w:val="100"/>
          <w:position w:val="0"/>
          <w:sz w:val="24"/>
          <w:szCs w:val="24"/>
        </w:rPr>
        <w:t xml:space="preserve">2016 </w:t>
      </w:r>
      <w:r>
        <w:rPr>
          <w:rFonts w:ascii="SimSun" w:eastAsia="SimSun" w:hAnsi="SimSun" w:cs="SimSun"/>
          <w:color w:val="000000"/>
          <w:spacing w:val="0"/>
          <w:w w:val="100"/>
          <w:position w:val="0"/>
          <w:sz w:val="24"/>
          <w:szCs w:val="24"/>
        </w:rPr>
        <w:t>年</w:t>
      </w:r>
    </w:p>
    <w:tbl>
      <w:tblPr>
        <w:tblOverlap w:val="never"/>
        <w:jc w:val="center"/>
        <w:tblLayout w:type="fixed"/>
      </w:tblPr>
      <w:tblGrid>
        <w:gridCol w:w="1426"/>
        <w:gridCol w:w="1963"/>
        <w:gridCol w:w="1704"/>
        <w:gridCol w:w="1829"/>
        <w:gridCol w:w="1709"/>
      </w:tblGrid>
      <w:tr>
        <w:trPr>
          <w:trHeight w:val="446"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40"/>
              <w:jc w:val="left"/>
              <w:rPr>
                <w:sz w:val="24"/>
                <w:szCs w:val="24"/>
              </w:rPr>
            </w:pP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本年计提</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left"/>
              <w:rPr>
                <w:sz w:val="24"/>
                <w:szCs w:val="24"/>
              </w:rPr>
            </w:pPr>
            <w:r>
              <w:rPr>
                <w:color w:val="000000"/>
                <w:spacing w:val="0"/>
                <w:w w:val="100"/>
                <w:position w:val="0"/>
                <w:sz w:val="24"/>
                <w:szCs w:val="24"/>
              </w:rPr>
              <w:t>本年转回</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w:t>
            </w:r>
          </w:p>
        </w:tc>
      </w:tr>
      <w:tr>
        <w:trPr>
          <w:trHeight w:val="461" w:hRule="exact"/>
        </w:trPr>
        <w:tc>
          <w:tcPr>
            <w:tcBorders>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库存商品</w:t>
            </w:r>
          </w:p>
        </w:tc>
        <w:tc>
          <w:tcPr>
            <w:tcBorders>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40"/>
              <w:jc w:val="left"/>
              <w:rPr>
                <w:sz w:val="24"/>
                <w:szCs w:val="24"/>
              </w:rPr>
            </w:pPr>
            <w:r>
              <w:rPr>
                <w:rFonts w:ascii="Times New Roman" w:eastAsia="Times New Roman" w:hAnsi="Times New Roman" w:cs="Times New Roman"/>
                <w:color w:val="000000"/>
                <w:spacing w:val="0"/>
                <w:w w:val="100"/>
                <w:position w:val="0"/>
                <w:sz w:val="24"/>
                <w:szCs w:val="24"/>
              </w:rPr>
              <w:t>(300,304)</w:t>
            </w:r>
          </w:p>
        </w:tc>
        <w:tc>
          <w:tcPr>
            <w:tcBorders>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(265,382)</w:t>
            </w:r>
          </w:p>
        </w:tc>
        <w:tc>
          <w:tcPr>
            <w:tcBorders>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60"/>
              <w:jc w:val="left"/>
              <w:rPr>
                <w:sz w:val="24"/>
                <w:szCs w:val="24"/>
              </w:rPr>
            </w:pPr>
            <w:r>
              <w:rPr>
                <w:rFonts w:ascii="Times New Roman" w:eastAsia="Times New Roman" w:hAnsi="Times New Roman" w:cs="Times New Roman"/>
                <w:color w:val="000000"/>
                <w:spacing w:val="0"/>
                <w:w w:val="100"/>
                <w:position w:val="0"/>
                <w:sz w:val="24"/>
                <w:szCs w:val="24"/>
              </w:rPr>
              <w:t>155,030</w:t>
            </w:r>
          </w:p>
        </w:tc>
        <w:tc>
          <w:tcPr>
            <w:tcBorders>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(410,656)</w:t>
            </w:r>
          </w:p>
        </w:tc>
      </w:tr>
    </w:tbl>
    <w:p>
      <w:pPr>
        <w:widowControl w:val="0"/>
        <w:spacing w:after="239" w:line="1" w:lineRule="exact"/>
      </w:pPr>
    </w:p>
    <w:p>
      <w:pPr>
        <w:pStyle w:val="Style32"/>
        <w:keepNext w:val="0"/>
        <w:keepLines w:val="0"/>
        <w:widowControl w:val="0"/>
        <w:numPr>
          <w:ilvl w:val="0"/>
          <w:numId w:val="75"/>
        </w:numPr>
        <w:shd w:val="clear" w:color="auto" w:fill="auto"/>
        <w:tabs>
          <w:tab w:pos="635" w:val="left"/>
        </w:tabs>
        <w:bidi w:val="0"/>
        <w:spacing w:before="0" w:after="0" w:line="240" w:lineRule="auto"/>
        <w:ind w:left="0" w:right="0" w:firstLine="0"/>
        <w:jc w:val="left"/>
        <w:rPr>
          <w:sz w:val="24"/>
          <w:szCs w:val="24"/>
        </w:rPr>
        <w:sectPr>
          <w:footnotePr>
            <w:pos w:val="pageBottom"/>
            <w:numFmt w:val="decimal"/>
            <w:numRestart w:val="continuous"/>
          </w:footnotePr>
          <w:pgSz w:w="11900" w:h="16840"/>
          <w:pgMar w:top="1326" w:right="354" w:bottom="3188" w:left="1697" w:header="0" w:footer="3" w:gutter="0"/>
          <w:cols w:space="720"/>
          <w:noEndnote/>
          <w:rtlGutter w:val="0"/>
          <w:docGrid w:linePitch="360"/>
        </w:sectPr>
      </w:pPr>
      <w:bookmarkStart w:id="846" w:name="bookmark846"/>
      <w:bookmarkEnd w:id="846"/>
      <w:r>
        <w:rPr>
          <w:color w:val="000000"/>
          <w:spacing w:val="0"/>
          <w:w w:val="100"/>
          <w:position w:val="0"/>
          <w:sz w:val="24"/>
          <w:szCs w:val="24"/>
        </w:rPr>
        <w:t>存货跌价准备情况如下:</w:t>
      </w:r>
    </w:p>
    <w:p>
      <w:pPr>
        <w:widowControl w:val="0"/>
        <w:spacing w:line="199" w:lineRule="exact"/>
        <w:rPr>
          <w:sz w:val="16"/>
          <w:szCs w:val="16"/>
        </w:rPr>
      </w:pPr>
    </w:p>
    <w:p>
      <w:pPr>
        <w:widowControl w:val="0"/>
        <w:spacing w:line="1" w:lineRule="exact"/>
        <w:sectPr>
          <w:footnotePr>
            <w:pos w:val="pageBottom"/>
            <w:numFmt w:val="decimal"/>
            <w:numRestart w:val="continuous"/>
          </w:footnotePr>
          <w:type w:val="continuous"/>
          <w:pgSz w:w="11900" w:h="16840"/>
          <w:pgMar w:top="1085" w:right="0" w:bottom="1239" w:left="0" w:header="0" w:footer="3" w:gutter="0"/>
          <w:cols w:space="720"/>
          <w:noEndnote/>
          <w:rtlGutter w:val="0"/>
          <w:docGrid w:linePitch="360"/>
        </w:sectPr>
      </w:pPr>
    </w:p>
    <w:p>
      <w:pPr>
        <w:pStyle w:val="Style32"/>
        <w:keepNext w:val="0"/>
        <w:keepLines w:val="0"/>
        <w:framePr w:w="2683" w:h="274" w:wrap="none" w:vAnchor="text" w:hAnchor="page" w:x="5389" w:y="308"/>
        <w:widowControl w:val="0"/>
        <w:shd w:val="clear" w:color="auto" w:fill="auto"/>
        <w:bidi w:val="0"/>
        <w:spacing w:before="0" w:after="0" w:line="240" w:lineRule="auto"/>
        <w:ind w:left="0" w:right="0" w:firstLine="0"/>
        <w:jc w:val="center"/>
      </w:pPr>
      <w:r>
        <w:rPr>
          <w:color w:val="000000"/>
          <w:spacing w:val="0"/>
          <w:w w:val="100"/>
          <w:position w:val="0"/>
        </w:rPr>
        <w:t>确定可变现净值的具体依据</w:t>
      </w:r>
    </w:p>
    <w:p>
      <w:pPr>
        <w:pStyle w:val="Style32"/>
        <w:keepNext w:val="0"/>
        <w:keepLines w:val="0"/>
        <w:framePr w:w="1584" w:h="576" w:wrap="none" w:vAnchor="text" w:hAnchor="page" w:x="9440" w:y="21"/>
        <w:widowControl w:val="0"/>
        <w:shd w:val="clear" w:color="auto" w:fill="auto"/>
        <w:bidi w:val="0"/>
        <w:spacing w:before="0" w:after="0" w:line="278" w:lineRule="exact"/>
        <w:ind w:left="0" w:right="0" w:firstLine="0"/>
        <w:jc w:val="right"/>
      </w:pPr>
      <w:r>
        <w:rPr>
          <w:color w:val="000000"/>
          <w:spacing w:val="0"/>
          <w:w w:val="100"/>
          <w:position w:val="0"/>
        </w:rPr>
        <w:t>本年转销存货 跌价准备的原因</w:t>
      </w:r>
    </w:p>
    <w:p>
      <w:pPr>
        <w:widowControl w:val="0"/>
        <w:spacing w:after="580" w:line="1" w:lineRule="exact"/>
      </w:pPr>
    </w:p>
    <w:p>
      <w:pPr>
        <w:widowControl w:val="0"/>
        <w:spacing w:line="1" w:lineRule="exact"/>
        <w:sectPr>
          <w:footnotePr>
            <w:pos w:val="pageBottom"/>
            <w:numFmt w:val="decimal"/>
            <w:numRestart w:val="continuous"/>
          </w:footnotePr>
          <w:type w:val="continuous"/>
          <w:pgSz w:w="11900" w:h="16840"/>
          <w:pgMar w:top="1085" w:right="354" w:bottom="1239" w:left="1697" w:header="0" w:footer="3" w:gutter="0"/>
          <w:cols w:space="720"/>
          <w:noEndnote/>
          <w:rtlGutter w:val="0"/>
          <w:docGrid w:linePitch="360"/>
        </w:sectPr>
      </w:pPr>
    </w:p>
    <w:p>
      <w:pPr>
        <w:widowControl w:val="0"/>
        <w:spacing w:line="1" w:lineRule="exact"/>
      </w:pPr>
      <w:r>
        <mc:AlternateContent>
          <mc:Choice Requires="wps">
            <w:drawing>
              <wp:anchor distT="0" distB="0" distL="114300" distR="114300" simplePos="0" relativeHeight="125829396" behindDoc="0" locked="0" layoutInCell="1" allowOverlap="1">
                <wp:simplePos x="0" y="0"/>
                <wp:positionH relativeFrom="page">
                  <wp:posOffset>1504315</wp:posOffset>
                </wp:positionH>
                <wp:positionV relativeFrom="paragraph">
                  <wp:posOffset>15240</wp:posOffset>
                </wp:positionV>
                <wp:extent cx="1703705" cy="173990"/>
                <wp:wrapSquare wrapText="bothSides"/>
                <wp:docPr id="220" name="Shape 220"/>
                <a:graphic xmlns:a="http://schemas.openxmlformats.org/drawingml/2006/main">
                  <a:graphicData uri="http://schemas.microsoft.com/office/word/2010/wordprocessingShape">
                    <wps:wsp>
                      <wps:cNvSpPr txBox="1"/>
                      <wps:spPr>
                        <a:xfrm>
                          <a:ext cx="1703705" cy="173990"/>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库存商品、安装维修用备件</w:t>
                            </w:r>
                          </w:p>
                        </w:txbxContent>
                      </wps:txbx>
                      <wps:bodyPr lIns="0" tIns="0" rIns="0" bIns="0">
                        <a:noAutoFit/>
                      </wps:bodyPr>
                    </wps:wsp>
                  </a:graphicData>
                </a:graphic>
              </wp:anchor>
            </w:drawing>
          </mc:Choice>
          <mc:Fallback>
            <w:pict>
              <v:shape id="_x0000_s1246" type="#_x0000_t202" style="position:absolute;margin-left:118.45pt;margin-top:1.2pt;width:134.15000000000001pt;height:13.700000000000001pt;z-index:-125829357;mso-wrap-distance-left:9.pt;mso-wrap-distance-right:9.pt;mso-position-horizontal-relative:page" filled="f" stroked="f">
                <v:textbox inset="0,0,0,0">
                  <w:txbxContent>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库存商品、安装维修用备件</w:t>
                      </w:r>
                    </w:p>
                  </w:txbxContent>
                </v:textbox>
                <w10:wrap type="square" anchorx="page"/>
              </v:shape>
            </w:pict>
          </mc:Fallback>
        </mc:AlternateContent>
      </w:r>
      <w:r>
        <mc:AlternateContent>
          <mc:Choice Requires="wps">
            <w:drawing>
              <wp:anchor distT="0" distB="0" distL="114300" distR="114300" simplePos="0" relativeHeight="125829398" behindDoc="0" locked="0" layoutInCell="1" allowOverlap="1">
                <wp:simplePos x="0" y="0"/>
                <wp:positionH relativeFrom="page">
                  <wp:posOffset>1504315</wp:posOffset>
                </wp:positionH>
                <wp:positionV relativeFrom="paragraph">
                  <wp:posOffset>892810</wp:posOffset>
                </wp:positionV>
                <wp:extent cx="1703705" cy="377825"/>
                <wp:wrapSquare wrapText="bothSides"/>
                <wp:docPr id="222" name="Shape 222"/>
                <a:graphic xmlns:a="http://schemas.openxmlformats.org/drawingml/2006/main">
                  <a:graphicData uri="http://schemas.microsoft.com/office/word/2010/wordprocessingShape">
                    <wps:wsp>
                      <wps:cNvSpPr txBox="1"/>
                      <wps:spPr>
                        <a:xfrm>
                          <a:ext cx="1703705" cy="377825"/>
                        </a:xfrm>
                        <a:prstGeom prst="rect"/>
                        <a:noFill/>
                      </wps:spPr>
                      <wps:txbx>
                        <w:txbxContent>
                          <w:p>
                            <w:pPr>
                              <w:pStyle w:val="Style32"/>
                              <w:keepNext w:val="0"/>
                              <w:keepLines w:val="0"/>
                              <w:widowControl w:val="0"/>
                              <w:shd w:val="clear" w:color="auto" w:fill="auto"/>
                              <w:bidi w:val="0"/>
                              <w:spacing w:before="0" w:after="0" w:line="288" w:lineRule="exact"/>
                              <w:ind w:left="280" w:right="0" w:hanging="280"/>
                              <w:jc w:val="left"/>
                            </w:pPr>
                            <w:r>
                              <w:rPr>
                                <w:color w:val="000000"/>
                                <w:spacing w:val="0"/>
                                <w:w w:val="100"/>
                                <w:position w:val="0"/>
                              </w:rPr>
                              <w:t>房地产开发成本、房地产开 发产品</w:t>
                            </w:r>
                          </w:p>
                        </w:txbxContent>
                      </wps:txbx>
                      <wps:bodyPr lIns="0" tIns="0" rIns="0" bIns="0">
                        <a:noAutoFit/>
                      </wps:bodyPr>
                    </wps:wsp>
                  </a:graphicData>
                </a:graphic>
              </wp:anchor>
            </w:drawing>
          </mc:Choice>
          <mc:Fallback>
            <w:pict>
              <v:shape id="_x0000_s1248" type="#_x0000_t202" style="position:absolute;margin-left:118.45pt;margin-top:70.299999999999997pt;width:134.15000000000001pt;height:29.75pt;z-index:-125829355;mso-wrap-distance-left:9.pt;mso-wrap-distance-right:9.pt;mso-position-horizontal-relative:page" filled="f" stroked="f">
                <v:textbox inset="0,0,0,0">
                  <w:txbxContent>
                    <w:p>
                      <w:pPr>
                        <w:pStyle w:val="Style32"/>
                        <w:keepNext w:val="0"/>
                        <w:keepLines w:val="0"/>
                        <w:widowControl w:val="0"/>
                        <w:shd w:val="clear" w:color="auto" w:fill="auto"/>
                        <w:bidi w:val="0"/>
                        <w:spacing w:before="0" w:after="0" w:line="288" w:lineRule="exact"/>
                        <w:ind w:left="280" w:right="0" w:hanging="280"/>
                        <w:jc w:val="left"/>
                      </w:pPr>
                      <w:r>
                        <w:rPr>
                          <w:color w:val="000000"/>
                          <w:spacing w:val="0"/>
                          <w:w w:val="100"/>
                          <w:position w:val="0"/>
                        </w:rPr>
                        <w:t>房地产开发成本、房地产开 发产品</w:t>
                      </w:r>
                    </w:p>
                  </w:txbxContent>
                </v:textbox>
                <w10:wrap type="square" anchorx="page"/>
              </v:shape>
            </w:pict>
          </mc:Fallback>
        </mc:AlternateContent>
      </w:r>
    </w:p>
    <w:p>
      <w:pPr>
        <w:pStyle w:val="Style32"/>
        <w:keepNext w:val="0"/>
        <w:keepLines w:val="0"/>
        <w:widowControl w:val="0"/>
        <w:shd w:val="clear" w:color="auto" w:fill="auto"/>
        <w:bidi w:val="0"/>
        <w:spacing w:before="0" w:after="280" w:line="285" w:lineRule="exact"/>
        <w:ind w:left="0" w:right="0" w:firstLine="0"/>
        <w:jc w:val="left"/>
      </w:pPr>
      <w:r>
        <w:rPr>
          <w:color w:val="000000"/>
          <w:spacing w:val="0"/>
          <w:w w:val="100"/>
          <w:position w:val="0"/>
        </w:rPr>
        <w:t>按日常活动中存货的估计 售价减去估计的销售费 用以及相关税费后的金 额确定</w:t>
      </w:r>
    </w:p>
    <w:p>
      <w:pPr>
        <w:pStyle w:val="Style32"/>
        <w:keepNext w:val="0"/>
        <w:keepLines w:val="0"/>
        <w:widowControl w:val="0"/>
        <w:shd w:val="clear" w:color="auto" w:fill="auto"/>
        <w:bidi w:val="0"/>
        <w:spacing w:before="0" w:after="0" w:line="281" w:lineRule="exact"/>
        <w:ind w:left="180" w:right="0" w:hanging="180"/>
        <w:jc w:val="both"/>
      </w:pPr>
      <w:r>
        <w:rPr>
          <w:color w:val="000000"/>
          <w:spacing w:val="0"/>
          <w:w w:val="100"/>
          <w:position w:val="0"/>
        </w:rPr>
        <w:t>按日常活动中存货的估计 售价减去至完工时估计 将要发生的成本、估计 的销售费用以及相关税 费后的金额确定</w:t>
      </w:r>
    </w:p>
    <w:p>
      <w:pPr>
        <w:pStyle w:val="Style32"/>
        <w:keepNext w:val="0"/>
        <w:keepLines w:val="0"/>
        <w:widowControl w:val="0"/>
        <w:shd w:val="clear" w:color="auto" w:fill="auto"/>
        <w:bidi w:val="0"/>
        <w:spacing w:before="0" w:after="580" w:line="286" w:lineRule="exact"/>
        <w:ind w:left="0" w:right="0" w:firstLine="0"/>
        <w:jc w:val="right"/>
      </w:pPr>
      <w:r>
        <w:rPr>
          <w:color w:val="000000"/>
          <w:spacing w:val="0"/>
          <w:w w:val="100"/>
          <w:position w:val="0"/>
        </w:rPr>
        <w:t>以前年度计提了存货跌 价准备的库存商品本 年度实现销售</w:t>
      </w:r>
    </w:p>
    <w:p>
      <w:pPr>
        <w:pStyle w:val="Style32"/>
        <w:keepNext w:val="0"/>
        <w:keepLines w:val="0"/>
        <w:widowControl w:val="0"/>
        <w:shd w:val="clear" w:color="auto" w:fill="auto"/>
        <w:bidi w:val="0"/>
        <w:spacing w:before="0" w:after="0" w:line="240" w:lineRule="auto"/>
        <w:ind w:left="0" w:right="0" w:firstLine="0"/>
        <w:jc w:val="right"/>
        <w:sectPr>
          <w:footnotePr>
            <w:pos w:val="pageBottom"/>
            <w:numFmt w:val="decimal"/>
            <w:numRestart w:val="continuous"/>
          </w:footnotePr>
          <w:type w:val="continuous"/>
          <w:pgSz w:w="11900" w:h="16840"/>
          <w:pgMar w:top="1326" w:right="901" w:bottom="1326" w:left="5599" w:header="0" w:footer="3" w:gutter="0"/>
          <w:cols w:num="2" w:space="720" w:equalWidth="0">
            <w:col w:w="2458" w:space="725"/>
            <w:col w:w="2218"/>
          </w:cols>
          <w:noEndnote/>
          <w:rtlGutter w:val="0"/>
          <w:docGrid w:linePitch="360"/>
        </w:sectPr>
      </w:pPr>
      <w:r>
        <w:rPr>
          <w:color w:val="000000"/>
          <w:spacing w:val="0"/>
          <w:w w:val="100"/>
          <w:position w:val="0"/>
        </w:rPr>
        <w:t>不适用</w:t>
      </w:r>
    </w:p>
    <w:p>
      <w:pPr>
        <w:pStyle w:val="Style32"/>
        <w:keepNext w:val="0"/>
        <w:keepLines w:val="0"/>
        <w:widowControl w:val="0"/>
        <w:shd w:val="clear" w:color="auto" w:fill="auto"/>
        <w:bidi w:val="0"/>
        <w:spacing w:before="0" w:after="0" w:line="240" w:lineRule="auto"/>
        <w:ind w:left="0" w:right="0" w:firstLine="660"/>
        <w:jc w:val="left"/>
        <w:rPr>
          <w:sz w:val="24"/>
          <w:szCs w:val="24"/>
        </w:rPr>
      </w:pPr>
      <w:r>
        <w:rPr>
          <w:b/>
          <w:bCs/>
          <w:color w:val="000000"/>
          <w:spacing w:val="0"/>
          <w:w w:val="100"/>
          <w:position w:val="0"/>
          <w:sz w:val="24"/>
          <w:szCs w:val="24"/>
        </w:rPr>
        <w:t>财务报表附注</w:t>
      </w:r>
    </w:p>
    <w:p>
      <w:pPr>
        <w:pStyle w:val="Style88"/>
        <w:keepNext/>
        <w:keepLines/>
        <w:widowControl w:val="0"/>
        <w:shd w:val="clear" w:color="auto" w:fill="auto"/>
        <w:bidi w:val="0"/>
        <w:spacing w:before="0" w:after="0" w:line="240" w:lineRule="auto"/>
        <w:ind w:left="0" w:right="0" w:firstLine="660"/>
        <w:jc w:val="left"/>
      </w:pPr>
      <w:bookmarkStart w:id="847" w:name="bookmark847"/>
      <w:bookmarkStart w:id="848" w:name="bookmark848"/>
      <w:bookmarkStart w:id="849" w:name="bookmark849"/>
      <w:r>
        <w:rPr>
          <w:color w:val="000000"/>
          <w:spacing w:val="0"/>
          <w:w w:val="100"/>
          <w:position w:val="0"/>
          <w:sz w:val="24"/>
          <w:szCs w:val="24"/>
        </w:rPr>
        <w:t>2016</w:t>
      </w:r>
      <w:r>
        <w:rPr>
          <w:rFonts w:ascii="SimSun" w:eastAsia="SimSun" w:hAnsi="SimSun" w:cs="SimSun"/>
          <w:b/>
          <w:bCs/>
          <w:color w:val="000000"/>
          <w:spacing w:val="0"/>
          <w:w w:val="100"/>
          <w:position w:val="0"/>
          <w:sz w:val="24"/>
          <w:szCs w:val="24"/>
        </w:rPr>
        <w:t>年度</w:t>
      </w:r>
      <w:bookmarkEnd w:id="847"/>
      <w:bookmarkEnd w:id="848"/>
      <w:bookmarkEnd w:id="849"/>
    </w:p>
    <w:p>
      <w:pPr>
        <w:pStyle w:val="Style32"/>
        <w:keepNext w:val="0"/>
        <w:keepLines w:val="0"/>
        <w:widowControl w:val="0"/>
        <w:shd w:val="clear" w:color="auto" w:fill="auto"/>
        <w:bidi w:val="0"/>
        <w:spacing w:before="0" w:after="300" w:line="240" w:lineRule="auto"/>
        <w:ind w:left="0" w:right="0" w:firstLine="660"/>
        <w:jc w:val="left"/>
        <w:rPr>
          <w:sz w:val="20"/>
          <w:szCs w:val="20"/>
        </w:rPr>
      </w:pPr>
      <w:r>
        <w:rPr>
          <w:rFonts w:ascii="Arial" w:eastAsia="Arial" w:hAnsi="Arial" w:cs="Arial"/>
          <w:color w:val="000000"/>
          <w:spacing w:val="0"/>
          <w:w w:val="100"/>
          <w:position w:val="0"/>
          <w:sz w:val="20"/>
          <w:szCs w:val="20"/>
        </w:rPr>
        <w:t>（</w:t>
      </w:r>
      <w:r>
        <w:rPr>
          <w:color w:val="000000"/>
          <w:spacing w:val="0"/>
          <w:w w:val="100"/>
          <w:position w:val="0"/>
          <w:sz w:val="20"/>
          <w:szCs w:val="20"/>
        </w:rPr>
        <w:t>除特别注明外，金额单位为人民币千元</w:t>
      </w:r>
      <w:r>
        <w:rPr>
          <w:rFonts w:ascii="Arial" w:eastAsia="Arial" w:hAnsi="Arial" w:cs="Arial"/>
          <w:color w:val="000000"/>
          <w:spacing w:val="0"/>
          <w:w w:val="100"/>
          <w:position w:val="0"/>
          <w:sz w:val="20"/>
          <w:szCs w:val="20"/>
        </w:rPr>
        <w:t>）</w:t>
      </w:r>
    </w:p>
    <w:p>
      <w:pPr>
        <w:pStyle w:val="Style32"/>
        <w:keepNext w:val="0"/>
        <w:keepLines w:val="0"/>
        <w:widowControl w:val="0"/>
        <w:shd w:val="clear" w:color="auto" w:fill="auto"/>
        <w:tabs>
          <w:tab w:pos="634" w:val="left"/>
        </w:tabs>
        <w:bidi w:val="0"/>
        <w:spacing w:before="0" w:after="300" w:line="240" w:lineRule="auto"/>
        <w:ind w:left="0" w:right="0" w:firstLine="0"/>
        <w:jc w:val="left"/>
        <w:rPr>
          <w:sz w:val="24"/>
          <w:szCs w:val="24"/>
        </w:rPr>
      </w:pPr>
      <w:r>
        <w:rPr>
          <w:b/>
          <w:bCs/>
          <w:color w:val="000000"/>
          <w:spacing w:val="0"/>
          <w:w w:val="100"/>
          <w:position w:val="0"/>
          <w:sz w:val="24"/>
          <w:szCs w:val="24"/>
        </w:rPr>
        <w:t>四</w:t>
        <w:tab/>
        <w:t>合并财务报表项目附注</w:t>
      </w:r>
      <w:r>
        <w:rPr>
          <w:rFonts w:ascii="Times New Roman" w:eastAsia="Times New Roman" w:hAnsi="Times New Roman" w:cs="Times New Roman"/>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4"/>
          <w:szCs w:val="24"/>
        </w:rPr>
        <w:t>）</w:t>
      </w:r>
    </w:p>
    <w:p>
      <w:pPr>
        <w:pStyle w:val="Style53"/>
        <w:keepNext w:val="0"/>
        <w:keepLines w:val="0"/>
        <w:widowControl w:val="0"/>
        <w:shd w:val="clear" w:color="auto" w:fill="auto"/>
        <w:tabs>
          <w:tab w:pos="634" w:val="left"/>
        </w:tabs>
        <w:bidi w:val="0"/>
        <w:spacing w:before="0" w:after="300" w:line="240" w:lineRule="auto"/>
        <w:ind w:left="0" w:right="0" w:firstLine="0"/>
        <w:jc w:val="left"/>
        <w:rPr>
          <w:sz w:val="24"/>
          <w:szCs w:val="24"/>
        </w:rPr>
      </w:pPr>
      <w:r>
        <w:rPr>
          <w:color w:val="000000"/>
          <w:spacing w:val="0"/>
          <w:w w:val="100"/>
          <w:position w:val="0"/>
          <w:sz w:val="24"/>
          <w:szCs w:val="24"/>
        </w:rPr>
        <w:t>（9）</w:t>
        <w:tab/>
      </w:r>
      <w:r>
        <w:rPr>
          <w:rFonts w:ascii="SimSun" w:eastAsia="SimSun" w:hAnsi="SimSun" w:cs="SimSun"/>
          <w:b/>
          <w:bCs/>
          <w:color w:val="000000"/>
          <w:spacing w:val="0"/>
          <w:w w:val="100"/>
          <w:position w:val="0"/>
          <w:sz w:val="24"/>
          <w:szCs w:val="24"/>
        </w:rPr>
        <w:t>存货</w:t>
      </w:r>
      <w:r>
        <w:rPr>
          <w:color w:val="000000"/>
          <w:spacing w:val="0"/>
          <w:w w:val="100"/>
          <w:position w:val="0"/>
          <w:sz w:val="24"/>
          <w:szCs w:val="24"/>
        </w:rPr>
        <w:t>（</w:t>
      </w:r>
      <w:r>
        <w:rPr>
          <w:rFonts w:ascii="SimSun" w:eastAsia="SimSun" w:hAnsi="SimSun" w:cs="SimSun"/>
          <w:b/>
          <w:bCs/>
          <w:color w:val="000000"/>
          <w:spacing w:val="0"/>
          <w:w w:val="100"/>
          <w:position w:val="0"/>
          <w:sz w:val="24"/>
          <w:szCs w:val="24"/>
        </w:rPr>
        <w:t>续</w:t>
      </w:r>
      <w:r>
        <w:rPr>
          <w:rFonts w:ascii="SimSun" w:eastAsia="SimSun" w:hAnsi="SimSun" w:cs="SimSun"/>
          <w:color w:val="000000"/>
          <w:spacing w:val="0"/>
          <w:w w:val="100"/>
          <w:position w:val="0"/>
          <w:sz w:val="24"/>
          <w:szCs w:val="24"/>
        </w:rPr>
        <w:t>）</w:t>
      </w:r>
    </w:p>
    <w:p>
      <w:pPr>
        <w:pStyle w:val="Style32"/>
        <w:keepNext w:val="0"/>
        <w:keepLines w:val="0"/>
        <w:widowControl w:val="0"/>
        <w:shd w:val="clear" w:color="auto" w:fill="auto"/>
        <w:tabs>
          <w:tab w:pos="634" w:val="left"/>
        </w:tabs>
        <w:bidi w:val="0"/>
        <w:spacing w:before="0" w:after="400" w:line="240" w:lineRule="auto"/>
        <w:ind w:left="0" w:right="0" w:firstLine="0"/>
        <w:jc w:val="left"/>
        <w:rPr>
          <w:sz w:val="24"/>
          <w:szCs w:val="24"/>
        </w:rPr>
      </w:pPr>
      <w:bookmarkStart w:id="850" w:name="bookmark850"/>
      <w:r>
        <w:rPr>
          <w:rFonts w:ascii="Times New Roman" w:eastAsia="Times New Roman" w:hAnsi="Times New Roman" w:cs="Times New Roman"/>
          <w:color w:val="000000"/>
          <w:spacing w:val="0"/>
          <w:w w:val="100"/>
          <w:position w:val="0"/>
          <w:sz w:val="24"/>
          <w:szCs w:val="24"/>
        </w:rPr>
        <w:t>（</w:t>
      </w:r>
      <w:bookmarkEnd w:id="850"/>
      <w:r>
        <w:rPr>
          <w:rFonts w:ascii="Times New Roman" w:eastAsia="Times New Roman" w:hAnsi="Times New Roman" w:cs="Times New Roman"/>
          <w:color w:val="000000"/>
          <w:spacing w:val="0"/>
          <w:w w:val="100"/>
          <w:position w:val="0"/>
          <w:sz w:val="24"/>
          <w:szCs w:val="24"/>
        </w:rPr>
        <w:t>d）</w:t>
        <w:tab/>
      </w:r>
      <w:r>
        <w:rPr>
          <w:color w:val="000000"/>
          <w:spacing w:val="0"/>
          <w:w w:val="100"/>
          <w:position w:val="0"/>
          <w:sz w:val="24"/>
          <w:szCs w:val="24"/>
        </w:rPr>
        <w:t>房地产开发成本分析如下：</w:t>
      </w:r>
    </w:p>
    <w:p>
      <w:pPr>
        <w:pStyle w:val="Style25"/>
        <w:keepNext w:val="0"/>
        <w:keepLines w:val="0"/>
        <w:widowControl w:val="0"/>
        <w:shd w:val="clear" w:color="auto" w:fill="auto"/>
        <w:tabs>
          <w:tab w:pos="4104" w:val="left"/>
        </w:tabs>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8"/>
          <w:szCs w:val="18"/>
        </w:rPr>
        <w:t>年</w:t>
      </w:r>
      <w:r>
        <w:rPr>
          <w:i/>
          <w:iCs/>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tab/>
      </w: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8"/>
          <w:szCs w:val="18"/>
        </w:rPr>
        <w:t>年</w:t>
      </w:r>
      <w:r>
        <w:rPr>
          <w:i/>
          <w:iCs/>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tbl>
      <w:tblPr>
        <w:tblOverlap w:val="never"/>
        <w:jc w:val="center"/>
        <w:tblLayout w:type="fixed"/>
      </w:tblPr>
      <w:tblGrid>
        <w:gridCol w:w="2136"/>
        <w:gridCol w:w="2165"/>
        <w:gridCol w:w="2083"/>
        <w:gridCol w:w="1219"/>
        <w:gridCol w:w="1344"/>
        <w:gridCol w:w="1421"/>
        <w:gridCol w:w="1368"/>
        <w:gridCol w:w="1339"/>
        <w:gridCol w:w="1186"/>
      </w:tblGrid>
      <w:tr>
        <w:trPr>
          <w:trHeight w:val="528"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项目名称</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开工时间</w:t>
            </w:r>
          </w:p>
        </w:tc>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预计</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实际竣工时间</w:t>
            </w:r>
          </w:p>
        </w:tc>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340" w:firstLine="0"/>
              <w:jc w:val="right"/>
              <w:rPr>
                <w:sz w:val="18"/>
                <w:szCs w:val="18"/>
              </w:rPr>
            </w:pPr>
            <w:r>
              <w:rPr>
                <w:color w:val="000000"/>
                <w:spacing w:val="0"/>
                <w:w w:val="100"/>
                <w:position w:val="0"/>
                <w:sz w:val="18"/>
                <w:szCs w:val="18"/>
              </w:rPr>
              <w:t>跌价准备</w:t>
            </w:r>
          </w:p>
        </w:tc>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账面价值</w:t>
            </w:r>
          </w:p>
        </w:tc>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300" w:firstLine="0"/>
              <w:jc w:val="right"/>
              <w:rPr>
                <w:sz w:val="18"/>
                <w:szCs w:val="18"/>
              </w:rPr>
            </w:pPr>
            <w:r>
              <w:rPr>
                <w:color w:val="000000"/>
                <w:spacing w:val="0"/>
                <w:w w:val="100"/>
                <w:position w:val="0"/>
                <w:sz w:val="18"/>
                <w:szCs w:val="18"/>
              </w:rPr>
              <w:t>账面余额</w:t>
            </w:r>
          </w:p>
        </w:tc>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320" w:firstLine="0"/>
              <w:jc w:val="right"/>
              <w:rPr>
                <w:sz w:val="18"/>
                <w:szCs w:val="18"/>
              </w:rPr>
            </w:pPr>
            <w:r>
              <w:rPr>
                <w:color w:val="000000"/>
                <w:spacing w:val="0"/>
                <w:w w:val="100"/>
                <w:position w:val="0"/>
                <w:sz w:val="18"/>
                <w:szCs w:val="18"/>
              </w:rPr>
              <w:t>跌价准备</w:t>
            </w:r>
          </w:p>
        </w:tc>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账面价值</w:t>
            </w:r>
          </w:p>
        </w:tc>
      </w:tr>
      <w:tr>
        <w:trPr>
          <w:trHeight w:val="480"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包头苏宁房地产项目</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8"/>
                <w:szCs w:val="18"/>
              </w:rPr>
              <w:t>日</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409,009</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409,009</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262,095</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32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262,095</w:t>
            </w:r>
          </w:p>
        </w:tc>
      </w:tr>
      <w:tr>
        <w:trPr>
          <w:trHeight w:val="317"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滁州苏宁房地产项目</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日</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8"/>
                <w:szCs w:val="18"/>
              </w:rPr>
              <w:t>日</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291,988</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291,988</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207,813</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32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207,813</w:t>
            </w:r>
          </w:p>
        </w:tc>
      </w:tr>
      <w:tr>
        <w:trPr>
          <w:trHeight w:val="274"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济宁苏宁房地产项目</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日</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8"/>
                <w:szCs w:val="18"/>
              </w:rPr>
              <w:t>日</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34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34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34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158,259</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32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158,259</w:t>
            </w:r>
          </w:p>
        </w:tc>
      </w:tr>
      <w:tr>
        <w:trPr>
          <w:trHeight w:val="350"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700,997</w:t>
            </w:r>
          </w:p>
        </w:tc>
        <w:tc>
          <w:tcPr>
            <w:tcBorders>
              <w:top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700,997</w:t>
            </w:r>
          </w:p>
        </w:tc>
        <w:tc>
          <w:tcPr>
            <w:tcBorders>
              <w:top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628,167</w:t>
            </w:r>
          </w:p>
        </w:tc>
        <w:tc>
          <w:tcPr>
            <w:tcBorders>
              <w:top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32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628,167</w:t>
            </w:r>
          </w:p>
        </w:tc>
      </w:tr>
    </w:tbl>
    <w:p>
      <w:pPr>
        <w:sectPr>
          <w:headerReference w:type="default" r:id="rId111"/>
          <w:footerReference w:type="default" r:id="rId112"/>
          <w:headerReference w:type="even" r:id="rId113"/>
          <w:footerReference w:type="even" r:id="rId114"/>
          <w:footnotePr>
            <w:pos w:val="pageBottom"/>
            <w:numFmt w:val="decimal"/>
            <w:numRestart w:val="continuous"/>
          </w:footnotePr>
          <w:pgSz w:w="16840" w:h="11900" w:orient="landscape"/>
          <w:pgMar w:top="1350" w:right="1206" w:bottom="1350" w:left="702" w:header="0" w:footer="3" w:gutter="0"/>
          <w:cols w:space="720"/>
          <w:noEndnote/>
          <w:rtlGutter w:val="0"/>
          <w:docGrid w:linePitch="360"/>
        </w:sectPr>
      </w:pPr>
    </w:p>
    <w:p>
      <w:pPr>
        <w:pStyle w:val="Style32"/>
        <w:keepNext w:val="0"/>
        <w:keepLines w:val="0"/>
        <w:widowControl w:val="0"/>
        <w:shd w:val="clear" w:color="auto" w:fill="auto"/>
        <w:bidi w:val="0"/>
        <w:spacing w:before="0" w:after="0" w:line="240" w:lineRule="auto"/>
        <w:ind w:left="0" w:right="0" w:firstLine="700"/>
        <w:jc w:val="left"/>
        <w:rPr>
          <w:sz w:val="24"/>
          <w:szCs w:val="24"/>
        </w:rPr>
      </w:pPr>
      <w:r>
        <w:rPr>
          <w:b/>
          <w:bCs/>
          <w:color w:val="000000"/>
          <w:spacing w:val="0"/>
          <w:w w:val="100"/>
          <w:position w:val="0"/>
          <w:sz w:val="24"/>
          <w:szCs w:val="24"/>
        </w:rPr>
        <w:t>财务报表附注</w:t>
      </w:r>
    </w:p>
    <w:p>
      <w:pPr>
        <w:pStyle w:val="Style88"/>
        <w:keepNext/>
        <w:keepLines/>
        <w:widowControl w:val="0"/>
        <w:shd w:val="clear" w:color="auto" w:fill="auto"/>
        <w:bidi w:val="0"/>
        <w:spacing w:before="0" w:after="0" w:line="240" w:lineRule="auto"/>
        <w:ind w:left="0" w:right="0"/>
        <w:jc w:val="left"/>
      </w:pPr>
      <w:bookmarkStart w:id="851" w:name="bookmark851"/>
      <w:bookmarkStart w:id="852" w:name="bookmark852"/>
      <w:bookmarkStart w:id="853" w:name="bookmark853"/>
      <w:r>
        <w:rPr>
          <w:color w:val="000000"/>
          <w:spacing w:val="0"/>
          <w:w w:val="100"/>
          <w:position w:val="0"/>
          <w:sz w:val="24"/>
          <w:szCs w:val="24"/>
        </w:rPr>
        <w:t>2016</w:t>
      </w:r>
      <w:r>
        <w:rPr>
          <w:rFonts w:ascii="SimSun" w:eastAsia="SimSun" w:hAnsi="SimSun" w:cs="SimSun"/>
          <w:b/>
          <w:bCs/>
          <w:color w:val="000000"/>
          <w:spacing w:val="0"/>
          <w:w w:val="100"/>
          <w:position w:val="0"/>
          <w:sz w:val="24"/>
          <w:szCs w:val="24"/>
        </w:rPr>
        <w:t>年度</w:t>
      </w:r>
      <w:bookmarkEnd w:id="851"/>
      <w:bookmarkEnd w:id="852"/>
      <w:bookmarkEnd w:id="853"/>
    </w:p>
    <w:p>
      <w:pPr>
        <w:pStyle w:val="Style32"/>
        <w:keepNext w:val="0"/>
        <w:keepLines w:val="0"/>
        <w:widowControl w:val="0"/>
        <w:shd w:val="clear" w:color="auto" w:fill="auto"/>
        <w:bidi w:val="0"/>
        <w:spacing w:before="0" w:after="220" w:line="240" w:lineRule="auto"/>
        <w:ind w:left="0" w:right="0" w:firstLine="700"/>
        <w:jc w:val="left"/>
        <w:rPr>
          <w:sz w:val="24"/>
          <w:szCs w:val="24"/>
        </w:rPr>
      </w:pPr>
      <w:r>
        <w:rPr>
          <w:rFonts w:ascii="Arial" w:eastAsia="Arial" w:hAnsi="Arial" w:cs="Arial"/>
          <w:color w:val="000000"/>
          <w:spacing w:val="0"/>
          <w:w w:val="100"/>
          <w:position w:val="0"/>
          <w:sz w:val="20"/>
          <w:szCs w:val="20"/>
        </w:rPr>
        <w:t>（</w:t>
      </w:r>
      <w:r>
        <w:rPr>
          <w:color w:val="000000"/>
          <w:spacing w:val="0"/>
          <w:w w:val="100"/>
          <w:position w:val="0"/>
          <w:sz w:val="20"/>
          <w:szCs w:val="20"/>
        </w:rPr>
        <w:t>除特别注明外，金额单位为人民币千元</w:t>
      </w:r>
      <w:r>
        <w:rPr>
          <w:color w:val="000000"/>
          <w:spacing w:val="0"/>
          <w:w w:val="100"/>
          <w:position w:val="0"/>
          <w:sz w:val="24"/>
          <w:szCs w:val="24"/>
        </w:rPr>
        <w:t>）</w:t>
      </w:r>
    </w:p>
    <w:p>
      <w:pPr>
        <w:pStyle w:val="Style32"/>
        <w:keepNext w:val="0"/>
        <w:keepLines w:val="0"/>
        <w:widowControl w:val="0"/>
        <w:shd w:val="clear" w:color="auto" w:fill="auto"/>
        <w:tabs>
          <w:tab w:pos="629" w:val="left"/>
        </w:tabs>
        <w:bidi w:val="0"/>
        <w:spacing w:before="0" w:after="300" w:line="240" w:lineRule="auto"/>
        <w:ind w:left="0" w:right="0" w:firstLine="0"/>
        <w:jc w:val="left"/>
        <w:rPr>
          <w:sz w:val="24"/>
          <w:szCs w:val="24"/>
        </w:rPr>
      </w:pPr>
      <w:r>
        <w:rPr>
          <w:b/>
          <w:bCs/>
          <w:color w:val="000000"/>
          <w:spacing w:val="0"/>
          <w:w w:val="100"/>
          <w:position w:val="0"/>
          <w:sz w:val="24"/>
          <w:szCs w:val="24"/>
        </w:rPr>
        <w:t>四</w:t>
        <w:tab/>
        <w:t>合并财务报表项目附注</w:t>
      </w:r>
      <w:r>
        <w:rPr>
          <w:rFonts w:ascii="Times New Roman" w:eastAsia="Times New Roman" w:hAnsi="Times New Roman" w:cs="Times New Roman"/>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4"/>
          <w:szCs w:val="24"/>
        </w:rPr>
        <w:t>）</w:t>
      </w:r>
    </w:p>
    <w:p>
      <w:pPr>
        <w:pStyle w:val="Style53"/>
        <w:keepNext w:val="0"/>
        <w:keepLines w:val="0"/>
        <w:widowControl w:val="0"/>
        <w:shd w:val="clear" w:color="auto" w:fill="auto"/>
        <w:tabs>
          <w:tab w:pos="629" w:val="left"/>
        </w:tabs>
        <w:bidi w:val="0"/>
        <w:spacing w:before="0" w:after="300" w:line="240" w:lineRule="auto"/>
        <w:ind w:left="0" w:right="0" w:firstLine="0"/>
        <w:jc w:val="left"/>
        <w:rPr>
          <w:sz w:val="24"/>
          <w:szCs w:val="24"/>
        </w:rPr>
      </w:pPr>
      <w:r>
        <w:rPr>
          <w:color w:val="000000"/>
          <w:spacing w:val="0"/>
          <w:w w:val="100"/>
          <w:position w:val="0"/>
          <w:sz w:val="24"/>
          <w:szCs w:val="24"/>
        </w:rPr>
        <w:t>（9）</w:t>
        <w:tab/>
      </w:r>
      <w:r>
        <w:rPr>
          <w:rFonts w:ascii="SimSun" w:eastAsia="SimSun" w:hAnsi="SimSun" w:cs="SimSun"/>
          <w:b/>
          <w:bCs/>
          <w:color w:val="000000"/>
          <w:spacing w:val="0"/>
          <w:w w:val="100"/>
          <w:position w:val="0"/>
          <w:sz w:val="24"/>
          <w:szCs w:val="24"/>
        </w:rPr>
        <w:t>存货</w:t>
      </w:r>
      <w:r>
        <w:rPr>
          <w:color w:val="000000"/>
          <w:spacing w:val="0"/>
          <w:w w:val="100"/>
          <w:position w:val="0"/>
          <w:sz w:val="24"/>
          <w:szCs w:val="24"/>
        </w:rPr>
        <w:t>（</w:t>
      </w:r>
      <w:r>
        <w:rPr>
          <w:rFonts w:ascii="SimSun" w:eastAsia="SimSun" w:hAnsi="SimSun" w:cs="SimSun"/>
          <w:b/>
          <w:bCs/>
          <w:color w:val="000000"/>
          <w:spacing w:val="0"/>
          <w:w w:val="100"/>
          <w:position w:val="0"/>
          <w:sz w:val="24"/>
          <w:szCs w:val="24"/>
        </w:rPr>
        <w:t>续</w:t>
      </w:r>
      <w:r>
        <w:rPr>
          <w:rFonts w:ascii="SimSun" w:eastAsia="SimSun" w:hAnsi="SimSun" w:cs="SimSun"/>
          <w:color w:val="000000"/>
          <w:spacing w:val="0"/>
          <w:w w:val="100"/>
          <w:position w:val="0"/>
          <w:sz w:val="24"/>
          <w:szCs w:val="24"/>
        </w:rPr>
        <w:t>）</w:t>
      </w:r>
    </w:p>
    <w:p>
      <w:pPr>
        <w:pStyle w:val="Style32"/>
        <w:keepNext w:val="0"/>
        <w:keepLines w:val="0"/>
        <w:widowControl w:val="0"/>
        <w:shd w:val="clear" w:color="auto" w:fill="auto"/>
        <w:tabs>
          <w:tab w:pos="629" w:val="left"/>
        </w:tabs>
        <w:bidi w:val="0"/>
        <w:spacing w:before="0" w:after="420" w:line="240" w:lineRule="auto"/>
        <w:ind w:left="0" w:right="0" w:firstLine="0"/>
        <w:jc w:val="left"/>
        <w:rPr>
          <w:sz w:val="24"/>
          <w:szCs w:val="24"/>
        </w:rPr>
      </w:pPr>
      <w:bookmarkStart w:id="854" w:name="bookmark854"/>
      <w:r>
        <w:rPr>
          <w:rFonts w:ascii="Times New Roman" w:eastAsia="Times New Roman" w:hAnsi="Times New Roman" w:cs="Times New Roman"/>
          <w:color w:val="000000"/>
          <w:spacing w:val="0"/>
          <w:w w:val="100"/>
          <w:position w:val="0"/>
          <w:sz w:val="24"/>
          <w:szCs w:val="24"/>
        </w:rPr>
        <w:t>（</w:t>
      </w:r>
      <w:bookmarkEnd w:id="854"/>
      <w:r>
        <w:rPr>
          <w:rFonts w:ascii="Times New Roman" w:eastAsia="Times New Roman" w:hAnsi="Times New Roman" w:cs="Times New Roman"/>
          <w:color w:val="000000"/>
          <w:spacing w:val="0"/>
          <w:w w:val="100"/>
          <w:position w:val="0"/>
          <w:sz w:val="24"/>
          <w:szCs w:val="24"/>
        </w:rPr>
        <w:t>e）</w:t>
        <w:tab/>
      </w:r>
      <w:r>
        <w:rPr>
          <w:color w:val="000000"/>
          <w:spacing w:val="0"/>
          <w:w w:val="100"/>
          <w:position w:val="0"/>
          <w:sz w:val="24"/>
          <w:szCs w:val="24"/>
        </w:rPr>
        <w:t>按照房地产开发项目列示资本化利息如下:</w:t>
      </w:r>
    </w:p>
    <w:tbl>
      <w:tblPr>
        <w:tblOverlap w:val="never"/>
        <w:jc w:val="center"/>
        <w:tblLayout w:type="fixed"/>
      </w:tblPr>
      <w:tblGrid>
        <w:gridCol w:w="3850"/>
        <w:gridCol w:w="10411"/>
      </w:tblGrid>
      <w:tr>
        <w:trPr>
          <w:trHeight w:val="446"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tabs>
                <w:tab w:pos="2914" w:val="left"/>
                <w:tab w:pos="6240" w:val="left"/>
              </w:tabs>
              <w:bidi w:val="0"/>
              <w:spacing w:before="0" w:after="0" w:line="240" w:lineRule="auto"/>
              <w:ind w:left="0" w:right="0" w:firstLine="0"/>
              <w:jc w:val="right"/>
              <w:rPr>
                <w:sz w:val="20"/>
                <w:szCs w:val="20"/>
              </w:rPr>
            </w:pPr>
            <w:r>
              <w:rPr>
                <w:color w:val="000000"/>
                <w:spacing w:val="0"/>
                <w:w w:val="100"/>
                <w:position w:val="0"/>
                <w:sz w:val="20"/>
                <w:szCs w:val="20"/>
              </w:rPr>
              <w:t>借款费用资本化累计金额</w:t>
              <w:tab/>
              <w:t>其中：本年借款费用资本化金额</w:t>
              <w:tab/>
              <w:t>本年借款费用资本化率</w:t>
            </w:r>
          </w:p>
        </w:tc>
      </w:tr>
      <w:tr>
        <w:trPr>
          <w:trHeight w:val="2678" w:hRule="exact"/>
        </w:trPr>
        <w:tc>
          <w:tcPr>
            <w:tcBorders/>
            <w:shd w:val="clear" w:color="auto" w:fill="FFFFFF"/>
            <w:vAlign w:val="center"/>
          </w:tcPr>
          <w:p>
            <w:pPr>
              <w:pStyle w:val="Style28"/>
              <w:keepNext w:val="0"/>
              <w:keepLines w:val="0"/>
              <w:widowControl w:val="0"/>
              <w:shd w:val="clear" w:color="auto" w:fill="auto"/>
              <w:bidi w:val="0"/>
              <w:spacing w:before="0" w:after="0" w:line="316" w:lineRule="exact"/>
              <w:ind w:left="0" w:right="0" w:firstLine="0"/>
              <w:jc w:val="left"/>
              <w:rPr>
                <w:sz w:val="18"/>
                <w:szCs w:val="18"/>
              </w:rPr>
            </w:pPr>
            <w:r>
              <w:rPr>
                <w:color w:val="000000"/>
                <w:spacing w:val="0"/>
                <w:w w:val="100"/>
                <w:position w:val="0"/>
                <w:sz w:val="18"/>
                <w:szCs w:val="18"/>
              </w:rPr>
              <w:t>上海奉贤苏宁房地产项目 汕头市龙湖苏宁房地产项目 包头苏宁房地产项目 济宁苏宁房地产项目 湖州苕溪苏宁房地产项目 滁州苏宁房地产项目 北京房山苏宁房地产项目</w:t>
            </w:r>
          </w:p>
        </w:tc>
        <w:tc>
          <w:tcPr>
            <w:tcBorders>
              <w:bottom w:val="single" w:sz="4"/>
            </w:tcBorders>
            <w:shd w:val="clear" w:color="auto" w:fill="FFFFFF"/>
            <w:vAlign w:val="bottom"/>
          </w:tcPr>
          <w:p>
            <w:pPr>
              <w:pStyle w:val="Style28"/>
              <w:keepNext w:val="0"/>
              <w:keepLines w:val="0"/>
              <w:widowControl w:val="0"/>
              <w:shd w:val="clear" w:color="auto" w:fill="auto"/>
              <w:tabs>
                <w:tab w:pos="4118" w:val="right"/>
                <w:tab w:pos="6638" w:val="right"/>
              </w:tabs>
              <w:bidi w:val="0"/>
              <w:spacing w:before="0" w:after="6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20,106</w:t>
              <w:tab/>
              <w:t>-</w:t>
              <w:tab/>
              <w:t>-</w:t>
            </w:r>
          </w:p>
          <w:p>
            <w:pPr>
              <w:pStyle w:val="Style28"/>
              <w:keepNext w:val="0"/>
              <w:keepLines w:val="0"/>
              <w:widowControl w:val="0"/>
              <w:shd w:val="clear" w:color="auto" w:fill="auto"/>
              <w:tabs>
                <w:tab w:pos="7793" w:val="right"/>
                <w:tab w:pos="10313" w:val="right"/>
              </w:tabs>
              <w:bidi w:val="0"/>
              <w:spacing w:before="0" w:after="60" w:line="240" w:lineRule="auto"/>
              <w:ind w:left="3780" w:right="0" w:firstLine="0"/>
              <w:jc w:val="left"/>
              <w:rPr>
                <w:sz w:val="20"/>
                <w:szCs w:val="20"/>
              </w:rPr>
            </w:pPr>
            <w:r>
              <w:rPr>
                <w:rFonts w:ascii="Times New Roman" w:eastAsia="Times New Roman" w:hAnsi="Times New Roman" w:cs="Times New Roman"/>
                <w:color w:val="000000"/>
                <w:spacing w:val="0"/>
                <w:w w:val="100"/>
                <w:position w:val="0"/>
                <w:sz w:val="20"/>
                <w:szCs w:val="20"/>
              </w:rPr>
              <w:t>9,614</w:t>
              <w:tab/>
              <w:t>-</w:t>
              <w:tab/>
              <w:t>-</w:t>
            </w:r>
          </w:p>
          <w:p>
            <w:pPr>
              <w:pStyle w:val="Style28"/>
              <w:keepNext w:val="0"/>
              <w:keepLines w:val="0"/>
              <w:widowControl w:val="0"/>
              <w:shd w:val="clear" w:color="auto" w:fill="auto"/>
              <w:tabs>
                <w:tab w:pos="7839" w:val="right"/>
                <w:tab w:pos="10354" w:val="right"/>
              </w:tabs>
              <w:bidi w:val="0"/>
              <w:spacing w:before="0" w:after="60" w:line="240" w:lineRule="auto"/>
              <w:ind w:left="3740" w:right="0" w:firstLine="0"/>
              <w:jc w:val="left"/>
              <w:rPr>
                <w:sz w:val="20"/>
                <w:szCs w:val="20"/>
              </w:rPr>
            </w:pPr>
            <w:r>
              <w:rPr>
                <w:rFonts w:ascii="Times New Roman" w:eastAsia="Times New Roman" w:hAnsi="Times New Roman" w:cs="Times New Roman"/>
                <w:color w:val="000000"/>
                <w:spacing w:val="0"/>
                <w:w w:val="100"/>
                <w:position w:val="0"/>
                <w:sz w:val="20"/>
                <w:szCs w:val="20"/>
              </w:rPr>
              <w:t>12,920</w:t>
              <w:tab/>
              <w:t>8,918</w:t>
              <w:tab/>
              <w:t>5.45%</w:t>
            </w:r>
          </w:p>
          <w:p>
            <w:pPr>
              <w:pStyle w:val="Style28"/>
              <w:keepNext w:val="0"/>
              <w:keepLines w:val="0"/>
              <w:widowControl w:val="0"/>
              <w:shd w:val="clear" w:color="auto" w:fill="auto"/>
              <w:tabs>
                <w:tab w:pos="7793" w:val="right"/>
                <w:tab w:pos="10308" w:val="right"/>
              </w:tabs>
              <w:bidi w:val="0"/>
              <w:spacing w:before="0" w:after="60" w:line="240" w:lineRule="auto"/>
              <w:ind w:left="3780" w:right="0" w:firstLine="0"/>
              <w:jc w:val="left"/>
              <w:rPr>
                <w:sz w:val="20"/>
                <w:szCs w:val="20"/>
              </w:rPr>
            </w:pPr>
            <w:r>
              <w:rPr>
                <w:rFonts w:ascii="Times New Roman" w:eastAsia="Times New Roman" w:hAnsi="Times New Roman" w:cs="Times New Roman"/>
                <w:color w:val="000000"/>
                <w:spacing w:val="0"/>
                <w:w w:val="100"/>
                <w:position w:val="0"/>
                <w:sz w:val="20"/>
                <w:szCs w:val="20"/>
              </w:rPr>
              <w:t>8,789</w:t>
              <w:tab/>
              <w:t>4,835</w:t>
              <w:tab/>
              <w:t>5.45%</w:t>
            </w:r>
          </w:p>
          <w:p>
            <w:pPr>
              <w:pStyle w:val="Style28"/>
              <w:keepNext w:val="0"/>
              <w:keepLines w:val="0"/>
              <w:widowControl w:val="0"/>
              <w:shd w:val="clear" w:color="auto" w:fill="auto"/>
              <w:tabs>
                <w:tab w:pos="7793" w:val="right"/>
                <w:tab w:pos="10313" w:val="right"/>
              </w:tabs>
              <w:bidi w:val="0"/>
              <w:spacing w:before="0" w:after="60" w:line="240" w:lineRule="auto"/>
              <w:ind w:left="3780" w:right="0" w:firstLine="0"/>
              <w:jc w:val="left"/>
              <w:rPr>
                <w:sz w:val="20"/>
                <w:szCs w:val="20"/>
              </w:rPr>
            </w:pPr>
            <w:r>
              <w:rPr>
                <w:rFonts w:ascii="Times New Roman" w:eastAsia="Times New Roman" w:hAnsi="Times New Roman" w:cs="Times New Roman"/>
                <w:color w:val="000000"/>
                <w:spacing w:val="0"/>
                <w:w w:val="100"/>
                <w:position w:val="0"/>
                <w:sz w:val="20"/>
                <w:szCs w:val="20"/>
              </w:rPr>
              <w:t>3,178</w:t>
              <w:tab/>
              <w:t>-</w:t>
              <w:tab/>
              <w:t>-</w:t>
            </w:r>
          </w:p>
          <w:p>
            <w:pPr>
              <w:pStyle w:val="Style28"/>
              <w:keepNext w:val="0"/>
              <w:keepLines w:val="0"/>
              <w:widowControl w:val="0"/>
              <w:shd w:val="clear" w:color="auto" w:fill="auto"/>
              <w:tabs>
                <w:tab w:pos="7793" w:val="right"/>
                <w:tab w:pos="10308" w:val="right"/>
              </w:tabs>
              <w:bidi w:val="0"/>
              <w:spacing w:before="0" w:after="60" w:line="240" w:lineRule="auto"/>
              <w:ind w:left="3780" w:right="0" w:firstLine="0"/>
              <w:jc w:val="left"/>
              <w:rPr>
                <w:sz w:val="20"/>
                <w:szCs w:val="20"/>
              </w:rPr>
            </w:pPr>
            <w:r>
              <w:rPr>
                <w:rFonts w:ascii="Times New Roman" w:eastAsia="Times New Roman" w:hAnsi="Times New Roman" w:cs="Times New Roman"/>
                <w:color w:val="000000"/>
                <w:spacing w:val="0"/>
                <w:w w:val="100"/>
                <w:position w:val="0"/>
                <w:sz w:val="20"/>
                <w:szCs w:val="20"/>
              </w:rPr>
              <w:t>7,018</w:t>
              <w:tab/>
              <w:t>4,960</w:t>
              <w:tab/>
              <w:t>5.45%</w:t>
            </w:r>
          </w:p>
          <w:p>
            <w:pPr>
              <w:pStyle w:val="Style28"/>
              <w:keepNext w:val="0"/>
              <w:keepLines w:val="0"/>
              <w:widowControl w:val="0"/>
              <w:shd w:val="clear" w:color="auto" w:fill="auto"/>
              <w:tabs>
                <w:tab w:leader="underscore" w:pos="2285" w:val="left"/>
                <w:tab w:pos="2962" w:val="left"/>
                <w:tab w:leader="underscore" w:pos="6072" w:val="left"/>
              </w:tabs>
              <w:bidi w:val="0"/>
              <w:spacing w:before="0" w:after="6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ab/>
              <w:t>81^</w:t>
              <w:tab/>
              <w:tab/>
              <w:t>-</w:t>
            </w:r>
          </w:p>
          <w:p>
            <w:pPr>
              <w:pStyle w:val="Style28"/>
              <w:keepNext w:val="0"/>
              <w:keepLines w:val="0"/>
              <w:widowControl w:val="0"/>
              <w:shd w:val="clear" w:color="auto" w:fill="auto"/>
              <w:tabs>
                <w:tab w:pos="7807" w:val="right"/>
              </w:tabs>
              <w:bidi w:val="0"/>
              <w:spacing w:before="0" w:after="60" w:line="240" w:lineRule="auto"/>
              <w:ind w:left="3780" w:right="0" w:firstLine="0"/>
              <w:jc w:val="left"/>
              <w:rPr>
                <w:sz w:val="20"/>
                <w:szCs w:val="20"/>
              </w:rPr>
            </w:pPr>
            <w:r>
              <w:rPr>
                <w:rFonts w:ascii="Times New Roman" w:eastAsia="Times New Roman" w:hAnsi="Times New Roman" w:cs="Times New Roman"/>
                <w:color w:val="000000"/>
                <w:spacing w:val="0"/>
                <w:w w:val="100"/>
                <w:position w:val="0"/>
                <w:sz w:val="20"/>
                <w:szCs w:val="20"/>
              </w:rPr>
              <w:t>62,441</w:t>
              <w:tab/>
              <w:t>18,713</w:t>
            </w:r>
          </w:p>
        </w:tc>
      </w:tr>
    </w:tbl>
    <w:p>
      <w:pPr>
        <w:sectPr>
          <w:footnotePr>
            <w:pos w:val="pageBottom"/>
            <w:numFmt w:val="decimal"/>
            <w:numRestart w:val="continuous"/>
          </w:footnotePr>
          <w:pgSz w:w="16840" w:h="11900" w:orient="landscape"/>
          <w:pgMar w:top="1321" w:right="1177" w:bottom="1321" w:left="702" w:header="0" w:footer="3" w:gutter="0"/>
          <w:cols w:space="720"/>
          <w:noEndnote/>
          <w:rtlGutter w:val="0"/>
          <w:docGrid w:linePitch="360"/>
        </w:sectPr>
      </w:pPr>
    </w:p>
    <w:p>
      <w:pPr>
        <w:pStyle w:val="Style32"/>
        <w:keepNext w:val="0"/>
        <w:keepLines w:val="0"/>
        <w:widowControl w:val="0"/>
        <w:shd w:val="clear" w:color="auto" w:fill="auto"/>
        <w:bidi w:val="0"/>
        <w:spacing w:before="0" w:after="0" w:line="240" w:lineRule="auto"/>
        <w:ind w:left="0" w:right="0" w:firstLine="700"/>
        <w:jc w:val="left"/>
        <w:rPr>
          <w:sz w:val="24"/>
          <w:szCs w:val="24"/>
        </w:rPr>
      </w:pPr>
      <w:r>
        <w:rPr>
          <w:b/>
          <w:bCs/>
          <w:color w:val="000000"/>
          <w:spacing w:val="0"/>
          <w:w w:val="100"/>
          <w:position w:val="0"/>
          <w:sz w:val="24"/>
          <w:szCs w:val="24"/>
        </w:rPr>
        <w:t>财务报表附注</w:t>
      </w:r>
    </w:p>
    <w:p>
      <w:pPr>
        <w:pStyle w:val="Style88"/>
        <w:keepNext/>
        <w:keepLines/>
        <w:widowControl w:val="0"/>
        <w:shd w:val="clear" w:color="auto" w:fill="auto"/>
        <w:bidi w:val="0"/>
        <w:spacing w:before="0" w:after="0" w:line="240" w:lineRule="auto"/>
        <w:ind w:left="0" w:right="0"/>
        <w:jc w:val="left"/>
      </w:pPr>
      <w:bookmarkStart w:id="855" w:name="bookmark855"/>
      <w:bookmarkStart w:id="856" w:name="bookmark856"/>
      <w:bookmarkStart w:id="857" w:name="bookmark857"/>
      <w:r>
        <w:rPr>
          <w:color w:val="000000"/>
          <w:spacing w:val="0"/>
          <w:w w:val="100"/>
          <w:position w:val="0"/>
          <w:sz w:val="24"/>
          <w:szCs w:val="24"/>
        </w:rPr>
        <w:t>2016</w:t>
      </w:r>
      <w:r>
        <w:rPr>
          <w:rFonts w:ascii="SimSun" w:eastAsia="SimSun" w:hAnsi="SimSun" w:cs="SimSun"/>
          <w:b/>
          <w:bCs/>
          <w:color w:val="000000"/>
          <w:spacing w:val="0"/>
          <w:w w:val="100"/>
          <w:position w:val="0"/>
          <w:sz w:val="24"/>
          <w:szCs w:val="24"/>
        </w:rPr>
        <w:t>年度</w:t>
      </w:r>
      <w:bookmarkEnd w:id="855"/>
      <w:bookmarkEnd w:id="856"/>
      <w:bookmarkEnd w:id="857"/>
    </w:p>
    <w:p>
      <w:pPr>
        <w:pStyle w:val="Style32"/>
        <w:keepNext w:val="0"/>
        <w:keepLines w:val="0"/>
        <w:widowControl w:val="0"/>
        <w:shd w:val="clear" w:color="auto" w:fill="auto"/>
        <w:bidi w:val="0"/>
        <w:spacing w:before="0" w:after="300" w:line="240" w:lineRule="auto"/>
        <w:ind w:left="0" w:right="0" w:firstLine="700"/>
        <w:jc w:val="left"/>
        <w:rPr>
          <w:sz w:val="20"/>
          <w:szCs w:val="20"/>
        </w:rPr>
      </w:pPr>
      <w:r>
        <w:rPr>
          <w:rFonts w:ascii="Arial" w:eastAsia="Arial" w:hAnsi="Arial" w:cs="Arial"/>
          <w:color w:val="000000"/>
          <w:spacing w:val="0"/>
          <w:w w:val="100"/>
          <w:position w:val="0"/>
          <w:sz w:val="20"/>
          <w:szCs w:val="20"/>
        </w:rPr>
        <w:t>（</w:t>
      </w:r>
      <w:r>
        <w:rPr>
          <w:color w:val="000000"/>
          <w:spacing w:val="0"/>
          <w:w w:val="100"/>
          <w:position w:val="0"/>
          <w:sz w:val="20"/>
          <w:szCs w:val="20"/>
        </w:rPr>
        <w:t>除特别注明外，金额单位为人民币千元</w:t>
      </w:r>
      <w:r>
        <w:rPr>
          <w:rFonts w:ascii="Arial" w:eastAsia="Arial" w:hAnsi="Arial" w:cs="Arial"/>
          <w:color w:val="000000"/>
          <w:spacing w:val="0"/>
          <w:w w:val="100"/>
          <w:position w:val="0"/>
          <w:sz w:val="20"/>
          <w:szCs w:val="20"/>
        </w:rPr>
        <w:t>）</w:t>
      </w:r>
    </w:p>
    <w:p>
      <w:pPr>
        <w:pStyle w:val="Style32"/>
        <w:keepNext w:val="0"/>
        <w:keepLines w:val="0"/>
        <w:widowControl w:val="0"/>
        <w:shd w:val="clear" w:color="auto" w:fill="auto"/>
        <w:tabs>
          <w:tab w:pos="619" w:val="left"/>
        </w:tabs>
        <w:bidi w:val="0"/>
        <w:spacing w:before="0" w:after="300" w:line="240" w:lineRule="auto"/>
        <w:ind w:left="0" w:right="0" w:firstLine="0"/>
        <w:jc w:val="left"/>
        <w:rPr>
          <w:sz w:val="24"/>
          <w:szCs w:val="24"/>
        </w:rPr>
      </w:pPr>
      <w:r>
        <w:rPr>
          <w:b/>
          <w:bCs/>
          <w:color w:val="000000"/>
          <w:spacing w:val="0"/>
          <w:w w:val="100"/>
          <w:position w:val="0"/>
          <w:sz w:val="24"/>
          <w:szCs w:val="24"/>
        </w:rPr>
        <w:t>四</w:t>
        <w:tab/>
        <w:t>合并财务报表项目附注</w:t>
      </w:r>
      <w:r>
        <w:rPr>
          <w:rFonts w:ascii="Times New Roman" w:eastAsia="Times New Roman" w:hAnsi="Times New Roman" w:cs="Times New Roman"/>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4"/>
          <w:szCs w:val="24"/>
        </w:rPr>
        <w:t>）</w:t>
      </w:r>
    </w:p>
    <w:p>
      <w:pPr>
        <w:pStyle w:val="Style53"/>
        <w:keepNext w:val="0"/>
        <w:keepLines w:val="0"/>
        <w:widowControl w:val="0"/>
        <w:shd w:val="clear" w:color="auto" w:fill="auto"/>
        <w:tabs>
          <w:tab w:pos="619" w:val="left"/>
        </w:tabs>
        <w:bidi w:val="0"/>
        <w:spacing w:before="0" w:after="300" w:line="240" w:lineRule="auto"/>
        <w:ind w:left="0" w:right="0" w:firstLine="0"/>
        <w:jc w:val="left"/>
        <w:rPr>
          <w:sz w:val="24"/>
          <w:szCs w:val="24"/>
        </w:rPr>
      </w:pPr>
      <w:r>
        <w:rPr>
          <w:color w:val="000000"/>
          <w:spacing w:val="0"/>
          <w:w w:val="100"/>
          <w:position w:val="0"/>
          <w:sz w:val="24"/>
          <w:szCs w:val="24"/>
        </w:rPr>
        <w:t>（9）</w:t>
        <w:tab/>
      </w:r>
      <w:r>
        <w:rPr>
          <w:rFonts w:ascii="SimSun" w:eastAsia="SimSun" w:hAnsi="SimSun" w:cs="SimSun"/>
          <w:b/>
          <w:bCs/>
          <w:color w:val="000000"/>
          <w:spacing w:val="0"/>
          <w:w w:val="100"/>
          <w:position w:val="0"/>
          <w:sz w:val="24"/>
          <w:szCs w:val="24"/>
        </w:rPr>
        <w:t>存货</w:t>
      </w:r>
      <w:r>
        <w:rPr>
          <w:color w:val="000000"/>
          <w:spacing w:val="0"/>
          <w:w w:val="100"/>
          <w:position w:val="0"/>
          <w:sz w:val="24"/>
          <w:szCs w:val="24"/>
        </w:rPr>
        <w:t>（</w:t>
      </w:r>
      <w:r>
        <w:rPr>
          <w:rFonts w:ascii="SimSun" w:eastAsia="SimSun" w:hAnsi="SimSun" w:cs="SimSun"/>
          <w:b/>
          <w:bCs/>
          <w:color w:val="000000"/>
          <w:spacing w:val="0"/>
          <w:w w:val="100"/>
          <w:position w:val="0"/>
          <w:sz w:val="24"/>
          <w:szCs w:val="24"/>
        </w:rPr>
        <w:t>续</w:t>
      </w:r>
      <w:r>
        <w:rPr>
          <w:rFonts w:ascii="SimSun" w:eastAsia="SimSun" w:hAnsi="SimSun" w:cs="SimSun"/>
          <w:color w:val="000000"/>
          <w:spacing w:val="0"/>
          <w:w w:val="100"/>
          <w:position w:val="0"/>
          <w:sz w:val="24"/>
          <w:szCs w:val="24"/>
        </w:rPr>
        <w:t>）</w:t>
      </w:r>
    </w:p>
    <w:p>
      <w:pPr>
        <w:pStyle w:val="Style32"/>
        <w:keepNext w:val="0"/>
        <w:keepLines w:val="0"/>
        <w:widowControl w:val="0"/>
        <w:shd w:val="clear" w:color="auto" w:fill="auto"/>
        <w:tabs>
          <w:tab w:pos="619" w:val="left"/>
        </w:tabs>
        <w:bidi w:val="0"/>
        <w:spacing w:before="0" w:after="360" w:line="240" w:lineRule="auto"/>
        <w:ind w:left="0" w:right="0" w:firstLine="0"/>
        <w:jc w:val="left"/>
        <w:rPr>
          <w:sz w:val="24"/>
          <w:szCs w:val="24"/>
        </w:rPr>
      </w:pPr>
      <w:bookmarkStart w:id="858" w:name="bookmark858"/>
      <w:r>
        <w:rPr>
          <w:rFonts w:ascii="Times New Roman" w:eastAsia="Times New Roman" w:hAnsi="Times New Roman" w:cs="Times New Roman"/>
          <w:color w:val="000000"/>
          <w:spacing w:val="0"/>
          <w:w w:val="100"/>
          <w:position w:val="0"/>
          <w:sz w:val="24"/>
          <w:szCs w:val="24"/>
        </w:rPr>
        <w:t>（</w:t>
      </w:r>
      <w:bookmarkEnd w:id="858"/>
      <w:r>
        <w:rPr>
          <w:rFonts w:ascii="Times New Roman" w:eastAsia="Times New Roman" w:hAnsi="Times New Roman" w:cs="Times New Roman"/>
          <w:color w:val="000000"/>
          <w:spacing w:val="0"/>
          <w:w w:val="100"/>
          <w:position w:val="0"/>
          <w:sz w:val="24"/>
          <w:szCs w:val="24"/>
        </w:rPr>
        <w:t>f）</w:t>
        <w:tab/>
      </w:r>
      <w:r>
        <w:rPr>
          <w:color w:val="000000"/>
          <w:spacing w:val="0"/>
          <w:w w:val="100"/>
          <w:position w:val="0"/>
          <w:sz w:val="24"/>
          <w:szCs w:val="24"/>
        </w:rPr>
        <w:t>房地产开发产品分析如下：</w:t>
      </w:r>
    </w:p>
    <w:tbl>
      <w:tblPr>
        <w:tblOverlap w:val="never"/>
        <w:jc w:val="center"/>
        <w:tblLayout w:type="fixed"/>
      </w:tblPr>
      <w:tblGrid>
        <w:gridCol w:w="2309"/>
        <w:gridCol w:w="2064"/>
        <w:gridCol w:w="2400"/>
        <w:gridCol w:w="1666"/>
        <w:gridCol w:w="1464"/>
        <w:gridCol w:w="2131"/>
        <w:gridCol w:w="1906"/>
      </w:tblGrid>
      <w:tr>
        <w:trPr>
          <w:trHeight w:val="442"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项目名称</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竣工时间</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2015</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本年增加</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本年销售</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本年竣工决算调整</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w:t>
            </w:r>
          </w:p>
        </w:tc>
      </w:tr>
      <w:tr>
        <w:trPr>
          <w:trHeight w:val="485"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济宁苏宁房地产项目</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7</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30</w:t>
            </w:r>
            <w:r>
              <w:rPr>
                <w:color w:val="000000"/>
                <w:spacing w:val="0"/>
                <w:w w:val="100"/>
                <w:position w:val="0"/>
                <w:sz w:val="20"/>
                <w:szCs w:val="20"/>
              </w:rPr>
              <w:t>日</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42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left"/>
              <w:rPr>
                <w:sz w:val="20"/>
                <w:szCs w:val="20"/>
              </w:rPr>
            </w:pPr>
            <w:r>
              <w:rPr>
                <w:rFonts w:ascii="Times New Roman" w:eastAsia="Times New Roman" w:hAnsi="Times New Roman" w:cs="Times New Roman"/>
                <w:color w:val="000000"/>
                <w:spacing w:val="0"/>
                <w:w w:val="100"/>
                <w:position w:val="0"/>
                <w:sz w:val="20"/>
                <w:szCs w:val="20"/>
              </w:rPr>
              <w:t>255,229</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left"/>
              <w:rPr>
                <w:sz w:val="20"/>
                <w:szCs w:val="20"/>
              </w:rPr>
            </w:pPr>
            <w:r>
              <w:rPr>
                <w:rFonts w:ascii="Times New Roman" w:eastAsia="Times New Roman" w:hAnsi="Times New Roman" w:cs="Times New Roman"/>
                <w:color w:val="000000"/>
                <w:spacing w:val="0"/>
                <w:w w:val="100"/>
                <w:position w:val="0"/>
                <w:sz w:val="20"/>
                <w:szCs w:val="20"/>
              </w:rPr>
              <w:t>(70,004)</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260" w:right="0" w:firstLine="0"/>
              <w:jc w:val="left"/>
              <w:rPr>
                <w:sz w:val="20"/>
                <w:szCs w:val="20"/>
              </w:rPr>
            </w:pPr>
            <w:r>
              <w:rPr>
                <w:rFonts w:ascii="Times New Roman" w:eastAsia="Times New Roman" w:hAnsi="Times New Roman" w:cs="Times New Roman"/>
                <w:color w:val="000000"/>
                <w:spacing w:val="0"/>
                <w:w w:val="100"/>
                <w:position w:val="0"/>
                <w:sz w:val="20"/>
                <w:szCs w:val="20"/>
              </w:rPr>
              <w:t>(2,835)</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220" w:right="0" w:firstLine="0"/>
              <w:jc w:val="left"/>
              <w:rPr>
                <w:sz w:val="20"/>
                <w:szCs w:val="20"/>
              </w:rPr>
            </w:pPr>
            <w:r>
              <w:rPr>
                <w:rFonts w:ascii="Times New Roman" w:eastAsia="Times New Roman" w:hAnsi="Times New Roman" w:cs="Times New Roman"/>
                <w:color w:val="000000"/>
                <w:spacing w:val="0"/>
                <w:w w:val="100"/>
                <w:position w:val="0"/>
                <w:sz w:val="20"/>
                <w:szCs w:val="20"/>
              </w:rPr>
              <w:t>182,390</w:t>
            </w:r>
          </w:p>
        </w:tc>
      </w:tr>
      <w:tr>
        <w:trPr>
          <w:trHeight w:val="317"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湖州苕溪苏宁房地产项目</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2014</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7</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15</w:t>
            </w:r>
            <w:r>
              <w:rPr>
                <w:color w:val="000000"/>
                <w:spacing w:val="0"/>
                <w:w w:val="100"/>
                <w:position w:val="0"/>
                <w:sz w:val="20"/>
                <w:szCs w:val="20"/>
              </w:rPr>
              <w:t>日</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300" w:right="0" w:firstLine="0"/>
              <w:jc w:val="left"/>
              <w:rPr>
                <w:sz w:val="20"/>
                <w:szCs w:val="20"/>
              </w:rPr>
            </w:pPr>
            <w:r>
              <w:rPr>
                <w:rFonts w:ascii="Times New Roman" w:eastAsia="Times New Roman" w:hAnsi="Times New Roman" w:cs="Times New Roman"/>
                <w:color w:val="000000"/>
                <w:spacing w:val="0"/>
                <w:w w:val="100"/>
                <w:position w:val="0"/>
                <w:sz w:val="20"/>
                <w:szCs w:val="20"/>
              </w:rPr>
              <w:t>169,532</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60"/>
              <w:jc w:val="left"/>
              <w:rPr>
                <w:sz w:val="20"/>
                <w:szCs w:val="20"/>
              </w:rPr>
            </w:pPr>
            <w:r>
              <w:rPr>
                <w:rFonts w:ascii="Times New Roman" w:eastAsia="Times New Roman" w:hAnsi="Times New Roman" w:cs="Times New Roman"/>
                <w:color w:val="000000"/>
                <w:spacing w:val="0"/>
                <w:w w:val="100"/>
                <w:position w:val="0"/>
                <w:sz w:val="20"/>
                <w:szCs w:val="20"/>
              </w:rPr>
              <w:t>8,015</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20"/>
              <w:jc w:val="left"/>
              <w:rPr>
                <w:sz w:val="20"/>
                <w:szCs w:val="20"/>
              </w:rPr>
            </w:pPr>
            <w:r>
              <w:rPr>
                <w:rFonts w:ascii="Times New Roman" w:eastAsia="Times New Roman" w:hAnsi="Times New Roman" w:cs="Times New Roman"/>
                <w:color w:val="000000"/>
                <w:spacing w:val="0"/>
                <w:w w:val="100"/>
                <w:position w:val="0"/>
                <w:sz w:val="20"/>
                <w:szCs w:val="20"/>
              </w:rPr>
              <w:t>(8,996)</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36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220" w:right="0" w:firstLine="0"/>
              <w:jc w:val="left"/>
              <w:rPr>
                <w:sz w:val="20"/>
                <w:szCs w:val="20"/>
              </w:rPr>
            </w:pPr>
            <w:r>
              <w:rPr>
                <w:rFonts w:ascii="Times New Roman" w:eastAsia="Times New Roman" w:hAnsi="Times New Roman" w:cs="Times New Roman"/>
                <w:color w:val="000000"/>
                <w:spacing w:val="0"/>
                <w:w w:val="100"/>
                <w:position w:val="0"/>
                <w:sz w:val="20"/>
                <w:szCs w:val="20"/>
              </w:rPr>
              <w:t>168,551</w:t>
            </w:r>
          </w:p>
        </w:tc>
      </w:tr>
      <w:tr>
        <w:trPr>
          <w:trHeight w:val="322"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汕头龙湖苏宁房地产项目</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2015</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25</w:t>
            </w:r>
            <w:r>
              <w:rPr>
                <w:color w:val="000000"/>
                <w:spacing w:val="0"/>
                <w:w w:val="100"/>
                <w:position w:val="0"/>
                <w:sz w:val="20"/>
                <w:szCs w:val="20"/>
              </w:rPr>
              <w:t>日</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300" w:right="0" w:firstLine="0"/>
              <w:jc w:val="left"/>
              <w:rPr>
                <w:sz w:val="20"/>
                <w:szCs w:val="20"/>
              </w:rPr>
            </w:pPr>
            <w:r>
              <w:rPr>
                <w:rFonts w:ascii="Times New Roman" w:eastAsia="Times New Roman" w:hAnsi="Times New Roman" w:cs="Times New Roman"/>
                <w:color w:val="000000"/>
                <w:spacing w:val="0"/>
                <w:w w:val="100"/>
                <w:position w:val="0"/>
                <w:sz w:val="20"/>
                <w:szCs w:val="20"/>
              </w:rPr>
              <w:t>246,125</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60"/>
              <w:jc w:val="left"/>
              <w:rPr>
                <w:sz w:val="20"/>
                <w:szCs w:val="20"/>
              </w:rPr>
            </w:pPr>
            <w:r>
              <w:rPr>
                <w:rFonts w:ascii="Times New Roman" w:eastAsia="Times New Roman" w:hAnsi="Times New Roman" w:cs="Times New Roman"/>
                <w:color w:val="000000"/>
                <w:spacing w:val="0"/>
                <w:w w:val="100"/>
                <w:position w:val="0"/>
                <w:sz w:val="20"/>
                <w:szCs w:val="20"/>
              </w:rPr>
              <w:t>1,255</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left"/>
              <w:rPr>
                <w:sz w:val="20"/>
                <w:szCs w:val="20"/>
              </w:rPr>
            </w:pPr>
            <w:r>
              <w:rPr>
                <w:rFonts w:ascii="Times New Roman" w:eastAsia="Times New Roman" w:hAnsi="Times New Roman" w:cs="Times New Roman"/>
                <w:color w:val="000000"/>
                <w:spacing w:val="0"/>
                <w:w w:val="100"/>
                <w:position w:val="0"/>
                <w:sz w:val="20"/>
                <w:szCs w:val="20"/>
              </w:rPr>
              <w:t>(74,275)</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260" w:right="0" w:firstLine="0"/>
              <w:jc w:val="left"/>
              <w:rPr>
                <w:sz w:val="20"/>
                <w:szCs w:val="20"/>
              </w:rPr>
            </w:pPr>
            <w:r>
              <w:rPr>
                <w:rFonts w:ascii="Times New Roman" w:eastAsia="Times New Roman" w:hAnsi="Times New Roman" w:cs="Times New Roman"/>
                <w:color w:val="000000"/>
                <w:spacing w:val="0"/>
                <w:w w:val="100"/>
                <w:position w:val="0"/>
                <w:sz w:val="20"/>
                <w:szCs w:val="20"/>
              </w:rPr>
              <w:t>(6,046)</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220" w:right="0" w:firstLine="0"/>
              <w:jc w:val="left"/>
              <w:rPr>
                <w:sz w:val="20"/>
                <w:szCs w:val="20"/>
              </w:rPr>
            </w:pPr>
            <w:r>
              <w:rPr>
                <w:rFonts w:ascii="Times New Roman" w:eastAsia="Times New Roman" w:hAnsi="Times New Roman" w:cs="Times New Roman"/>
                <w:color w:val="000000"/>
                <w:spacing w:val="0"/>
                <w:w w:val="100"/>
                <w:position w:val="0"/>
                <w:sz w:val="20"/>
                <w:szCs w:val="20"/>
              </w:rPr>
              <w:t>167,059</w:t>
            </w:r>
          </w:p>
        </w:tc>
      </w:tr>
      <w:tr>
        <w:trPr>
          <w:trHeight w:val="312"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上海奉贤苏宁房地产项目</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2015</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日</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300" w:right="0" w:firstLine="0"/>
              <w:jc w:val="left"/>
              <w:rPr>
                <w:sz w:val="20"/>
                <w:szCs w:val="20"/>
              </w:rPr>
            </w:pPr>
            <w:r>
              <w:rPr>
                <w:rFonts w:ascii="Times New Roman" w:eastAsia="Times New Roman" w:hAnsi="Times New Roman" w:cs="Times New Roman"/>
                <w:color w:val="000000"/>
                <w:spacing w:val="0"/>
                <w:w w:val="100"/>
                <w:position w:val="0"/>
                <w:sz w:val="20"/>
                <w:szCs w:val="20"/>
              </w:rPr>
              <w:t>101,875</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60"/>
              <w:jc w:val="left"/>
              <w:rPr>
                <w:sz w:val="20"/>
                <w:szCs w:val="20"/>
              </w:rPr>
            </w:pPr>
            <w:r>
              <w:rPr>
                <w:rFonts w:ascii="Times New Roman" w:eastAsia="Times New Roman" w:hAnsi="Times New Roman" w:cs="Times New Roman"/>
                <w:color w:val="000000"/>
                <w:spacing w:val="0"/>
                <w:w w:val="100"/>
                <w:position w:val="0"/>
                <w:sz w:val="20"/>
                <w:szCs w:val="20"/>
              </w:rPr>
              <w:t>3,560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left"/>
              <w:rPr>
                <w:sz w:val="20"/>
                <w:szCs w:val="20"/>
              </w:rPr>
            </w:pPr>
            <w:r>
              <w:rPr>
                <w:rFonts w:ascii="Times New Roman" w:eastAsia="Times New Roman" w:hAnsi="Times New Roman" w:cs="Times New Roman"/>
                <w:color w:val="000000"/>
                <w:spacing w:val="0"/>
                <w:w w:val="100"/>
                <w:position w:val="0"/>
                <w:sz w:val="20"/>
                <w:szCs w:val="20"/>
              </w:rPr>
              <w:t>(50,354)</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260" w:right="0" w:firstLine="0"/>
              <w:jc w:val="left"/>
              <w:rPr>
                <w:sz w:val="20"/>
                <w:szCs w:val="20"/>
              </w:rPr>
            </w:pPr>
            <w:r>
              <w:rPr>
                <w:rFonts w:ascii="Times New Roman" w:eastAsia="Times New Roman" w:hAnsi="Times New Roman" w:cs="Times New Roman"/>
                <w:color w:val="000000"/>
                <w:spacing w:val="0"/>
                <w:w w:val="100"/>
                <w:position w:val="0"/>
                <w:sz w:val="20"/>
                <w:szCs w:val="20"/>
              </w:rPr>
              <w:t>(4,136)</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50,945</w:t>
            </w:r>
          </w:p>
        </w:tc>
      </w:tr>
      <w:tr>
        <w:trPr>
          <w:trHeight w:val="283"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北京房山苏宁房地产项目</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2014</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30</w:t>
            </w:r>
            <w:r>
              <w:rPr>
                <w:color w:val="000000"/>
                <w:spacing w:val="0"/>
                <w:w w:val="100"/>
                <w:position w:val="0"/>
                <w:sz w:val="20"/>
                <w:szCs w:val="20"/>
              </w:rPr>
              <w:t>日</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400" w:right="0" w:firstLine="0"/>
              <w:jc w:val="left"/>
              <w:rPr>
                <w:sz w:val="20"/>
                <w:szCs w:val="20"/>
              </w:rPr>
            </w:pPr>
            <w:r>
              <w:rPr>
                <w:rFonts w:ascii="Times New Roman" w:eastAsia="Times New Roman" w:hAnsi="Times New Roman" w:cs="Times New Roman"/>
                <w:color w:val="000000"/>
                <w:spacing w:val="0"/>
                <w:w w:val="100"/>
                <w:position w:val="0"/>
                <w:sz w:val="20"/>
                <w:szCs w:val="20"/>
              </w:rPr>
              <w:t>56,044</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20"/>
              <w:jc w:val="left"/>
              <w:rPr>
                <w:sz w:val="20"/>
                <w:szCs w:val="20"/>
              </w:rPr>
            </w:pPr>
            <w:r>
              <w:rPr>
                <w:rFonts w:ascii="Times New Roman" w:eastAsia="Times New Roman" w:hAnsi="Times New Roman" w:cs="Times New Roman"/>
                <w:color w:val="000000"/>
                <w:spacing w:val="0"/>
                <w:w w:val="100"/>
                <w:position w:val="0"/>
                <w:sz w:val="20"/>
                <w:szCs w:val="20"/>
              </w:rPr>
              <w:t>377</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left"/>
              <w:rPr>
                <w:sz w:val="20"/>
                <w:szCs w:val="20"/>
              </w:rPr>
            </w:pPr>
            <w:r>
              <w:rPr>
                <w:rFonts w:ascii="Times New Roman" w:eastAsia="Times New Roman" w:hAnsi="Times New Roman" w:cs="Times New Roman"/>
                <w:color w:val="000000"/>
                <w:spacing w:val="0"/>
                <w:w w:val="100"/>
                <w:position w:val="0"/>
                <w:sz w:val="20"/>
                <w:szCs w:val="20"/>
              </w:rPr>
              <w:t>(27,816)</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36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28,605</w:t>
            </w:r>
          </w:p>
        </w:tc>
      </w:tr>
      <w:tr>
        <w:trPr>
          <w:trHeight w:val="350"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300" w:right="0" w:firstLine="0"/>
              <w:jc w:val="left"/>
              <w:rPr>
                <w:sz w:val="20"/>
                <w:szCs w:val="20"/>
              </w:rPr>
            </w:pPr>
            <w:r>
              <w:rPr>
                <w:rFonts w:ascii="Times New Roman" w:eastAsia="Times New Roman" w:hAnsi="Times New Roman" w:cs="Times New Roman"/>
                <w:color w:val="000000"/>
                <w:spacing w:val="0"/>
                <w:w w:val="100"/>
                <w:position w:val="0"/>
                <w:sz w:val="20"/>
                <w:szCs w:val="20"/>
              </w:rPr>
              <w:t>573,576</w:t>
            </w:r>
          </w:p>
        </w:tc>
        <w:tc>
          <w:tcPr>
            <w:tcBorders>
              <w:top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left"/>
              <w:rPr>
                <w:sz w:val="20"/>
                <w:szCs w:val="20"/>
              </w:rPr>
            </w:pPr>
            <w:r>
              <w:rPr>
                <w:rFonts w:ascii="Times New Roman" w:eastAsia="Times New Roman" w:hAnsi="Times New Roman" w:cs="Times New Roman"/>
                <w:color w:val="000000"/>
                <w:spacing w:val="0"/>
                <w:w w:val="100"/>
                <w:position w:val="0"/>
                <w:sz w:val="20"/>
                <w:szCs w:val="20"/>
              </w:rPr>
              <w:t>268,436</w:t>
            </w:r>
          </w:p>
        </w:tc>
        <w:tc>
          <w:tcPr>
            <w:tcBorders>
              <w:top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(231,445)</w:t>
            </w:r>
          </w:p>
        </w:tc>
        <w:tc>
          <w:tcPr>
            <w:tcBorders>
              <w:top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260" w:firstLine="0"/>
              <w:jc w:val="right"/>
              <w:rPr>
                <w:sz w:val="20"/>
                <w:szCs w:val="20"/>
              </w:rPr>
            </w:pPr>
            <w:r>
              <w:rPr>
                <w:rFonts w:ascii="Times New Roman" w:eastAsia="Times New Roman" w:hAnsi="Times New Roman" w:cs="Times New Roman"/>
                <w:color w:val="000000"/>
                <w:spacing w:val="0"/>
                <w:w w:val="100"/>
                <w:position w:val="0"/>
                <w:sz w:val="20"/>
                <w:szCs w:val="20"/>
              </w:rPr>
              <w:t>(13,017)</w:t>
            </w:r>
          </w:p>
        </w:tc>
        <w:tc>
          <w:tcPr>
            <w:tcBorders>
              <w:top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220" w:right="0" w:firstLine="0"/>
              <w:jc w:val="left"/>
              <w:rPr>
                <w:sz w:val="20"/>
                <w:szCs w:val="20"/>
              </w:rPr>
            </w:pPr>
            <w:r>
              <w:rPr>
                <w:rFonts w:ascii="Times New Roman" w:eastAsia="Times New Roman" w:hAnsi="Times New Roman" w:cs="Times New Roman"/>
                <w:color w:val="000000"/>
                <w:spacing w:val="0"/>
                <w:w w:val="100"/>
                <w:position w:val="0"/>
                <w:sz w:val="20"/>
                <w:szCs w:val="20"/>
              </w:rPr>
              <w:t>597,550</w:t>
            </w:r>
          </w:p>
        </w:tc>
      </w:tr>
    </w:tbl>
    <w:p>
      <w:pPr>
        <w:widowControl w:val="0"/>
        <w:spacing w:after="219" w:line="1" w:lineRule="exact"/>
      </w:pPr>
    </w:p>
    <w:p>
      <w:pPr>
        <w:pStyle w:val="Style32"/>
        <w:keepNext w:val="0"/>
        <w:keepLines w:val="0"/>
        <w:widowControl w:val="0"/>
        <w:shd w:val="clear" w:color="auto" w:fill="auto"/>
        <w:bidi w:val="0"/>
        <w:spacing w:before="0" w:after="300" w:line="240" w:lineRule="auto"/>
        <w:ind w:left="0" w:right="0" w:firstLine="700"/>
        <w:jc w:val="both"/>
        <w:rPr>
          <w:sz w:val="24"/>
          <w:szCs w:val="24"/>
        </w:rPr>
        <w:sectPr>
          <w:footnotePr>
            <w:pos w:val="pageBottom"/>
            <w:numFmt w:val="decimal"/>
            <w:numRestart w:val="continuous"/>
          </w:footnotePr>
          <w:pgSz w:w="16840" w:h="11900" w:orient="landscape"/>
          <w:pgMar w:top="1350" w:right="1499" w:bottom="1350" w:left="702" w:header="0" w:footer="3" w:gutter="0"/>
          <w:cols w:space="720"/>
          <w:noEndnote/>
          <w:rtlGutter w:val="0"/>
          <w:docGrid w:linePitch="360"/>
        </w:sectPr>
      </w:pPr>
      <w:r>
        <w:rPr>
          <w:color w:val="000000"/>
          <w:spacing w:val="0"/>
          <w:w w:val="100"/>
          <w:position w:val="0"/>
          <w:sz w:val="24"/>
          <w:szCs w:val="24"/>
        </w:rPr>
        <w:t>于</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日，本集团无房地产开发产品作为借款的抵押物</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日：无</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w:t>
      </w:r>
    </w:p>
    <w:p>
      <w:pPr>
        <w:pStyle w:val="Style32"/>
        <w:keepNext w:val="0"/>
        <w:keepLines w:val="0"/>
        <w:widowControl w:val="0"/>
        <w:shd w:val="clear" w:color="auto" w:fill="auto"/>
        <w:bidi w:val="0"/>
        <w:spacing w:before="0" w:after="0" w:line="240" w:lineRule="auto"/>
        <w:ind w:left="0" w:right="0" w:firstLine="820"/>
        <w:jc w:val="left"/>
        <w:rPr>
          <w:sz w:val="24"/>
          <w:szCs w:val="24"/>
        </w:rPr>
      </w:pPr>
      <w:r>
        <w:rPr>
          <w:b/>
          <w:bCs/>
          <w:color w:val="000000"/>
          <w:spacing w:val="0"/>
          <w:w w:val="100"/>
          <w:position w:val="0"/>
          <w:sz w:val="24"/>
          <w:szCs w:val="24"/>
        </w:rPr>
        <w:t>财务报表附注</w:t>
      </w:r>
    </w:p>
    <w:p>
      <w:pPr>
        <w:pStyle w:val="Style88"/>
        <w:keepNext/>
        <w:keepLines/>
        <w:widowControl w:val="0"/>
        <w:shd w:val="clear" w:color="auto" w:fill="auto"/>
        <w:bidi w:val="0"/>
        <w:spacing w:before="0" w:after="0" w:line="240" w:lineRule="auto"/>
        <w:ind w:left="0" w:right="0" w:firstLine="820"/>
        <w:jc w:val="left"/>
      </w:pPr>
      <w:bookmarkStart w:id="859" w:name="bookmark859"/>
      <w:bookmarkStart w:id="860" w:name="bookmark860"/>
      <w:bookmarkStart w:id="861" w:name="bookmark861"/>
      <w:r>
        <w:rPr>
          <w:color w:val="000000"/>
          <w:spacing w:val="0"/>
          <w:w w:val="100"/>
          <w:position w:val="0"/>
          <w:sz w:val="24"/>
          <w:szCs w:val="24"/>
        </w:rPr>
        <w:t>2016</w:t>
      </w:r>
      <w:r>
        <w:rPr>
          <w:rFonts w:ascii="SimSun" w:eastAsia="SimSun" w:hAnsi="SimSun" w:cs="SimSun"/>
          <w:b/>
          <w:bCs/>
          <w:color w:val="000000"/>
          <w:spacing w:val="0"/>
          <w:w w:val="100"/>
          <w:position w:val="0"/>
          <w:sz w:val="24"/>
          <w:szCs w:val="24"/>
        </w:rPr>
        <w:t>年度</w:t>
      </w:r>
      <w:bookmarkEnd w:id="859"/>
      <w:bookmarkEnd w:id="860"/>
      <w:bookmarkEnd w:id="861"/>
    </w:p>
    <w:p>
      <w:pPr>
        <w:pStyle w:val="Style32"/>
        <w:keepNext w:val="0"/>
        <w:keepLines w:val="0"/>
        <w:widowControl w:val="0"/>
        <w:shd w:val="clear" w:color="auto" w:fill="auto"/>
        <w:bidi w:val="0"/>
        <w:spacing w:before="0" w:after="240" w:line="240" w:lineRule="auto"/>
        <w:ind w:left="0" w:right="0" w:firstLine="820"/>
        <w:jc w:val="left"/>
        <w:rPr>
          <w:sz w:val="24"/>
          <w:szCs w:val="24"/>
        </w:rPr>
      </w:pPr>
      <w:r>
        <w:rPr>
          <w:rFonts w:ascii="Arial" w:eastAsia="Arial" w:hAnsi="Arial" w:cs="Arial"/>
          <w:color w:val="000000"/>
          <w:spacing w:val="0"/>
          <w:w w:val="100"/>
          <w:position w:val="0"/>
          <w:sz w:val="20"/>
          <w:szCs w:val="20"/>
        </w:rPr>
        <w:t>(</w:t>
      </w:r>
      <w:r>
        <w:rPr>
          <w:color w:val="000000"/>
          <w:spacing w:val="0"/>
          <w:w w:val="100"/>
          <w:position w:val="0"/>
          <w:sz w:val="20"/>
          <w:szCs w:val="20"/>
        </w:rPr>
        <w:t>除特别注明外，金额单位为人民币千元</w:t>
      </w:r>
      <w:r>
        <w:rPr>
          <w:color w:val="000000"/>
          <w:spacing w:val="0"/>
          <w:w w:val="100"/>
          <w:position w:val="0"/>
          <w:sz w:val="24"/>
          <w:szCs w:val="24"/>
        </w:rPr>
        <w:t>)</w:t>
      </w:r>
    </w:p>
    <w:p>
      <w:pPr>
        <w:pStyle w:val="Style32"/>
        <w:keepNext w:val="0"/>
        <w:keepLines w:val="0"/>
        <w:widowControl w:val="0"/>
        <w:shd w:val="clear" w:color="auto" w:fill="auto"/>
        <w:tabs>
          <w:tab w:pos="722" w:val="left"/>
        </w:tabs>
        <w:bidi w:val="0"/>
        <w:spacing w:before="0" w:after="240" w:line="240" w:lineRule="auto"/>
        <w:ind w:left="0" w:right="0" w:firstLine="0"/>
        <w:jc w:val="left"/>
        <w:rPr>
          <w:sz w:val="24"/>
          <w:szCs w:val="24"/>
        </w:rPr>
      </w:pPr>
      <w:r>
        <w:rPr>
          <w:b/>
          <w:bCs/>
          <w:color w:val="000000"/>
          <w:spacing w:val="0"/>
          <w:w w:val="100"/>
          <w:position w:val="0"/>
          <w:sz w:val="24"/>
          <w:szCs w:val="24"/>
        </w:rPr>
        <w:t>四</w:t>
        <w:tab/>
        <w:t>合并财务报表项目附注</w:t>
      </w:r>
      <w:r>
        <w:rPr>
          <w:rFonts w:ascii="Times New Roman" w:eastAsia="Times New Roman" w:hAnsi="Times New Roman" w:cs="Times New Roman"/>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4"/>
          <w:szCs w:val="24"/>
        </w:rPr>
        <w:t>)</w:t>
      </w:r>
    </w:p>
    <w:p>
      <w:pPr>
        <w:pStyle w:val="Style32"/>
        <w:keepNext w:val="0"/>
        <w:keepLines w:val="0"/>
        <w:widowControl w:val="0"/>
        <w:shd w:val="clear" w:color="auto" w:fill="auto"/>
        <w:tabs>
          <w:tab w:pos="722" w:val="left"/>
        </w:tabs>
        <w:bidi w:val="0"/>
        <w:spacing w:before="0" w:after="24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(10)</w:t>
        <w:tab/>
      </w:r>
      <w:r>
        <w:rPr>
          <w:b/>
          <w:bCs/>
          <w:color w:val="000000"/>
          <w:spacing w:val="0"/>
          <w:w w:val="100"/>
          <w:position w:val="0"/>
          <w:sz w:val="24"/>
          <w:szCs w:val="24"/>
        </w:rPr>
        <w:t>其他流动资产</w:t>
      </w:r>
    </w:p>
    <w:p>
      <w:pPr>
        <w:pStyle w:val="Style53"/>
        <w:keepNext w:val="0"/>
        <w:keepLines w:val="0"/>
        <w:widowControl w:val="0"/>
        <w:shd w:val="clear" w:color="auto" w:fill="auto"/>
        <w:bidi w:val="0"/>
        <w:spacing w:before="0" w:after="340" w:line="240" w:lineRule="auto"/>
        <w:ind w:left="0" w:right="0" w:firstLine="0"/>
        <w:jc w:val="right"/>
        <w:rPr>
          <w:sz w:val="24"/>
          <w:szCs w:val="24"/>
        </w:rPr>
      </w:pPr>
      <w:r>
        <w:rPr>
          <w:color w:val="000000"/>
          <w:spacing w:val="0"/>
          <w:w w:val="100"/>
          <w:position w:val="0"/>
          <w:sz w:val="24"/>
          <w:szCs w:val="24"/>
        </w:rPr>
        <w:t>2016</w:t>
      </w:r>
      <w:r>
        <w:rPr>
          <w:rFonts w:ascii="SimSun" w:eastAsia="SimSun" w:hAnsi="SimSun" w:cs="SimSun"/>
          <w:color w:val="000000"/>
          <w:spacing w:val="0"/>
          <w:w w:val="100"/>
          <w:position w:val="0"/>
          <w:sz w:val="24"/>
          <w:szCs w:val="24"/>
        </w:rPr>
        <w:t>年</w:t>
      </w:r>
      <w:r>
        <w:rPr>
          <w:color w:val="000000"/>
          <w:spacing w:val="0"/>
          <w:w w:val="100"/>
          <w:position w:val="0"/>
          <w:sz w:val="24"/>
          <w:szCs w:val="24"/>
        </w:rPr>
        <w:t>12</w:t>
      </w:r>
      <w:r>
        <w:rPr>
          <w:rFonts w:ascii="SimSun" w:eastAsia="SimSun" w:hAnsi="SimSun" w:cs="SimSun"/>
          <w:color w:val="000000"/>
          <w:spacing w:val="0"/>
          <w:w w:val="100"/>
          <w:position w:val="0"/>
          <w:sz w:val="24"/>
          <w:szCs w:val="24"/>
        </w:rPr>
        <w:t>月</w:t>
      </w:r>
      <w:r>
        <w:rPr>
          <w:color w:val="000000"/>
          <w:spacing w:val="0"/>
          <w:w w:val="100"/>
          <w:position w:val="0"/>
          <w:sz w:val="24"/>
          <w:szCs w:val="24"/>
        </w:rPr>
        <w:t>31</w:t>
      </w:r>
      <w:r>
        <w:rPr>
          <w:rFonts w:ascii="SimSun" w:eastAsia="SimSun" w:hAnsi="SimSun" w:cs="SimSun"/>
          <w:color w:val="000000"/>
          <w:spacing w:val="0"/>
          <w:w w:val="100"/>
          <w:position w:val="0"/>
          <w:sz w:val="24"/>
          <w:szCs w:val="24"/>
        </w:rPr>
        <w:t xml:space="preserve">日 </w:t>
      </w:r>
      <w:r>
        <w:rPr>
          <w:color w:val="000000"/>
          <w:spacing w:val="0"/>
          <w:w w:val="100"/>
          <w:position w:val="0"/>
          <w:sz w:val="24"/>
          <w:szCs w:val="24"/>
        </w:rPr>
        <w:t>2015</w:t>
      </w:r>
      <w:r>
        <w:rPr>
          <w:rFonts w:ascii="SimSun" w:eastAsia="SimSun" w:hAnsi="SimSun" w:cs="SimSun"/>
          <w:color w:val="000000"/>
          <w:spacing w:val="0"/>
          <w:w w:val="100"/>
          <w:position w:val="0"/>
          <w:sz w:val="24"/>
          <w:szCs w:val="24"/>
        </w:rPr>
        <w:t>年</w:t>
      </w:r>
      <w:r>
        <w:rPr>
          <w:color w:val="000000"/>
          <w:spacing w:val="0"/>
          <w:w w:val="100"/>
          <w:position w:val="0"/>
          <w:sz w:val="24"/>
          <w:szCs w:val="24"/>
        </w:rPr>
        <w:t>12</w:t>
      </w:r>
      <w:r>
        <w:rPr>
          <w:rFonts w:ascii="SimSun" w:eastAsia="SimSun" w:hAnsi="SimSun" w:cs="SimSun"/>
          <w:color w:val="000000"/>
          <w:spacing w:val="0"/>
          <w:w w:val="100"/>
          <w:position w:val="0"/>
          <w:sz w:val="24"/>
          <w:szCs w:val="24"/>
        </w:rPr>
        <w:t>月</w:t>
      </w:r>
      <w:r>
        <w:rPr>
          <w:color w:val="000000"/>
          <w:spacing w:val="0"/>
          <w:w w:val="100"/>
          <w:position w:val="0"/>
          <w:sz w:val="24"/>
          <w:szCs w:val="24"/>
        </w:rPr>
        <w:t>31</w:t>
      </w:r>
      <w:r>
        <w:rPr>
          <w:rFonts w:ascii="SimSun" w:eastAsia="SimSun" w:hAnsi="SimSun" w:cs="SimSun"/>
          <w:color w:val="000000"/>
          <w:spacing w:val="0"/>
          <w:w w:val="100"/>
          <w:position w:val="0"/>
          <w:sz w:val="24"/>
          <w:szCs w:val="24"/>
        </w:rPr>
        <w:t>日</w:t>
      </w:r>
    </w:p>
    <w:tbl>
      <w:tblPr>
        <w:tblOverlap w:val="never"/>
        <w:jc w:val="left"/>
        <w:tblLayout w:type="fixed"/>
      </w:tblPr>
      <w:tblGrid>
        <w:gridCol w:w="3590"/>
        <w:gridCol w:w="2405"/>
        <w:gridCol w:w="2256"/>
      </w:tblGrid>
      <w:tr>
        <w:trPr>
          <w:trHeight w:val="326" w:hRule="exact"/>
        </w:trPr>
        <w:tc>
          <w:tcPr>
            <w:tcBorders/>
            <w:shd w:val="clear" w:color="auto" w:fill="FFFFFF"/>
            <w:vAlign w:val="bottom"/>
          </w:tcPr>
          <w:p>
            <w:pPr>
              <w:pStyle w:val="Style28"/>
              <w:keepNext w:val="0"/>
              <w:keepLines w:val="0"/>
              <w:framePr w:w="8251" w:h="8107" w:hSpace="787" w:wrap="notBeside" w:vAnchor="text" w:hAnchor="text" w:x="788" w:y="1"/>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可供出售金融资产</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附注四</w:t>
            </w:r>
            <w:r>
              <w:rPr>
                <w:rFonts w:ascii="Times New Roman" w:eastAsia="Times New Roman" w:hAnsi="Times New Roman" w:cs="Times New Roman"/>
                <w:color w:val="000000"/>
                <w:spacing w:val="0"/>
                <w:w w:val="100"/>
                <w:position w:val="0"/>
                <w:sz w:val="24"/>
                <w:szCs w:val="24"/>
              </w:rPr>
              <w:t>(11))</w:t>
            </w:r>
          </w:p>
        </w:tc>
        <w:tc>
          <w:tcPr>
            <w:tcBorders/>
            <w:shd w:val="clear" w:color="auto" w:fill="FFFFFF"/>
            <w:vAlign w:val="bottom"/>
          </w:tcPr>
          <w:p>
            <w:pPr>
              <w:pStyle w:val="Style28"/>
              <w:keepNext w:val="0"/>
              <w:keepLines w:val="0"/>
              <w:framePr w:w="8251" w:h="8107" w:hSpace="787" w:wrap="notBeside" w:vAnchor="text" w:hAnchor="text" w:x="788" w:y="1"/>
              <w:widowControl w:val="0"/>
              <w:shd w:val="clear" w:color="auto" w:fill="auto"/>
              <w:bidi w:val="0"/>
              <w:spacing w:before="0" w:after="0" w:line="240" w:lineRule="auto"/>
              <w:ind w:left="0" w:right="0" w:firstLine="1000"/>
              <w:jc w:val="left"/>
              <w:rPr>
                <w:sz w:val="24"/>
                <w:szCs w:val="24"/>
              </w:rPr>
            </w:pPr>
            <w:r>
              <w:rPr>
                <w:rFonts w:ascii="Times New Roman" w:eastAsia="Times New Roman" w:hAnsi="Times New Roman" w:cs="Times New Roman"/>
                <w:color w:val="000000"/>
                <w:spacing w:val="0"/>
                <w:w w:val="100"/>
                <w:position w:val="0"/>
                <w:sz w:val="24"/>
                <w:szCs w:val="24"/>
              </w:rPr>
              <w:t>17,821,905</w:t>
            </w:r>
          </w:p>
        </w:tc>
        <w:tc>
          <w:tcPr>
            <w:tcBorders/>
            <w:shd w:val="clear" w:color="auto" w:fill="FFFFFF"/>
            <w:vAlign w:val="bottom"/>
          </w:tcPr>
          <w:p>
            <w:pPr>
              <w:pStyle w:val="Style28"/>
              <w:keepNext w:val="0"/>
              <w:keepLines w:val="0"/>
              <w:framePr w:w="8251" w:h="8107" w:hSpace="787" w:wrap="notBeside" w:vAnchor="text" w:hAnchor="text" w:x="788" w:y="1"/>
              <w:widowControl w:val="0"/>
              <w:shd w:val="clear" w:color="auto" w:fill="auto"/>
              <w:bidi w:val="0"/>
              <w:spacing w:before="0" w:after="0" w:line="240" w:lineRule="auto"/>
              <w:ind w:left="1140" w:right="0" w:firstLine="0"/>
              <w:jc w:val="both"/>
              <w:rPr>
                <w:sz w:val="24"/>
                <w:szCs w:val="24"/>
              </w:rPr>
            </w:pPr>
            <w:r>
              <w:rPr>
                <w:rFonts w:ascii="Times New Roman" w:eastAsia="Times New Roman" w:hAnsi="Times New Roman" w:cs="Times New Roman"/>
                <w:color w:val="000000"/>
                <w:spacing w:val="0"/>
                <w:w w:val="100"/>
                <w:position w:val="0"/>
                <w:sz w:val="24"/>
                <w:szCs w:val="24"/>
              </w:rPr>
              <w:t>1,502,959</w:t>
            </w:r>
          </w:p>
        </w:tc>
      </w:tr>
      <w:tr>
        <w:trPr>
          <w:trHeight w:val="336" w:hRule="exact"/>
        </w:trPr>
        <w:tc>
          <w:tcPr>
            <w:tcBorders/>
            <w:shd w:val="clear" w:color="auto" w:fill="FFFFFF"/>
            <w:vAlign w:val="bottom"/>
          </w:tcPr>
          <w:p>
            <w:pPr>
              <w:pStyle w:val="Style28"/>
              <w:keepNext w:val="0"/>
              <w:keepLines w:val="0"/>
              <w:framePr w:w="8251" w:h="8107" w:hSpace="787" w:wrap="notBeside" w:vAnchor="text" w:hAnchor="text" w:x="788" w:y="1"/>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预付房屋租赁费</w:t>
            </w:r>
          </w:p>
        </w:tc>
        <w:tc>
          <w:tcPr>
            <w:tcBorders/>
            <w:shd w:val="clear" w:color="auto" w:fill="FFFFFF"/>
            <w:vAlign w:val="bottom"/>
          </w:tcPr>
          <w:p>
            <w:pPr>
              <w:pStyle w:val="Style28"/>
              <w:keepNext w:val="0"/>
              <w:keepLines w:val="0"/>
              <w:framePr w:w="8251" w:h="8107" w:hSpace="787" w:wrap="notBeside" w:vAnchor="text" w:hAnchor="text" w:x="788" w:y="1"/>
              <w:widowControl w:val="0"/>
              <w:shd w:val="clear" w:color="auto" w:fill="auto"/>
              <w:bidi w:val="0"/>
              <w:spacing w:before="0" w:after="0" w:line="240" w:lineRule="auto"/>
              <w:ind w:left="0" w:right="240" w:firstLine="0"/>
              <w:jc w:val="right"/>
              <w:rPr>
                <w:sz w:val="24"/>
                <w:szCs w:val="24"/>
              </w:rPr>
            </w:pPr>
            <w:r>
              <w:rPr>
                <w:rFonts w:ascii="Times New Roman" w:eastAsia="Times New Roman" w:hAnsi="Times New Roman" w:cs="Times New Roman"/>
                <w:color w:val="000000"/>
                <w:spacing w:val="0"/>
                <w:w w:val="100"/>
                <w:position w:val="0"/>
                <w:sz w:val="24"/>
                <w:szCs w:val="24"/>
              </w:rPr>
              <w:t>1,700,429</w:t>
            </w:r>
          </w:p>
        </w:tc>
        <w:tc>
          <w:tcPr>
            <w:tcBorders/>
            <w:shd w:val="clear" w:color="auto" w:fill="FFFFFF"/>
            <w:vAlign w:val="bottom"/>
          </w:tcPr>
          <w:p>
            <w:pPr>
              <w:pStyle w:val="Style28"/>
              <w:keepNext w:val="0"/>
              <w:keepLines w:val="0"/>
              <w:framePr w:w="8251" w:h="8107" w:hSpace="787" w:wrap="notBeside" w:vAnchor="text" w:hAnchor="text" w:x="788" w:y="1"/>
              <w:widowControl w:val="0"/>
              <w:shd w:val="clear" w:color="auto" w:fill="auto"/>
              <w:bidi w:val="0"/>
              <w:spacing w:before="0" w:after="0" w:line="240" w:lineRule="auto"/>
              <w:ind w:left="1140" w:right="0" w:firstLine="0"/>
              <w:jc w:val="both"/>
              <w:rPr>
                <w:sz w:val="24"/>
                <w:szCs w:val="24"/>
              </w:rPr>
            </w:pPr>
            <w:r>
              <w:rPr>
                <w:rFonts w:ascii="Times New Roman" w:eastAsia="Times New Roman" w:hAnsi="Times New Roman" w:cs="Times New Roman"/>
                <w:color w:val="000000"/>
                <w:spacing w:val="0"/>
                <w:w w:val="100"/>
                <w:position w:val="0"/>
                <w:sz w:val="24"/>
                <w:szCs w:val="24"/>
              </w:rPr>
              <w:t>1,576,112</w:t>
            </w:r>
          </w:p>
        </w:tc>
      </w:tr>
      <w:tr>
        <w:trPr>
          <w:trHeight w:val="346" w:hRule="exact"/>
        </w:trPr>
        <w:tc>
          <w:tcPr>
            <w:tcBorders/>
            <w:shd w:val="clear" w:color="auto" w:fill="FFFFFF"/>
            <w:vAlign w:val="bottom"/>
          </w:tcPr>
          <w:p>
            <w:pPr>
              <w:pStyle w:val="Style28"/>
              <w:keepNext w:val="0"/>
              <w:keepLines w:val="0"/>
              <w:framePr w:w="8251" w:h="8107" w:hSpace="787" w:wrap="notBeside" w:vAnchor="text" w:hAnchor="text" w:x="788" w:y="1"/>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待抵扣增值税进项税额</w:t>
            </w:r>
          </w:p>
        </w:tc>
        <w:tc>
          <w:tcPr>
            <w:tcBorders/>
            <w:shd w:val="clear" w:color="auto" w:fill="FFFFFF"/>
            <w:vAlign w:val="bottom"/>
          </w:tcPr>
          <w:p>
            <w:pPr>
              <w:pStyle w:val="Style28"/>
              <w:keepNext w:val="0"/>
              <w:keepLines w:val="0"/>
              <w:framePr w:w="8251" w:h="8107" w:hSpace="787" w:wrap="notBeside" w:vAnchor="text" w:hAnchor="text" w:x="788" w:y="1"/>
              <w:widowControl w:val="0"/>
              <w:shd w:val="clear" w:color="auto" w:fill="auto"/>
              <w:bidi w:val="0"/>
              <w:spacing w:before="0" w:after="0" w:line="240" w:lineRule="auto"/>
              <w:ind w:left="0" w:right="240" w:firstLine="0"/>
              <w:jc w:val="right"/>
              <w:rPr>
                <w:sz w:val="24"/>
                <w:szCs w:val="24"/>
              </w:rPr>
            </w:pPr>
            <w:r>
              <w:rPr>
                <w:rFonts w:ascii="Times New Roman" w:eastAsia="Times New Roman" w:hAnsi="Times New Roman" w:cs="Times New Roman"/>
                <w:color w:val="000000"/>
                <w:spacing w:val="0"/>
                <w:w w:val="100"/>
                <w:position w:val="0"/>
                <w:sz w:val="24"/>
                <w:szCs w:val="24"/>
              </w:rPr>
              <w:t>672,535</w:t>
            </w:r>
          </w:p>
        </w:tc>
        <w:tc>
          <w:tcPr>
            <w:tcBorders/>
            <w:shd w:val="clear" w:color="auto" w:fill="FFFFFF"/>
            <w:vAlign w:val="bottom"/>
          </w:tcPr>
          <w:p>
            <w:pPr>
              <w:pStyle w:val="Style28"/>
              <w:keepNext w:val="0"/>
              <w:keepLines w:val="0"/>
              <w:framePr w:w="8251" w:h="8107" w:hSpace="787" w:wrap="notBeside" w:vAnchor="text" w:hAnchor="text" w:x="788" w:y="1"/>
              <w:widowControl w:val="0"/>
              <w:shd w:val="clear" w:color="auto" w:fill="auto"/>
              <w:bidi w:val="0"/>
              <w:spacing w:before="0" w:after="0" w:line="240" w:lineRule="auto"/>
              <w:ind w:left="1320" w:right="0" w:firstLine="0"/>
              <w:jc w:val="both"/>
              <w:rPr>
                <w:sz w:val="24"/>
                <w:szCs w:val="24"/>
              </w:rPr>
            </w:pPr>
            <w:r>
              <w:rPr>
                <w:rFonts w:ascii="Times New Roman" w:eastAsia="Times New Roman" w:hAnsi="Times New Roman" w:cs="Times New Roman"/>
                <w:color w:val="000000"/>
                <w:spacing w:val="0"/>
                <w:w w:val="100"/>
                <w:position w:val="0"/>
                <w:sz w:val="24"/>
                <w:szCs w:val="24"/>
              </w:rPr>
              <w:t>387,878</w:t>
            </w:r>
          </w:p>
        </w:tc>
      </w:tr>
      <w:tr>
        <w:trPr>
          <w:trHeight w:val="350" w:hRule="exact"/>
        </w:trPr>
        <w:tc>
          <w:tcPr>
            <w:tcBorders/>
            <w:shd w:val="clear" w:color="auto" w:fill="FFFFFF"/>
            <w:vAlign w:val="bottom"/>
          </w:tcPr>
          <w:p>
            <w:pPr>
              <w:pStyle w:val="Style28"/>
              <w:keepNext w:val="0"/>
              <w:keepLines w:val="0"/>
              <w:framePr w:w="8251" w:h="8107" w:hSpace="787" w:wrap="notBeside" w:vAnchor="text" w:hAnchor="text" w:x="788" w:y="1"/>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预缴企业所得税</w:t>
            </w:r>
          </w:p>
        </w:tc>
        <w:tc>
          <w:tcPr>
            <w:tcBorders/>
            <w:shd w:val="clear" w:color="auto" w:fill="FFFFFF"/>
            <w:vAlign w:val="bottom"/>
          </w:tcPr>
          <w:p>
            <w:pPr>
              <w:pStyle w:val="Style28"/>
              <w:keepNext w:val="0"/>
              <w:keepLines w:val="0"/>
              <w:framePr w:w="8251" w:h="8107" w:hSpace="787" w:wrap="notBeside" w:vAnchor="text" w:hAnchor="text" w:x="788" w:y="1"/>
              <w:widowControl w:val="0"/>
              <w:shd w:val="clear" w:color="auto" w:fill="auto"/>
              <w:bidi w:val="0"/>
              <w:spacing w:before="0" w:after="0" w:line="240" w:lineRule="auto"/>
              <w:ind w:left="0" w:right="240" w:firstLine="0"/>
              <w:jc w:val="right"/>
              <w:rPr>
                <w:sz w:val="24"/>
                <w:szCs w:val="24"/>
              </w:rPr>
            </w:pPr>
            <w:r>
              <w:rPr>
                <w:rFonts w:ascii="Times New Roman" w:eastAsia="Times New Roman" w:hAnsi="Times New Roman" w:cs="Times New Roman"/>
                <w:color w:val="000000"/>
                <w:spacing w:val="0"/>
                <w:w w:val="100"/>
                <w:position w:val="0"/>
                <w:sz w:val="24"/>
                <w:szCs w:val="24"/>
              </w:rPr>
              <w:t>93,310</w:t>
            </w:r>
          </w:p>
        </w:tc>
        <w:tc>
          <w:tcPr>
            <w:tcBorders/>
            <w:shd w:val="clear" w:color="auto" w:fill="FFFFFF"/>
            <w:vAlign w:val="bottom"/>
          </w:tcPr>
          <w:p>
            <w:pPr>
              <w:pStyle w:val="Style28"/>
              <w:keepNext w:val="0"/>
              <w:keepLines w:val="0"/>
              <w:framePr w:w="8251" w:h="8107" w:hSpace="787" w:wrap="notBeside" w:vAnchor="text" w:hAnchor="text" w:x="788" w:y="1"/>
              <w:widowControl w:val="0"/>
              <w:shd w:val="clear" w:color="auto" w:fill="auto"/>
              <w:bidi w:val="0"/>
              <w:spacing w:before="0" w:after="0" w:line="240" w:lineRule="auto"/>
              <w:ind w:left="1320" w:right="0" w:firstLine="0"/>
              <w:jc w:val="both"/>
              <w:rPr>
                <w:sz w:val="24"/>
                <w:szCs w:val="24"/>
              </w:rPr>
            </w:pPr>
            <w:r>
              <w:rPr>
                <w:rFonts w:ascii="Times New Roman" w:eastAsia="Times New Roman" w:hAnsi="Times New Roman" w:cs="Times New Roman"/>
                <w:color w:val="000000"/>
                <w:spacing w:val="0"/>
                <w:w w:val="100"/>
                <w:position w:val="0"/>
                <w:sz w:val="24"/>
                <w:szCs w:val="24"/>
              </w:rPr>
              <w:t>111,511</w:t>
            </w:r>
          </w:p>
        </w:tc>
      </w:tr>
      <w:tr>
        <w:trPr>
          <w:trHeight w:val="341" w:hRule="exact"/>
        </w:trPr>
        <w:tc>
          <w:tcPr>
            <w:tcBorders/>
            <w:shd w:val="clear" w:color="auto" w:fill="FFFFFF"/>
            <w:vAlign w:val="bottom"/>
          </w:tcPr>
          <w:p>
            <w:pPr>
              <w:pStyle w:val="Style28"/>
              <w:keepNext w:val="0"/>
              <w:keepLines w:val="0"/>
              <w:framePr w:w="8251" w:h="8107" w:hSpace="787" w:wrap="notBeside" w:vAnchor="text" w:hAnchor="text" w:x="788" w:y="1"/>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预缴土地增值税</w:t>
            </w:r>
          </w:p>
        </w:tc>
        <w:tc>
          <w:tcPr>
            <w:tcBorders/>
            <w:shd w:val="clear" w:color="auto" w:fill="FFFFFF"/>
            <w:vAlign w:val="bottom"/>
          </w:tcPr>
          <w:p>
            <w:pPr>
              <w:pStyle w:val="Style28"/>
              <w:keepNext w:val="0"/>
              <w:keepLines w:val="0"/>
              <w:framePr w:w="8251" w:h="8107" w:hSpace="787" w:wrap="notBeside" w:vAnchor="text" w:hAnchor="text" w:x="788" w:y="1"/>
              <w:widowControl w:val="0"/>
              <w:shd w:val="clear" w:color="auto" w:fill="auto"/>
              <w:bidi w:val="0"/>
              <w:spacing w:before="0" w:after="0" w:line="240" w:lineRule="auto"/>
              <w:ind w:left="0" w:right="240" w:firstLine="0"/>
              <w:jc w:val="right"/>
              <w:rPr>
                <w:sz w:val="24"/>
                <w:szCs w:val="24"/>
              </w:rPr>
            </w:pPr>
            <w:r>
              <w:rPr>
                <w:rFonts w:ascii="Times New Roman" w:eastAsia="Times New Roman" w:hAnsi="Times New Roman" w:cs="Times New Roman"/>
                <w:color w:val="000000"/>
                <w:spacing w:val="0"/>
                <w:w w:val="100"/>
                <w:position w:val="0"/>
                <w:sz w:val="24"/>
                <w:szCs w:val="24"/>
              </w:rPr>
              <w:t>46,188</w:t>
            </w:r>
          </w:p>
        </w:tc>
        <w:tc>
          <w:tcPr>
            <w:tcBorders/>
            <w:shd w:val="clear" w:color="auto" w:fill="FFFFFF"/>
            <w:vAlign w:val="bottom"/>
          </w:tcPr>
          <w:p>
            <w:pPr>
              <w:pStyle w:val="Style28"/>
              <w:keepNext w:val="0"/>
              <w:keepLines w:val="0"/>
              <w:framePr w:w="8251" w:h="8107" w:hSpace="787" w:wrap="notBeside" w:vAnchor="text" w:hAnchor="text" w:x="788" w:y="1"/>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32,977</w:t>
            </w:r>
          </w:p>
        </w:tc>
      </w:tr>
      <w:tr>
        <w:trPr>
          <w:trHeight w:val="346" w:hRule="exact"/>
        </w:trPr>
        <w:tc>
          <w:tcPr>
            <w:tcBorders/>
            <w:shd w:val="clear" w:color="auto" w:fill="FFFFFF"/>
            <w:vAlign w:val="bottom"/>
          </w:tcPr>
          <w:p>
            <w:pPr>
              <w:pStyle w:val="Style28"/>
              <w:keepNext w:val="0"/>
              <w:keepLines w:val="0"/>
              <w:framePr w:w="8251" w:h="8107" w:hSpace="787" w:wrap="notBeside" w:vAnchor="text" w:hAnchor="text" w:x="788" w:y="1"/>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预缴营业税</w:t>
            </w:r>
          </w:p>
        </w:tc>
        <w:tc>
          <w:tcPr>
            <w:tcBorders/>
            <w:shd w:val="clear" w:color="auto" w:fill="FFFFFF"/>
            <w:vAlign w:val="bottom"/>
          </w:tcPr>
          <w:p>
            <w:pPr>
              <w:pStyle w:val="Style28"/>
              <w:keepNext w:val="0"/>
              <w:keepLines w:val="0"/>
              <w:framePr w:w="8251" w:h="8107" w:hSpace="787" w:wrap="notBeside" w:vAnchor="text" w:hAnchor="text" w:x="788" w:y="1"/>
              <w:widowControl w:val="0"/>
              <w:shd w:val="clear" w:color="auto" w:fill="auto"/>
              <w:bidi w:val="0"/>
              <w:spacing w:before="0" w:after="0" w:line="240" w:lineRule="auto"/>
              <w:ind w:left="2000" w:right="0" w:firstLine="0"/>
              <w:jc w:val="both"/>
              <w:rPr>
                <w:sz w:val="24"/>
                <w:szCs w:val="24"/>
              </w:rPr>
            </w:pPr>
            <w:r>
              <w:rPr>
                <w:rFonts w:ascii="Times New Roman" w:eastAsia="Times New Roman" w:hAnsi="Times New Roman" w:cs="Times New Roman"/>
                <w:color w:val="000000"/>
                <w:spacing w:val="0"/>
                <w:w w:val="100"/>
                <w:position w:val="0"/>
                <w:sz w:val="24"/>
                <w:szCs w:val="24"/>
              </w:rPr>
              <w:t>-</w:t>
            </w:r>
          </w:p>
        </w:tc>
        <w:tc>
          <w:tcPr>
            <w:tcBorders/>
            <w:shd w:val="clear" w:color="auto" w:fill="FFFFFF"/>
            <w:vAlign w:val="bottom"/>
          </w:tcPr>
          <w:p>
            <w:pPr>
              <w:pStyle w:val="Style28"/>
              <w:keepNext w:val="0"/>
              <w:keepLines w:val="0"/>
              <w:framePr w:w="8251" w:h="8107" w:hSpace="787" w:wrap="notBeside" w:vAnchor="text" w:hAnchor="text" w:x="788" w:y="1"/>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7,117</w:t>
            </w:r>
          </w:p>
        </w:tc>
      </w:tr>
      <w:tr>
        <w:trPr>
          <w:trHeight w:val="370" w:hRule="exact"/>
        </w:trPr>
        <w:tc>
          <w:tcPr>
            <w:tcBorders/>
            <w:shd w:val="clear" w:color="auto" w:fill="FFFFFF"/>
            <w:vAlign w:val="center"/>
          </w:tcPr>
          <w:p>
            <w:pPr>
              <w:pStyle w:val="Style28"/>
              <w:keepNext w:val="0"/>
              <w:keepLines w:val="0"/>
              <w:framePr w:w="8251" w:h="8107" w:hSpace="787" w:wrap="notBeside" w:vAnchor="text" w:hAnchor="text" w:x="788" w:y="1"/>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预缴其他税费</w:t>
            </w:r>
          </w:p>
        </w:tc>
        <w:tc>
          <w:tcPr>
            <w:tcBorders/>
            <w:shd w:val="clear" w:color="auto" w:fill="FFFFFF"/>
            <w:vAlign w:val="center"/>
          </w:tcPr>
          <w:p>
            <w:pPr>
              <w:pStyle w:val="Style28"/>
              <w:keepNext w:val="0"/>
              <w:keepLines w:val="0"/>
              <w:framePr w:w="8251" w:h="8107" w:hSpace="787" w:wrap="notBeside" w:vAnchor="text" w:hAnchor="text" w:x="788" w:y="1"/>
              <w:widowControl w:val="0"/>
              <w:shd w:val="clear" w:color="auto" w:fill="auto"/>
              <w:bidi w:val="0"/>
              <w:spacing w:before="0" w:after="0" w:line="240" w:lineRule="auto"/>
              <w:ind w:left="2000" w:right="0" w:firstLine="0"/>
              <w:jc w:val="both"/>
              <w:rPr>
                <w:sz w:val="24"/>
                <w:szCs w:val="24"/>
              </w:rPr>
            </w:pPr>
            <w:r>
              <w:rPr>
                <w:rFonts w:ascii="Times New Roman" w:eastAsia="Times New Roman" w:hAnsi="Times New Roman" w:cs="Times New Roman"/>
                <w:color w:val="000000"/>
                <w:spacing w:val="0"/>
                <w:w w:val="100"/>
                <w:position w:val="0"/>
                <w:sz w:val="24"/>
                <w:szCs w:val="24"/>
              </w:rPr>
              <w:t>-</w:t>
            </w:r>
          </w:p>
        </w:tc>
        <w:tc>
          <w:tcPr>
            <w:tcBorders/>
            <w:shd w:val="clear" w:color="auto" w:fill="FFFFFF"/>
            <w:vAlign w:val="center"/>
          </w:tcPr>
          <w:p>
            <w:pPr>
              <w:pStyle w:val="Style28"/>
              <w:keepNext w:val="0"/>
              <w:keepLines w:val="0"/>
              <w:framePr w:w="8251" w:h="8107" w:hSpace="787" w:wrap="notBeside" w:vAnchor="text" w:hAnchor="text" w:x="788" w:y="1"/>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854</w:t>
            </w:r>
          </w:p>
        </w:tc>
      </w:tr>
      <w:tr>
        <w:trPr>
          <w:trHeight w:val="312" w:hRule="exact"/>
        </w:trPr>
        <w:tc>
          <w:tcPr>
            <w:tcBorders/>
            <w:shd w:val="clear" w:color="auto" w:fill="FFFFFF"/>
            <w:vAlign w:val="bottom"/>
          </w:tcPr>
          <w:p>
            <w:pPr>
              <w:pStyle w:val="Style28"/>
              <w:keepNext w:val="0"/>
              <w:keepLines w:val="0"/>
              <w:framePr w:w="8251" w:h="8107" w:hSpace="787" w:wrap="notBeside" w:vAnchor="text" w:hAnchor="text" w:x="788" w:y="1"/>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其他</w:t>
            </w:r>
          </w:p>
        </w:tc>
        <w:tc>
          <w:tcPr>
            <w:tcBorders/>
            <w:shd w:val="clear" w:color="auto" w:fill="FFFFFF"/>
            <w:vAlign w:val="bottom"/>
          </w:tcPr>
          <w:p>
            <w:pPr>
              <w:pStyle w:val="Style28"/>
              <w:keepNext w:val="0"/>
              <w:keepLines w:val="0"/>
              <w:framePr w:w="8251" w:h="8107" w:hSpace="787" w:wrap="notBeside" w:vAnchor="text" w:hAnchor="text" w:x="788" w:y="1"/>
              <w:widowControl w:val="0"/>
              <w:shd w:val="clear" w:color="auto" w:fill="auto"/>
              <w:bidi w:val="0"/>
              <w:spacing w:before="0" w:after="0" w:line="240" w:lineRule="auto"/>
              <w:ind w:left="0" w:right="240" w:firstLine="0"/>
              <w:jc w:val="right"/>
              <w:rPr>
                <w:sz w:val="24"/>
                <w:szCs w:val="24"/>
              </w:rPr>
            </w:pPr>
            <w:r>
              <w:rPr>
                <w:rFonts w:ascii="Times New Roman" w:eastAsia="Times New Roman" w:hAnsi="Times New Roman" w:cs="Times New Roman"/>
                <w:color w:val="000000"/>
                <w:spacing w:val="0"/>
                <w:w w:val="100"/>
                <w:position w:val="0"/>
                <w:sz w:val="24"/>
                <w:szCs w:val="24"/>
              </w:rPr>
              <w:t>169,471</w:t>
            </w:r>
          </w:p>
        </w:tc>
        <w:tc>
          <w:tcPr>
            <w:tcBorders/>
            <w:shd w:val="clear" w:color="auto" w:fill="FFFFFF"/>
            <w:vAlign w:val="bottom"/>
          </w:tcPr>
          <w:p>
            <w:pPr>
              <w:pStyle w:val="Style28"/>
              <w:keepNext w:val="0"/>
              <w:keepLines w:val="0"/>
              <w:framePr w:w="8251" w:h="8107" w:hSpace="787" w:wrap="notBeside" w:vAnchor="text" w:hAnchor="text" w:x="788" w:y="1"/>
              <w:widowControl w:val="0"/>
              <w:shd w:val="clear" w:color="auto" w:fill="auto"/>
              <w:bidi w:val="0"/>
              <w:spacing w:before="0" w:after="0" w:line="240" w:lineRule="auto"/>
              <w:ind w:left="1320" w:right="0" w:firstLine="0"/>
              <w:jc w:val="both"/>
              <w:rPr>
                <w:sz w:val="24"/>
                <w:szCs w:val="24"/>
              </w:rPr>
            </w:pPr>
            <w:r>
              <w:rPr>
                <w:rFonts w:ascii="Times New Roman" w:eastAsia="Times New Roman" w:hAnsi="Times New Roman" w:cs="Times New Roman"/>
                <w:color w:val="000000"/>
                <w:spacing w:val="0"/>
                <w:w w:val="100"/>
                <w:position w:val="0"/>
                <w:sz w:val="24"/>
                <w:szCs w:val="24"/>
              </w:rPr>
              <w:t>105,340</w:t>
            </w:r>
          </w:p>
        </w:tc>
      </w:tr>
      <w:tr>
        <w:trPr>
          <w:trHeight w:val="298" w:hRule="exact"/>
        </w:trPr>
        <w:tc>
          <w:tcPr>
            <w:tcBorders>
              <w:top w:val="single" w:sz="4"/>
            </w:tcBorders>
            <w:shd w:val="clear" w:color="auto" w:fill="FFFFFF"/>
            <w:vAlign w:val="top"/>
          </w:tcPr>
          <w:p>
            <w:pPr>
              <w:framePr w:w="8251" w:h="8107" w:hSpace="787" w:wrap="notBeside" w:vAnchor="text" w:hAnchor="text" w:x="788" w:y="1"/>
              <w:widowControl w:val="0"/>
              <w:rPr>
                <w:sz w:val="10"/>
                <w:szCs w:val="10"/>
              </w:rPr>
            </w:pPr>
          </w:p>
        </w:tc>
        <w:tc>
          <w:tcPr>
            <w:tcBorders>
              <w:top w:val="single" w:sz="4"/>
            </w:tcBorders>
            <w:shd w:val="clear" w:color="auto" w:fill="FFFFFF"/>
            <w:vAlign w:val="bottom"/>
          </w:tcPr>
          <w:p>
            <w:pPr>
              <w:pStyle w:val="Style28"/>
              <w:keepNext w:val="0"/>
              <w:keepLines w:val="0"/>
              <w:framePr w:w="8251" w:h="8107" w:hSpace="787" w:wrap="notBeside" w:vAnchor="text" w:hAnchor="text" w:x="788" w:y="1"/>
              <w:widowControl w:val="0"/>
              <w:shd w:val="clear" w:color="auto" w:fill="auto"/>
              <w:bidi w:val="0"/>
              <w:spacing w:before="0" w:after="0" w:line="240" w:lineRule="auto"/>
              <w:ind w:left="0" w:right="0" w:firstLine="1000"/>
              <w:jc w:val="left"/>
              <w:rPr>
                <w:sz w:val="24"/>
                <w:szCs w:val="24"/>
              </w:rPr>
            </w:pPr>
            <w:r>
              <w:rPr>
                <w:rFonts w:ascii="Times New Roman" w:eastAsia="Times New Roman" w:hAnsi="Times New Roman" w:cs="Times New Roman"/>
                <w:color w:val="000000"/>
                <w:spacing w:val="0"/>
                <w:w w:val="100"/>
                <w:position w:val="0"/>
                <w:sz w:val="24"/>
                <w:szCs w:val="24"/>
              </w:rPr>
              <w:t>20,503,838</w:t>
            </w:r>
          </w:p>
        </w:tc>
        <w:tc>
          <w:tcPr>
            <w:tcBorders>
              <w:top w:val="single" w:sz="4"/>
            </w:tcBorders>
            <w:shd w:val="clear" w:color="auto" w:fill="FFFFFF"/>
            <w:vAlign w:val="bottom"/>
          </w:tcPr>
          <w:p>
            <w:pPr>
              <w:pStyle w:val="Style28"/>
              <w:keepNext w:val="0"/>
              <w:keepLines w:val="0"/>
              <w:framePr w:w="8251" w:h="8107" w:hSpace="787" w:wrap="notBeside" w:vAnchor="text" w:hAnchor="text" w:x="788" w:y="1"/>
              <w:widowControl w:val="0"/>
              <w:shd w:val="clear" w:color="auto" w:fill="auto"/>
              <w:bidi w:val="0"/>
              <w:spacing w:before="0" w:after="0" w:line="240" w:lineRule="auto"/>
              <w:ind w:left="1140" w:right="0" w:firstLine="0"/>
              <w:jc w:val="both"/>
              <w:rPr>
                <w:sz w:val="24"/>
                <w:szCs w:val="24"/>
              </w:rPr>
            </w:pPr>
            <w:r>
              <w:rPr>
                <w:rFonts w:ascii="Times New Roman" w:eastAsia="Times New Roman" w:hAnsi="Times New Roman" w:cs="Times New Roman"/>
                <w:color w:val="000000"/>
                <w:spacing w:val="0"/>
                <w:w w:val="100"/>
                <w:position w:val="0"/>
                <w:sz w:val="24"/>
                <w:szCs w:val="24"/>
              </w:rPr>
              <w:t>3,724,748</w:t>
            </w:r>
          </w:p>
        </w:tc>
      </w:tr>
      <w:tr>
        <w:trPr>
          <w:trHeight w:val="691" w:hRule="exact"/>
        </w:trPr>
        <w:tc>
          <w:tcPr>
            <w:tcBorders>
              <w:top w:val="single" w:sz="4"/>
            </w:tcBorders>
            <w:shd w:val="clear" w:color="auto" w:fill="FFFFFF"/>
            <w:vAlign w:val="center"/>
          </w:tcPr>
          <w:p>
            <w:pPr>
              <w:pStyle w:val="Style28"/>
              <w:keepNext w:val="0"/>
              <w:keepLines w:val="0"/>
              <w:framePr w:w="8251" w:h="8107" w:hSpace="787" w:wrap="notBeside" w:vAnchor="text" w:hAnchor="text" w:x="788" w:y="1"/>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可供出售金融资产</w:t>
            </w:r>
          </w:p>
        </w:tc>
        <w:tc>
          <w:tcPr>
            <w:gridSpan w:val="2"/>
            <w:tcBorders>
              <w:top w:val="single" w:sz="4"/>
            </w:tcBorders>
            <w:shd w:val="clear" w:color="auto" w:fill="FFFFFF"/>
            <w:vAlign w:val="top"/>
          </w:tcPr>
          <w:p>
            <w:pPr>
              <w:framePr w:w="8251" w:h="8107" w:hSpace="787" w:wrap="notBeside" w:vAnchor="text" w:hAnchor="text" w:x="788" w:y="1"/>
              <w:widowControl w:val="0"/>
              <w:rPr>
                <w:sz w:val="10"/>
                <w:szCs w:val="10"/>
              </w:rPr>
            </w:pPr>
          </w:p>
        </w:tc>
      </w:tr>
      <w:tr>
        <w:trPr>
          <w:trHeight w:val="590" w:hRule="exact"/>
        </w:trPr>
        <w:tc>
          <w:tcPr>
            <w:tcBorders/>
            <w:shd w:val="clear" w:color="auto" w:fill="FFFFFF"/>
            <w:vAlign w:val="top"/>
          </w:tcPr>
          <w:p>
            <w:pPr>
              <w:framePr w:w="8251" w:h="8107" w:hSpace="787" w:wrap="notBeside" w:vAnchor="text" w:hAnchor="text" w:x="788" w:y="1"/>
              <w:widowControl w:val="0"/>
              <w:rPr>
                <w:sz w:val="10"/>
                <w:szCs w:val="10"/>
              </w:rPr>
            </w:pPr>
          </w:p>
        </w:tc>
        <w:tc>
          <w:tcPr>
            <w:tcBorders/>
            <w:shd w:val="clear" w:color="auto" w:fill="FFFFFF"/>
            <w:vAlign w:val="center"/>
          </w:tcPr>
          <w:p>
            <w:pPr>
              <w:pStyle w:val="Style28"/>
              <w:keepNext w:val="0"/>
              <w:keepLines w:val="0"/>
              <w:framePr w:w="8251" w:h="8107" w:hSpace="787" w:wrap="notBeside" w:vAnchor="text" w:hAnchor="text" w:x="788" w:y="1"/>
              <w:widowControl w:val="0"/>
              <w:shd w:val="clear" w:color="auto" w:fill="auto"/>
              <w:bidi w:val="0"/>
              <w:spacing w:before="0" w:after="0" w:line="240" w:lineRule="auto"/>
              <w:ind w:left="0" w:right="240" w:firstLine="0"/>
              <w:jc w:val="right"/>
              <w:rPr>
                <w:sz w:val="24"/>
                <w:szCs w:val="24"/>
              </w:rPr>
            </w:pP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w:t>
            </w:r>
          </w:p>
        </w:tc>
        <w:tc>
          <w:tcPr>
            <w:tcBorders/>
            <w:shd w:val="clear" w:color="auto" w:fill="FFFFFF"/>
            <w:vAlign w:val="center"/>
          </w:tcPr>
          <w:p>
            <w:pPr>
              <w:pStyle w:val="Style28"/>
              <w:keepNext w:val="0"/>
              <w:keepLines w:val="0"/>
              <w:framePr w:w="8251" w:h="8107" w:hSpace="787" w:wrap="notBeside" w:vAnchor="text" w:hAnchor="text" w:x="788" w:y="1"/>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2015</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w:t>
            </w:r>
          </w:p>
        </w:tc>
      </w:tr>
      <w:tr>
        <w:trPr>
          <w:trHeight w:val="456" w:hRule="exact"/>
        </w:trPr>
        <w:tc>
          <w:tcPr>
            <w:tcBorders/>
            <w:shd w:val="clear" w:color="auto" w:fill="FFFFFF"/>
            <w:vAlign w:val="bottom"/>
          </w:tcPr>
          <w:p>
            <w:pPr>
              <w:pStyle w:val="Style28"/>
              <w:keepNext w:val="0"/>
              <w:keepLines w:val="0"/>
              <w:framePr w:w="8251" w:h="8107" w:hSpace="787" w:wrap="notBeside" w:vAnchor="text" w:hAnchor="text" w:x="788" w:y="1"/>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以公允价值计量</w:t>
            </w:r>
          </w:p>
        </w:tc>
        <w:tc>
          <w:tcPr>
            <w:gridSpan w:val="2"/>
            <w:tcBorders/>
            <w:shd w:val="clear" w:color="auto" w:fill="FFFFFF"/>
            <w:vAlign w:val="top"/>
          </w:tcPr>
          <w:p>
            <w:pPr>
              <w:framePr w:w="8251" w:h="8107" w:hSpace="787" w:wrap="notBeside" w:vAnchor="text" w:hAnchor="text" w:x="788" w:y="1"/>
              <w:widowControl w:val="0"/>
              <w:rPr>
                <w:sz w:val="10"/>
                <w:szCs w:val="10"/>
              </w:rPr>
            </w:pPr>
          </w:p>
        </w:tc>
      </w:tr>
      <w:tr>
        <w:trPr>
          <w:trHeight w:val="322" w:hRule="exact"/>
        </w:trPr>
        <w:tc>
          <w:tcPr>
            <w:tcBorders/>
            <w:shd w:val="clear" w:color="auto" w:fill="FFFFFF"/>
            <w:vAlign w:val="bottom"/>
          </w:tcPr>
          <w:p>
            <w:pPr>
              <w:pStyle w:val="Style28"/>
              <w:keepNext w:val="0"/>
              <w:keepLines w:val="0"/>
              <w:framePr w:w="8251" w:h="8107" w:hSpace="787" w:wrap="notBeside" w:vAnchor="text" w:hAnchor="text" w:x="788" w:y="1"/>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—理财产品</w:t>
            </w:r>
            <w:r>
              <w:rPr>
                <w:rFonts w:ascii="Times New Roman" w:eastAsia="Times New Roman" w:hAnsi="Times New Roman" w:cs="Times New Roman"/>
                <w:color w:val="000000"/>
                <w:spacing w:val="0"/>
                <w:w w:val="100"/>
                <w:position w:val="0"/>
                <w:sz w:val="24"/>
                <w:szCs w:val="24"/>
              </w:rPr>
              <w:t>(i)</w:t>
            </w:r>
          </w:p>
        </w:tc>
        <w:tc>
          <w:tcPr>
            <w:tcBorders/>
            <w:shd w:val="clear" w:color="auto" w:fill="FFFFFF"/>
            <w:vAlign w:val="bottom"/>
          </w:tcPr>
          <w:p>
            <w:pPr>
              <w:pStyle w:val="Style28"/>
              <w:keepNext w:val="0"/>
              <w:keepLines w:val="0"/>
              <w:framePr w:w="8251" w:h="8107" w:hSpace="787" w:wrap="notBeside" w:vAnchor="text" w:hAnchor="text" w:x="788" w:y="1"/>
              <w:widowControl w:val="0"/>
              <w:shd w:val="clear" w:color="auto" w:fill="auto"/>
              <w:bidi w:val="0"/>
              <w:spacing w:before="0" w:after="0" w:line="240" w:lineRule="auto"/>
              <w:ind w:left="0" w:right="0" w:firstLine="1000"/>
              <w:jc w:val="left"/>
              <w:rPr>
                <w:sz w:val="24"/>
                <w:szCs w:val="24"/>
              </w:rPr>
            </w:pPr>
            <w:r>
              <w:rPr>
                <w:rFonts w:ascii="Times New Roman" w:eastAsia="Times New Roman" w:hAnsi="Times New Roman" w:cs="Times New Roman"/>
                <w:color w:val="000000"/>
                <w:spacing w:val="0"/>
                <w:w w:val="100"/>
                <w:position w:val="0"/>
                <w:sz w:val="24"/>
                <w:szCs w:val="24"/>
              </w:rPr>
              <w:t>25,268,150</w:t>
            </w:r>
          </w:p>
        </w:tc>
        <w:tc>
          <w:tcPr>
            <w:tcBorders/>
            <w:shd w:val="clear" w:color="auto" w:fill="FFFFFF"/>
            <w:vAlign w:val="bottom"/>
          </w:tcPr>
          <w:p>
            <w:pPr>
              <w:pStyle w:val="Style28"/>
              <w:keepNext w:val="0"/>
              <w:keepLines w:val="0"/>
              <w:framePr w:w="8251" w:h="8107" w:hSpace="787" w:wrap="notBeside" w:vAnchor="text" w:hAnchor="text" w:x="788" w:y="1"/>
              <w:widowControl w:val="0"/>
              <w:shd w:val="clear" w:color="auto" w:fill="auto"/>
              <w:bidi w:val="0"/>
              <w:spacing w:before="0" w:after="0" w:line="240" w:lineRule="auto"/>
              <w:ind w:left="1140" w:right="0" w:firstLine="0"/>
              <w:jc w:val="both"/>
              <w:rPr>
                <w:sz w:val="24"/>
                <w:szCs w:val="24"/>
              </w:rPr>
            </w:pPr>
            <w:r>
              <w:rPr>
                <w:rFonts w:ascii="Times New Roman" w:eastAsia="Times New Roman" w:hAnsi="Times New Roman" w:cs="Times New Roman"/>
                <w:color w:val="000000"/>
                <w:spacing w:val="0"/>
                <w:w w:val="100"/>
                <w:position w:val="0"/>
                <w:sz w:val="24"/>
                <w:szCs w:val="24"/>
              </w:rPr>
              <w:t>2,425,438</w:t>
            </w:r>
          </w:p>
        </w:tc>
      </w:tr>
      <w:tr>
        <w:trPr>
          <w:trHeight w:val="298" w:hRule="exact"/>
        </w:trPr>
        <w:tc>
          <w:tcPr>
            <w:tcBorders/>
            <w:shd w:val="clear" w:color="auto" w:fill="FFFFFF"/>
            <w:vAlign w:val="bottom"/>
          </w:tcPr>
          <w:p>
            <w:pPr>
              <w:pStyle w:val="Style28"/>
              <w:keepNext w:val="0"/>
              <w:keepLines w:val="0"/>
              <w:framePr w:w="8251" w:h="8107" w:hSpace="787" w:wrap="notBeside" w:vAnchor="text" w:hAnchor="text" w:x="788" w:y="1"/>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一可供出售权益工具</w:t>
            </w:r>
            <w:r>
              <w:rPr>
                <w:rFonts w:ascii="Times New Roman" w:eastAsia="Times New Roman" w:hAnsi="Times New Roman" w:cs="Times New Roman"/>
                <w:color w:val="000000"/>
                <w:spacing w:val="0"/>
                <w:w w:val="100"/>
                <w:position w:val="0"/>
                <w:sz w:val="24"/>
                <w:szCs w:val="24"/>
              </w:rPr>
              <w:t>(ii)</w:t>
            </w:r>
          </w:p>
        </w:tc>
        <w:tc>
          <w:tcPr>
            <w:tcBorders/>
            <w:shd w:val="clear" w:color="auto" w:fill="FFFFFF"/>
            <w:vAlign w:val="bottom"/>
          </w:tcPr>
          <w:p>
            <w:pPr>
              <w:pStyle w:val="Style28"/>
              <w:keepNext w:val="0"/>
              <w:keepLines w:val="0"/>
              <w:framePr w:w="8251" w:h="8107" w:hSpace="787" w:wrap="notBeside" w:vAnchor="text" w:hAnchor="text" w:x="788" w:y="1"/>
              <w:widowControl w:val="0"/>
              <w:shd w:val="clear" w:color="auto" w:fill="auto"/>
              <w:bidi w:val="0"/>
              <w:spacing w:before="0" w:after="0" w:line="240" w:lineRule="auto"/>
              <w:ind w:left="0" w:right="0" w:firstLine="1000"/>
              <w:jc w:val="left"/>
              <w:rPr>
                <w:sz w:val="24"/>
                <w:szCs w:val="24"/>
              </w:rPr>
            </w:pPr>
            <w:r>
              <w:rPr>
                <w:rFonts w:ascii="Times New Roman" w:eastAsia="Times New Roman" w:hAnsi="Times New Roman" w:cs="Times New Roman"/>
                <w:color w:val="000000"/>
                <w:spacing w:val="0"/>
                <w:w w:val="100"/>
                <w:position w:val="0"/>
                <w:sz w:val="24"/>
                <w:szCs w:val="24"/>
              </w:rPr>
              <w:t>17,512,558</w:t>
            </w:r>
          </w:p>
        </w:tc>
        <w:tc>
          <w:tcPr>
            <w:tcBorders/>
            <w:shd w:val="clear" w:color="auto" w:fill="FFFFFF"/>
            <w:vAlign w:val="bottom"/>
          </w:tcPr>
          <w:p>
            <w:pPr>
              <w:pStyle w:val="Style28"/>
              <w:keepNext w:val="0"/>
              <w:keepLines w:val="0"/>
              <w:framePr w:w="8251" w:h="8107" w:hSpace="787" w:wrap="notBeside" w:vAnchor="text" w:hAnchor="text" w:x="788" w:y="1"/>
              <w:widowControl w:val="0"/>
              <w:shd w:val="clear" w:color="auto" w:fill="auto"/>
              <w:bidi w:val="0"/>
              <w:spacing w:before="0" w:after="0" w:line="240" w:lineRule="auto"/>
              <w:ind w:left="1320" w:right="0" w:firstLine="0"/>
              <w:jc w:val="both"/>
              <w:rPr>
                <w:sz w:val="24"/>
                <w:szCs w:val="24"/>
              </w:rPr>
            </w:pPr>
            <w:r>
              <w:rPr>
                <w:rFonts w:ascii="Times New Roman" w:eastAsia="Times New Roman" w:hAnsi="Times New Roman" w:cs="Times New Roman"/>
                <w:color w:val="000000"/>
                <w:spacing w:val="0"/>
                <w:w w:val="100"/>
                <w:position w:val="0"/>
                <w:sz w:val="24"/>
                <w:szCs w:val="24"/>
              </w:rPr>
              <w:t>895,542</w:t>
            </w:r>
          </w:p>
        </w:tc>
      </w:tr>
      <w:tr>
        <w:trPr>
          <w:trHeight w:val="595" w:hRule="exact"/>
        </w:trPr>
        <w:tc>
          <w:tcPr>
            <w:tcBorders>
              <w:top w:val="single" w:sz="4"/>
            </w:tcBorders>
            <w:shd w:val="clear" w:color="auto" w:fill="FFFFFF"/>
            <w:vAlign w:val="bottom"/>
          </w:tcPr>
          <w:p>
            <w:pPr>
              <w:pStyle w:val="Style28"/>
              <w:keepNext w:val="0"/>
              <w:keepLines w:val="0"/>
              <w:framePr w:w="8251" w:h="8107" w:hSpace="787" w:wrap="notBeside" w:vAnchor="text" w:hAnchor="text" w:x="788" w:y="1"/>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以成本计量</w:t>
            </w:r>
          </w:p>
        </w:tc>
        <w:tc>
          <w:tcPr>
            <w:tcBorders>
              <w:top w:val="single" w:sz="4"/>
            </w:tcBorders>
            <w:shd w:val="clear" w:color="auto" w:fill="FFFFFF"/>
            <w:vAlign w:val="top"/>
          </w:tcPr>
          <w:p>
            <w:pPr>
              <w:pStyle w:val="Style28"/>
              <w:keepNext w:val="0"/>
              <w:keepLines w:val="0"/>
              <w:framePr w:w="8251" w:h="8107" w:hSpace="787" w:wrap="notBeside" w:vAnchor="text" w:hAnchor="text" w:x="788" w:y="1"/>
              <w:widowControl w:val="0"/>
              <w:shd w:val="clear" w:color="auto" w:fill="auto"/>
              <w:bidi w:val="0"/>
              <w:spacing w:before="0" w:after="0" w:line="240" w:lineRule="auto"/>
              <w:ind w:left="0" w:right="0" w:firstLine="1000"/>
              <w:jc w:val="left"/>
              <w:rPr>
                <w:sz w:val="24"/>
                <w:szCs w:val="24"/>
              </w:rPr>
            </w:pPr>
            <w:r>
              <w:rPr>
                <w:rFonts w:ascii="Times New Roman" w:eastAsia="Times New Roman" w:hAnsi="Times New Roman" w:cs="Times New Roman"/>
                <w:color w:val="000000"/>
                <w:spacing w:val="0"/>
                <w:w w:val="100"/>
                <w:position w:val="0"/>
                <w:sz w:val="24"/>
                <w:szCs w:val="24"/>
              </w:rPr>
              <w:t>42,780,708</w:t>
            </w:r>
          </w:p>
        </w:tc>
        <w:tc>
          <w:tcPr>
            <w:tcBorders>
              <w:top w:val="single" w:sz="4"/>
            </w:tcBorders>
            <w:shd w:val="clear" w:color="auto" w:fill="FFFFFF"/>
            <w:vAlign w:val="top"/>
          </w:tcPr>
          <w:p>
            <w:pPr>
              <w:pStyle w:val="Style28"/>
              <w:keepNext w:val="0"/>
              <w:keepLines w:val="0"/>
              <w:framePr w:w="8251" w:h="8107" w:hSpace="787" w:wrap="notBeside" w:vAnchor="text" w:hAnchor="text" w:x="788" w:y="1"/>
              <w:widowControl w:val="0"/>
              <w:shd w:val="clear" w:color="auto" w:fill="auto"/>
              <w:bidi w:val="0"/>
              <w:spacing w:before="0" w:after="0" w:line="240" w:lineRule="auto"/>
              <w:ind w:left="1140" w:right="0" w:firstLine="0"/>
              <w:jc w:val="both"/>
              <w:rPr>
                <w:sz w:val="24"/>
                <w:szCs w:val="24"/>
              </w:rPr>
            </w:pPr>
            <w:r>
              <w:rPr>
                <w:rFonts w:ascii="Times New Roman" w:eastAsia="Times New Roman" w:hAnsi="Times New Roman" w:cs="Times New Roman"/>
                <w:color w:val="000000"/>
                <w:spacing w:val="0"/>
                <w:w w:val="100"/>
                <w:position w:val="0"/>
                <w:sz w:val="24"/>
                <w:szCs w:val="24"/>
              </w:rPr>
              <w:t>3,320,980</w:t>
            </w:r>
          </w:p>
        </w:tc>
      </w:tr>
      <w:tr>
        <w:trPr>
          <w:trHeight w:val="312" w:hRule="exact"/>
        </w:trPr>
        <w:tc>
          <w:tcPr>
            <w:tcBorders/>
            <w:shd w:val="clear" w:color="auto" w:fill="FFFFFF"/>
            <w:vAlign w:val="bottom"/>
          </w:tcPr>
          <w:p>
            <w:pPr>
              <w:pStyle w:val="Style28"/>
              <w:keepNext w:val="0"/>
              <w:keepLines w:val="0"/>
              <w:framePr w:w="8251" w:h="8107" w:hSpace="787" w:wrap="notBeside" w:vAnchor="text" w:hAnchor="text" w:x="788" w:y="1"/>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—可供出售权益工具</w:t>
            </w:r>
          </w:p>
        </w:tc>
        <w:tc>
          <w:tcPr>
            <w:tcBorders/>
            <w:shd w:val="clear" w:color="auto" w:fill="FFFFFF"/>
            <w:vAlign w:val="bottom"/>
          </w:tcPr>
          <w:p>
            <w:pPr>
              <w:pStyle w:val="Style28"/>
              <w:keepNext w:val="0"/>
              <w:keepLines w:val="0"/>
              <w:framePr w:w="8251" w:h="8107" w:hSpace="787" w:wrap="notBeside" w:vAnchor="text" w:hAnchor="text" w:x="788" w:y="1"/>
              <w:widowControl w:val="0"/>
              <w:shd w:val="clear" w:color="auto" w:fill="auto"/>
              <w:bidi w:val="0"/>
              <w:spacing w:before="0" w:after="0" w:line="240" w:lineRule="auto"/>
              <w:ind w:left="0" w:right="240" w:firstLine="0"/>
              <w:jc w:val="right"/>
              <w:rPr>
                <w:sz w:val="24"/>
                <w:szCs w:val="24"/>
              </w:rPr>
            </w:pPr>
            <w:r>
              <w:rPr>
                <w:rFonts w:ascii="Times New Roman" w:eastAsia="Times New Roman" w:hAnsi="Times New Roman" w:cs="Times New Roman"/>
                <w:color w:val="000000"/>
                <w:spacing w:val="0"/>
                <w:w w:val="100"/>
                <w:position w:val="0"/>
                <w:sz w:val="24"/>
                <w:szCs w:val="24"/>
              </w:rPr>
              <w:t>376,435</w:t>
            </w:r>
          </w:p>
        </w:tc>
        <w:tc>
          <w:tcPr>
            <w:tcBorders/>
            <w:shd w:val="clear" w:color="auto" w:fill="FFFFFF"/>
            <w:vAlign w:val="bottom"/>
          </w:tcPr>
          <w:p>
            <w:pPr>
              <w:pStyle w:val="Style28"/>
              <w:keepNext w:val="0"/>
              <w:keepLines w:val="0"/>
              <w:framePr w:w="8251" w:h="8107" w:hSpace="787" w:wrap="notBeside" w:vAnchor="text" w:hAnchor="text" w:x="788" w:y="1"/>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18,879</w:t>
            </w:r>
          </w:p>
        </w:tc>
      </w:tr>
      <w:tr>
        <w:trPr>
          <w:trHeight w:val="278" w:hRule="exact"/>
        </w:trPr>
        <w:tc>
          <w:tcPr>
            <w:tcBorders>
              <w:top w:val="single" w:sz="4"/>
            </w:tcBorders>
            <w:shd w:val="clear" w:color="auto" w:fill="FFFFFF"/>
            <w:vAlign w:val="top"/>
          </w:tcPr>
          <w:p>
            <w:pPr>
              <w:framePr w:w="8251" w:h="8107" w:hSpace="787" w:wrap="notBeside" w:vAnchor="text" w:hAnchor="text" w:x="788" w:y="1"/>
              <w:widowControl w:val="0"/>
              <w:rPr>
                <w:sz w:val="10"/>
                <w:szCs w:val="10"/>
              </w:rPr>
            </w:pPr>
          </w:p>
        </w:tc>
        <w:tc>
          <w:tcPr>
            <w:tcBorders>
              <w:top w:val="single" w:sz="4"/>
            </w:tcBorders>
            <w:shd w:val="clear" w:color="auto" w:fill="FFFFFF"/>
            <w:vAlign w:val="bottom"/>
          </w:tcPr>
          <w:p>
            <w:pPr>
              <w:pStyle w:val="Style28"/>
              <w:keepNext w:val="0"/>
              <w:keepLines w:val="0"/>
              <w:framePr w:w="8251" w:h="8107" w:hSpace="787" w:wrap="notBeside" w:vAnchor="text" w:hAnchor="text" w:x="788" w:y="1"/>
              <w:widowControl w:val="0"/>
              <w:shd w:val="clear" w:color="auto" w:fill="auto"/>
              <w:bidi w:val="0"/>
              <w:spacing w:before="0" w:after="0" w:line="240" w:lineRule="auto"/>
              <w:ind w:left="0" w:right="0" w:firstLine="1000"/>
              <w:jc w:val="left"/>
              <w:rPr>
                <w:sz w:val="24"/>
                <w:szCs w:val="24"/>
              </w:rPr>
            </w:pPr>
            <w:r>
              <w:rPr>
                <w:rFonts w:ascii="Times New Roman" w:eastAsia="Times New Roman" w:hAnsi="Times New Roman" w:cs="Times New Roman"/>
                <w:color w:val="000000"/>
                <w:spacing w:val="0"/>
                <w:w w:val="100"/>
                <w:position w:val="0"/>
                <w:sz w:val="24"/>
                <w:szCs w:val="24"/>
              </w:rPr>
              <w:t>43,157,143</w:t>
            </w:r>
          </w:p>
        </w:tc>
        <w:tc>
          <w:tcPr>
            <w:tcBorders>
              <w:top w:val="single" w:sz="4"/>
            </w:tcBorders>
            <w:shd w:val="clear" w:color="auto" w:fill="FFFFFF"/>
            <w:vAlign w:val="bottom"/>
          </w:tcPr>
          <w:p>
            <w:pPr>
              <w:pStyle w:val="Style28"/>
              <w:keepNext w:val="0"/>
              <w:keepLines w:val="0"/>
              <w:framePr w:w="8251" w:h="8107" w:hSpace="787" w:wrap="notBeside" w:vAnchor="text" w:hAnchor="text" w:x="788" w:y="1"/>
              <w:widowControl w:val="0"/>
              <w:shd w:val="clear" w:color="auto" w:fill="auto"/>
              <w:bidi w:val="0"/>
              <w:spacing w:before="0" w:after="0" w:line="240" w:lineRule="auto"/>
              <w:ind w:left="1140" w:right="0" w:firstLine="0"/>
              <w:jc w:val="both"/>
              <w:rPr>
                <w:sz w:val="24"/>
                <w:szCs w:val="24"/>
              </w:rPr>
            </w:pPr>
            <w:r>
              <w:rPr>
                <w:rFonts w:ascii="Times New Roman" w:eastAsia="Times New Roman" w:hAnsi="Times New Roman" w:cs="Times New Roman"/>
                <w:color w:val="000000"/>
                <w:spacing w:val="0"/>
                <w:w w:val="100"/>
                <w:position w:val="0"/>
                <w:sz w:val="24"/>
                <w:szCs w:val="24"/>
              </w:rPr>
              <w:t>3,339,859</w:t>
            </w:r>
          </w:p>
        </w:tc>
      </w:tr>
      <w:tr>
        <w:trPr>
          <w:trHeight w:val="322" w:hRule="exact"/>
        </w:trPr>
        <w:tc>
          <w:tcPr>
            <w:tcBorders/>
            <w:shd w:val="clear" w:color="auto" w:fill="FFFFFF"/>
            <w:vAlign w:val="center"/>
          </w:tcPr>
          <w:p>
            <w:pPr>
              <w:pStyle w:val="Style28"/>
              <w:keepNext w:val="0"/>
              <w:keepLines w:val="0"/>
              <w:framePr w:w="8251" w:h="8107" w:hSpace="787" w:wrap="notBeside" w:vAnchor="text" w:hAnchor="text" w:x="788" w:y="1"/>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减：减值准备</w:t>
            </w:r>
          </w:p>
        </w:tc>
        <w:tc>
          <w:tcPr>
            <w:tcBorders/>
            <w:shd w:val="clear" w:color="auto" w:fill="FFFFFF"/>
            <w:vAlign w:val="center"/>
          </w:tcPr>
          <w:p>
            <w:pPr>
              <w:pStyle w:val="Style28"/>
              <w:keepNext w:val="0"/>
              <w:keepLines w:val="0"/>
              <w:framePr w:w="8251" w:h="8107" w:hSpace="787" w:wrap="notBeside" w:vAnchor="text" w:hAnchor="text" w:x="788" w:y="1"/>
              <w:widowControl w:val="0"/>
              <w:shd w:val="clear" w:color="auto" w:fill="auto"/>
              <w:bidi w:val="0"/>
              <w:spacing w:before="0" w:after="0" w:line="240" w:lineRule="auto"/>
              <w:ind w:left="0" w:right="0" w:firstLine="1000"/>
              <w:jc w:val="left"/>
              <w:rPr>
                <w:sz w:val="24"/>
                <w:szCs w:val="24"/>
              </w:rPr>
            </w:pPr>
            <w:r>
              <w:rPr>
                <w:rFonts w:ascii="Times New Roman" w:eastAsia="Times New Roman" w:hAnsi="Times New Roman" w:cs="Times New Roman"/>
                <w:color w:val="000000"/>
                <w:spacing w:val="0"/>
                <w:w w:val="100"/>
                <w:position w:val="0"/>
                <w:sz w:val="24"/>
                <w:szCs w:val="24"/>
              </w:rPr>
              <w:t>-</w:t>
            </w:r>
          </w:p>
        </w:tc>
        <w:tc>
          <w:tcPr>
            <w:tcBorders/>
            <w:shd w:val="clear" w:color="auto" w:fill="FFFFFF"/>
            <w:vAlign w:val="center"/>
          </w:tcPr>
          <w:p>
            <w:pPr>
              <w:pStyle w:val="Style28"/>
              <w:keepNext w:val="0"/>
              <w:keepLines w:val="0"/>
              <w:framePr w:w="8251" w:h="8107" w:hSpace="787" w:wrap="notBeside" w:vAnchor="text" w:hAnchor="text" w:x="788" w:y="1"/>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w:t>
            </w:r>
          </w:p>
        </w:tc>
      </w:tr>
      <w:tr>
        <w:trPr>
          <w:trHeight w:val="600" w:hRule="exact"/>
        </w:trPr>
        <w:tc>
          <w:tcPr>
            <w:tcBorders>
              <w:top w:val="single" w:sz="4"/>
            </w:tcBorders>
            <w:shd w:val="clear" w:color="auto" w:fill="FFFFFF"/>
            <w:vAlign w:val="bottom"/>
          </w:tcPr>
          <w:p>
            <w:pPr>
              <w:pStyle w:val="Style28"/>
              <w:keepNext w:val="0"/>
              <w:keepLines w:val="0"/>
              <w:framePr w:w="8251" w:h="8107" w:hSpace="787" w:wrap="notBeside" w:vAnchor="text" w:hAnchor="text" w:x="788" w:y="1"/>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减：列示于其他流动资产的可供</w:t>
            </w:r>
          </w:p>
        </w:tc>
        <w:tc>
          <w:tcPr>
            <w:tcBorders>
              <w:top w:val="single" w:sz="4"/>
            </w:tcBorders>
            <w:shd w:val="clear" w:color="auto" w:fill="FFFFFF"/>
            <w:vAlign w:val="top"/>
          </w:tcPr>
          <w:p>
            <w:pPr>
              <w:pStyle w:val="Style28"/>
              <w:keepNext w:val="0"/>
              <w:keepLines w:val="0"/>
              <w:framePr w:w="8251" w:h="8107" w:hSpace="787" w:wrap="notBeside" w:vAnchor="text" w:hAnchor="text" w:x="788" w:y="1"/>
              <w:widowControl w:val="0"/>
              <w:shd w:val="clear" w:color="auto" w:fill="auto"/>
              <w:bidi w:val="0"/>
              <w:spacing w:before="0" w:after="0" w:line="240" w:lineRule="auto"/>
              <w:ind w:left="0" w:right="0" w:firstLine="1000"/>
              <w:jc w:val="left"/>
              <w:rPr>
                <w:sz w:val="24"/>
                <w:szCs w:val="24"/>
              </w:rPr>
            </w:pPr>
            <w:r>
              <w:rPr>
                <w:rFonts w:ascii="Times New Roman" w:eastAsia="Times New Roman" w:hAnsi="Times New Roman" w:cs="Times New Roman"/>
                <w:color w:val="000000"/>
                <w:spacing w:val="0"/>
                <w:w w:val="100"/>
                <w:position w:val="0"/>
                <w:sz w:val="24"/>
                <w:szCs w:val="24"/>
              </w:rPr>
              <w:t>43,157,143</w:t>
            </w:r>
          </w:p>
        </w:tc>
        <w:tc>
          <w:tcPr>
            <w:tcBorders>
              <w:top w:val="single" w:sz="4"/>
            </w:tcBorders>
            <w:shd w:val="clear" w:color="auto" w:fill="FFFFFF"/>
            <w:vAlign w:val="top"/>
          </w:tcPr>
          <w:p>
            <w:pPr>
              <w:pStyle w:val="Style28"/>
              <w:keepNext w:val="0"/>
              <w:keepLines w:val="0"/>
              <w:framePr w:w="8251" w:h="8107" w:hSpace="787" w:wrap="notBeside" w:vAnchor="text" w:hAnchor="text" w:x="788" w:y="1"/>
              <w:widowControl w:val="0"/>
              <w:shd w:val="clear" w:color="auto" w:fill="auto"/>
              <w:bidi w:val="0"/>
              <w:spacing w:before="0" w:after="0" w:line="240" w:lineRule="auto"/>
              <w:ind w:left="1140" w:right="0" w:firstLine="0"/>
              <w:jc w:val="both"/>
              <w:rPr>
                <w:sz w:val="24"/>
                <w:szCs w:val="24"/>
              </w:rPr>
            </w:pPr>
            <w:r>
              <w:rPr>
                <w:rFonts w:ascii="Times New Roman" w:eastAsia="Times New Roman" w:hAnsi="Times New Roman" w:cs="Times New Roman"/>
                <w:color w:val="000000"/>
                <w:spacing w:val="0"/>
                <w:w w:val="100"/>
                <w:position w:val="0"/>
                <w:sz w:val="24"/>
                <w:szCs w:val="24"/>
              </w:rPr>
              <w:t>3,339,859</w:t>
            </w:r>
          </w:p>
        </w:tc>
      </w:tr>
      <w:tr>
        <w:trPr>
          <w:trHeight w:val="331" w:hRule="exact"/>
        </w:trPr>
        <w:tc>
          <w:tcPr>
            <w:tcBorders/>
            <w:shd w:val="clear" w:color="auto" w:fill="FFFFFF"/>
            <w:vAlign w:val="bottom"/>
          </w:tcPr>
          <w:p>
            <w:pPr>
              <w:pStyle w:val="Style28"/>
              <w:keepNext w:val="0"/>
              <w:keepLines w:val="0"/>
              <w:framePr w:w="8251" w:h="8107" w:hSpace="787" w:wrap="notBeside" w:vAnchor="text" w:hAnchor="text" w:x="788" w:y="1"/>
              <w:widowControl w:val="0"/>
              <w:shd w:val="clear" w:color="auto" w:fill="auto"/>
              <w:tabs>
                <w:tab w:pos="3380" w:val="left"/>
              </w:tabs>
              <w:bidi w:val="0"/>
              <w:spacing w:before="0" w:after="0" w:line="240" w:lineRule="auto"/>
              <w:ind w:left="0" w:right="0" w:firstLine="740"/>
              <w:jc w:val="left"/>
              <w:rPr>
                <w:sz w:val="24"/>
                <w:szCs w:val="24"/>
              </w:rPr>
            </w:pPr>
            <w:r>
              <w:rPr>
                <w:color w:val="000000"/>
                <w:spacing w:val="0"/>
                <w:w w:val="100"/>
                <w:position w:val="0"/>
                <w:sz w:val="24"/>
                <w:szCs w:val="24"/>
              </w:rPr>
              <w:t>出售金融资产</w:t>
            </w:r>
            <w:r>
              <w:rPr>
                <w:rFonts w:ascii="Times New Roman" w:eastAsia="Times New Roman" w:hAnsi="Times New Roman" w:cs="Times New Roman"/>
                <w:color w:val="000000"/>
                <w:spacing w:val="0"/>
                <w:w w:val="100"/>
                <w:position w:val="0"/>
                <w:sz w:val="24"/>
                <w:szCs w:val="24"/>
              </w:rPr>
              <w:t>(i)</w:t>
              <w:tab/>
            </w:r>
            <w:r>
              <w:rPr>
                <w:rFonts w:ascii="Times New Roman" w:eastAsia="Times New Roman" w:hAnsi="Times New Roman" w:cs="Times New Roman"/>
                <w:color w:val="000000"/>
                <w:spacing w:val="0"/>
                <w:w w:val="100"/>
                <w:position w:val="0"/>
                <w:sz w:val="24"/>
                <w:szCs w:val="24"/>
              </w:rPr>
              <w:t>_</w:t>
            </w:r>
          </w:p>
        </w:tc>
        <w:tc>
          <w:tcPr>
            <w:tcBorders/>
            <w:shd w:val="clear" w:color="auto" w:fill="FFFFFF"/>
            <w:vAlign w:val="bottom"/>
          </w:tcPr>
          <w:p>
            <w:pPr>
              <w:pStyle w:val="Style28"/>
              <w:keepNext w:val="0"/>
              <w:keepLines w:val="0"/>
              <w:framePr w:w="8251" w:h="8107" w:hSpace="787" w:wrap="notBeside" w:vAnchor="text" w:hAnchor="text" w:x="788" w:y="1"/>
              <w:widowControl w:val="0"/>
              <w:shd w:val="clear" w:color="auto" w:fill="auto"/>
              <w:bidi w:val="0"/>
              <w:spacing w:before="0" w:after="0" w:line="240" w:lineRule="auto"/>
              <w:ind w:left="0" w:right="240" w:firstLine="0"/>
              <w:jc w:val="right"/>
              <w:rPr>
                <w:sz w:val="24"/>
                <w:szCs w:val="24"/>
              </w:rPr>
            </w:pPr>
            <w:r>
              <w:rPr>
                <w:rFonts w:ascii="Times New Roman" w:eastAsia="Times New Roman" w:hAnsi="Times New Roman" w:cs="Times New Roman"/>
                <w:color w:val="000000"/>
                <w:spacing w:val="0"/>
                <w:w w:val="100"/>
                <w:position w:val="0"/>
                <w:sz w:val="24"/>
                <w:szCs w:val="24"/>
              </w:rPr>
              <w:t>(17,821,905)</w:t>
            </w:r>
          </w:p>
        </w:tc>
        <w:tc>
          <w:tcPr>
            <w:tcBorders/>
            <w:shd w:val="clear" w:color="auto" w:fill="FFFFFF"/>
            <w:vAlign w:val="bottom"/>
          </w:tcPr>
          <w:p>
            <w:pPr>
              <w:pStyle w:val="Style28"/>
              <w:keepNext w:val="0"/>
              <w:keepLines w:val="0"/>
              <w:framePr w:w="8251" w:h="8107" w:hSpace="787" w:wrap="notBeside" w:vAnchor="text" w:hAnchor="text" w:x="788" w:y="1"/>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(1,502,959)</w:t>
            </w:r>
          </w:p>
        </w:tc>
      </w:tr>
      <w:tr>
        <w:trPr>
          <w:trHeight w:val="288" w:hRule="exact"/>
        </w:trPr>
        <w:tc>
          <w:tcPr>
            <w:tcBorders>
              <w:top w:val="single" w:sz="4"/>
              <w:bottom w:val="single" w:sz="4"/>
            </w:tcBorders>
            <w:shd w:val="clear" w:color="auto" w:fill="FFFFFF"/>
            <w:vAlign w:val="top"/>
          </w:tcPr>
          <w:p>
            <w:pPr>
              <w:framePr w:w="8251" w:h="8107" w:hSpace="787" w:wrap="notBeside" w:vAnchor="text" w:hAnchor="text" w:x="788" w:y="1"/>
              <w:widowControl w:val="0"/>
              <w:rPr>
                <w:sz w:val="10"/>
                <w:szCs w:val="10"/>
              </w:rPr>
            </w:pPr>
          </w:p>
        </w:tc>
        <w:tc>
          <w:tcPr>
            <w:tcBorders>
              <w:top w:val="single" w:sz="4"/>
              <w:bottom w:val="single" w:sz="4"/>
            </w:tcBorders>
            <w:shd w:val="clear" w:color="auto" w:fill="FFFFFF"/>
            <w:vAlign w:val="bottom"/>
          </w:tcPr>
          <w:p>
            <w:pPr>
              <w:pStyle w:val="Style28"/>
              <w:keepNext w:val="0"/>
              <w:keepLines w:val="0"/>
              <w:framePr w:w="8251" w:h="8107" w:hSpace="787" w:wrap="notBeside" w:vAnchor="text" w:hAnchor="text" w:x="788" w:y="1"/>
              <w:widowControl w:val="0"/>
              <w:shd w:val="clear" w:color="auto" w:fill="auto"/>
              <w:bidi w:val="0"/>
              <w:spacing w:before="0" w:after="0" w:line="240" w:lineRule="auto"/>
              <w:ind w:left="0" w:right="0" w:firstLine="1000"/>
              <w:jc w:val="left"/>
              <w:rPr>
                <w:sz w:val="24"/>
                <w:szCs w:val="24"/>
              </w:rPr>
            </w:pPr>
            <w:r>
              <w:rPr>
                <w:rFonts w:ascii="Times New Roman" w:eastAsia="Times New Roman" w:hAnsi="Times New Roman" w:cs="Times New Roman"/>
                <w:color w:val="000000"/>
                <w:spacing w:val="0"/>
                <w:w w:val="100"/>
                <w:position w:val="0"/>
                <w:sz w:val="24"/>
                <w:szCs w:val="24"/>
              </w:rPr>
              <w:t>25,335,238</w:t>
            </w:r>
          </w:p>
        </w:tc>
        <w:tc>
          <w:tcPr>
            <w:tcBorders>
              <w:top w:val="single" w:sz="4"/>
              <w:bottom w:val="single" w:sz="4"/>
            </w:tcBorders>
            <w:shd w:val="clear" w:color="auto" w:fill="FFFFFF"/>
            <w:vAlign w:val="bottom"/>
          </w:tcPr>
          <w:p>
            <w:pPr>
              <w:pStyle w:val="Style28"/>
              <w:keepNext w:val="0"/>
              <w:keepLines w:val="0"/>
              <w:framePr w:w="8251" w:h="8107" w:hSpace="787" w:wrap="notBeside" w:vAnchor="text" w:hAnchor="text" w:x="788" w:y="1"/>
              <w:widowControl w:val="0"/>
              <w:shd w:val="clear" w:color="auto" w:fill="auto"/>
              <w:bidi w:val="0"/>
              <w:spacing w:before="0" w:after="0" w:line="240" w:lineRule="auto"/>
              <w:ind w:left="1140" w:right="0" w:firstLine="0"/>
              <w:jc w:val="both"/>
              <w:rPr>
                <w:sz w:val="24"/>
                <w:szCs w:val="24"/>
              </w:rPr>
            </w:pPr>
            <w:r>
              <w:rPr>
                <w:rFonts w:ascii="Times New Roman" w:eastAsia="Times New Roman" w:hAnsi="Times New Roman" w:cs="Times New Roman"/>
                <w:color w:val="000000"/>
                <w:spacing w:val="0"/>
                <w:w w:val="100"/>
                <w:position w:val="0"/>
                <w:sz w:val="24"/>
                <w:szCs w:val="24"/>
              </w:rPr>
              <w:t>1,836,900</w:t>
            </w:r>
          </w:p>
        </w:tc>
      </w:tr>
    </w:tbl>
    <w:p>
      <w:pPr>
        <w:pStyle w:val="Style25"/>
        <w:keepNext w:val="0"/>
        <w:keepLines w:val="0"/>
        <w:framePr w:w="442" w:h="336" w:hSpace="8596" w:wrap="notBeside" w:vAnchor="text" w:hAnchor="text" w:y="3251"/>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(11)</w:t>
      </w:r>
    </w:p>
    <w:p>
      <w:pPr>
        <w:widowControl w:val="0"/>
        <w:spacing w:line="1" w:lineRule="exact"/>
      </w:pPr>
    </w:p>
    <w:p>
      <w:pPr>
        <w:pStyle w:val="Style32"/>
        <w:keepNext w:val="0"/>
        <w:keepLines w:val="0"/>
        <w:widowControl w:val="0"/>
        <w:shd w:val="clear" w:color="auto" w:fill="auto"/>
        <w:bidi w:val="0"/>
        <w:spacing w:before="0" w:after="240" w:line="317" w:lineRule="exact"/>
        <w:ind w:left="1360" w:right="0" w:hanging="540"/>
        <w:jc w:val="both"/>
        <w:rPr>
          <w:sz w:val="24"/>
          <w:szCs w:val="24"/>
        </w:rPr>
      </w:pPr>
      <w:r>
        <w:rPr>
          <w:color w:val="000000"/>
          <w:spacing w:val="0"/>
          <w:w w:val="100"/>
          <w:position w:val="0"/>
          <w:sz w:val="24"/>
          <w:szCs w:val="24"/>
        </w:rPr>
        <w:t>⑴ 于</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日，本集团有多笔尚未到期的浮动收益型理财产品， 其中约人民币</w:t>
      </w:r>
      <w:r>
        <w:rPr>
          <w:rFonts w:ascii="Times New Roman" w:eastAsia="Times New Roman" w:hAnsi="Times New Roman" w:cs="Times New Roman"/>
          <w:color w:val="000000"/>
          <w:spacing w:val="0"/>
          <w:w w:val="100"/>
          <w:position w:val="0"/>
          <w:sz w:val="24"/>
          <w:szCs w:val="24"/>
        </w:rPr>
        <w:t>178</w:t>
      </w:r>
      <w:r>
        <w:rPr>
          <w:color w:val="000000"/>
          <w:spacing w:val="0"/>
          <w:w w:val="100"/>
          <w:position w:val="0"/>
          <w:sz w:val="24"/>
          <w:szCs w:val="24"/>
        </w:rPr>
        <w:t>亿元</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日：约人民币</w:t>
      </w:r>
      <w:r>
        <w:rPr>
          <w:rFonts w:ascii="Times New Roman" w:eastAsia="Times New Roman" w:hAnsi="Times New Roman" w:cs="Times New Roman"/>
          <w:color w:val="000000"/>
          <w:spacing w:val="0"/>
          <w:w w:val="100"/>
          <w:position w:val="0"/>
          <w:sz w:val="24"/>
          <w:szCs w:val="24"/>
        </w:rPr>
        <w:t>15</w:t>
      </w:r>
      <w:r>
        <w:rPr>
          <w:color w:val="000000"/>
          <w:spacing w:val="0"/>
          <w:w w:val="100"/>
          <w:position w:val="0"/>
          <w:sz w:val="24"/>
          <w:szCs w:val="24"/>
        </w:rPr>
        <w:t>亿元</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将在一年 内到期，账列其他流动资产；剩余理财产品无固定到期日，账列可供出 售金融资产。</w:t>
      </w:r>
    </w:p>
    <w:p>
      <w:pPr>
        <w:pStyle w:val="Style32"/>
        <w:keepNext w:val="0"/>
        <w:keepLines w:val="0"/>
        <w:widowControl w:val="0"/>
        <w:shd w:val="clear" w:color="auto" w:fill="auto"/>
        <w:bidi w:val="0"/>
        <w:spacing w:before="0" w:after="240" w:line="312" w:lineRule="exact"/>
        <w:ind w:left="1360" w:right="0" w:hanging="540"/>
        <w:jc w:val="both"/>
        <w:rPr>
          <w:sz w:val="24"/>
          <w:szCs w:val="24"/>
        </w:rPr>
      </w:pPr>
      <w:r>
        <w:rPr>
          <w:rFonts w:ascii="Times New Roman" w:eastAsia="Times New Roman" w:hAnsi="Times New Roman" w:cs="Times New Roman"/>
          <w:color w:val="000000"/>
          <w:spacing w:val="0"/>
          <w:w w:val="100"/>
          <w:position w:val="0"/>
          <w:sz w:val="24"/>
          <w:szCs w:val="24"/>
        </w:rPr>
        <w:t>(ii)</w:t>
      </w:r>
      <w:r>
        <w:rPr>
          <w:color w:val="000000"/>
          <w:spacing w:val="0"/>
          <w:w w:val="100"/>
          <w:position w:val="0"/>
          <w:sz w:val="24"/>
          <w:szCs w:val="24"/>
        </w:rPr>
        <w:t>于</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日，本集团将持有的阿里巴巴集团控股有限公司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阿 里巴巴</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约</w:t>
      </w:r>
      <w:r>
        <w:rPr>
          <w:rFonts w:ascii="Times New Roman" w:eastAsia="Times New Roman" w:hAnsi="Times New Roman" w:cs="Times New Roman"/>
          <w:color w:val="000000"/>
          <w:spacing w:val="0"/>
          <w:w w:val="100"/>
          <w:position w:val="0"/>
          <w:sz w:val="24"/>
          <w:szCs w:val="24"/>
        </w:rPr>
        <w:t>2,632</w:t>
      </w:r>
      <w:r>
        <w:rPr>
          <w:color w:val="000000"/>
          <w:spacing w:val="0"/>
          <w:w w:val="100"/>
          <w:position w:val="0"/>
          <w:sz w:val="24"/>
          <w:szCs w:val="24"/>
        </w:rPr>
        <w:t>万普通股股票</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日：无</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质押给银行作为 美元短期借款约人民币</w:t>
      </w:r>
      <w:r>
        <w:rPr>
          <w:rFonts w:ascii="Times New Roman" w:eastAsia="Times New Roman" w:hAnsi="Times New Roman" w:cs="Times New Roman"/>
          <w:color w:val="000000"/>
          <w:spacing w:val="0"/>
          <w:w w:val="100"/>
          <w:position w:val="0"/>
          <w:sz w:val="24"/>
          <w:szCs w:val="24"/>
        </w:rPr>
        <w:t>48.56</w:t>
      </w:r>
      <w:r>
        <w:rPr>
          <w:color w:val="000000"/>
          <w:spacing w:val="0"/>
          <w:w w:val="100"/>
          <w:position w:val="0"/>
          <w:sz w:val="24"/>
          <w:szCs w:val="24"/>
        </w:rPr>
        <w:t>亿元的质押物</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附注四</w:t>
      </w:r>
      <w:r>
        <w:rPr>
          <w:rFonts w:ascii="Times New Roman" w:eastAsia="Times New Roman" w:hAnsi="Times New Roman" w:cs="Times New Roman"/>
          <w:color w:val="000000"/>
          <w:spacing w:val="0"/>
          <w:w w:val="100"/>
          <w:position w:val="0"/>
          <w:sz w:val="24"/>
          <w:szCs w:val="24"/>
        </w:rPr>
        <w:t>(22))</w:t>
      </w:r>
      <w:r>
        <w:rPr>
          <w:color w:val="000000"/>
          <w:spacing w:val="0"/>
          <w:w w:val="100"/>
          <w:position w:val="0"/>
          <w:sz w:val="24"/>
          <w:szCs w:val="24"/>
        </w:rPr>
        <w:t>。</w:t>
      </w:r>
    </w:p>
    <w:p>
      <w:pPr>
        <w:pStyle w:val="Style32"/>
        <w:keepNext w:val="0"/>
        <w:keepLines w:val="0"/>
        <w:widowControl w:val="0"/>
        <w:shd w:val="clear" w:color="auto" w:fill="auto"/>
        <w:bidi w:val="0"/>
        <w:spacing w:before="0" w:after="0" w:line="240" w:lineRule="auto"/>
        <w:ind w:left="0" w:right="0" w:firstLine="720"/>
        <w:jc w:val="left"/>
        <w:rPr>
          <w:sz w:val="24"/>
          <w:szCs w:val="24"/>
        </w:rPr>
      </w:pPr>
      <w:r>
        <w:rPr>
          <w:b/>
          <w:bCs/>
          <w:color w:val="000000"/>
          <w:spacing w:val="0"/>
          <w:w w:val="100"/>
          <w:position w:val="0"/>
          <w:sz w:val="24"/>
          <w:szCs w:val="24"/>
        </w:rPr>
        <w:t>财务报表附注</w:t>
      </w:r>
    </w:p>
    <w:p>
      <w:pPr>
        <w:pStyle w:val="Style88"/>
        <w:keepNext/>
        <w:keepLines/>
        <w:widowControl w:val="0"/>
        <w:shd w:val="clear" w:color="auto" w:fill="auto"/>
        <w:bidi w:val="0"/>
        <w:spacing w:before="0" w:after="0" w:line="240" w:lineRule="auto"/>
        <w:ind w:left="0" w:right="0" w:firstLine="720"/>
        <w:jc w:val="left"/>
      </w:pPr>
      <w:bookmarkStart w:id="862" w:name="bookmark862"/>
      <w:bookmarkStart w:id="863" w:name="bookmark863"/>
      <w:bookmarkStart w:id="864" w:name="bookmark864"/>
      <w:r>
        <w:rPr>
          <w:color w:val="000000"/>
          <w:spacing w:val="0"/>
          <w:w w:val="100"/>
          <w:position w:val="0"/>
          <w:sz w:val="24"/>
          <w:szCs w:val="24"/>
        </w:rPr>
        <w:t>2016</w:t>
      </w:r>
      <w:r>
        <w:rPr>
          <w:rFonts w:ascii="SimSun" w:eastAsia="SimSun" w:hAnsi="SimSun" w:cs="SimSun"/>
          <w:b/>
          <w:bCs/>
          <w:color w:val="000000"/>
          <w:spacing w:val="0"/>
          <w:w w:val="100"/>
          <w:position w:val="0"/>
          <w:sz w:val="24"/>
          <w:szCs w:val="24"/>
        </w:rPr>
        <w:t>年度</w:t>
      </w:r>
      <w:bookmarkEnd w:id="862"/>
      <w:bookmarkEnd w:id="863"/>
      <w:bookmarkEnd w:id="864"/>
    </w:p>
    <w:p>
      <w:pPr>
        <w:pStyle w:val="Style32"/>
        <w:keepNext w:val="0"/>
        <w:keepLines w:val="0"/>
        <w:widowControl w:val="0"/>
        <w:shd w:val="clear" w:color="auto" w:fill="auto"/>
        <w:bidi w:val="0"/>
        <w:spacing w:before="0" w:after="280" w:line="240" w:lineRule="auto"/>
        <w:ind w:left="0" w:right="0" w:firstLine="720"/>
        <w:jc w:val="left"/>
        <w:rPr>
          <w:sz w:val="24"/>
          <w:szCs w:val="24"/>
        </w:rPr>
      </w:pPr>
      <w:r>
        <w:rPr>
          <w:rFonts w:ascii="Arial" w:eastAsia="Arial" w:hAnsi="Arial" w:cs="Arial"/>
          <w:color w:val="000000"/>
          <w:spacing w:val="0"/>
          <w:w w:val="100"/>
          <w:position w:val="0"/>
          <w:sz w:val="20"/>
          <w:szCs w:val="20"/>
        </w:rPr>
        <w:t>（</w:t>
      </w:r>
      <w:r>
        <w:rPr>
          <w:color w:val="000000"/>
          <w:spacing w:val="0"/>
          <w:w w:val="100"/>
          <w:position w:val="0"/>
          <w:sz w:val="20"/>
          <w:szCs w:val="20"/>
        </w:rPr>
        <w:t>除特别注明外，金额单位为人民币千元</w:t>
      </w:r>
      <w:r>
        <w:rPr>
          <w:color w:val="000000"/>
          <w:spacing w:val="0"/>
          <w:w w:val="100"/>
          <w:position w:val="0"/>
          <w:sz w:val="24"/>
          <w:szCs w:val="24"/>
        </w:rPr>
        <w:t>）</w:t>
      </w:r>
    </w:p>
    <w:p>
      <w:pPr>
        <w:pStyle w:val="Style32"/>
        <w:keepNext w:val="0"/>
        <w:keepLines w:val="0"/>
        <w:widowControl w:val="0"/>
        <w:shd w:val="clear" w:color="auto" w:fill="auto"/>
        <w:tabs>
          <w:tab w:pos="689" w:val="left"/>
        </w:tabs>
        <w:bidi w:val="0"/>
        <w:spacing w:before="0" w:after="280" w:line="240" w:lineRule="auto"/>
        <w:ind w:left="0" w:right="0" w:firstLine="0"/>
        <w:jc w:val="left"/>
        <w:rPr>
          <w:sz w:val="24"/>
          <w:szCs w:val="24"/>
        </w:rPr>
      </w:pPr>
      <w:r>
        <w:rPr>
          <w:b/>
          <w:bCs/>
          <w:color w:val="000000"/>
          <w:spacing w:val="0"/>
          <w:w w:val="100"/>
          <w:position w:val="0"/>
          <w:sz w:val="24"/>
          <w:szCs w:val="24"/>
        </w:rPr>
        <w:t>四</w:t>
        <w:tab/>
        <w:t>合并财务报表项目附注</w:t>
      </w:r>
      <w:r>
        <w:rPr>
          <w:rFonts w:ascii="Times New Roman" w:eastAsia="Times New Roman" w:hAnsi="Times New Roman" w:cs="Times New Roman"/>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4"/>
          <w:szCs w:val="24"/>
        </w:rPr>
        <w:t>）</w:t>
      </w:r>
    </w:p>
    <w:p>
      <w:pPr>
        <w:pStyle w:val="Style32"/>
        <w:keepNext w:val="0"/>
        <w:keepLines w:val="0"/>
        <w:widowControl w:val="0"/>
        <w:shd w:val="clear" w:color="auto" w:fill="auto"/>
        <w:bidi w:val="0"/>
        <w:spacing w:before="0" w:after="28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（11）</w:t>
      </w:r>
      <w:r>
        <w:rPr>
          <w:b/>
          <w:bCs/>
          <w:color w:val="000000"/>
          <w:spacing w:val="0"/>
          <w:w w:val="100"/>
          <w:position w:val="0"/>
          <w:sz w:val="24"/>
          <w:szCs w:val="24"/>
        </w:rPr>
        <w:t>可供出售金融资产</w:t>
      </w:r>
      <w:r>
        <w:rPr>
          <w:rFonts w:ascii="Times New Roman" w:eastAsia="Times New Roman" w:hAnsi="Times New Roman" w:cs="Times New Roman"/>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4"/>
          <w:szCs w:val="24"/>
        </w:rPr>
        <w:t>）</w:t>
      </w:r>
    </w:p>
    <w:p>
      <w:pPr>
        <w:pStyle w:val="Style32"/>
        <w:keepNext w:val="0"/>
        <w:keepLines w:val="0"/>
        <w:widowControl w:val="0"/>
        <w:shd w:val="clear" w:color="auto" w:fill="auto"/>
        <w:tabs>
          <w:tab w:pos="689" w:val="left"/>
        </w:tabs>
        <w:bidi w:val="0"/>
        <w:spacing w:before="0" w:after="280" w:line="240" w:lineRule="auto"/>
        <w:ind w:left="0" w:right="0" w:firstLine="0"/>
        <w:jc w:val="left"/>
        <w:rPr>
          <w:sz w:val="24"/>
          <w:szCs w:val="24"/>
        </w:rPr>
      </w:pPr>
      <w:bookmarkStart w:id="865" w:name="bookmark865"/>
      <w:r>
        <w:rPr>
          <w:rFonts w:ascii="Times New Roman" w:eastAsia="Times New Roman" w:hAnsi="Times New Roman" w:cs="Times New Roman"/>
          <w:color w:val="000000"/>
          <w:spacing w:val="0"/>
          <w:w w:val="100"/>
          <w:position w:val="0"/>
          <w:sz w:val="24"/>
          <w:szCs w:val="24"/>
        </w:rPr>
        <w:t>（</w:t>
      </w:r>
      <w:bookmarkEnd w:id="865"/>
      <w:r>
        <w:rPr>
          <w:rFonts w:ascii="Times New Roman" w:eastAsia="Times New Roman" w:hAnsi="Times New Roman" w:cs="Times New Roman"/>
          <w:color w:val="000000"/>
          <w:spacing w:val="0"/>
          <w:w w:val="100"/>
          <w:position w:val="0"/>
          <w:sz w:val="24"/>
          <w:szCs w:val="24"/>
        </w:rPr>
        <w:t>a）</w:t>
        <w:tab/>
      </w:r>
      <w:r>
        <w:rPr>
          <w:color w:val="000000"/>
          <w:spacing w:val="0"/>
          <w:w w:val="100"/>
          <w:position w:val="0"/>
          <w:sz w:val="24"/>
          <w:szCs w:val="24"/>
        </w:rPr>
        <w:t>可供出售金融资产相关信息分析如下:</w:t>
      </w:r>
    </w:p>
    <w:p>
      <w:pPr>
        <w:pStyle w:val="Style32"/>
        <w:keepNext w:val="0"/>
        <w:keepLines w:val="0"/>
        <w:widowControl w:val="0"/>
        <w:shd w:val="clear" w:color="auto" w:fill="auto"/>
        <w:bidi w:val="0"/>
        <w:spacing w:before="0" w:after="280" w:line="240" w:lineRule="auto"/>
        <w:ind w:left="0" w:right="0" w:firstLine="720"/>
        <w:jc w:val="left"/>
        <w:rPr>
          <w:sz w:val="24"/>
          <w:szCs w:val="24"/>
        </w:rPr>
      </w:pPr>
      <w:r>
        <w:rPr>
          <w:color w:val="000000"/>
          <w:spacing w:val="0"/>
          <w:w w:val="100"/>
          <w:position w:val="0"/>
          <w:sz w:val="24"/>
          <w:szCs w:val="24"/>
        </w:rPr>
        <w:t>以公允价值计量的可供出售金融资产:</w:t>
      </w:r>
    </w:p>
    <w:tbl>
      <w:tblPr>
        <w:tblOverlap w:val="never"/>
        <w:jc w:val="right"/>
        <w:tblLayout w:type="fixed"/>
      </w:tblPr>
      <w:tblGrid>
        <w:gridCol w:w="3187"/>
        <w:gridCol w:w="2702"/>
        <w:gridCol w:w="2290"/>
      </w:tblGrid>
      <w:tr>
        <w:trPr>
          <w:trHeight w:val="432"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220" w:firstLine="0"/>
              <w:jc w:val="right"/>
              <w:rPr>
                <w:sz w:val="24"/>
                <w:szCs w:val="24"/>
              </w:rPr>
            </w:pP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2015</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w:t>
            </w:r>
          </w:p>
        </w:tc>
      </w:tr>
      <w:tr>
        <w:trPr>
          <w:trHeight w:val="456"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理财产品</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17"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—公允价值</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360" w:right="0" w:firstLine="0"/>
              <w:jc w:val="both"/>
              <w:rPr>
                <w:sz w:val="24"/>
                <w:szCs w:val="24"/>
              </w:rPr>
            </w:pPr>
            <w:r>
              <w:rPr>
                <w:rFonts w:ascii="Times New Roman" w:eastAsia="Times New Roman" w:hAnsi="Times New Roman" w:cs="Times New Roman"/>
                <w:color w:val="000000"/>
                <w:spacing w:val="0"/>
                <w:w w:val="100"/>
                <w:position w:val="0"/>
                <w:sz w:val="24"/>
                <w:szCs w:val="24"/>
              </w:rPr>
              <w:t>25,268,150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200" w:right="0" w:firstLine="0"/>
              <w:jc w:val="both"/>
              <w:rPr>
                <w:sz w:val="24"/>
                <w:szCs w:val="24"/>
              </w:rPr>
            </w:pPr>
            <w:r>
              <w:rPr>
                <w:rFonts w:ascii="Times New Roman" w:eastAsia="Times New Roman" w:hAnsi="Times New Roman" w:cs="Times New Roman"/>
                <w:color w:val="000000"/>
                <w:spacing w:val="0"/>
                <w:w w:val="100"/>
                <w:position w:val="0"/>
                <w:sz w:val="24"/>
                <w:szCs w:val="24"/>
              </w:rPr>
              <w:t>2,425,438</w:t>
            </w:r>
          </w:p>
        </w:tc>
      </w:tr>
      <w:tr>
        <w:trPr>
          <w:trHeight w:val="307"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—成本</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360" w:right="0" w:firstLine="0"/>
              <w:jc w:val="both"/>
              <w:rPr>
                <w:sz w:val="24"/>
                <w:szCs w:val="24"/>
              </w:rPr>
            </w:pPr>
            <w:r>
              <w:rPr>
                <w:rFonts w:ascii="Times New Roman" w:eastAsia="Times New Roman" w:hAnsi="Times New Roman" w:cs="Times New Roman"/>
                <w:color w:val="000000"/>
                <w:spacing w:val="0"/>
                <w:w w:val="100"/>
                <w:position w:val="0"/>
                <w:sz w:val="24"/>
                <w:szCs w:val="24"/>
              </w:rPr>
              <w:t>25,012,322</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200" w:right="0" w:firstLine="0"/>
              <w:jc w:val="both"/>
              <w:rPr>
                <w:sz w:val="24"/>
                <w:szCs w:val="24"/>
              </w:rPr>
            </w:pPr>
            <w:r>
              <w:rPr>
                <w:rFonts w:ascii="Times New Roman" w:eastAsia="Times New Roman" w:hAnsi="Times New Roman" w:cs="Times New Roman"/>
                <w:color w:val="000000"/>
                <w:spacing w:val="0"/>
                <w:w w:val="100"/>
                <w:position w:val="0"/>
                <w:sz w:val="24"/>
                <w:szCs w:val="24"/>
              </w:rPr>
              <w:t>2,422,000</w:t>
            </w:r>
          </w:p>
        </w:tc>
      </w:tr>
      <w:tr>
        <w:trPr>
          <w:trHeight w:val="302"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一累计计入其他综合收益</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220" w:firstLine="0"/>
              <w:jc w:val="right"/>
              <w:rPr>
                <w:sz w:val="24"/>
                <w:szCs w:val="24"/>
              </w:rPr>
            </w:pPr>
            <w:r>
              <w:rPr>
                <w:rFonts w:ascii="Times New Roman" w:eastAsia="Times New Roman" w:hAnsi="Times New Roman" w:cs="Times New Roman"/>
                <w:color w:val="000000"/>
                <w:spacing w:val="0"/>
                <w:w w:val="100"/>
                <w:position w:val="0"/>
                <w:sz w:val="24"/>
                <w:szCs w:val="24"/>
              </w:rPr>
              <w:t>255,828</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3,438</w:t>
            </w:r>
          </w:p>
        </w:tc>
      </w:tr>
      <w:tr>
        <w:trPr>
          <w:trHeight w:val="451"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一累计计提减值</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2320" w:right="0" w:firstLine="0"/>
              <w:jc w:val="both"/>
              <w:rPr>
                <w:sz w:val="24"/>
                <w:szCs w:val="24"/>
              </w:rPr>
            </w:pPr>
            <w:r>
              <w:rPr>
                <w:rFonts w:ascii="Times New Roman" w:eastAsia="Times New Roman" w:hAnsi="Times New Roman" w:cs="Times New Roman"/>
                <w:color w:val="000000"/>
                <w:spacing w:val="0"/>
                <w:w w:val="100"/>
                <w:position w:val="0"/>
                <w:sz w:val="24"/>
                <w:szCs w:val="24"/>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2040" w:right="0" w:firstLine="0"/>
              <w:jc w:val="both"/>
              <w:rPr>
                <w:sz w:val="24"/>
                <w:szCs w:val="24"/>
              </w:rPr>
            </w:pPr>
            <w:r>
              <w:rPr>
                <w:rFonts w:ascii="Times New Roman" w:eastAsia="Times New Roman" w:hAnsi="Times New Roman" w:cs="Times New Roman"/>
                <w:color w:val="000000"/>
                <w:spacing w:val="0"/>
                <w:w w:val="100"/>
                <w:position w:val="0"/>
                <w:sz w:val="24"/>
                <w:szCs w:val="24"/>
              </w:rPr>
              <w:t>-</w:t>
            </w:r>
          </w:p>
        </w:tc>
      </w:tr>
      <w:tr>
        <w:trPr>
          <w:trHeight w:val="456"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可供出售权益工具</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17"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—公允价值</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360" w:right="0" w:firstLine="0"/>
              <w:jc w:val="both"/>
              <w:rPr>
                <w:sz w:val="24"/>
                <w:szCs w:val="24"/>
              </w:rPr>
            </w:pPr>
            <w:r>
              <w:rPr>
                <w:rFonts w:ascii="Times New Roman" w:eastAsia="Times New Roman" w:hAnsi="Times New Roman" w:cs="Times New Roman"/>
                <w:color w:val="000000"/>
                <w:spacing w:val="0"/>
                <w:w w:val="100"/>
                <w:position w:val="0"/>
                <w:sz w:val="24"/>
                <w:szCs w:val="24"/>
              </w:rPr>
              <w:t>17,512,558</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380" w:right="0" w:firstLine="0"/>
              <w:jc w:val="both"/>
              <w:rPr>
                <w:sz w:val="24"/>
                <w:szCs w:val="24"/>
              </w:rPr>
            </w:pPr>
            <w:r>
              <w:rPr>
                <w:rFonts w:ascii="Times New Roman" w:eastAsia="Times New Roman" w:hAnsi="Times New Roman" w:cs="Times New Roman"/>
                <w:color w:val="000000"/>
                <w:spacing w:val="0"/>
                <w:w w:val="100"/>
                <w:position w:val="0"/>
                <w:sz w:val="24"/>
                <w:szCs w:val="24"/>
              </w:rPr>
              <w:t>895,542</w:t>
            </w:r>
          </w:p>
        </w:tc>
      </w:tr>
      <w:tr>
        <w:trPr>
          <w:trHeight w:val="307"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—成本</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360" w:right="0" w:firstLine="0"/>
              <w:jc w:val="both"/>
              <w:rPr>
                <w:sz w:val="24"/>
                <w:szCs w:val="24"/>
              </w:rPr>
            </w:pPr>
            <w:r>
              <w:rPr>
                <w:rFonts w:ascii="Times New Roman" w:eastAsia="Times New Roman" w:hAnsi="Times New Roman" w:cs="Times New Roman"/>
                <w:color w:val="000000"/>
                <w:spacing w:val="0"/>
                <w:w w:val="100"/>
                <w:position w:val="0"/>
                <w:sz w:val="24"/>
                <w:szCs w:val="24"/>
              </w:rPr>
              <w:t>14,687,590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380" w:right="0" w:firstLine="0"/>
              <w:jc w:val="both"/>
              <w:rPr>
                <w:sz w:val="24"/>
                <w:szCs w:val="24"/>
              </w:rPr>
            </w:pPr>
            <w:r>
              <w:rPr>
                <w:rFonts w:ascii="Times New Roman" w:eastAsia="Times New Roman" w:hAnsi="Times New Roman" w:cs="Times New Roman"/>
                <w:color w:val="000000"/>
                <w:spacing w:val="0"/>
                <w:w w:val="100"/>
                <w:position w:val="0"/>
                <w:sz w:val="24"/>
                <w:szCs w:val="24"/>
              </w:rPr>
              <w:t>540,801</w:t>
            </w:r>
          </w:p>
        </w:tc>
      </w:tr>
      <w:tr>
        <w:trPr>
          <w:trHeight w:val="302"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—累计计入其他综合收益</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220" w:firstLine="0"/>
              <w:jc w:val="right"/>
              <w:rPr>
                <w:sz w:val="24"/>
                <w:szCs w:val="24"/>
              </w:rPr>
            </w:pPr>
            <w:r>
              <w:rPr>
                <w:rFonts w:ascii="Times New Roman" w:eastAsia="Times New Roman" w:hAnsi="Times New Roman" w:cs="Times New Roman"/>
                <w:color w:val="000000"/>
                <w:spacing w:val="0"/>
                <w:w w:val="100"/>
                <w:position w:val="0"/>
                <w:sz w:val="24"/>
                <w:szCs w:val="24"/>
              </w:rPr>
              <w:t>2,824,968</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380" w:right="0" w:firstLine="0"/>
              <w:jc w:val="both"/>
              <w:rPr>
                <w:sz w:val="24"/>
                <w:szCs w:val="24"/>
              </w:rPr>
            </w:pPr>
            <w:r>
              <w:rPr>
                <w:rFonts w:ascii="Times New Roman" w:eastAsia="Times New Roman" w:hAnsi="Times New Roman" w:cs="Times New Roman"/>
                <w:color w:val="000000"/>
                <w:spacing w:val="0"/>
                <w:w w:val="100"/>
                <w:position w:val="0"/>
                <w:sz w:val="24"/>
                <w:szCs w:val="24"/>
              </w:rPr>
              <w:t>354,741</w:t>
            </w:r>
          </w:p>
        </w:tc>
      </w:tr>
      <w:tr>
        <w:trPr>
          <w:trHeight w:val="451"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—累计计提减值</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2320" w:right="0" w:firstLine="0"/>
              <w:jc w:val="both"/>
              <w:rPr>
                <w:sz w:val="24"/>
                <w:szCs w:val="24"/>
              </w:rPr>
            </w:pPr>
            <w:r>
              <w:rPr>
                <w:rFonts w:ascii="Times New Roman" w:eastAsia="Times New Roman" w:hAnsi="Times New Roman" w:cs="Times New Roman"/>
                <w:color w:val="000000"/>
                <w:spacing w:val="0"/>
                <w:w w:val="100"/>
                <w:position w:val="0"/>
                <w:sz w:val="24"/>
                <w:szCs w:val="24"/>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2040" w:right="0" w:firstLine="0"/>
              <w:jc w:val="both"/>
              <w:rPr>
                <w:sz w:val="24"/>
                <w:szCs w:val="24"/>
              </w:rPr>
            </w:pPr>
            <w:r>
              <w:rPr>
                <w:rFonts w:ascii="Times New Roman" w:eastAsia="Times New Roman" w:hAnsi="Times New Roman" w:cs="Times New Roman"/>
                <w:color w:val="000000"/>
                <w:spacing w:val="0"/>
                <w:w w:val="100"/>
                <w:position w:val="0"/>
                <w:sz w:val="24"/>
                <w:szCs w:val="24"/>
              </w:rPr>
              <w:t>-</w:t>
            </w:r>
          </w:p>
        </w:tc>
      </w:tr>
      <w:tr>
        <w:trPr>
          <w:trHeight w:val="451"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合计</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26"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—公允价值</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360" w:right="0" w:firstLine="0"/>
              <w:jc w:val="both"/>
              <w:rPr>
                <w:sz w:val="24"/>
                <w:szCs w:val="24"/>
              </w:rPr>
            </w:pPr>
            <w:r>
              <w:rPr>
                <w:rFonts w:ascii="Times New Roman" w:eastAsia="Times New Roman" w:hAnsi="Times New Roman" w:cs="Times New Roman"/>
                <w:color w:val="000000"/>
                <w:spacing w:val="0"/>
                <w:w w:val="100"/>
                <w:position w:val="0"/>
                <w:sz w:val="24"/>
                <w:szCs w:val="24"/>
              </w:rPr>
              <w:t>42,780,708</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200" w:right="0" w:firstLine="0"/>
              <w:jc w:val="both"/>
              <w:rPr>
                <w:sz w:val="24"/>
                <w:szCs w:val="24"/>
              </w:rPr>
            </w:pPr>
            <w:r>
              <w:rPr>
                <w:rFonts w:ascii="Times New Roman" w:eastAsia="Times New Roman" w:hAnsi="Times New Roman" w:cs="Times New Roman"/>
                <w:color w:val="000000"/>
                <w:spacing w:val="0"/>
                <w:w w:val="100"/>
                <w:position w:val="0"/>
                <w:sz w:val="24"/>
                <w:szCs w:val="24"/>
              </w:rPr>
              <w:t>3,320,980</w:t>
            </w:r>
          </w:p>
        </w:tc>
      </w:tr>
      <w:tr>
        <w:trPr>
          <w:trHeight w:val="307"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—成本</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360" w:right="0" w:firstLine="0"/>
              <w:jc w:val="both"/>
              <w:rPr>
                <w:sz w:val="24"/>
                <w:szCs w:val="24"/>
              </w:rPr>
            </w:pPr>
            <w:r>
              <w:rPr>
                <w:rFonts w:ascii="Times New Roman" w:eastAsia="Times New Roman" w:hAnsi="Times New Roman" w:cs="Times New Roman"/>
                <w:color w:val="000000"/>
                <w:spacing w:val="0"/>
                <w:w w:val="100"/>
                <w:position w:val="0"/>
                <w:sz w:val="24"/>
                <w:szCs w:val="24"/>
              </w:rPr>
              <w:t>39,699,912</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200" w:right="0" w:firstLine="0"/>
              <w:jc w:val="both"/>
              <w:rPr>
                <w:sz w:val="24"/>
                <w:szCs w:val="24"/>
              </w:rPr>
            </w:pPr>
            <w:r>
              <w:rPr>
                <w:rFonts w:ascii="Times New Roman" w:eastAsia="Times New Roman" w:hAnsi="Times New Roman" w:cs="Times New Roman"/>
                <w:color w:val="000000"/>
                <w:spacing w:val="0"/>
                <w:w w:val="100"/>
                <w:position w:val="0"/>
                <w:sz w:val="24"/>
                <w:szCs w:val="24"/>
              </w:rPr>
              <w:t>2,962,801</w:t>
            </w:r>
          </w:p>
        </w:tc>
      </w:tr>
      <w:tr>
        <w:trPr>
          <w:trHeight w:val="293"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—累计计入其他综合收益</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220" w:firstLine="0"/>
              <w:jc w:val="right"/>
              <w:rPr>
                <w:sz w:val="24"/>
                <w:szCs w:val="24"/>
              </w:rPr>
            </w:pPr>
            <w:r>
              <w:rPr>
                <w:rFonts w:ascii="Times New Roman" w:eastAsia="Times New Roman" w:hAnsi="Times New Roman" w:cs="Times New Roman"/>
                <w:color w:val="000000"/>
                <w:spacing w:val="0"/>
                <w:w w:val="100"/>
                <w:position w:val="0"/>
                <w:sz w:val="24"/>
                <w:szCs w:val="24"/>
              </w:rPr>
              <w:t>3,080,796</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380" w:right="0" w:firstLine="0"/>
              <w:jc w:val="both"/>
              <w:rPr>
                <w:sz w:val="24"/>
                <w:szCs w:val="24"/>
              </w:rPr>
            </w:pPr>
            <w:r>
              <w:rPr>
                <w:rFonts w:ascii="Times New Roman" w:eastAsia="Times New Roman" w:hAnsi="Times New Roman" w:cs="Times New Roman"/>
                <w:color w:val="000000"/>
                <w:spacing w:val="0"/>
                <w:w w:val="100"/>
                <w:position w:val="0"/>
                <w:sz w:val="24"/>
                <w:szCs w:val="24"/>
              </w:rPr>
              <w:t>358,179</w:t>
            </w:r>
          </w:p>
        </w:tc>
      </w:tr>
      <w:tr>
        <w:trPr>
          <w:trHeight w:val="346"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—累计计提减值</w:t>
            </w:r>
          </w:p>
        </w:tc>
        <w:tc>
          <w:tcPr>
            <w:tcBorders>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220" w:firstLine="0"/>
              <w:jc w:val="right"/>
              <w:rPr>
                <w:sz w:val="24"/>
                <w:szCs w:val="24"/>
              </w:rPr>
            </w:pPr>
            <w:r>
              <w:rPr>
                <w:rFonts w:ascii="Times New Roman" w:eastAsia="Times New Roman" w:hAnsi="Times New Roman" w:cs="Times New Roman"/>
                <w:color w:val="000000"/>
                <w:spacing w:val="0"/>
                <w:w w:val="100"/>
                <w:position w:val="0"/>
                <w:sz w:val="24"/>
                <w:szCs w:val="24"/>
              </w:rPr>
              <w:t>-</w:t>
            </w:r>
          </w:p>
        </w:tc>
        <w:tc>
          <w:tcPr>
            <w:tcBorders>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40" w:right="0" w:firstLine="0"/>
              <w:jc w:val="both"/>
              <w:rPr>
                <w:sz w:val="24"/>
                <w:szCs w:val="24"/>
              </w:rPr>
            </w:pPr>
            <w:r>
              <w:rPr>
                <w:rFonts w:ascii="Times New Roman" w:eastAsia="Times New Roman" w:hAnsi="Times New Roman" w:cs="Times New Roman"/>
                <w:color w:val="000000"/>
                <w:spacing w:val="0"/>
                <w:w w:val="100"/>
                <w:position w:val="0"/>
                <w:sz w:val="24"/>
                <w:szCs w:val="24"/>
              </w:rPr>
              <w:t>-</w:t>
            </w:r>
          </w:p>
        </w:tc>
      </w:tr>
    </w:tbl>
    <w:p>
      <w:pPr>
        <w:spacing w:lineRule="exact" w:line="1"/>
        <w:rPr>
          <w:sz w:val="2"/>
          <w:szCs w:val="2"/>
        </w:rPr>
      </w:pPr>
      <w:r>
        <w:br w:type="page"/>
      </w:r>
    </w:p>
    <w:p>
      <w:pPr>
        <w:pStyle w:val="Style32"/>
        <w:keepNext w:val="0"/>
        <w:keepLines w:val="0"/>
        <w:widowControl w:val="0"/>
        <w:shd w:val="clear" w:color="auto" w:fill="auto"/>
        <w:bidi w:val="0"/>
        <w:spacing w:before="0" w:after="0" w:line="240" w:lineRule="auto"/>
        <w:ind w:left="0" w:right="0" w:firstLine="700"/>
        <w:jc w:val="left"/>
        <w:rPr>
          <w:sz w:val="24"/>
          <w:szCs w:val="24"/>
        </w:rPr>
      </w:pPr>
      <w:r>
        <w:rPr>
          <w:b/>
          <w:bCs/>
          <w:color w:val="000000"/>
          <w:spacing w:val="0"/>
          <w:w w:val="100"/>
          <w:position w:val="0"/>
          <w:sz w:val="24"/>
          <w:szCs w:val="24"/>
        </w:rPr>
        <w:t>财务报表附注</w:t>
      </w:r>
    </w:p>
    <w:p>
      <w:pPr>
        <w:pStyle w:val="Style88"/>
        <w:keepNext/>
        <w:keepLines/>
        <w:widowControl w:val="0"/>
        <w:shd w:val="clear" w:color="auto" w:fill="auto"/>
        <w:bidi w:val="0"/>
        <w:spacing w:before="0" w:after="0" w:line="240" w:lineRule="auto"/>
        <w:ind w:left="0" w:right="0"/>
        <w:jc w:val="left"/>
      </w:pPr>
      <w:bookmarkStart w:id="866" w:name="bookmark866"/>
      <w:bookmarkStart w:id="867" w:name="bookmark867"/>
      <w:bookmarkStart w:id="868" w:name="bookmark868"/>
      <w:r>
        <w:rPr>
          <w:color w:val="000000"/>
          <w:spacing w:val="0"/>
          <w:w w:val="100"/>
          <w:position w:val="0"/>
          <w:sz w:val="24"/>
          <w:szCs w:val="24"/>
        </w:rPr>
        <w:t>2016</w:t>
      </w:r>
      <w:r>
        <w:rPr>
          <w:rFonts w:ascii="SimSun" w:eastAsia="SimSun" w:hAnsi="SimSun" w:cs="SimSun"/>
          <w:b/>
          <w:bCs/>
          <w:color w:val="000000"/>
          <w:spacing w:val="0"/>
          <w:w w:val="100"/>
          <w:position w:val="0"/>
          <w:sz w:val="24"/>
          <w:szCs w:val="24"/>
        </w:rPr>
        <w:t>年度</w:t>
      </w:r>
      <w:bookmarkEnd w:id="866"/>
      <w:bookmarkEnd w:id="867"/>
      <w:bookmarkEnd w:id="868"/>
    </w:p>
    <w:p>
      <w:pPr>
        <w:pStyle w:val="Style32"/>
        <w:keepNext w:val="0"/>
        <w:keepLines w:val="0"/>
        <w:widowControl w:val="0"/>
        <w:shd w:val="clear" w:color="auto" w:fill="auto"/>
        <w:bidi w:val="0"/>
        <w:spacing w:before="0" w:after="240" w:line="240" w:lineRule="auto"/>
        <w:ind w:left="0" w:right="0" w:firstLine="700"/>
        <w:jc w:val="left"/>
        <w:rPr>
          <w:sz w:val="24"/>
          <w:szCs w:val="24"/>
        </w:rPr>
      </w:pPr>
      <w:r>
        <w:rPr>
          <w:rFonts w:ascii="Arial" w:eastAsia="Arial" w:hAnsi="Arial" w:cs="Arial"/>
          <w:color w:val="000000"/>
          <w:spacing w:val="0"/>
          <w:w w:val="100"/>
          <w:position w:val="0"/>
          <w:sz w:val="20"/>
          <w:szCs w:val="20"/>
        </w:rPr>
        <w:t>(</w:t>
      </w:r>
      <w:r>
        <w:rPr>
          <w:color w:val="000000"/>
          <w:spacing w:val="0"/>
          <w:w w:val="100"/>
          <w:position w:val="0"/>
          <w:sz w:val="20"/>
          <w:szCs w:val="20"/>
        </w:rPr>
        <w:t>除特别注明外，金额单位为人民币千元</w:t>
      </w:r>
      <w:r>
        <w:rPr>
          <w:color w:val="000000"/>
          <w:spacing w:val="0"/>
          <w:w w:val="100"/>
          <w:position w:val="0"/>
          <w:sz w:val="24"/>
          <w:szCs w:val="24"/>
        </w:rPr>
        <w:t>)</w:t>
      </w:r>
    </w:p>
    <w:p>
      <w:pPr>
        <w:pStyle w:val="Style32"/>
        <w:keepNext w:val="0"/>
        <w:keepLines w:val="0"/>
        <w:widowControl w:val="0"/>
        <w:shd w:val="clear" w:color="auto" w:fill="auto"/>
        <w:tabs>
          <w:tab w:pos="651" w:val="left"/>
        </w:tabs>
        <w:bidi w:val="0"/>
        <w:spacing w:before="0" w:after="240" w:line="240" w:lineRule="auto"/>
        <w:ind w:left="0" w:right="0" w:firstLine="0"/>
        <w:jc w:val="left"/>
        <w:rPr>
          <w:sz w:val="24"/>
          <w:szCs w:val="24"/>
        </w:rPr>
      </w:pPr>
      <w:r>
        <w:rPr>
          <w:b/>
          <w:bCs/>
          <w:color w:val="000000"/>
          <w:spacing w:val="0"/>
          <w:w w:val="100"/>
          <w:position w:val="0"/>
          <w:sz w:val="24"/>
          <w:szCs w:val="24"/>
        </w:rPr>
        <w:t>四</w:t>
        <w:tab/>
        <w:t>合并财务报表项目附注</w:t>
      </w:r>
      <w:r>
        <w:rPr>
          <w:rFonts w:ascii="Times New Roman" w:eastAsia="Times New Roman" w:hAnsi="Times New Roman" w:cs="Times New Roman"/>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4"/>
          <w:szCs w:val="24"/>
        </w:rPr>
        <w:t>)</w:t>
      </w:r>
    </w:p>
    <w:p>
      <w:pPr>
        <w:pStyle w:val="Style32"/>
        <w:keepNext w:val="0"/>
        <w:keepLines w:val="0"/>
        <w:widowControl w:val="0"/>
        <w:shd w:val="clear" w:color="auto" w:fill="auto"/>
        <w:bidi w:val="0"/>
        <w:spacing w:before="0" w:after="24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(11)</w:t>
      </w:r>
      <w:r>
        <w:rPr>
          <w:b/>
          <w:bCs/>
          <w:color w:val="000000"/>
          <w:spacing w:val="0"/>
          <w:w w:val="100"/>
          <w:position w:val="0"/>
          <w:sz w:val="24"/>
          <w:szCs w:val="24"/>
        </w:rPr>
        <w:t>可供出售金融资产</w:t>
      </w:r>
      <w:r>
        <w:rPr>
          <w:rFonts w:ascii="Times New Roman" w:eastAsia="Times New Roman" w:hAnsi="Times New Roman" w:cs="Times New Roman"/>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4"/>
          <w:szCs w:val="24"/>
        </w:rPr>
        <w:t>)</w:t>
      </w:r>
    </w:p>
    <w:p>
      <w:pPr>
        <w:pStyle w:val="Style32"/>
        <w:keepNext w:val="0"/>
        <w:keepLines w:val="0"/>
        <w:widowControl w:val="0"/>
        <w:shd w:val="clear" w:color="auto" w:fill="auto"/>
        <w:tabs>
          <w:tab w:pos="651" w:val="left"/>
        </w:tabs>
        <w:bidi w:val="0"/>
        <w:spacing w:before="0" w:after="24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(a)</w:t>
        <w:tab/>
      </w:r>
      <w:r>
        <w:rPr>
          <w:color w:val="000000"/>
          <w:spacing w:val="0"/>
          <w:w w:val="100"/>
          <w:position w:val="0"/>
          <w:sz w:val="24"/>
          <w:szCs w:val="24"/>
        </w:rPr>
        <w:t>可供出售金融资产相关信息分析如下</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续</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w:t>
      </w:r>
    </w:p>
    <w:p>
      <w:pPr>
        <w:pStyle w:val="Style32"/>
        <w:keepNext w:val="0"/>
        <w:keepLines w:val="0"/>
        <w:widowControl w:val="0"/>
        <w:shd w:val="clear" w:color="auto" w:fill="auto"/>
        <w:bidi w:val="0"/>
        <w:spacing w:before="0" w:after="320" w:line="240" w:lineRule="auto"/>
        <w:ind w:left="0" w:right="0" w:firstLine="700"/>
        <w:jc w:val="left"/>
        <w:rPr>
          <w:sz w:val="24"/>
          <w:szCs w:val="24"/>
        </w:rPr>
      </w:pPr>
      <w:r>
        <w:rPr>
          <w:color w:val="000000"/>
          <w:spacing w:val="0"/>
          <w:w w:val="100"/>
          <w:position w:val="0"/>
          <w:sz w:val="24"/>
          <w:szCs w:val="24"/>
        </w:rPr>
        <w:t>以成本计量的可供出售金融资产：</w:t>
      </w:r>
    </w:p>
    <w:tbl>
      <w:tblPr>
        <w:tblOverlap w:val="never"/>
        <w:jc w:val="right"/>
        <w:tblLayout w:type="fixed"/>
      </w:tblPr>
      <w:tblGrid>
        <w:gridCol w:w="2035"/>
        <w:gridCol w:w="1152"/>
        <w:gridCol w:w="917"/>
        <w:gridCol w:w="898"/>
        <w:gridCol w:w="1262"/>
        <w:gridCol w:w="1037"/>
        <w:gridCol w:w="888"/>
      </w:tblGrid>
      <w:tr>
        <w:trPr>
          <w:trHeight w:val="878"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both"/>
              <w:rPr>
                <w:sz w:val="20"/>
                <w:szCs w:val="20"/>
              </w:rPr>
            </w:pPr>
            <w:r>
              <w:rPr>
                <w:rFonts w:ascii="Times New Roman" w:eastAsia="Times New Roman" w:hAnsi="Times New Roman" w:cs="Times New Roman"/>
                <w:color w:val="000000"/>
                <w:spacing w:val="0"/>
                <w:w w:val="100"/>
                <w:position w:val="0"/>
                <w:sz w:val="20"/>
                <w:szCs w:val="20"/>
              </w:rPr>
              <w:t xml:space="preserve">2015 </w:t>
            </w:r>
            <w:r>
              <w:rPr>
                <w:color w:val="000000"/>
                <w:spacing w:val="0"/>
                <w:w w:val="100"/>
                <w:position w:val="0"/>
                <w:sz w:val="20"/>
                <w:szCs w:val="20"/>
              </w:rPr>
              <w:t>年</w:t>
            </w:r>
          </w:p>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w:t>
            </w:r>
          </w:p>
        </w:tc>
        <w:tc>
          <w:tcPr>
            <w:tcBorders/>
            <w:shd w:val="clear" w:color="auto" w:fill="FFFFFF"/>
            <w:vAlign w:val="center"/>
          </w:tcPr>
          <w:p>
            <w:pPr>
              <w:pStyle w:val="Style28"/>
              <w:keepNext w:val="0"/>
              <w:keepLines w:val="0"/>
              <w:widowControl w:val="0"/>
              <w:shd w:val="clear" w:color="auto" w:fill="auto"/>
              <w:bidi w:val="0"/>
              <w:spacing w:before="0" w:after="0" w:line="274" w:lineRule="exact"/>
              <w:ind w:left="0" w:right="0" w:firstLine="0"/>
              <w:jc w:val="right"/>
              <w:rPr>
                <w:sz w:val="20"/>
                <w:szCs w:val="20"/>
              </w:rPr>
            </w:pPr>
            <w:r>
              <w:rPr>
                <w:color w:val="000000"/>
                <w:spacing w:val="0"/>
                <w:w w:val="100"/>
                <w:position w:val="0"/>
                <w:sz w:val="20"/>
                <w:szCs w:val="20"/>
              </w:rPr>
              <w:t>本年 增加</w:t>
            </w:r>
          </w:p>
        </w:tc>
        <w:tc>
          <w:tcPr>
            <w:tcBorders/>
            <w:shd w:val="clear" w:color="auto" w:fill="FFFFFF"/>
            <w:vAlign w:val="center"/>
          </w:tcPr>
          <w:p>
            <w:pPr>
              <w:pStyle w:val="Style28"/>
              <w:keepNext w:val="0"/>
              <w:keepLines w:val="0"/>
              <w:widowControl w:val="0"/>
              <w:shd w:val="clear" w:color="auto" w:fill="auto"/>
              <w:bidi w:val="0"/>
              <w:spacing w:before="0" w:after="0" w:line="274" w:lineRule="exact"/>
              <w:ind w:left="300" w:right="0" w:firstLine="0"/>
              <w:jc w:val="left"/>
              <w:rPr>
                <w:sz w:val="20"/>
                <w:szCs w:val="20"/>
              </w:rPr>
            </w:pPr>
            <w:r>
              <w:rPr>
                <w:color w:val="000000"/>
                <w:spacing w:val="0"/>
                <w:w w:val="100"/>
                <w:position w:val="0"/>
                <w:sz w:val="20"/>
                <w:szCs w:val="20"/>
              </w:rPr>
              <w:t>本年 减少</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 xml:space="preserve">2016 </w:t>
            </w:r>
            <w:r>
              <w:rPr>
                <w:color w:val="000000"/>
                <w:spacing w:val="0"/>
                <w:w w:val="100"/>
                <w:position w:val="0"/>
                <w:sz w:val="20"/>
                <w:szCs w:val="20"/>
              </w:rPr>
              <w:t>年</w:t>
            </w:r>
          </w:p>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w:t>
            </w:r>
          </w:p>
        </w:tc>
        <w:tc>
          <w:tcPr>
            <w:tcBorders/>
            <w:shd w:val="clear" w:color="auto" w:fill="FFFFFF"/>
            <w:vAlign w:val="top"/>
          </w:tcPr>
          <w:p>
            <w:pPr>
              <w:pStyle w:val="Style28"/>
              <w:keepNext w:val="0"/>
              <w:keepLines w:val="0"/>
              <w:widowControl w:val="0"/>
              <w:shd w:val="clear" w:color="auto" w:fill="auto"/>
              <w:bidi w:val="0"/>
              <w:spacing w:before="0" w:after="0" w:line="257" w:lineRule="exact"/>
              <w:ind w:left="0" w:right="0" w:firstLine="0"/>
              <w:jc w:val="right"/>
              <w:rPr>
                <w:sz w:val="20"/>
                <w:szCs w:val="20"/>
              </w:rPr>
            </w:pPr>
            <w:r>
              <w:rPr>
                <w:color w:val="000000"/>
                <w:spacing w:val="0"/>
                <w:w w:val="100"/>
                <w:position w:val="0"/>
                <w:sz w:val="20"/>
                <w:szCs w:val="20"/>
              </w:rPr>
              <w:t>在被投资 单位持股 比例</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本年分红</w:t>
            </w:r>
          </w:p>
        </w:tc>
      </w:tr>
      <w:tr>
        <w:trPr>
          <w:trHeight w:val="1157" w:hRule="exact"/>
        </w:trPr>
        <w:tc>
          <w:tcPr>
            <w:tcBorders/>
            <w:shd w:val="clear" w:color="auto" w:fill="FFFFFF"/>
            <w:vAlign w:val="bottom"/>
          </w:tcPr>
          <w:p>
            <w:pPr>
              <w:pStyle w:val="Style28"/>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可供出售权益工具</w:t>
            </w:r>
          </w:p>
          <w:p>
            <w:pPr>
              <w:pStyle w:val="Style28"/>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—成本</w:t>
            </w:r>
          </w:p>
          <w:p>
            <w:pPr>
              <w:pStyle w:val="Style28"/>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努比亚技术有限公司 苏州八天在线网络科</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4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283,710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283,710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4.9%</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jc w:val="both"/>
              <w:rPr>
                <w:sz w:val="20"/>
                <w:szCs w:val="20"/>
              </w:rPr>
            </w:pPr>
            <w:r>
              <w:rPr>
                <w:rFonts w:ascii="Times New Roman" w:eastAsia="Times New Roman" w:hAnsi="Times New Roman" w:cs="Times New Roman"/>
                <w:color w:val="000000"/>
                <w:spacing w:val="0"/>
                <w:w w:val="100"/>
                <w:position w:val="0"/>
                <w:sz w:val="20"/>
                <w:szCs w:val="20"/>
              </w:rPr>
              <w:t>5,819</w:t>
            </w:r>
          </w:p>
        </w:tc>
      </w:tr>
      <w:tr>
        <w:trPr>
          <w:trHeight w:val="514"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技有限公司</w:t>
            </w:r>
          </w:p>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苏宁润东股权投资管</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4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73,000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73,000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r>
      <w:tr>
        <w:trPr>
          <w:trHeight w:val="538"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理有限公司</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苏宁润</w:t>
            </w:r>
          </w:p>
          <w:p>
            <w:pPr>
              <w:pStyle w:val="Style28"/>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东</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1,500</w:t>
            </w:r>
          </w:p>
        </w:tc>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(1,500)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85" w:hRule="exact"/>
        </w:trPr>
        <w:tc>
          <w:tcPr>
            <w:tcBorders/>
            <w:shd w:val="clear" w:color="auto" w:fill="FFFFFF"/>
            <w:vAlign w:val="bottom"/>
          </w:tcPr>
          <w:p>
            <w:pPr>
              <w:pStyle w:val="Style28"/>
              <w:keepNext w:val="0"/>
              <w:keepLines w:val="0"/>
              <w:widowControl w:val="0"/>
              <w:shd w:val="clear" w:color="auto" w:fill="auto"/>
              <w:bidi w:val="0"/>
              <w:spacing w:before="0" w:after="0" w:line="254" w:lineRule="exact"/>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Kibou Found L.P. </w:t>
            </w:r>
            <w:r>
              <w:rPr>
                <w:color w:val="000000"/>
                <w:spacing w:val="0"/>
                <w:w w:val="100"/>
                <w:position w:val="0"/>
                <w:sz w:val="20"/>
                <w:szCs w:val="20"/>
              </w:rPr>
              <w:t>菱重家用空调系统</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上</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3,579</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both"/>
              <w:rPr>
                <w:sz w:val="20"/>
                <w:szCs w:val="20"/>
              </w:rPr>
            </w:pPr>
            <w:r>
              <w:rPr>
                <w:rFonts w:ascii="Times New Roman" w:eastAsia="Times New Roman" w:hAnsi="Times New Roman" w:cs="Times New Roman"/>
                <w:color w:val="000000"/>
                <w:spacing w:val="0"/>
                <w:w w:val="100"/>
                <w:position w:val="0"/>
                <w:sz w:val="20"/>
                <w:szCs w:val="20"/>
              </w:rPr>
              <w:t>2,319</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5,898</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6.39%</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r>
      <w:tr>
        <w:trPr>
          <w:trHeight w:val="254"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海</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有限公司</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4,800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0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4,800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15%</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r>
      <w:tr>
        <w:trPr>
          <w:trHeight w:val="778" w:hRule="exact"/>
        </w:trPr>
        <w:tc>
          <w:tcPr>
            <w:tcBorders/>
            <w:shd w:val="clear" w:color="auto" w:fill="FFFFFF"/>
            <w:vAlign w:val="top"/>
          </w:tcPr>
          <w:p>
            <w:pPr>
              <w:pStyle w:val="Style28"/>
              <w:keepNext w:val="0"/>
              <w:keepLines w:val="0"/>
              <w:widowControl w:val="0"/>
              <w:shd w:val="clear" w:color="auto" w:fill="auto"/>
              <w:bidi w:val="0"/>
              <w:spacing w:before="0" w:after="0" w:line="259" w:lineRule="exact"/>
              <w:ind w:left="0" w:right="0" w:firstLine="0"/>
              <w:jc w:val="left"/>
              <w:rPr>
                <w:sz w:val="20"/>
                <w:szCs w:val="20"/>
              </w:rPr>
            </w:pPr>
            <w:r>
              <w:rPr>
                <w:color w:val="000000"/>
                <w:spacing w:val="0"/>
                <w:w w:val="100"/>
                <w:position w:val="0"/>
                <w:sz w:val="20"/>
                <w:szCs w:val="20"/>
              </w:rPr>
              <w:t>北京通州国开村镇 银行股份有限公司 南京小易信息科技有</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9,000</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0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9,000</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r>
      <w:tr>
        <w:trPr>
          <w:trHeight w:val="259"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限公司</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4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left"/>
              <w:rPr>
                <w:sz w:val="20"/>
                <w:szCs w:val="20"/>
              </w:rPr>
            </w:pPr>
            <w:r>
              <w:rPr>
                <w:rFonts w:ascii="Times New Roman" w:eastAsia="Times New Roman" w:hAnsi="Times New Roman" w:cs="Times New Roman"/>
                <w:color w:val="000000"/>
                <w:spacing w:val="0"/>
                <w:w w:val="100"/>
                <w:position w:val="0"/>
                <w:sz w:val="20"/>
                <w:szCs w:val="20"/>
              </w:rPr>
              <w:t>27</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160" w:firstLine="0"/>
              <w:jc w:val="right"/>
              <w:rPr>
                <w:sz w:val="20"/>
                <w:szCs w:val="20"/>
              </w:rPr>
            </w:pPr>
            <w:r>
              <w:rPr>
                <w:rFonts w:ascii="Times New Roman" w:eastAsia="Times New Roman" w:hAnsi="Times New Roman" w:cs="Times New Roman"/>
                <w:color w:val="000000"/>
                <w:spacing w:val="0"/>
                <w:w w:val="100"/>
                <w:position w:val="0"/>
                <w:sz w:val="20"/>
                <w:szCs w:val="20"/>
              </w:rPr>
              <w:t>27</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0.25%</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r>
      <w:tr>
        <w:trPr>
          <w:trHeight w:val="432" w:hRule="exact"/>
        </w:trPr>
        <w:tc>
          <w:tcPr>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rPr>
                <w:sz w:val="20"/>
                <w:szCs w:val="20"/>
              </w:rPr>
            </w:pPr>
            <w:r>
              <w:rPr>
                <w:rFonts w:ascii="Times New Roman" w:eastAsia="Times New Roman" w:hAnsi="Times New Roman" w:cs="Times New Roman"/>
                <w:color w:val="000000"/>
                <w:spacing w:val="0"/>
                <w:w w:val="100"/>
                <w:position w:val="0"/>
                <w:sz w:val="20"/>
                <w:szCs w:val="20"/>
              </w:rPr>
              <w:t>18,879</w:t>
            </w:r>
          </w:p>
        </w:tc>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359,056</w:t>
            </w:r>
          </w:p>
        </w:tc>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(1,500)</w:t>
            </w:r>
          </w:p>
        </w:tc>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376,435</w:t>
            </w:r>
          </w:p>
        </w:tc>
        <w:tc>
          <w:tcPr>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both"/>
              <w:rPr>
                <w:sz w:val="20"/>
                <w:szCs w:val="20"/>
              </w:rPr>
            </w:pPr>
            <w:r>
              <w:rPr>
                <w:rFonts w:ascii="Times New Roman" w:eastAsia="Times New Roman" w:hAnsi="Times New Roman" w:cs="Times New Roman"/>
                <w:color w:val="000000"/>
                <w:spacing w:val="0"/>
                <w:w w:val="100"/>
                <w:position w:val="0"/>
                <w:sz w:val="20"/>
                <w:szCs w:val="20"/>
              </w:rPr>
              <w:t>5,819</w:t>
            </w:r>
          </w:p>
        </w:tc>
      </w:tr>
      <w:tr>
        <w:trPr>
          <w:trHeight w:val="922"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可供出售权益工具</w:t>
            </w:r>
          </w:p>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—减值准备</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4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0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16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top"/>
          </w:tcPr>
          <w:p>
            <w:pPr>
              <w:widowControl w:val="0"/>
              <w:rPr>
                <w:sz w:val="10"/>
                <w:szCs w:val="10"/>
              </w:rPr>
            </w:pP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r>
      <w:tr>
        <w:trPr>
          <w:trHeight w:val="341" w:hRule="exact"/>
        </w:trPr>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60"/>
              <w:jc w:val="both"/>
              <w:rPr>
                <w:sz w:val="20"/>
                <w:szCs w:val="20"/>
              </w:rPr>
            </w:pPr>
            <w:r>
              <w:rPr>
                <w:rFonts w:ascii="Times New Roman" w:eastAsia="Times New Roman" w:hAnsi="Times New Roman" w:cs="Times New Roman"/>
                <w:color w:val="000000"/>
                <w:spacing w:val="0"/>
                <w:w w:val="100"/>
                <w:position w:val="0"/>
                <w:sz w:val="20"/>
                <w:szCs w:val="20"/>
              </w:rPr>
              <w:t>18,879</w:t>
            </w:r>
          </w:p>
        </w:tc>
        <w:tc>
          <w:tcPr>
            <w:tcBorders>
              <w:top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359,056</w:t>
            </w:r>
          </w:p>
        </w:tc>
        <w:tc>
          <w:tcPr>
            <w:tcBorders>
              <w:top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(1,500)</w:t>
            </w:r>
          </w:p>
        </w:tc>
        <w:tc>
          <w:tcPr>
            <w:tcBorders>
              <w:top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376,435</w:t>
            </w:r>
          </w:p>
        </w:tc>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jc w:val="both"/>
              <w:rPr>
                <w:sz w:val="20"/>
                <w:szCs w:val="20"/>
              </w:rPr>
            </w:pPr>
            <w:r>
              <w:rPr>
                <w:rFonts w:ascii="Times New Roman" w:eastAsia="Times New Roman" w:hAnsi="Times New Roman" w:cs="Times New Roman"/>
                <w:color w:val="000000"/>
                <w:spacing w:val="0"/>
                <w:w w:val="100"/>
                <w:position w:val="0"/>
                <w:sz w:val="20"/>
                <w:szCs w:val="20"/>
              </w:rPr>
              <w:t>5,819</w:t>
            </w:r>
          </w:p>
        </w:tc>
      </w:tr>
    </w:tbl>
    <w:p>
      <w:pPr>
        <w:widowControl w:val="0"/>
        <w:spacing w:after="239" w:line="1" w:lineRule="exact"/>
      </w:pPr>
    </w:p>
    <w:p>
      <w:pPr>
        <w:pStyle w:val="Style32"/>
        <w:keepNext w:val="0"/>
        <w:keepLines w:val="0"/>
        <w:widowControl w:val="0"/>
        <w:numPr>
          <w:ilvl w:val="0"/>
          <w:numId w:val="71"/>
        </w:numPr>
        <w:shd w:val="clear" w:color="auto" w:fill="auto"/>
        <w:tabs>
          <w:tab w:pos="651" w:val="left"/>
        </w:tabs>
        <w:bidi w:val="0"/>
        <w:spacing w:before="0" w:after="0" w:line="310" w:lineRule="exact"/>
        <w:ind w:left="0" w:right="0" w:firstLine="0"/>
        <w:jc w:val="left"/>
        <w:rPr>
          <w:sz w:val="24"/>
          <w:szCs w:val="24"/>
        </w:rPr>
      </w:pPr>
      <w:bookmarkStart w:id="869" w:name="bookmark869"/>
      <w:bookmarkEnd w:id="869"/>
      <w:r>
        <w:rPr>
          <w:color w:val="000000"/>
          <w:spacing w:val="0"/>
          <w:w w:val="100"/>
          <w:position w:val="0"/>
          <w:sz w:val="24"/>
          <w:szCs w:val="24"/>
        </w:rPr>
        <w:t>以成本计量的可供出售金融资产主要为本集团持有的非上市股权投资，这些</w:t>
      </w:r>
    </w:p>
    <w:p>
      <w:pPr>
        <w:pStyle w:val="Style32"/>
        <w:keepNext w:val="0"/>
        <w:keepLines w:val="0"/>
        <w:widowControl w:val="0"/>
        <w:shd w:val="clear" w:color="auto" w:fill="auto"/>
        <w:bidi w:val="0"/>
        <w:spacing w:before="0" w:after="240" w:line="310" w:lineRule="exact"/>
        <w:ind w:left="700" w:right="0" w:firstLine="20"/>
        <w:jc w:val="both"/>
        <w:rPr>
          <w:sz w:val="24"/>
          <w:szCs w:val="24"/>
        </w:rPr>
      </w:pPr>
      <w:r>
        <w:rPr>
          <w:color w:val="000000"/>
          <w:spacing w:val="0"/>
          <w:w w:val="100"/>
          <w:position w:val="0"/>
          <w:sz w:val="24"/>
          <w:szCs w:val="24"/>
        </w:rPr>
        <w:t>投资没有活跃市场报价，其公允价值合理估计数的变动区间较大，且各种用 于确定公允价值估计数的概率不能合理地确定，因此其公允价值不能可靠计 量。本集团尚无处置这些投资的计划。</w:t>
      </w:r>
    </w:p>
    <w:p>
      <w:pPr>
        <w:pStyle w:val="Style32"/>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(12)</w:t>
      </w:r>
      <w:r>
        <w:rPr>
          <w:b/>
          <w:bCs/>
          <w:color w:val="000000"/>
          <w:spacing w:val="0"/>
          <w:w w:val="100"/>
          <w:position w:val="0"/>
          <w:sz w:val="24"/>
          <w:szCs w:val="24"/>
        </w:rPr>
        <w:t>长期股权投资</w:t>
      </w:r>
    </w:p>
    <w:p>
      <w:pPr>
        <w:widowControl w:val="0"/>
        <w:spacing w:line="1" w:lineRule="exact"/>
      </w:pPr>
      <w:r>
        <mc:AlternateContent>
          <mc:Choice Requires="wps">
            <w:drawing>
              <wp:anchor distT="101600" distB="0" distL="0" distR="0" simplePos="0" relativeHeight="125829400" behindDoc="0" locked="0" layoutInCell="1" allowOverlap="1">
                <wp:simplePos x="0" y="0"/>
                <wp:positionH relativeFrom="page">
                  <wp:posOffset>3931920</wp:posOffset>
                </wp:positionH>
                <wp:positionV relativeFrom="paragraph">
                  <wp:posOffset>101600</wp:posOffset>
                </wp:positionV>
                <wp:extent cx="1261745" cy="213360"/>
                <wp:wrapTopAndBottom/>
                <wp:docPr id="232" name="Shape 232"/>
                <a:graphic xmlns:a="http://schemas.openxmlformats.org/drawingml/2006/main">
                  <a:graphicData uri="http://schemas.microsoft.com/office/word/2010/wordprocessingShape">
                    <wps:wsp>
                      <wps:cNvSpPr txBox="1"/>
                      <wps:spPr>
                        <a:xfrm>
                          <a:ext cx="1261745" cy="21336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2016</w:t>
                            </w:r>
                            <w:r>
                              <w:rPr>
                                <w:rFonts w:ascii="SimSun" w:eastAsia="SimSun" w:hAnsi="SimSun" w:cs="SimSun"/>
                                <w:color w:val="000000"/>
                                <w:spacing w:val="0"/>
                                <w:w w:val="100"/>
                                <w:position w:val="0"/>
                                <w:sz w:val="24"/>
                                <w:szCs w:val="24"/>
                              </w:rPr>
                              <w:t>年</w:t>
                            </w:r>
                            <w:r>
                              <w:rPr>
                                <w:color w:val="000000"/>
                                <w:spacing w:val="0"/>
                                <w:w w:val="100"/>
                                <w:position w:val="0"/>
                                <w:sz w:val="24"/>
                                <w:szCs w:val="24"/>
                              </w:rPr>
                              <w:t>12</w:t>
                            </w:r>
                            <w:r>
                              <w:rPr>
                                <w:rFonts w:ascii="SimSun" w:eastAsia="SimSun" w:hAnsi="SimSun" w:cs="SimSun"/>
                                <w:color w:val="000000"/>
                                <w:spacing w:val="0"/>
                                <w:w w:val="100"/>
                                <w:position w:val="0"/>
                                <w:sz w:val="24"/>
                                <w:szCs w:val="24"/>
                              </w:rPr>
                              <w:t>月</w:t>
                            </w:r>
                            <w:r>
                              <w:rPr>
                                <w:color w:val="000000"/>
                                <w:spacing w:val="0"/>
                                <w:w w:val="100"/>
                                <w:position w:val="0"/>
                                <w:sz w:val="24"/>
                                <w:szCs w:val="24"/>
                              </w:rPr>
                              <w:t>31</w:t>
                            </w:r>
                            <w:r>
                              <w:rPr>
                                <w:rFonts w:ascii="SimSun" w:eastAsia="SimSun" w:hAnsi="SimSun" w:cs="SimSun"/>
                                <w:color w:val="000000"/>
                                <w:spacing w:val="0"/>
                                <w:w w:val="100"/>
                                <w:position w:val="0"/>
                                <w:sz w:val="24"/>
                                <w:szCs w:val="24"/>
                              </w:rPr>
                              <w:t>日</w:t>
                            </w:r>
                          </w:p>
                        </w:txbxContent>
                      </wps:txbx>
                      <wps:bodyPr wrap="none" lIns="0" tIns="0" rIns="0" bIns="0">
                        <a:noAutoFit/>
                      </wps:bodyPr>
                    </wps:wsp>
                  </a:graphicData>
                </a:graphic>
              </wp:anchor>
            </w:drawing>
          </mc:Choice>
          <mc:Fallback>
            <w:pict>
              <v:shape id="_x0000_s1258" type="#_x0000_t202" style="position:absolute;margin-left:309.60000000000002pt;margin-top:8.pt;width:99.350000000000009pt;height:16.800000000000001pt;z-index:-125829353;mso-wrap-distance-left:0;mso-wrap-distance-top:8.pt;mso-wrap-distance-right:0;mso-position-horizontal-relative:page" filled="f" stroked="f">
                <v:textbox inset="0,0,0,0">
                  <w:txbxContent>
                    <w:p>
                      <w:pPr>
                        <w:pStyle w:val="Style5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2016</w:t>
                      </w:r>
                      <w:r>
                        <w:rPr>
                          <w:rFonts w:ascii="SimSun" w:eastAsia="SimSun" w:hAnsi="SimSun" w:cs="SimSun"/>
                          <w:color w:val="000000"/>
                          <w:spacing w:val="0"/>
                          <w:w w:val="100"/>
                          <w:position w:val="0"/>
                          <w:sz w:val="24"/>
                          <w:szCs w:val="24"/>
                        </w:rPr>
                        <w:t>年</w:t>
                      </w:r>
                      <w:r>
                        <w:rPr>
                          <w:color w:val="000000"/>
                          <w:spacing w:val="0"/>
                          <w:w w:val="100"/>
                          <w:position w:val="0"/>
                          <w:sz w:val="24"/>
                          <w:szCs w:val="24"/>
                        </w:rPr>
                        <w:t>12</w:t>
                      </w:r>
                      <w:r>
                        <w:rPr>
                          <w:rFonts w:ascii="SimSun" w:eastAsia="SimSun" w:hAnsi="SimSun" w:cs="SimSun"/>
                          <w:color w:val="000000"/>
                          <w:spacing w:val="0"/>
                          <w:w w:val="100"/>
                          <w:position w:val="0"/>
                          <w:sz w:val="24"/>
                          <w:szCs w:val="24"/>
                        </w:rPr>
                        <w:t>月</w:t>
                      </w:r>
                      <w:r>
                        <w:rPr>
                          <w:color w:val="000000"/>
                          <w:spacing w:val="0"/>
                          <w:w w:val="100"/>
                          <w:position w:val="0"/>
                          <w:sz w:val="24"/>
                          <w:szCs w:val="24"/>
                        </w:rPr>
                        <w:t>31</w:t>
                      </w:r>
                      <w:r>
                        <w:rPr>
                          <w:rFonts w:ascii="SimSun" w:eastAsia="SimSun" w:hAnsi="SimSun" w:cs="SimSun"/>
                          <w:color w:val="000000"/>
                          <w:spacing w:val="0"/>
                          <w:w w:val="100"/>
                          <w:position w:val="0"/>
                          <w:sz w:val="24"/>
                          <w:szCs w:val="24"/>
                        </w:rPr>
                        <w:t>日</w:t>
                      </w:r>
                    </w:p>
                  </w:txbxContent>
                </v:textbox>
                <w10:wrap type="topAndBottom" anchorx="page"/>
              </v:shape>
            </w:pict>
          </mc:Fallback>
        </mc:AlternateContent>
      </w:r>
      <w:r>
        <mc:AlternateContent>
          <mc:Choice Requires="wps">
            <w:drawing>
              <wp:anchor distT="101600" distB="0" distL="0" distR="0" simplePos="0" relativeHeight="125829402" behindDoc="0" locked="0" layoutInCell="1" allowOverlap="1">
                <wp:simplePos x="0" y="0"/>
                <wp:positionH relativeFrom="page">
                  <wp:posOffset>5425440</wp:posOffset>
                </wp:positionH>
                <wp:positionV relativeFrom="paragraph">
                  <wp:posOffset>101600</wp:posOffset>
                </wp:positionV>
                <wp:extent cx="1261745" cy="213360"/>
                <wp:wrapTopAndBottom/>
                <wp:docPr id="234" name="Shape 234"/>
                <a:graphic xmlns:a="http://schemas.openxmlformats.org/drawingml/2006/main">
                  <a:graphicData uri="http://schemas.microsoft.com/office/word/2010/wordprocessingShape">
                    <wps:wsp>
                      <wps:cNvSpPr txBox="1"/>
                      <wps:spPr>
                        <a:xfrm>
                          <a:ext cx="1261745" cy="21336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2015</w:t>
                            </w:r>
                            <w:r>
                              <w:rPr>
                                <w:rFonts w:ascii="SimSun" w:eastAsia="SimSun" w:hAnsi="SimSun" w:cs="SimSun"/>
                                <w:color w:val="000000"/>
                                <w:spacing w:val="0"/>
                                <w:w w:val="100"/>
                                <w:position w:val="0"/>
                                <w:sz w:val="24"/>
                                <w:szCs w:val="24"/>
                              </w:rPr>
                              <w:t>年</w:t>
                            </w:r>
                            <w:r>
                              <w:rPr>
                                <w:color w:val="000000"/>
                                <w:spacing w:val="0"/>
                                <w:w w:val="100"/>
                                <w:position w:val="0"/>
                                <w:sz w:val="24"/>
                                <w:szCs w:val="24"/>
                              </w:rPr>
                              <w:t>12</w:t>
                            </w:r>
                            <w:r>
                              <w:rPr>
                                <w:rFonts w:ascii="SimSun" w:eastAsia="SimSun" w:hAnsi="SimSun" w:cs="SimSun"/>
                                <w:color w:val="000000"/>
                                <w:spacing w:val="0"/>
                                <w:w w:val="100"/>
                                <w:position w:val="0"/>
                                <w:sz w:val="24"/>
                                <w:szCs w:val="24"/>
                              </w:rPr>
                              <w:t>月</w:t>
                            </w:r>
                            <w:r>
                              <w:rPr>
                                <w:color w:val="000000"/>
                                <w:spacing w:val="0"/>
                                <w:w w:val="100"/>
                                <w:position w:val="0"/>
                                <w:sz w:val="24"/>
                                <w:szCs w:val="24"/>
                              </w:rPr>
                              <w:t>31</w:t>
                            </w:r>
                            <w:r>
                              <w:rPr>
                                <w:rFonts w:ascii="SimSun" w:eastAsia="SimSun" w:hAnsi="SimSun" w:cs="SimSun"/>
                                <w:color w:val="000000"/>
                                <w:spacing w:val="0"/>
                                <w:w w:val="100"/>
                                <w:position w:val="0"/>
                                <w:sz w:val="24"/>
                                <w:szCs w:val="24"/>
                              </w:rPr>
                              <w:t>日</w:t>
                            </w:r>
                          </w:p>
                        </w:txbxContent>
                      </wps:txbx>
                      <wps:bodyPr wrap="none" lIns="0" tIns="0" rIns="0" bIns="0">
                        <a:noAutoFit/>
                      </wps:bodyPr>
                    </wps:wsp>
                  </a:graphicData>
                </a:graphic>
              </wp:anchor>
            </w:drawing>
          </mc:Choice>
          <mc:Fallback>
            <w:pict>
              <v:shape id="_x0000_s1260" type="#_x0000_t202" style="position:absolute;margin-left:427.19999999999999pt;margin-top:8.pt;width:99.350000000000009pt;height:16.800000000000001pt;z-index:-125829351;mso-wrap-distance-left:0;mso-wrap-distance-top:8.pt;mso-wrap-distance-right:0;mso-position-horizontal-relative:page" filled="f" stroked="f">
                <v:textbox inset="0,0,0,0">
                  <w:txbxContent>
                    <w:p>
                      <w:pPr>
                        <w:pStyle w:val="Style5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2015</w:t>
                      </w:r>
                      <w:r>
                        <w:rPr>
                          <w:rFonts w:ascii="SimSun" w:eastAsia="SimSun" w:hAnsi="SimSun" w:cs="SimSun"/>
                          <w:color w:val="000000"/>
                          <w:spacing w:val="0"/>
                          <w:w w:val="100"/>
                          <w:position w:val="0"/>
                          <w:sz w:val="24"/>
                          <w:szCs w:val="24"/>
                        </w:rPr>
                        <w:t>年</w:t>
                      </w:r>
                      <w:r>
                        <w:rPr>
                          <w:color w:val="000000"/>
                          <w:spacing w:val="0"/>
                          <w:w w:val="100"/>
                          <w:position w:val="0"/>
                          <w:sz w:val="24"/>
                          <w:szCs w:val="24"/>
                        </w:rPr>
                        <w:t>12</w:t>
                      </w:r>
                      <w:r>
                        <w:rPr>
                          <w:rFonts w:ascii="SimSun" w:eastAsia="SimSun" w:hAnsi="SimSun" w:cs="SimSun"/>
                          <w:color w:val="000000"/>
                          <w:spacing w:val="0"/>
                          <w:w w:val="100"/>
                          <w:position w:val="0"/>
                          <w:sz w:val="24"/>
                          <w:szCs w:val="24"/>
                        </w:rPr>
                        <w:t>月</w:t>
                      </w:r>
                      <w:r>
                        <w:rPr>
                          <w:color w:val="000000"/>
                          <w:spacing w:val="0"/>
                          <w:w w:val="100"/>
                          <w:position w:val="0"/>
                          <w:sz w:val="24"/>
                          <w:szCs w:val="24"/>
                        </w:rPr>
                        <w:t>31</w:t>
                      </w:r>
                      <w:r>
                        <w:rPr>
                          <w:rFonts w:ascii="SimSun" w:eastAsia="SimSun" w:hAnsi="SimSun" w:cs="SimSun"/>
                          <w:color w:val="000000"/>
                          <w:spacing w:val="0"/>
                          <w:w w:val="100"/>
                          <w:position w:val="0"/>
                          <w:sz w:val="24"/>
                          <w:szCs w:val="24"/>
                        </w:rPr>
                        <w:t>日</w:t>
                      </w:r>
                    </w:p>
                  </w:txbxContent>
                </v:textbox>
                <w10:wrap type="topAndBottom" anchorx="page"/>
              </v:shape>
            </w:pict>
          </mc:Fallback>
        </mc:AlternateContent>
      </w:r>
    </w:p>
    <w:p>
      <w:pPr>
        <w:widowControl w:val="0"/>
        <w:spacing w:line="1" w:lineRule="exact"/>
        <w:sectPr>
          <w:headerReference w:type="default" r:id="rId115"/>
          <w:footerReference w:type="default" r:id="rId116"/>
          <w:headerReference w:type="even" r:id="rId117"/>
          <w:footerReference w:type="even" r:id="rId118"/>
          <w:footnotePr>
            <w:pos w:val="pageBottom"/>
            <w:numFmt w:val="decimal"/>
            <w:numRestart w:val="continuous"/>
          </w:footnotePr>
          <w:pgSz w:w="11900" w:h="16840"/>
          <w:pgMar w:top="1326" w:right="1235" w:bottom="1268" w:left="1627" w:header="0" w:footer="3" w:gutter="0"/>
          <w:cols w:space="720"/>
          <w:noEndnote/>
          <w:rtlGutter w:val="0"/>
          <w:docGrid w:linePitch="360"/>
        </w:sectPr>
      </w:pPr>
      <w:r>
        <mc:AlternateContent>
          <mc:Choice Requires="wps">
            <w:drawing>
              <wp:anchor distT="152400" distB="0" distL="0" distR="0" simplePos="0" relativeHeight="125829404" behindDoc="0" locked="0" layoutInCell="1" allowOverlap="1">
                <wp:simplePos x="0" y="0"/>
                <wp:positionH relativeFrom="page">
                  <wp:posOffset>1532890</wp:posOffset>
                </wp:positionH>
                <wp:positionV relativeFrom="paragraph">
                  <wp:posOffset>152400</wp:posOffset>
                </wp:positionV>
                <wp:extent cx="1856105" cy="594360"/>
                <wp:wrapTopAndBottom/>
                <wp:docPr id="244" name="Shape 244"/>
                <a:graphic xmlns:a="http://schemas.openxmlformats.org/drawingml/2006/main">
                  <a:graphicData uri="http://schemas.microsoft.com/office/word/2010/wordprocessingShape">
                    <wps:wsp>
                      <wps:cNvSpPr txBox="1"/>
                      <wps:spPr>
                        <a:xfrm>
                          <a:ext cx="1856105" cy="594360"/>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合营企业</w:t>
                            </w:r>
                            <w:r>
                              <w:rPr>
                                <w:rFonts w:ascii="Times New Roman" w:eastAsia="Times New Roman" w:hAnsi="Times New Roman" w:cs="Times New Roman"/>
                                <w:color w:val="000000"/>
                                <w:spacing w:val="0"/>
                                <w:w w:val="100"/>
                                <w:position w:val="0"/>
                                <w:sz w:val="24"/>
                                <w:szCs w:val="24"/>
                              </w:rPr>
                              <w:t>(a)</w:t>
                            </w:r>
                          </w:p>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联营企业</w:t>
                            </w:r>
                            <w:r>
                              <w:rPr>
                                <w:rFonts w:ascii="Times New Roman" w:eastAsia="Times New Roman" w:hAnsi="Times New Roman" w:cs="Times New Roman"/>
                                <w:color w:val="000000"/>
                                <w:spacing w:val="0"/>
                                <w:w w:val="100"/>
                                <w:position w:val="0"/>
                                <w:sz w:val="24"/>
                                <w:szCs w:val="24"/>
                              </w:rPr>
                              <w:t>(b)</w:t>
                            </w:r>
                          </w:p>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减：长期股权投资减值准备</w:t>
                            </w:r>
                          </w:p>
                        </w:txbxContent>
                      </wps:txbx>
                      <wps:bodyPr lIns="0" tIns="0" rIns="0" bIns="0">
                        <a:noAutoFit/>
                      </wps:bodyPr>
                    </wps:wsp>
                  </a:graphicData>
                </a:graphic>
              </wp:anchor>
            </w:drawing>
          </mc:Choice>
          <mc:Fallback>
            <w:pict>
              <v:shape id="_x0000_s1270" type="#_x0000_t202" style="position:absolute;margin-left:120.7pt;margin-top:12.pt;width:146.15000000000001pt;height:46.800000000000004pt;z-index:-125829349;mso-wrap-distance-left:0;mso-wrap-distance-top:12.pt;mso-wrap-distance-right:0;mso-position-horizontal-relative:page" filled="f" stroked="f">
                <v:textbox inset="0,0,0,0">
                  <w:txbxContent>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合营企业</w:t>
                      </w:r>
                      <w:r>
                        <w:rPr>
                          <w:rFonts w:ascii="Times New Roman" w:eastAsia="Times New Roman" w:hAnsi="Times New Roman" w:cs="Times New Roman"/>
                          <w:color w:val="000000"/>
                          <w:spacing w:val="0"/>
                          <w:w w:val="100"/>
                          <w:position w:val="0"/>
                          <w:sz w:val="24"/>
                          <w:szCs w:val="24"/>
                        </w:rPr>
                        <w:t>(a)</w:t>
                      </w:r>
                    </w:p>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联营企业</w:t>
                      </w:r>
                      <w:r>
                        <w:rPr>
                          <w:rFonts w:ascii="Times New Roman" w:eastAsia="Times New Roman" w:hAnsi="Times New Roman" w:cs="Times New Roman"/>
                          <w:color w:val="000000"/>
                          <w:spacing w:val="0"/>
                          <w:w w:val="100"/>
                          <w:position w:val="0"/>
                          <w:sz w:val="24"/>
                          <w:szCs w:val="24"/>
                        </w:rPr>
                        <w:t>(b)</w:t>
                      </w:r>
                    </w:p>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减：长期股权投资减值准备</w:t>
                      </w:r>
                    </w:p>
                  </w:txbxContent>
                </v:textbox>
                <w10:wrap type="topAndBottom" anchorx="page"/>
              </v:shape>
            </w:pict>
          </mc:Fallback>
        </mc:AlternateContent>
      </w:r>
      <w:r>
        <mc:AlternateContent>
          <mc:Choice Requires="wps">
            <w:drawing>
              <wp:anchor distT="164465" distB="173990" distL="0" distR="0" simplePos="0" relativeHeight="125829406" behindDoc="0" locked="0" layoutInCell="1" allowOverlap="1">
                <wp:simplePos x="0" y="0"/>
                <wp:positionH relativeFrom="page">
                  <wp:posOffset>4660265</wp:posOffset>
                </wp:positionH>
                <wp:positionV relativeFrom="paragraph">
                  <wp:posOffset>164465</wp:posOffset>
                </wp:positionV>
                <wp:extent cx="2011680" cy="408305"/>
                <wp:wrapTopAndBottom/>
                <wp:docPr id="246" name="Shape 246"/>
                <a:graphic xmlns:a="http://schemas.openxmlformats.org/drawingml/2006/main">
                  <a:graphicData uri="http://schemas.microsoft.com/office/word/2010/wordprocessingShape">
                    <wps:wsp>
                      <wps:cNvSpPr txBox="1"/>
                      <wps:spPr>
                        <a:xfrm>
                          <a:ext cx="2011680" cy="408305"/>
                        </a:xfrm>
                        <a:prstGeom prst="rect"/>
                        <a:noFill/>
                      </wps:spPr>
                      <wps:txbx>
                        <w:txbxContent>
                          <w:p>
                            <w:pPr>
                              <w:pStyle w:val="Style53"/>
                              <w:keepNext w:val="0"/>
                              <w:keepLines w:val="0"/>
                              <w:widowControl w:val="0"/>
                              <w:shd w:val="clear" w:color="auto" w:fill="auto"/>
                              <w:tabs>
                                <w:tab w:pos="2366" w:val="left"/>
                              </w:tabs>
                              <w:bidi w:val="0"/>
                              <w:spacing w:before="0" w:after="0" w:line="240" w:lineRule="auto"/>
                              <w:ind w:left="0" w:right="0" w:firstLine="0"/>
                              <w:jc w:val="right"/>
                              <w:rPr>
                                <w:sz w:val="24"/>
                                <w:szCs w:val="24"/>
                              </w:rPr>
                            </w:pPr>
                            <w:r>
                              <w:rPr>
                                <w:color w:val="000000"/>
                                <w:spacing w:val="0"/>
                                <w:w w:val="100"/>
                                <w:position w:val="0"/>
                                <w:sz w:val="24"/>
                                <w:szCs w:val="24"/>
                              </w:rPr>
                              <w:t>25,483</w:t>
                              <w:tab/>
                              <w:t>19,829</w:t>
                            </w:r>
                          </w:p>
                          <w:p>
                            <w:pPr>
                              <w:pStyle w:val="Style53"/>
                              <w:keepNext w:val="0"/>
                              <w:keepLines w:val="0"/>
                              <w:widowControl w:val="0"/>
                              <w:shd w:val="clear" w:color="auto" w:fill="auto"/>
                              <w:tabs>
                                <w:tab w:pos="2285" w:val="left"/>
                              </w:tabs>
                              <w:bidi w:val="0"/>
                              <w:spacing w:before="0" w:after="0" w:line="240" w:lineRule="auto"/>
                              <w:ind w:left="0" w:right="0" w:firstLine="0"/>
                              <w:jc w:val="right"/>
                              <w:rPr>
                                <w:sz w:val="24"/>
                                <w:szCs w:val="24"/>
                              </w:rPr>
                            </w:pPr>
                            <w:r>
                              <w:rPr>
                                <w:color w:val="000000"/>
                                <w:spacing w:val="0"/>
                                <w:w w:val="100"/>
                                <w:position w:val="0"/>
                                <w:sz w:val="24"/>
                                <w:szCs w:val="24"/>
                              </w:rPr>
                              <w:t>391,565</w:t>
                              <w:tab/>
                              <w:t>199,967</w:t>
                            </w:r>
                          </w:p>
                        </w:txbxContent>
                      </wps:txbx>
                      <wps:bodyPr lIns="0" tIns="0" rIns="0" bIns="0">
                        <a:noAutoFit/>
                      </wps:bodyPr>
                    </wps:wsp>
                  </a:graphicData>
                </a:graphic>
              </wp:anchor>
            </w:drawing>
          </mc:Choice>
          <mc:Fallback>
            <w:pict>
              <v:shape id="_x0000_s1272" type="#_x0000_t202" style="position:absolute;margin-left:366.94999999999999pt;margin-top:12.950000000000001pt;width:158.40000000000001pt;height:32.149999999999999pt;z-index:-125829347;mso-wrap-distance-left:0;mso-wrap-distance-top:12.950000000000001pt;mso-wrap-distance-right:0;mso-wrap-distance-bottom:13.700000000000001pt;mso-position-horizontal-relative:page" filled="f" stroked="f">
                <v:textbox inset="0,0,0,0">
                  <w:txbxContent>
                    <w:p>
                      <w:pPr>
                        <w:pStyle w:val="Style53"/>
                        <w:keepNext w:val="0"/>
                        <w:keepLines w:val="0"/>
                        <w:widowControl w:val="0"/>
                        <w:shd w:val="clear" w:color="auto" w:fill="auto"/>
                        <w:tabs>
                          <w:tab w:pos="2366" w:val="left"/>
                        </w:tabs>
                        <w:bidi w:val="0"/>
                        <w:spacing w:before="0" w:after="0" w:line="240" w:lineRule="auto"/>
                        <w:ind w:left="0" w:right="0" w:firstLine="0"/>
                        <w:jc w:val="right"/>
                        <w:rPr>
                          <w:sz w:val="24"/>
                          <w:szCs w:val="24"/>
                        </w:rPr>
                      </w:pPr>
                      <w:r>
                        <w:rPr>
                          <w:color w:val="000000"/>
                          <w:spacing w:val="0"/>
                          <w:w w:val="100"/>
                          <w:position w:val="0"/>
                          <w:sz w:val="24"/>
                          <w:szCs w:val="24"/>
                        </w:rPr>
                        <w:t>25,483</w:t>
                        <w:tab/>
                        <w:t>19,829</w:t>
                      </w:r>
                    </w:p>
                    <w:p>
                      <w:pPr>
                        <w:pStyle w:val="Style53"/>
                        <w:keepNext w:val="0"/>
                        <w:keepLines w:val="0"/>
                        <w:widowControl w:val="0"/>
                        <w:shd w:val="clear" w:color="auto" w:fill="auto"/>
                        <w:tabs>
                          <w:tab w:pos="2285" w:val="left"/>
                        </w:tabs>
                        <w:bidi w:val="0"/>
                        <w:spacing w:before="0" w:after="0" w:line="240" w:lineRule="auto"/>
                        <w:ind w:left="0" w:right="0" w:firstLine="0"/>
                        <w:jc w:val="right"/>
                        <w:rPr>
                          <w:sz w:val="24"/>
                          <w:szCs w:val="24"/>
                        </w:rPr>
                      </w:pPr>
                      <w:r>
                        <w:rPr>
                          <w:color w:val="000000"/>
                          <w:spacing w:val="0"/>
                          <w:w w:val="100"/>
                          <w:position w:val="0"/>
                          <w:sz w:val="24"/>
                          <w:szCs w:val="24"/>
                        </w:rPr>
                        <w:t>391,565</w:t>
                        <w:tab/>
                        <w:t>199,967</w:t>
                      </w:r>
                    </w:p>
                  </w:txbxContent>
                </v:textbox>
                <w10:wrap type="topAndBottom" anchorx="page"/>
              </v:shape>
            </w:pict>
          </mc:Fallback>
        </mc:AlternateContent>
      </w:r>
    </w:p>
    <w:p>
      <w:pPr>
        <w:pStyle w:val="Style53"/>
        <w:keepNext w:val="0"/>
        <w:keepLines w:val="0"/>
        <w:widowControl w:val="0"/>
        <w:shd w:val="clear" w:color="auto" w:fill="auto"/>
        <w:tabs>
          <w:tab w:leader="underscore" w:pos="2347" w:val="left"/>
        </w:tabs>
        <w:bidi w:val="0"/>
        <w:spacing w:before="0" w:after="0" w:line="240" w:lineRule="auto"/>
        <w:ind w:left="0" w:right="0" w:firstLine="0"/>
        <w:jc w:val="right"/>
        <w:rPr>
          <w:sz w:val="24"/>
          <w:szCs w:val="24"/>
        </w:rPr>
        <w:sectPr>
          <w:footnotePr>
            <w:pos w:val="pageBottom"/>
            <w:numFmt w:val="decimal"/>
            <w:numRestart w:val="continuous"/>
          </w:footnotePr>
          <w:type w:val="continuous"/>
          <w:pgSz w:w="11900" w:h="16840"/>
          <w:pgMar w:top="1326" w:right="1307" w:bottom="1268" w:left="1699" w:header="0" w:footer="3" w:gutter="0"/>
          <w:cols w:space="720"/>
          <w:noEndnote/>
          <w:rtlGutter w:val="0"/>
          <w:docGrid w:linePitch="360"/>
        </w:sectPr>
      </w:pPr>
      <w:r>
        <w:rPr>
          <w:color w:val="000000"/>
          <w:spacing w:val="0"/>
          <w:w w:val="100"/>
          <w:position w:val="0"/>
          <w:sz w:val="24"/>
          <w:szCs w:val="24"/>
          <w:u w:val="single"/>
        </w:rPr>
        <w:t>417,048</w:t>
      </w:r>
      <w:r>
        <w:rPr>
          <w:color w:val="000000"/>
          <w:spacing w:val="0"/>
          <w:w w:val="100"/>
          <w:position w:val="0"/>
          <w:sz w:val="24"/>
          <w:szCs w:val="24"/>
        </w:rPr>
        <w:tab/>
      </w:r>
      <w:r>
        <w:rPr>
          <w:color w:val="000000"/>
          <w:spacing w:val="0"/>
          <w:w w:val="100"/>
          <w:position w:val="0"/>
          <w:sz w:val="24"/>
          <w:szCs w:val="24"/>
          <w:u w:val="single"/>
        </w:rPr>
        <w:t>219,796</w:t>
      </w:r>
    </w:p>
    <w:p>
      <w:pPr>
        <w:pStyle w:val="Style32"/>
        <w:keepNext w:val="0"/>
        <w:keepLines w:val="0"/>
        <w:widowControl w:val="0"/>
        <w:shd w:val="clear" w:color="auto" w:fill="auto"/>
        <w:bidi w:val="0"/>
        <w:spacing w:before="0" w:after="0" w:line="240" w:lineRule="auto"/>
        <w:ind w:left="0" w:right="0" w:firstLine="720"/>
        <w:jc w:val="both"/>
        <w:rPr>
          <w:sz w:val="24"/>
          <w:szCs w:val="24"/>
        </w:rPr>
      </w:pPr>
      <w:r>
        <w:rPr>
          <w:b/>
          <w:bCs/>
          <w:color w:val="000000"/>
          <w:spacing w:val="0"/>
          <w:w w:val="100"/>
          <w:position w:val="0"/>
          <w:sz w:val="24"/>
          <w:szCs w:val="24"/>
        </w:rPr>
        <w:t>财务报表附注</w:t>
      </w:r>
    </w:p>
    <w:p>
      <w:pPr>
        <w:pStyle w:val="Style88"/>
        <w:keepNext/>
        <w:keepLines/>
        <w:widowControl w:val="0"/>
        <w:shd w:val="clear" w:color="auto" w:fill="auto"/>
        <w:bidi w:val="0"/>
        <w:spacing w:before="0" w:after="0" w:line="240" w:lineRule="auto"/>
        <w:ind w:left="0" w:right="0" w:firstLine="720"/>
        <w:jc w:val="both"/>
      </w:pPr>
      <w:bookmarkStart w:id="870" w:name="bookmark870"/>
      <w:bookmarkStart w:id="871" w:name="bookmark871"/>
      <w:bookmarkStart w:id="872" w:name="bookmark872"/>
      <w:r>
        <w:rPr>
          <w:color w:val="000000"/>
          <w:spacing w:val="0"/>
          <w:w w:val="100"/>
          <w:position w:val="0"/>
          <w:sz w:val="24"/>
          <w:szCs w:val="24"/>
        </w:rPr>
        <w:t>2016</w:t>
      </w:r>
      <w:r>
        <w:rPr>
          <w:rFonts w:ascii="SimSun" w:eastAsia="SimSun" w:hAnsi="SimSun" w:cs="SimSun"/>
          <w:b/>
          <w:bCs/>
          <w:color w:val="000000"/>
          <w:spacing w:val="0"/>
          <w:w w:val="100"/>
          <w:position w:val="0"/>
          <w:sz w:val="24"/>
          <w:szCs w:val="24"/>
        </w:rPr>
        <w:t>年度</w:t>
      </w:r>
      <w:bookmarkEnd w:id="870"/>
      <w:bookmarkEnd w:id="871"/>
      <w:bookmarkEnd w:id="872"/>
    </w:p>
    <w:p>
      <w:pPr>
        <w:pStyle w:val="Style32"/>
        <w:keepNext w:val="0"/>
        <w:keepLines w:val="0"/>
        <w:widowControl w:val="0"/>
        <w:shd w:val="clear" w:color="auto" w:fill="auto"/>
        <w:bidi w:val="0"/>
        <w:spacing w:before="0" w:after="260" w:line="240" w:lineRule="auto"/>
        <w:ind w:left="0" w:right="0" w:firstLine="720"/>
        <w:jc w:val="both"/>
        <w:rPr>
          <w:sz w:val="20"/>
          <w:szCs w:val="20"/>
        </w:rPr>
      </w:pPr>
      <w:r>
        <w:rPr>
          <w:rFonts w:ascii="Arial" w:eastAsia="Arial" w:hAnsi="Arial" w:cs="Arial"/>
          <w:color w:val="000000"/>
          <w:spacing w:val="0"/>
          <w:w w:val="100"/>
          <w:position w:val="0"/>
          <w:sz w:val="20"/>
          <w:szCs w:val="20"/>
        </w:rPr>
        <w:t>（</w:t>
      </w:r>
      <w:r>
        <w:rPr>
          <w:color w:val="000000"/>
          <w:spacing w:val="0"/>
          <w:w w:val="100"/>
          <w:position w:val="0"/>
          <w:sz w:val="20"/>
          <w:szCs w:val="20"/>
        </w:rPr>
        <w:t>除特别注明外，金额单位为人民币千元</w:t>
      </w:r>
      <w:r>
        <w:rPr>
          <w:rFonts w:ascii="Arial" w:eastAsia="Arial" w:hAnsi="Arial" w:cs="Arial"/>
          <w:color w:val="000000"/>
          <w:spacing w:val="0"/>
          <w:w w:val="100"/>
          <w:position w:val="0"/>
          <w:sz w:val="20"/>
          <w:szCs w:val="20"/>
        </w:rPr>
        <w:t>）</w:t>
      </w:r>
    </w:p>
    <w:p>
      <w:pPr>
        <w:pStyle w:val="Style32"/>
        <w:keepNext w:val="0"/>
        <w:keepLines w:val="0"/>
        <w:widowControl w:val="0"/>
        <w:shd w:val="clear" w:color="auto" w:fill="auto"/>
        <w:tabs>
          <w:tab w:pos="694" w:val="left"/>
        </w:tabs>
        <w:bidi w:val="0"/>
        <w:spacing w:before="0" w:after="260" w:line="240" w:lineRule="auto"/>
        <w:ind w:left="0" w:right="0" w:firstLine="0"/>
        <w:jc w:val="both"/>
        <w:rPr>
          <w:sz w:val="24"/>
          <w:szCs w:val="24"/>
        </w:rPr>
      </w:pPr>
      <w:r>
        <w:rPr>
          <w:b/>
          <w:bCs/>
          <w:color w:val="000000"/>
          <w:spacing w:val="0"/>
          <w:w w:val="100"/>
          <w:position w:val="0"/>
          <w:sz w:val="24"/>
          <w:szCs w:val="24"/>
        </w:rPr>
        <w:t>四</w:t>
        <w:tab/>
        <w:t>合并财务报表项目附注</w:t>
      </w:r>
      <w:r>
        <w:rPr>
          <w:rFonts w:ascii="Times New Roman" w:eastAsia="Times New Roman" w:hAnsi="Times New Roman" w:cs="Times New Roman"/>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4"/>
          <w:szCs w:val="24"/>
        </w:rPr>
        <w:t>）</w:t>
      </w:r>
    </w:p>
    <w:p>
      <w:pPr>
        <w:pStyle w:val="Style32"/>
        <w:keepNext w:val="0"/>
        <w:keepLines w:val="0"/>
        <w:widowControl w:val="0"/>
        <w:shd w:val="clear" w:color="auto" w:fill="auto"/>
        <w:bidi w:val="0"/>
        <w:spacing w:before="0" w:after="260" w:line="240" w:lineRule="auto"/>
        <w:ind w:left="0" w:right="0" w:firstLine="0"/>
        <w:jc w:val="both"/>
        <w:rPr>
          <w:sz w:val="24"/>
          <w:szCs w:val="24"/>
        </w:rPr>
      </w:pPr>
      <w:r>
        <w:rPr>
          <w:rFonts w:ascii="Times New Roman" w:eastAsia="Times New Roman" w:hAnsi="Times New Roman" w:cs="Times New Roman"/>
          <w:color w:val="000000"/>
          <w:spacing w:val="0"/>
          <w:w w:val="100"/>
          <w:position w:val="0"/>
          <w:sz w:val="24"/>
          <w:szCs w:val="24"/>
        </w:rPr>
        <w:t>（12）</w:t>
      </w:r>
      <w:r>
        <w:rPr>
          <w:b/>
          <w:bCs/>
          <w:color w:val="000000"/>
          <w:spacing w:val="0"/>
          <w:w w:val="100"/>
          <w:position w:val="0"/>
          <w:sz w:val="24"/>
          <w:szCs w:val="24"/>
        </w:rPr>
        <w:t>长期股权投资</w:t>
      </w:r>
      <w:r>
        <w:rPr>
          <w:rFonts w:ascii="Times New Roman" w:eastAsia="Times New Roman" w:hAnsi="Times New Roman" w:cs="Times New Roman"/>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4"/>
          <w:szCs w:val="24"/>
        </w:rPr>
        <w:t>）</w:t>
      </w:r>
    </w:p>
    <w:p>
      <w:pPr>
        <w:pStyle w:val="Style32"/>
        <w:keepNext w:val="0"/>
        <w:keepLines w:val="0"/>
        <w:widowControl w:val="0"/>
        <w:shd w:val="clear" w:color="auto" w:fill="auto"/>
        <w:tabs>
          <w:tab w:pos="694" w:val="left"/>
        </w:tabs>
        <w:bidi w:val="0"/>
        <w:spacing w:before="0" w:after="260" w:line="240" w:lineRule="auto"/>
        <w:ind w:left="0" w:right="0" w:firstLine="0"/>
        <w:jc w:val="both"/>
        <w:rPr>
          <w:sz w:val="24"/>
          <w:szCs w:val="24"/>
        </w:rPr>
      </w:pPr>
      <w:r>
        <w:rPr>
          <w:rFonts w:ascii="Times New Roman" w:eastAsia="Times New Roman" w:hAnsi="Times New Roman" w:cs="Times New Roman"/>
          <w:color w:val="000000"/>
          <w:spacing w:val="0"/>
          <w:w w:val="100"/>
          <w:position w:val="0"/>
          <w:sz w:val="24"/>
          <w:szCs w:val="24"/>
        </w:rPr>
        <w:t>（a）</w:t>
        <w:tab/>
      </w:r>
      <w:r>
        <w:rPr>
          <w:color w:val="000000"/>
          <w:spacing w:val="0"/>
          <w:w w:val="100"/>
          <w:position w:val="0"/>
          <w:sz w:val="24"/>
          <w:szCs w:val="24"/>
        </w:rPr>
        <w:t>合营企业</w:t>
      </w:r>
    </w:p>
    <w:p>
      <w:pPr>
        <w:pStyle w:val="Style113"/>
        <w:keepNext w:val="0"/>
        <w:keepLines w:val="0"/>
        <w:widowControl w:val="0"/>
        <w:pBdr>
          <w:bottom w:val="single" w:sz="4" w:space="0" w:color="auto"/>
        </w:pBdr>
        <w:shd w:val="clear" w:color="auto" w:fill="auto"/>
        <w:bidi w:val="0"/>
        <w:spacing w:before="0" w:after="0" w:line="240" w:lineRule="auto"/>
        <w:ind w:left="8020" w:right="0" w:firstLine="0"/>
        <w:jc w:val="both"/>
      </w:pPr>
      <w:r>
        <mc:AlternateContent>
          <mc:Choice Requires="wps">
            <w:drawing>
              <wp:anchor distT="0" distB="0" distL="0" distR="0" simplePos="0" relativeHeight="125829408" behindDoc="0" locked="0" layoutInCell="1" allowOverlap="1">
                <wp:simplePos x="0" y="0"/>
                <wp:positionH relativeFrom="page">
                  <wp:posOffset>9150350</wp:posOffset>
                </wp:positionH>
                <wp:positionV relativeFrom="paragraph">
                  <wp:posOffset>152400</wp:posOffset>
                </wp:positionV>
                <wp:extent cx="1103630" cy="311150"/>
                <wp:wrapSquare wrapText="left"/>
                <wp:docPr id="248" name="Shape 248"/>
                <a:graphic xmlns:a="http://schemas.openxmlformats.org/drawingml/2006/main">
                  <a:graphicData uri="http://schemas.microsoft.com/office/word/2010/wordprocessingShape">
                    <wps:wsp>
                      <wps:cNvSpPr txBox="1"/>
                      <wps:spPr>
                        <a:xfrm>
                          <a:ext cx="1103630" cy="311150"/>
                        </a:xfrm>
                        <a:prstGeom prst="rect"/>
                        <a:noFill/>
                      </wps:spPr>
                      <wps:txbx>
                        <w:txbxContent>
                          <w:p>
                            <w:pPr>
                              <w:pStyle w:val="Style11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2016</w:t>
                            </w:r>
                            <w:r>
                              <w:rPr>
                                <w:color w:val="000000"/>
                                <w:spacing w:val="0"/>
                                <w:w w:val="100"/>
                                <w:position w:val="0"/>
                              </w:rPr>
                              <w:t>年减值准备</w:t>
                            </w:r>
                          </w:p>
                          <w:p>
                            <w:pPr>
                              <w:pStyle w:val="Style11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日年末余额</w:t>
                            </w:r>
                          </w:p>
                        </w:txbxContent>
                      </wps:txbx>
                      <wps:bodyPr lIns="0" tIns="0" rIns="0" bIns="0">
                        <a:noAutoFit/>
                      </wps:bodyPr>
                    </wps:wsp>
                  </a:graphicData>
                </a:graphic>
              </wp:anchor>
            </w:drawing>
          </mc:Choice>
          <mc:Fallback>
            <w:pict>
              <v:shape id="_x0000_s1274" type="#_x0000_t202" style="position:absolute;margin-left:720.5pt;margin-top:12.pt;width:86.900000000000006pt;height:24.5pt;z-index:-125829345;mso-wrap-distance-left:0;mso-wrap-distance-right:0;mso-position-horizontal-relative:page" filled="f" stroked="f">
                <v:textbox inset="0,0,0,0">
                  <w:txbxContent>
                    <w:p>
                      <w:pPr>
                        <w:pStyle w:val="Style11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2016</w:t>
                      </w:r>
                      <w:r>
                        <w:rPr>
                          <w:color w:val="000000"/>
                          <w:spacing w:val="0"/>
                          <w:w w:val="100"/>
                          <w:position w:val="0"/>
                        </w:rPr>
                        <w:t>年减值准备</w:t>
                      </w:r>
                    </w:p>
                    <w:p>
                      <w:pPr>
                        <w:pStyle w:val="Style11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日年末余额</w:t>
                      </w:r>
                    </w:p>
                  </w:txbxContent>
                </v:textbox>
                <w10:wrap type="square" side="left" anchorx="page"/>
              </v:shape>
            </w:pict>
          </mc:Fallback>
        </mc:AlternateContent>
      </w:r>
      <w:r>
        <mc:AlternateContent>
          <mc:Choice Requires="wps">
            <w:drawing>
              <wp:anchor distT="0" distB="0" distL="0" distR="0" simplePos="0" relativeHeight="125829410" behindDoc="0" locked="0" layoutInCell="1" allowOverlap="1">
                <wp:simplePos x="0" y="0"/>
                <wp:positionH relativeFrom="page">
                  <wp:posOffset>8699500</wp:posOffset>
                </wp:positionH>
                <wp:positionV relativeFrom="paragraph">
                  <wp:posOffset>152400</wp:posOffset>
                </wp:positionV>
                <wp:extent cx="255905" cy="149225"/>
                <wp:wrapSquare wrapText="bothSides"/>
                <wp:docPr id="250" name="Shape 250"/>
                <a:graphic xmlns:a="http://schemas.openxmlformats.org/drawingml/2006/main">
                  <a:graphicData uri="http://schemas.microsoft.com/office/word/2010/wordprocessingShape">
                    <wps:wsp>
                      <wps:cNvSpPr txBox="1"/>
                      <wps:spPr>
                        <a:xfrm>
                          <a:ext cx="255905" cy="149225"/>
                        </a:xfrm>
                        <a:prstGeom prst="rect"/>
                        <a:noFill/>
                      </wps:spPr>
                      <wps:txbx>
                        <w:txbxContent>
                          <w:p>
                            <w:pPr>
                              <w:pStyle w:val="Style113"/>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w:t>
                            </w:r>
                          </w:p>
                        </w:txbxContent>
                      </wps:txbx>
                      <wps:bodyPr wrap="none" lIns="0" tIns="0" rIns="0" bIns="0">
                        <a:noAutoFit/>
                      </wps:bodyPr>
                    </wps:wsp>
                  </a:graphicData>
                </a:graphic>
              </wp:anchor>
            </w:drawing>
          </mc:Choice>
          <mc:Fallback>
            <w:pict>
              <v:shape id="_x0000_s1276" type="#_x0000_t202" style="position:absolute;margin-left:685.pt;margin-top:12.pt;width:20.150000000000002pt;height:11.75pt;z-index:-125829343;mso-wrap-distance-left:0;mso-wrap-distance-right:0;mso-position-horizontal-relative:page" filled="f" stroked="f">
                <v:textbox inset="0,0,0,0">
                  <w:txbxContent>
                    <w:p>
                      <w:pPr>
                        <w:pStyle w:val="Style113"/>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w:t>
                      </w:r>
                    </w:p>
                  </w:txbxContent>
                </v:textbox>
                <w10:wrap type="square" anchorx="page"/>
              </v:shape>
            </w:pict>
          </mc:Fallback>
        </mc:AlternateContent>
      </w:r>
      <w:r>
        <w:rPr>
          <w:color w:val="000000"/>
          <w:spacing w:val="0"/>
          <w:w w:val="100"/>
          <w:position w:val="0"/>
        </w:rPr>
        <w:t>本年增减变动</w:t>
      </w:r>
    </w:p>
    <w:tbl>
      <w:tblPr>
        <w:tblOverlap w:val="never"/>
        <w:jc w:val="left"/>
        <w:tblLayout w:type="fixed"/>
      </w:tblPr>
      <w:tblGrid>
        <w:gridCol w:w="2534"/>
        <w:gridCol w:w="1243"/>
        <w:gridCol w:w="1349"/>
        <w:gridCol w:w="1008"/>
        <w:gridCol w:w="1334"/>
        <w:gridCol w:w="1018"/>
        <w:gridCol w:w="1162"/>
        <w:gridCol w:w="1094"/>
        <w:gridCol w:w="869"/>
        <w:gridCol w:w="802"/>
        <w:gridCol w:w="931"/>
      </w:tblGrid>
      <w:tr>
        <w:trPr>
          <w:trHeight w:val="240" w:hRule="exact"/>
        </w:trPr>
        <w:tc>
          <w:tcPr>
            <w:tcBorders/>
            <w:shd w:val="clear" w:color="auto" w:fill="FFFFFF"/>
            <w:vAlign w:val="top"/>
          </w:tcPr>
          <w:p>
            <w:pPr>
              <w:pStyle w:val="Style28"/>
              <w:keepNext w:val="0"/>
              <w:keepLines w:val="0"/>
              <w:framePr w:w="13344" w:h="1013" w:hSpace="5" w:vSpace="979" w:wrap="notBeside" w:vAnchor="text" w:hAnchor="text" w:x="795" w:y="98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苏宁金石</w:t>
            </w:r>
            <w:r>
              <w:rPr>
                <w:rFonts w:ascii="Times New Roman" w:eastAsia="Times New Roman" w:hAnsi="Times New Roman" w:cs="Times New Roman"/>
                <w:color w:val="000000"/>
                <w:spacing w:val="0"/>
                <w:w w:val="100"/>
                <w:position w:val="0"/>
                <w:sz w:val="18"/>
                <w:szCs w:val="18"/>
              </w:rPr>
              <w:t>"）（1）</w:t>
            </w:r>
          </w:p>
        </w:tc>
        <w:tc>
          <w:tcPr>
            <w:tcBorders/>
            <w:shd w:val="clear" w:color="auto" w:fill="FFFFFF"/>
            <w:vAlign w:val="bottom"/>
          </w:tcPr>
          <w:p>
            <w:pPr>
              <w:pStyle w:val="Style28"/>
              <w:keepNext w:val="0"/>
              <w:keepLines w:val="0"/>
              <w:framePr w:w="13344" w:h="1013" w:hSpace="5" w:vSpace="979" w:wrap="notBeside" w:vAnchor="text" w:hAnchor="text" w:x="795" w:y="98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19,829</w:t>
            </w:r>
          </w:p>
        </w:tc>
        <w:tc>
          <w:tcPr>
            <w:tcBorders/>
            <w:shd w:val="clear" w:color="auto" w:fill="FFFFFF"/>
            <w:vAlign w:val="bottom"/>
          </w:tcPr>
          <w:p>
            <w:pPr>
              <w:pStyle w:val="Style28"/>
              <w:keepNext w:val="0"/>
              <w:keepLines w:val="0"/>
              <w:framePr w:w="13344" w:h="1013" w:hSpace="5" w:vSpace="979" w:wrap="notBeside" w:vAnchor="text" w:hAnchor="text" w:x="795" w:y="98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framePr w:w="13344" w:h="1013" w:hSpace="5" w:vSpace="979" w:wrap="notBeside" w:vAnchor="text" w:hAnchor="text" w:x="795" w:y="98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framePr w:w="13344" w:h="1013" w:hSpace="5" w:vSpace="979" w:wrap="notBeside" w:vAnchor="text" w:hAnchor="text" w:x="795" w:y="98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514</w:t>
            </w:r>
          </w:p>
        </w:tc>
        <w:tc>
          <w:tcPr>
            <w:tcBorders/>
            <w:shd w:val="clear" w:color="auto" w:fill="FFFFFF"/>
            <w:vAlign w:val="bottom"/>
          </w:tcPr>
          <w:p>
            <w:pPr>
              <w:pStyle w:val="Style28"/>
              <w:keepNext w:val="0"/>
              <w:keepLines w:val="0"/>
              <w:framePr w:w="13344" w:h="1013" w:hSpace="5" w:vSpace="979" w:wrap="notBeside" w:vAnchor="text" w:hAnchor="text" w:x="795" w:y="98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framePr w:w="13344" w:h="1013" w:hSpace="5" w:vSpace="979" w:wrap="notBeside" w:vAnchor="text" w:hAnchor="text" w:x="795" w:y="98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framePr w:w="13344" w:h="1013" w:hSpace="5" w:vSpace="979" w:wrap="notBeside" w:vAnchor="text" w:hAnchor="text" w:x="795" w:y="98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framePr w:w="13344" w:h="1013" w:hSpace="5" w:vSpace="979" w:wrap="notBeside" w:vAnchor="text" w:hAnchor="text" w:x="795" w:y="98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framePr w:w="13344" w:h="1013" w:hSpace="5" w:vSpace="979" w:wrap="notBeside" w:vAnchor="text" w:hAnchor="text" w:x="795" w:y="98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framePr w:w="13344" w:h="1013" w:hSpace="5" w:vSpace="979" w:wrap="notBeside" w:vAnchor="text" w:hAnchor="text" w:x="795" w:y="98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20,343</w:t>
            </w:r>
          </w:p>
        </w:tc>
      </w:tr>
      <w:tr>
        <w:trPr>
          <w:trHeight w:val="226" w:hRule="exact"/>
        </w:trPr>
        <w:tc>
          <w:tcPr>
            <w:tcBorders/>
            <w:shd w:val="clear" w:color="auto" w:fill="FFFFFF"/>
            <w:vAlign w:val="top"/>
          </w:tcPr>
          <w:p>
            <w:pPr>
              <w:pStyle w:val="Style28"/>
              <w:keepNext w:val="0"/>
              <w:keepLines w:val="0"/>
              <w:framePr w:w="13344" w:h="1013" w:hSpace="5" w:vSpace="979" w:wrap="notBeside" w:vAnchor="text" w:hAnchor="text" w:x="795" w:y="98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北京聚合旅游咨询有限公司</w:t>
            </w:r>
          </w:p>
        </w:tc>
        <w:tc>
          <w:tcPr>
            <w:tcBorders/>
            <w:shd w:val="clear" w:color="auto" w:fill="FFFFFF"/>
            <w:vAlign w:val="top"/>
          </w:tcPr>
          <w:p>
            <w:pPr>
              <w:framePr w:w="13344" w:h="1013" w:hSpace="5" w:vSpace="979" w:wrap="notBeside" w:vAnchor="text" w:hAnchor="text" w:x="795" w:y="980"/>
              <w:widowControl w:val="0"/>
              <w:rPr>
                <w:sz w:val="10"/>
                <w:szCs w:val="10"/>
              </w:rPr>
            </w:pPr>
          </w:p>
        </w:tc>
        <w:tc>
          <w:tcPr>
            <w:tcBorders/>
            <w:shd w:val="clear" w:color="auto" w:fill="FFFFFF"/>
            <w:vAlign w:val="top"/>
          </w:tcPr>
          <w:p>
            <w:pPr>
              <w:framePr w:w="13344" w:h="1013" w:hSpace="5" w:vSpace="979" w:wrap="notBeside" w:vAnchor="text" w:hAnchor="text" w:x="795" w:y="980"/>
              <w:widowControl w:val="0"/>
              <w:rPr>
                <w:sz w:val="10"/>
                <w:szCs w:val="10"/>
              </w:rPr>
            </w:pPr>
          </w:p>
        </w:tc>
        <w:tc>
          <w:tcPr>
            <w:tcBorders/>
            <w:shd w:val="clear" w:color="auto" w:fill="FFFFFF"/>
            <w:vAlign w:val="top"/>
          </w:tcPr>
          <w:p>
            <w:pPr>
              <w:framePr w:w="13344" w:h="1013" w:hSpace="5" w:vSpace="979" w:wrap="notBeside" w:vAnchor="text" w:hAnchor="text" w:x="795" w:y="980"/>
              <w:widowControl w:val="0"/>
              <w:rPr>
                <w:sz w:val="10"/>
                <w:szCs w:val="10"/>
              </w:rPr>
            </w:pPr>
          </w:p>
        </w:tc>
        <w:tc>
          <w:tcPr>
            <w:tcBorders/>
            <w:shd w:val="clear" w:color="auto" w:fill="FFFFFF"/>
            <w:vAlign w:val="top"/>
          </w:tcPr>
          <w:p>
            <w:pPr>
              <w:framePr w:w="13344" w:h="1013" w:hSpace="5" w:vSpace="979" w:wrap="notBeside" w:vAnchor="text" w:hAnchor="text" w:x="795" w:y="980"/>
              <w:widowControl w:val="0"/>
              <w:rPr>
                <w:sz w:val="10"/>
                <w:szCs w:val="10"/>
              </w:rPr>
            </w:pPr>
          </w:p>
        </w:tc>
        <w:tc>
          <w:tcPr>
            <w:tcBorders/>
            <w:shd w:val="clear" w:color="auto" w:fill="FFFFFF"/>
            <w:vAlign w:val="top"/>
          </w:tcPr>
          <w:p>
            <w:pPr>
              <w:framePr w:w="13344" w:h="1013" w:hSpace="5" w:vSpace="979" w:wrap="notBeside" w:vAnchor="text" w:hAnchor="text" w:x="795" w:y="980"/>
              <w:widowControl w:val="0"/>
              <w:rPr>
                <w:sz w:val="10"/>
                <w:szCs w:val="10"/>
              </w:rPr>
            </w:pPr>
          </w:p>
        </w:tc>
        <w:tc>
          <w:tcPr>
            <w:tcBorders/>
            <w:shd w:val="clear" w:color="auto" w:fill="FFFFFF"/>
            <w:vAlign w:val="top"/>
          </w:tcPr>
          <w:p>
            <w:pPr>
              <w:framePr w:w="13344" w:h="1013" w:hSpace="5" w:vSpace="979" w:wrap="notBeside" w:vAnchor="text" w:hAnchor="text" w:x="795" w:y="980"/>
              <w:widowControl w:val="0"/>
              <w:rPr>
                <w:sz w:val="10"/>
                <w:szCs w:val="10"/>
              </w:rPr>
            </w:pPr>
          </w:p>
        </w:tc>
        <w:tc>
          <w:tcPr>
            <w:tcBorders/>
            <w:shd w:val="clear" w:color="auto" w:fill="FFFFFF"/>
            <w:vAlign w:val="top"/>
          </w:tcPr>
          <w:p>
            <w:pPr>
              <w:framePr w:w="13344" w:h="1013" w:hSpace="5" w:vSpace="979" w:wrap="notBeside" w:vAnchor="text" w:hAnchor="text" w:x="795" w:y="980"/>
              <w:widowControl w:val="0"/>
              <w:rPr>
                <w:sz w:val="10"/>
                <w:szCs w:val="10"/>
              </w:rPr>
            </w:pPr>
          </w:p>
        </w:tc>
        <w:tc>
          <w:tcPr>
            <w:tcBorders/>
            <w:shd w:val="clear" w:color="auto" w:fill="FFFFFF"/>
            <w:vAlign w:val="top"/>
          </w:tcPr>
          <w:p>
            <w:pPr>
              <w:framePr w:w="13344" w:h="1013" w:hSpace="5" w:vSpace="979" w:wrap="notBeside" w:vAnchor="text" w:hAnchor="text" w:x="795" w:y="980"/>
              <w:widowControl w:val="0"/>
              <w:rPr>
                <w:sz w:val="10"/>
                <w:szCs w:val="10"/>
              </w:rPr>
            </w:pPr>
          </w:p>
        </w:tc>
        <w:tc>
          <w:tcPr>
            <w:tcBorders/>
            <w:shd w:val="clear" w:color="auto" w:fill="FFFFFF"/>
            <w:vAlign w:val="top"/>
          </w:tcPr>
          <w:p>
            <w:pPr>
              <w:framePr w:w="13344" w:h="1013" w:hSpace="5" w:vSpace="979" w:wrap="notBeside" w:vAnchor="text" w:hAnchor="text" w:x="795" w:y="980"/>
              <w:widowControl w:val="0"/>
              <w:rPr>
                <w:sz w:val="10"/>
                <w:szCs w:val="10"/>
              </w:rPr>
            </w:pPr>
          </w:p>
        </w:tc>
        <w:tc>
          <w:tcPr>
            <w:tcBorders/>
            <w:shd w:val="clear" w:color="auto" w:fill="FFFFFF"/>
            <w:vAlign w:val="top"/>
          </w:tcPr>
          <w:p>
            <w:pPr>
              <w:framePr w:w="13344" w:h="1013" w:hSpace="5" w:vSpace="979" w:wrap="notBeside" w:vAnchor="text" w:hAnchor="text" w:x="795" w:y="980"/>
              <w:widowControl w:val="0"/>
              <w:rPr>
                <w:sz w:val="10"/>
                <w:szCs w:val="10"/>
              </w:rPr>
            </w:pPr>
          </w:p>
        </w:tc>
      </w:tr>
      <w:tr>
        <w:trPr>
          <w:trHeight w:val="240" w:hRule="exact"/>
        </w:trPr>
        <w:tc>
          <w:tcPr>
            <w:tcBorders/>
            <w:shd w:val="clear" w:color="auto" w:fill="FFFFFF"/>
            <w:vAlign w:val="top"/>
          </w:tcPr>
          <w:p>
            <w:pPr>
              <w:pStyle w:val="Style28"/>
              <w:keepNext w:val="0"/>
              <w:keepLines w:val="0"/>
              <w:framePr w:w="13344" w:h="1013" w:hSpace="5" w:vSpace="979" w:wrap="notBeside" w:vAnchor="text" w:hAnchor="text" w:x="795" w:y="98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聚合旅游</w:t>
            </w:r>
            <w:r>
              <w:rPr>
                <w:rFonts w:ascii="Times New Roman" w:eastAsia="Times New Roman" w:hAnsi="Times New Roman" w:cs="Times New Roman"/>
                <w:color w:val="000000"/>
                <w:spacing w:val="0"/>
                <w:w w:val="100"/>
                <w:position w:val="0"/>
                <w:sz w:val="18"/>
                <w:szCs w:val="18"/>
              </w:rPr>
              <w:t>”）（11）</w:t>
            </w:r>
          </w:p>
        </w:tc>
        <w:tc>
          <w:tcPr>
            <w:tcBorders/>
            <w:shd w:val="clear" w:color="auto" w:fill="FFFFFF"/>
            <w:vAlign w:val="bottom"/>
          </w:tcPr>
          <w:p>
            <w:pPr>
              <w:pStyle w:val="Style28"/>
              <w:keepNext w:val="0"/>
              <w:keepLines w:val="0"/>
              <w:framePr w:w="13344" w:h="1013" w:hSpace="5" w:vSpace="979" w:wrap="notBeside" w:vAnchor="text" w:hAnchor="text" w:x="795" w:y="98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framePr w:w="13344" w:h="1013" w:hSpace="5" w:vSpace="979" w:wrap="notBeside" w:vAnchor="text" w:hAnchor="text" w:x="795" w:y="98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6,000</w:t>
            </w:r>
          </w:p>
        </w:tc>
        <w:tc>
          <w:tcPr>
            <w:tcBorders/>
            <w:shd w:val="clear" w:color="auto" w:fill="FFFFFF"/>
            <w:vAlign w:val="bottom"/>
          </w:tcPr>
          <w:p>
            <w:pPr>
              <w:pStyle w:val="Style28"/>
              <w:keepNext w:val="0"/>
              <w:keepLines w:val="0"/>
              <w:framePr w:w="13344" w:h="1013" w:hSpace="5" w:vSpace="979" w:wrap="notBeside" w:vAnchor="text" w:hAnchor="text" w:x="795" w:y="98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framePr w:w="13344" w:h="1013" w:hSpace="5" w:vSpace="979" w:wrap="notBeside" w:vAnchor="text" w:hAnchor="text" w:x="795" w:y="98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(860)</w:t>
            </w:r>
          </w:p>
        </w:tc>
        <w:tc>
          <w:tcPr>
            <w:tcBorders/>
            <w:shd w:val="clear" w:color="auto" w:fill="FFFFFF"/>
            <w:vAlign w:val="bottom"/>
          </w:tcPr>
          <w:p>
            <w:pPr>
              <w:pStyle w:val="Style28"/>
              <w:keepNext w:val="0"/>
              <w:keepLines w:val="0"/>
              <w:framePr w:w="13344" w:h="1013" w:hSpace="5" w:vSpace="979" w:wrap="notBeside" w:vAnchor="text" w:hAnchor="text" w:x="795" w:y="98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framePr w:w="13344" w:h="1013" w:hSpace="5" w:vSpace="979" w:wrap="notBeside" w:vAnchor="text" w:hAnchor="text" w:x="795" w:y="98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framePr w:w="13344" w:h="1013" w:hSpace="5" w:vSpace="979" w:wrap="notBeside" w:vAnchor="text" w:hAnchor="text" w:x="795" w:y="98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framePr w:w="13344" w:h="1013" w:hSpace="5" w:vSpace="979" w:wrap="notBeside" w:vAnchor="text" w:hAnchor="text" w:x="795" w:y="98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framePr w:w="13344" w:h="1013" w:hSpace="5" w:vSpace="979" w:wrap="notBeside" w:vAnchor="text" w:hAnchor="text" w:x="795" w:y="98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framePr w:w="13344" w:h="1013" w:hSpace="5" w:vSpace="979" w:wrap="notBeside" w:vAnchor="text" w:hAnchor="text" w:x="795" w:y="98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5,140</w:t>
            </w:r>
          </w:p>
        </w:tc>
      </w:tr>
      <w:tr>
        <w:trPr>
          <w:trHeight w:val="307" w:hRule="exact"/>
        </w:trPr>
        <w:tc>
          <w:tcPr>
            <w:tcBorders>
              <w:top w:val="single" w:sz="4"/>
              <w:bottom w:val="single" w:sz="4"/>
            </w:tcBorders>
            <w:shd w:val="clear" w:color="auto" w:fill="FFFFFF"/>
            <w:vAlign w:val="top"/>
          </w:tcPr>
          <w:p>
            <w:pPr>
              <w:framePr w:w="13344" w:h="1013" w:hSpace="5" w:vSpace="979" w:wrap="notBeside" w:vAnchor="text" w:hAnchor="text" w:x="795" w:y="980"/>
              <w:widowControl w:val="0"/>
              <w:rPr>
                <w:sz w:val="10"/>
                <w:szCs w:val="10"/>
              </w:rPr>
            </w:pPr>
          </w:p>
        </w:tc>
        <w:tc>
          <w:tcPr>
            <w:tcBorders>
              <w:top w:val="single" w:sz="4"/>
              <w:bottom w:val="single" w:sz="4"/>
            </w:tcBorders>
            <w:shd w:val="clear" w:color="auto" w:fill="FFFFFF"/>
            <w:vAlign w:val="bottom"/>
          </w:tcPr>
          <w:p>
            <w:pPr>
              <w:pStyle w:val="Style28"/>
              <w:keepNext w:val="0"/>
              <w:keepLines w:val="0"/>
              <w:framePr w:w="13344" w:h="1013" w:hSpace="5" w:vSpace="979" w:wrap="notBeside" w:vAnchor="text" w:hAnchor="text" w:x="795" w:y="98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19,829</w:t>
            </w:r>
          </w:p>
        </w:tc>
        <w:tc>
          <w:tcPr>
            <w:tcBorders>
              <w:top w:val="single" w:sz="4"/>
              <w:bottom w:val="single" w:sz="4"/>
            </w:tcBorders>
            <w:shd w:val="clear" w:color="auto" w:fill="FFFFFF"/>
            <w:vAlign w:val="bottom"/>
          </w:tcPr>
          <w:p>
            <w:pPr>
              <w:pStyle w:val="Style28"/>
              <w:keepNext w:val="0"/>
              <w:keepLines w:val="0"/>
              <w:framePr w:w="13344" w:h="1013" w:hSpace="5" w:vSpace="979" w:wrap="notBeside" w:vAnchor="text" w:hAnchor="text" w:x="795" w:y="98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bottom w:val="single" w:sz="4"/>
            </w:tcBorders>
            <w:shd w:val="clear" w:color="auto" w:fill="FFFFFF"/>
            <w:vAlign w:val="bottom"/>
          </w:tcPr>
          <w:p>
            <w:pPr>
              <w:pStyle w:val="Style28"/>
              <w:keepNext w:val="0"/>
              <w:keepLines w:val="0"/>
              <w:framePr w:w="13344" w:h="1013" w:hSpace="5" w:vSpace="979" w:wrap="notBeside" w:vAnchor="text" w:hAnchor="text" w:x="795" w:y="98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bottom w:val="single" w:sz="4"/>
            </w:tcBorders>
            <w:shd w:val="clear" w:color="auto" w:fill="FFFFFF"/>
            <w:vAlign w:val="bottom"/>
          </w:tcPr>
          <w:p>
            <w:pPr>
              <w:pStyle w:val="Style28"/>
              <w:keepNext w:val="0"/>
              <w:keepLines w:val="0"/>
              <w:framePr w:w="13344" w:h="1013" w:hSpace="5" w:vSpace="979" w:wrap="notBeside" w:vAnchor="text" w:hAnchor="text" w:x="795" w:y="98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(346)</w:t>
            </w:r>
          </w:p>
        </w:tc>
        <w:tc>
          <w:tcPr>
            <w:tcBorders>
              <w:top w:val="single" w:sz="4"/>
              <w:bottom w:val="single" w:sz="4"/>
            </w:tcBorders>
            <w:shd w:val="clear" w:color="auto" w:fill="FFFFFF"/>
            <w:vAlign w:val="bottom"/>
          </w:tcPr>
          <w:p>
            <w:pPr>
              <w:pStyle w:val="Style28"/>
              <w:keepNext w:val="0"/>
              <w:keepLines w:val="0"/>
              <w:framePr w:w="13344" w:h="1013" w:hSpace="5" w:vSpace="979" w:wrap="notBeside" w:vAnchor="text" w:hAnchor="text" w:x="795" w:y="98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bottom w:val="single" w:sz="4"/>
            </w:tcBorders>
            <w:shd w:val="clear" w:color="auto" w:fill="FFFFFF"/>
            <w:vAlign w:val="bottom"/>
          </w:tcPr>
          <w:p>
            <w:pPr>
              <w:pStyle w:val="Style28"/>
              <w:keepNext w:val="0"/>
              <w:keepLines w:val="0"/>
              <w:framePr w:w="13344" w:h="1013" w:hSpace="5" w:vSpace="979" w:wrap="notBeside" w:vAnchor="text" w:hAnchor="text" w:x="795" w:y="98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bottom w:val="single" w:sz="4"/>
            </w:tcBorders>
            <w:shd w:val="clear" w:color="auto" w:fill="FFFFFF"/>
            <w:vAlign w:val="bottom"/>
          </w:tcPr>
          <w:p>
            <w:pPr>
              <w:pStyle w:val="Style28"/>
              <w:keepNext w:val="0"/>
              <w:keepLines w:val="0"/>
              <w:framePr w:w="13344" w:h="1013" w:hSpace="5" w:vSpace="979" w:wrap="notBeside" w:vAnchor="text" w:hAnchor="text" w:x="795" w:y="98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bottom w:val="single" w:sz="4"/>
            </w:tcBorders>
            <w:shd w:val="clear" w:color="auto" w:fill="FFFFFF"/>
            <w:vAlign w:val="bottom"/>
          </w:tcPr>
          <w:p>
            <w:pPr>
              <w:pStyle w:val="Style28"/>
              <w:keepNext w:val="0"/>
              <w:keepLines w:val="0"/>
              <w:framePr w:w="13344" w:h="1013" w:hSpace="5" w:vSpace="979" w:wrap="notBeside" w:vAnchor="text" w:hAnchor="text" w:x="795" w:y="98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bottom w:val="single" w:sz="4"/>
            </w:tcBorders>
            <w:shd w:val="clear" w:color="auto" w:fill="FFFFFF"/>
            <w:vAlign w:val="bottom"/>
          </w:tcPr>
          <w:p>
            <w:pPr>
              <w:pStyle w:val="Style28"/>
              <w:keepNext w:val="0"/>
              <w:keepLines w:val="0"/>
              <w:framePr w:w="13344" w:h="1013" w:hSpace="5" w:vSpace="979" w:wrap="notBeside" w:vAnchor="text" w:hAnchor="text" w:x="795" w:y="980"/>
              <w:widowControl w:val="0"/>
              <w:shd w:val="clear" w:color="auto" w:fill="auto"/>
              <w:bidi w:val="0"/>
              <w:spacing w:before="0" w:after="0" w:line="240" w:lineRule="auto"/>
              <w:ind w:left="0" w:right="34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bottom w:val="single" w:sz="4"/>
            </w:tcBorders>
            <w:shd w:val="clear" w:color="auto" w:fill="FFFFFF"/>
            <w:vAlign w:val="bottom"/>
          </w:tcPr>
          <w:p>
            <w:pPr>
              <w:pStyle w:val="Style28"/>
              <w:keepNext w:val="0"/>
              <w:keepLines w:val="0"/>
              <w:framePr w:w="13344" w:h="1013" w:hSpace="5" w:vSpace="979" w:wrap="notBeside" w:vAnchor="text" w:hAnchor="text" w:x="795" w:y="98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25,483</w:t>
            </w:r>
          </w:p>
        </w:tc>
      </w:tr>
    </w:tbl>
    <w:p>
      <w:pPr>
        <w:pStyle w:val="Style25"/>
        <w:keepNext w:val="0"/>
        <w:keepLines w:val="0"/>
        <w:framePr w:w="869" w:h="490" w:hSpace="789" w:wrap="notBeside" w:vAnchor="text" w:hAnchor="text" w:x="3349" w:y="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8"/>
          <w:szCs w:val="18"/>
        </w:rPr>
        <w:t>年</w:t>
      </w:r>
    </w:p>
    <w:p>
      <w:pPr>
        <w:pStyle w:val="Style25"/>
        <w:keepNext w:val="0"/>
        <w:keepLines w:val="0"/>
        <w:framePr w:w="869" w:h="490" w:hSpace="789" w:wrap="notBeside" w:vAnchor="text" w:hAnchor="text" w:x="3349" w:y="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p>
      <w:pPr>
        <w:pStyle w:val="Style25"/>
        <w:keepNext w:val="0"/>
        <w:keepLines w:val="0"/>
        <w:framePr w:w="586" w:h="490" w:hSpace="789" w:wrap="notBeside" w:vAnchor="text" w:hAnchor="text" w:x="9267" w:y="1"/>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其他权 益变动</w:t>
      </w:r>
    </w:p>
    <w:p>
      <w:pPr>
        <w:pStyle w:val="Style25"/>
        <w:keepNext w:val="0"/>
        <w:keepLines w:val="0"/>
        <w:framePr w:w="4176" w:h="466" w:hSpace="789" w:wrap="notBeside" w:vAnchor="text" w:hAnchor="text" w:x="4649" w:y="6"/>
        <w:widowControl w:val="0"/>
        <w:shd w:val="clear" w:color="auto" w:fill="auto"/>
        <w:tabs>
          <w:tab w:pos="1373" w:val="left"/>
        </w:tabs>
        <w:bidi w:val="0"/>
        <w:spacing w:before="0" w:after="0" w:line="240" w:lineRule="auto"/>
        <w:ind w:left="0" w:right="0" w:firstLine="0"/>
        <w:jc w:val="right"/>
        <w:rPr>
          <w:sz w:val="18"/>
          <w:szCs w:val="18"/>
        </w:rPr>
      </w:pPr>
      <w:r>
        <w:rPr>
          <w:color w:val="000000"/>
          <w:spacing w:val="0"/>
          <w:w w:val="100"/>
          <w:position w:val="0"/>
          <w:sz w:val="18"/>
          <w:szCs w:val="18"/>
        </w:rPr>
        <w:t>按权益法调整</w:t>
        <w:tab/>
        <w:t>其他综合</w:t>
      </w:r>
    </w:p>
    <w:p>
      <w:pPr>
        <w:pStyle w:val="Style25"/>
        <w:keepNext w:val="0"/>
        <w:keepLines w:val="0"/>
        <w:framePr w:w="4176" w:h="466" w:hSpace="789" w:wrap="notBeside" w:vAnchor="text" w:hAnchor="text" w:x="4649" w:y="6"/>
        <w:widowControl w:val="0"/>
        <w:shd w:val="clear" w:color="auto" w:fill="auto"/>
        <w:tabs>
          <w:tab w:pos="2352" w:val="left"/>
          <w:tab w:pos="3379" w:val="left"/>
        </w:tabs>
        <w:bidi w:val="0"/>
        <w:spacing w:before="0" w:after="0" w:line="240" w:lineRule="auto"/>
        <w:ind w:left="0" w:right="0" w:firstLine="0"/>
        <w:jc w:val="right"/>
        <w:rPr>
          <w:sz w:val="18"/>
          <w:szCs w:val="18"/>
        </w:rPr>
      </w:pPr>
      <w:r>
        <w:rPr>
          <w:color w:val="000000"/>
          <w:spacing w:val="0"/>
          <w:w w:val="100"/>
          <w:position w:val="0"/>
          <w:sz w:val="18"/>
          <w:szCs w:val="18"/>
        </w:rPr>
        <w:t>追加投资 减少投资</w:t>
        <w:tab/>
        <w:t>的净损益</w:t>
        <w:tab/>
        <w:t>收益调整</w:t>
      </w:r>
    </w:p>
    <w:p>
      <w:pPr>
        <w:pStyle w:val="Style25"/>
        <w:keepNext w:val="0"/>
        <w:keepLines w:val="0"/>
        <w:framePr w:w="2006" w:h="490" w:hSpace="789" w:wrap="notBeside" w:vAnchor="text" w:hAnchor="text" w:x="10025" w:y="1"/>
        <w:widowControl w:val="0"/>
        <w:shd w:val="clear" w:color="auto" w:fill="auto"/>
        <w:bidi w:val="0"/>
        <w:spacing w:before="0" w:after="0" w:line="235" w:lineRule="exact"/>
        <w:ind w:left="0" w:right="0" w:firstLine="0"/>
        <w:jc w:val="right"/>
        <w:rPr>
          <w:sz w:val="18"/>
          <w:szCs w:val="18"/>
        </w:rPr>
      </w:pPr>
      <w:r>
        <w:rPr>
          <w:color w:val="000000"/>
          <w:spacing w:val="0"/>
          <w:w w:val="100"/>
          <w:position w:val="0"/>
          <w:sz w:val="18"/>
          <w:szCs w:val="18"/>
        </w:rPr>
        <w:t>宣告发放现金计提减值 股利或利润 准备</w:t>
      </w:r>
    </w:p>
    <w:p>
      <w:pPr>
        <w:pStyle w:val="Style25"/>
        <w:keepNext w:val="0"/>
        <w:keepLines w:val="0"/>
        <w:framePr w:w="2141" w:h="254" w:hSpace="789" w:wrap="notBeside" w:vAnchor="text" w:hAnchor="text" w:x="790" w:y="745"/>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苏宁金石</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天津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基金管理有</w:t>
      </w:r>
    </w:p>
    <w:p>
      <w:pPr>
        <w:widowControl w:val="0"/>
        <w:spacing w:line="1" w:lineRule="exact"/>
      </w:pPr>
    </w:p>
    <w:p>
      <w:pPr>
        <w:pStyle w:val="Style32"/>
        <w:keepNext w:val="0"/>
        <w:keepLines w:val="0"/>
        <w:widowControl w:val="0"/>
        <w:shd w:val="clear" w:color="auto" w:fill="auto"/>
        <w:bidi w:val="0"/>
        <w:spacing w:before="0" w:after="260" w:line="326" w:lineRule="exact"/>
        <w:ind w:left="1040" w:right="0" w:hanging="300"/>
        <w:jc w:val="both"/>
        <w:rPr>
          <w:sz w:val="24"/>
          <w:szCs w:val="24"/>
        </w:rPr>
      </w:pPr>
      <w:r>
        <w:rPr>
          <w:rFonts w:ascii="Times New Roman" w:eastAsia="Times New Roman" w:hAnsi="Times New Roman" w:cs="Times New Roman"/>
          <w:color w:val="000000"/>
          <w:spacing w:val="0"/>
          <w:w w:val="100"/>
          <w:position w:val="0"/>
          <w:sz w:val="24"/>
          <w:szCs w:val="24"/>
        </w:rPr>
        <w:t>（i）</w:t>
      </w:r>
      <w:r>
        <w:rPr>
          <w:color w:val="000000"/>
          <w:spacing w:val="0"/>
          <w:w w:val="100"/>
          <w:position w:val="0"/>
          <w:sz w:val="24"/>
          <w:szCs w:val="24"/>
        </w:rPr>
        <w:t>于</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7</w:t>
      </w:r>
      <w:r>
        <w:rPr>
          <w:color w:val="000000"/>
          <w:spacing w:val="0"/>
          <w:w w:val="100"/>
          <w:position w:val="0"/>
          <w:sz w:val="24"/>
          <w:szCs w:val="24"/>
        </w:rPr>
        <w:t>月，本集团参与出资设立苏宁金石，本集团认缴出资人民币</w:t>
      </w:r>
      <w:r>
        <w:rPr>
          <w:rFonts w:ascii="Times New Roman" w:eastAsia="Times New Roman" w:hAnsi="Times New Roman" w:cs="Times New Roman"/>
          <w:color w:val="000000"/>
          <w:spacing w:val="0"/>
          <w:w w:val="100"/>
          <w:position w:val="0"/>
          <w:sz w:val="24"/>
          <w:szCs w:val="24"/>
        </w:rPr>
        <w:t>2,000</w:t>
      </w:r>
      <w:r>
        <w:rPr>
          <w:color w:val="000000"/>
          <w:spacing w:val="0"/>
          <w:w w:val="100"/>
          <w:position w:val="0"/>
          <w:sz w:val="24"/>
          <w:szCs w:val="24"/>
        </w:rPr>
        <w:t>万元，占注册资本总额的</w:t>
      </w:r>
      <w:r>
        <w:rPr>
          <w:rFonts w:ascii="Times New Roman" w:eastAsia="Times New Roman" w:hAnsi="Times New Roman" w:cs="Times New Roman"/>
          <w:color w:val="000000"/>
          <w:spacing w:val="0"/>
          <w:w w:val="100"/>
          <w:position w:val="0"/>
          <w:sz w:val="24"/>
          <w:szCs w:val="24"/>
        </w:rPr>
        <w:t>40%</w:t>
      </w:r>
      <w:r>
        <w:rPr>
          <w:color w:val="000000"/>
          <w:spacing w:val="0"/>
          <w:w w:val="100"/>
          <w:position w:val="0"/>
          <w:sz w:val="24"/>
          <w:szCs w:val="24"/>
        </w:rPr>
        <w:t>。同时，本集团在苏宁 金石四名董事组成的董事会中占有两个董事席位。</w:t>
      </w:r>
    </w:p>
    <w:p>
      <w:pPr>
        <w:pStyle w:val="Style32"/>
        <w:keepNext w:val="0"/>
        <w:keepLines w:val="0"/>
        <w:widowControl w:val="0"/>
        <w:shd w:val="clear" w:color="auto" w:fill="auto"/>
        <w:bidi w:val="0"/>
        <w:spacing w:before="0" w:after="260" w:line="310" w:lineRule="exact"/>
        <w:ind w:left="1040" w:right="0" w:hanging="300"/>
        <w:jc w:val="both"/>
        <w:rPr>
          <w:sz w:val="24"/>
          <w:szCs w:val="24"/>
        </w:rPr>
      </w:pPr>
      <w:r>
        <w:rPr>
          <w:rFonts w:ascii="Times New Roman" w:eastAsia="Times New Roman" w:hAnsi="Times New Roman" w:cs="Times New Roman"/>
          <w:color w:val="000000"/>
          <w:spacing w:val="0"/>
          <w:w w:val="100"/>
          <w:position w:val="0"/>
          <w:sz w:val="24"/>
          <w:szCs w:val="24"/>
        </w:rPr>
        <w:t>（ii）</w:t>
      </w:r>
      <w:r>
        <w:rPr>
          <w:color w:val="000000"/>
          <w:spacing w:val="0"/>
          <w:w w:val="100"/>
          <w:position w:val="0"/>
          <w:sz w:val="24"/>
          <w:szCs w:val="24"/>
        </w:rPr>
        <w:t>于</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4"/>
          <w:szCs w:val="24"/>
        </w:rPr>
        <w:t>月，本集团与北京身未动心已远旅行文化有限公司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北京文化</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以及上海聚力传媒技术有限公司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上海聚力</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出资设立 聚合旅游，其中本集团认缴出资人民币</w:t>
      </w:r>
      <w:r>
        <w:rPr>
          <w:rFonts w:ascii="Times New Roman" w:eastAsia="Times New Roman" w:hAnsi="Times New Roman" w:cs="Times New Roman"/>
          <w:color w:val="000000"/>
          <w:spacing w:val="0"/>
          <w:w w:val="100"/>
          <w:position w:val="0"/>
          <w:sz w:val="24"/>
          <w:szCs w:val="24"/>
        </w:rPr>
        <w:t>600</w:t>
      </w:r>
      <w:r>
        <w:rPr>
          <w:color w:val="000000"/>
          <w:spacing w:val="0"/>
          <w:w w:val="100"/>
          <w:position w:val="0"/>
          <w:sz w:val="24"/>
          <w:szCs w:val="24"/>
        </w:rPr>
        <w:t>万元，占注册资本总额的</w:t>
      </w:r>
      <w:r>
        <w:rPr>
          <w:rFonts w:ascii="Times New Roman" w:eastAsia="Times New Roman" w:hAnsi="Times New Roman" w:cs="Times New Roman"/>
          <w:color w:val="000000"/>
          <w:spacing w:val="0"/>
          <w:w w:val="100"/>
          <w:position w:val="0"/>
          <w:sz w:val="24"/>
          <w:szCs w:val="24"/>
        </w:rPr>
        <w:t>20%</w:t>
      </w:r>
      <w:r>
        <w:rPr>
          <w:color w:val="000000"/>
          <w:spacing w:val="0"/>
          <w:w w:val="100"/>
          <w:position w:val="0"/>
          <w:sz w:val="24"/>
          <w:szCs w:val="24"/>
        </w:rPr>
        <w:t>。根据聚合旅游公司章程规定，其董事会决议需由三分 之二以上董事表决通过，本集团和北京文化在聚合旅游五名董事组成的董事会中各占两个董事席位，上海聚力占一个董事席位。 截至</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日止，本集团已完成全部认缴资本的支付。</w:t>
      </w:r>
    </w:p>
    <w:p>
      <w:pPr>
        <w:pStyle w:val="Style32"/>
        <w:keepNext w:val="0"/>
        <w:keepLines w:val="0"/>
        <w:widowControl w:val="0"/>
        <w:shd w:val="clear" w:color="auto" w:fill="auto"/>
        <w:bidi w:val="0"/>
        <w:spacing w:before="0" w:after="260" w:line="240" w:lineRule="auto"/>
        <w:ind w:left="1040" w:right="0" w:firstLine="0"/>
        <w:jc w:val="both"/>
        <w:rPr>
          <w:sz w:val="24"/>
          <w:szCs w:val="24"/>
        </w:rPr>
      </w:pPr>
      <w:r>
        <w:rPr>
          <w:color w:val="000000"/>
          <w:spacing w:val="0"/>
          <w:w w:val="100"/>
          <w:position w:val="0"/>
          <w:sz w:val="24"/>
          <w:szCs w:val="24"/>
        </w:rPr>
        <w:t>在合营企业中的权益相关信息见附注六</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w:t>
      </w:r>
    </w:p>
    <w:p>
      <w:pPr>
        <w:pStyle w:val="Style32"/>
        <w:keepNext w:val="0"/>
        <w:keepLines w:val="0"/>
        <w:widowControl w:val="0"/>
        <w:shd w:val="clear" w:color="auto" w:fill="auto"/>
        <w:bidi w:val="0"/>
        <w:spacing w:before="0" w:after="0" w:line="288" w:lineRule="exact"/>
        <w:ind w:left="720" w:right="0" w:firstLine="0"/>
        <w:jc w:val="left"/>
        <w:rPr>
          <w:sz w:val="24"/>
          <w:szCs w:val="24"/>
        </w:rPr>
      </w:pPr>
      <w:r>
        <w:rPr>
          <w:b/>
          <w:bCs/>
          <w:color w:val="000000"/>
          <w:spacing w:val="0"/>
          <w:w w:val="100"/>
          <w:position w:val="0"/>
          <w:sz w:val="24"/>
          <w:szCs w:val="24"/>
        </w:rPr>
        <w:t xml:space="preserve">财务报表附注 </w:t>
      </w:r>
      <w:r>
        <w:rPr>
          <w:rFonts w:ascii="Arial" w:eastAsia="Arial" w:hAnsi="Arial" w:cs="Arial"/>
          <w:color w:val="000000"/>
          <w:spacing w:val="0"/>
          <w:w w:val="100"/>
          <w:position w:val="0"/>
          <w:sz w:val="24"/>
          <w:szCs w:val="24"/>
        </w:rPr>
        <w:t>2016</w:t>
      </w:r>
      <w:r>
        <w:rPr>
          <w:b/>
          <w:bCs/>
          <w:color w:val="000000"/>
          <w:spacing w:val="0"/>
          <w:w w:val="100"/>
          <w:position w:val="0"/>
          <w:sz w:val="24"/>
          <w:szCs w:val="24"/>
        </w:rPr>
        <w:t>年度</w:t>
      </w:r>
    </w:p>
    <w:p>
      <w:pPr>
        <w:pStyle w:val="Style32"/>
        <w:keepNext w:val="0"/>
        <w:keepLines w:val="0"/>
        <w:widowControl w:val="0"/>
        <w:shd w:val="clear" w:color="auto" w:fill="auto"/>
        <w:bidi w:val="0"/>
        <w:spacing w:before="0" w:after="260" w:line="240" w:lineRule="auto"/>
        <w:ind w:left="0" w:right="0" w:firstLine="720"/>
        <w:jc w:val="both"/>
        <w:rPr>
          <w:sz w:val="20"/>
          <w:szCs w:val="20"/>
        </w:rPr>
      </w:pPr>
      <w:r>
        <w:rPr>
          <w:rFonts w:ascii="Arial" w:eastAsia="Arial" w:hAnsi="Arial" w:cs="Arial"/>
          <w:color w:val="000000"/>
          <w:spacing w:val="0"/>
          <w:w w:val="100"/>
          <w:position w:val="0"/>
          <w:sz w:val="20"/>
          <w:szCs w:val="20"/>
        </w:rPr>
        <w:t>（</w:t>
      </w:r>
      <w:r>
        <w:rPr>
          <w:color w:val="000000"/>
          <w:spacing w:val="0"/>
          <w:w w:val="100"/>
          <w:position w:val="0"/>
          <w:sz w:val="20"/>
          <w:szCs w:val="20"/>
        </w:rPr>
        <w:t>除特别注明外，金额单位为人民币千元</w:t>
      </w:r>
      <w:r>
        <w:rPr>
          <w:rFonts w:ascii="Arial" w:eastAsia="Arial" w:hAnsi="Arial" w:cs="Arial"/>
          <w:color w:val="000000"/>
          <w:spacing w:val="0"/>
          <w:w w:val="100"/>
          <w:position w:val="0"/>
          <w:sz w:val="20"/>
          <w:szCs w:val="20"/>
        </w:rPr>
        <w:t>）</w:t>
      </w:r>
    </w:p>
    <w:p>
      <w:pPr>
        <w:pStyle w:val="Style32"/>
        <w:keepNext w:val="0"/>
        <w:keepLines w:val="0"/>
        <w:widowControl w:val="0"/>
        <w:shd w:val="clear" w:color="auto" w:fill="auto"/>
        <w:tabs>
          <w:tab w:pos="684" w:val="left"/>
        </w:tabs>
        <w:bidi w:val="0"/>
        <w:spacing w:before="0" w:after="260" w:line="240" w:lineRule="auto"/>
        <w:ind w:left="0" w:right="0" w:firstLine="0"/>
        <w:jc w:val="left"/>
        <w:rPr>
          <w:sz w:val="24"/>
          <w:szCs w:val="24"/>
        </w:rPr>
      </w:pPr>
      <w:r>
        <w:rPr>
          <w:b/>
          <w:bCs/>
          <w:color w:val="000000"/>
          <w:spacing w:val="0"/>
          <w:w w:val="100"/>
          <w:position w:val="0"/>
          <w:sz w:val="24"/>
          <w:szCs w:val="24"/>
        </w:rPr>
        <w:t>四</w:t>
        <w:tab/>
        <w:t>合并财务报表项目附注</w:t>
      </w:r>
      <w:r>
        <w:rPr>
          <w:rFonts w:ascii="Times New Roman" w:eastAsia="Times New Roman" w:hAnsi="Times New Roman" w:cs="Times New Roman"/>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4"/>
          <w:szCs w:val="24"/>
        </w:rPr>
        <w:t>）</w:t>
      </w:r>
    </w:p>
    <w:p>
      <w:pPr>
        <w:pStyle w:val="Style32"/>
        <w:keepNext w:val="0"/>
        <w:keepLines w:val="0"/>
        <w:widowControl w:val="0"/>
        <w:shd w:val="clear" w:color="auto" w:fill="auto"/>
        <w:bidi w:val="0"/>
        <w:spacing w:before="0" w:after="26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（12）</w:t>
      </w:r>
      <w:r>
        <w:rPr>
          <w:b/>
          <w:bCs/>
          <w:color w:val="000000"/>
          <w:spacing w:val="0"/>
          <w:w w:val="100"/>
          <w:position w:val="0"/>
          <w:sz w:val="24"/>
          <w:szCs w:val="24"/>
        </w:rPr>
        <w:t>长期股权投资</w:t>
      </w:r>
      <w:r>
        <w:rPr>
          <w:rFonts w:ascii="Times New Roman" w:eastAsia="Times New Roman" w:hAnsi="Times New Roman" w:cs="Times New Roman"/>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4"/>
          <w:szCs w:val="24"/>
        </w:rPr>
        <w:t>）</w:t>
      </w:r>
    </w:p>
    <w:p>
      <w:pPr>
        <w:pStyle w:val="Style32"/>
        <w:keepNext w:val="0"/>
        <w:keepLines w:val="0"/>
        <w:widowControl w:val="0"/>
        <w:shd w:val="clear" w:color="auto" w:fill="auto"/>
        <w:tabs>
          <w:tab w:pos="684" w:val="left"/>
        </w:tabs>
        <w:bidi w:val="0"/>
        <w:spacing w:before="0" w:after="260" w:line="240" w:lineRule="auto"/>
        <w:ind w:left="0" w:right="0" w:firstLine="0"/>
        <w:jc w:val="left"/>
        <w:rPr>
          <w:sz w:val="24"/>
          <w:szCs w:val="24"/>
        </w:rPr>
      </w:pPr>
      <w:bookmarkStart w:id="873" w:name="bookmark873"/>
      <w:r>
        <w:rPr>
          <w:rFonts w:ascii="Times New Roman" w:eastAsia="Times New Roman" w:hAnsi="Times New Roman" w:cs="Times New Roman"/>
          <w:color w:val="000000"/>
          <w:spacing w:val="0"/>
          <w:w w:val="100"/>
          <w:position w:val="0"/>
          <w:sz w:val="24"/>
          <w:szCs w:val="24"/>
          <w:shd w:val="clear" w:color="auto" w:fill="FFFFFF"/>
        </w:rPr>
        <w:t>（</w:t>
      </w:r>
      <w:bookmarkEnd w:id="873"/>
      <w:r>
        <w:rPr>
          <w:rFonts w:ascii="Times New Roman" w:eastAsia="Times New Roman" w:hAnsi="Times New Roman" w:cs="Times New Roman"/>
          <w:color w:val="000000"/>
          <w:spacing w:val="0"/>
          <w:w w:val="100"/>
          <w:position w:val="0"/>
          <w:sz w:val="24"/>
          <w:szCs w:val="24"/>
          <w:shd w:val="clear" w:color="auto" w:fill="FFFFFF"/>
        </w:rPr>
        <w:t>b）</w:t>
      </w:r>
      <w:r>
        <w:rPr>
          <w:rFonts w:ascii="Times New Roman" w:eastAsia="Times New Roman" w:hAnsi="Times New Roman" w:cs="Times New Roman"/>
          <w:color w:val="000000"/>
          <w:spacing w:val="0"/>
          <w:w w:val="100"/>
          <w:position w:val="0"/>
          <w:sz w:val="24"/>
          <w:szCs w:val="24"/>
        </w:rPr>
        <w:tab/>
      </w:r>
      <w:r>
        <w:rPr>
          <w:color w:val="000000"/>
          <w:spacing w:val="0"/>
          <w:w w:val="100"/>
          <w:position w:val="0"/>
          <w:sz w:val="24"/>
          <w:szCs w:val="24"/>
        </w:rPr>
        <w:t>联营企业</w:t>
      </w:r>
    </w:p>
    <w:p>
      <w:pPr>
        <w:pStyle w:val="Style25"/>
        <w:keepNext w:val="0"/>
        <w:keepLines w:val="0"/>
        <w:widowControl w:val="0"/>
        <w:shd w:val="clear" w:color="auto" w:fill="auto"/>
        <w:bidi w:val="0"/>
        <w:spacing w:before="0" w:after="0" w:line="240" w:lineRule="auto"/>
        <w:ind w:left="7282" w:right="0" w:firstLine="0"/>
        <w:jc w:val="left"/>
        <w:rPr>
          <w:sz w:val="18"/>
          <w:szCs w:val="18"/>
        </w:rPr>
      </w:pPr>
      <w:r>
        <w:rPr>
          <w:color w:val="000000"/>
          <w:spacing w:val="0"/>
          <w:w w:val="100"/>
          <w:position w:val="0"/>
          <w:sz w:val="18"/>
          <w:szCs w:val="18"/>
        </w:rPr>
        <w:t>本年增减变动</w:t>
      </w:r>
    </w:p>
    <w:tbl>
      <w:tblPr>
        <w:tblOverlap w:val="never"/>
        <w:jc w:val="center"/>
        <w:tblLayout w:type="fixed"/>
      </w:tblPr>
      <w:tblGrid>
        <w:gridCol w:w="2405"/>
        <w:gridCol w:w="1262"/>
        <w:gridCol w:w="1142"/>
        <w:gridCol w:w="2342"/>
        <w:gridCol w:w="1109"/>
        <w:gridCol w:w="898"/>
        <w:gridCol w:w="1286"/>
        <w:gridCol w:w="1056"/>
        <w:gridCol w:w="1882"/>
        <w:gridCol w:w="826"/>
      </w:tblGrid>
      <w:tr>
        <w:trPr>
          <w:trHeight w:val="643" w:hRule="exact"/>
        </w:trPr>
        <w:tc>
          <w:tcPr>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8"/>
                <w:szCs w:val="18"/>
              </w:rPr>
              <w:t>年</w:t>
            </w:r>
          </w:p>
          <w:p>
            <w:pPr>
              <w:pStyle w:val="Style2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tc>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追加投资</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160" w:firstLine="0"/>
              <w:jc w:val="right"/>
              <w:rPr>
                <w:sz w:val="18"/>
                <w:szCs w:val="18"/>
              </w:rPr>
            </w:pPr>
            <w:r>
              <w:rPr>
                <w:color w:val="000000"/>
                <w:spacing w:val="0"/>
                <w:w w:val="100"/>
                <w:position w:val="0"/>
                <w:sz w:val="18"/>
                <w:szCs w:val="18"/>
              </w:rPr>
              <w:t>按权益法调</w:t>
            </w:r>
          </w:p>
          <w:p>
            <w:pPr>
              <w:pStyle w:val="Style28"/>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减少投资 整的净损益</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30" w:lineRule="exact"/>
              <w:ind w:left="140" w:right="0" w:firstLine="0"/>
              <w:jc w:val="left"/>
              <w:rPr>
                <w:sz w:val="18"/>
                <w:szCs w:val="18"/>
              </w:rPr>
            </w:pPr>
            <w:r>
              <w:rPr>
                <w:color w:val="000000"/>
                <w:spacing w:val="0"/>
                <w:w w:val="100"/>
                <w:position w:val="0"/>
                <w:sz w:val="18"/>
                <w:szCs w:val="18"/>
              </w:rPr>
              <w:t>其他综合 收益调整</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35" w:lineRule="exact"/>
              <w:ind w:left="220" w:right="0" w:firstLine="0"/>
              <w:jc w:val="left"/>
              <w:rPr>
                <w:sz w:val="18"/>
                <w:szCs w:val="18"/>
              </w:rPr>
            </w:pPr>
            <w:r>
              <w:rPr>
                <w:color w:val="000000"/>
                <w:spacing w:val="0"/>
                <w:w w:val="100"/>
                <w:position w:val="0"/>
                <w:sz w:val="18"/>
                <w:szCs w:val="18"/>
              </w:rPr>
              <w:t>其他权 益变动</w:t>
            </w:r>
          </w:p>
        </w:tc>
        <w:tc>
          <w:tcPr>
            <w:tcBorders>
              <w:top w:val="single" w:sz="4"/>
            </w:tcBorders>
            <w:shd w:val="clear" w:color="auto" w:fill="FFFFFF"/>
            <w:vAlign w:val="top"/>
          </w:tcPr>
          <w:p>
            <w:pPr>
              <w:pStyle w:val="Style28"/>
              <w:keepNext w:val="0"/>
              <w:keepLines w:val="0"/>
              <w:widowControl w:val="0"/>
              <w:shd w:val="clear" w:color="auto" w:fill="auto"/>
              <w:bidi w:val="0"/>
              <w:spacing w:before="0" w:after="40" w:line="240" w:lineRule="auto"/>
              <w:ind w:left="0" w:right="0" w:firstLine="0"/>
              <w:jc w:val="right"/>
              <w:rPr>
                <w:sz w:val="18"/>
                <w:szCs w:val="18"/>
              </w:rPr>
            </w:pPr>
            <w:r>
              <w:rPr>
                <w:color w:val="000000"/>
                <w:spacing w:val="0"/>
                <w:w w:val="100"/>
                <w:position w:val="0"/>
                <w:sz w:val="18"/>
                <w:szCs w:val="18"/>
              </w:rPr>
              <w:t>宣告发放现金</w:t>
            </w:r>
          </w:p>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股利或利润</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240" w:firstLine="0"/>
              <w:jc w:val="right"/>
              <w:rPr>
                <w:sz w:val="18"/>
                <w:szCs w:val="18"/>
              </w:rPr>
            </w:pPr>
            <w:r>
              <w:rPr>
                <w:color w:val="000000"/>
                <w:spacing w:val="0"/>
                <w:w w:val="100"/>
                <w:position w:val="0"/>
                <w:sz w:val="18"/>
                <w:szCs w:val="18"/>
              </w:rPr>
              <w:t>计提减值</w:t>
            </w:r>
          </w:p>
          <w:p>
            <w:pPr>
              <w:pStyle w:val="Style28"/>
              <w:keepNext w:val="0"/>
              <w:keepLines w:val="0"/>
              <w:widowControl w:val="0"/>
              <w:shd w:val="clear" w:color="auto" w:fill="auto"/>
              <w:bidi w:val="0"/>
              <w:spacing w:before="0" w:after="0" w:line="240" w:lineRule="auto"/>
              <w:ind w:left="0" w:right="240" w:firstLine="0"/>
              <w:jc w:val="right"/>
              <w:rPr>
                <w:sz w:val="18"/>
                <w:szCs w:val="18"/>
              </w:rPr>
            </w:pPr>
            <w:r>
              <w:rPr>
                <w:color w:val="000000"/>
                <w:spacing w:val="0"/>
                <w:w w:val="100"/>
                <w:position w:val="0"/>
                <w:sz w:val="18"/>
                <w:szCs w:val="18"/>
              </w:rPr>
              <w:t>准备</w:t>
            </w:r>
          </w:p>
        </w:tc>
        <w:tc>
          <w:tcPr>
            <w:tcBorders>
              <w:top w:val="single" w:sz="4"/>
            </w:tcBorders>
            <w:shd w:val="clear" w:color="auto" w:fill="FFFFFF"/>
            <w:vAlign w:val="top"/>
          </w:tcPr>
          <w:p>
            <w:pPr>
              <w:pStyle w:val="Style28"/>
              <w:keepNext w:val="0"/>
              <w:keepLines w:val="0"/>
              <w:widowControl w:val="0"/>
              <w:shd w:val="clear" w:color="auto" w:fill="auto"/>
              <w:tabs>
                <w:tab w:pos="955" w:val="left"/>
              </w:tabs>
              <w:bidi w:val="0"/>
              <w:spacing w:before="0" w:after="0" w:line="240" w:lineRule="auto"/>
              <w:ind w:left="0" w:right="0" w:firstLine="0"/>
              <w:jc w:val="right"/>
              <w:rPr>
                <w:sz w:val="18"/>
                <w:szCs w:val="18"/>
              </w:rPr>
            </w:pPr>
            <w:r>
              <w:rPr>
                <w:color w:val="000000"/>
                <w:spacing w:val="0"/>
                <w:w w:val="100"/>
                <w:position w:val="0"/>
                <w:sz w:val="18"/>
                <w:szCs w:val="18"/>
              </w:rPr>
              <w:t>其他</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8"/>
                <w:szCs w:val="18"/>
              </w:rPr>
              <w:t>年</w:t>
            </w:r>
          </w:p>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tc>
        <w:tc>
          <w:tcPr>
            <w:tcBorders/>
            <w:shd w:val="clear" w:color="auto" w:fill="FFFFFF"/>
            <w:vAlign w:val="top"/>
          </w:tcPr>
          <w:p>
            <w:pPr>
              <w:pStyle w:val="Style28"/>
              <w:keepNext w:val="0"/>
              <w:keepLines w:val="0"/>
              <w:widowControl w:val="0"/>
              <w:shd w:val="clear" w:color="auto" w:fill="auto"/>
              <w:bidi w:val="0"/>
              <w:spacing w:before="0" w:after="0" w:line="250" w:lineRule="exact"/>
              <w:ind w:left="0" w:right="0" w:firstLine="0"/>
              <w:jc w:val="center"/>
              <w:rPr>
                <w:sz w:val="18"/>
                <w:szCs w:val="18"/>
              </w:rPr>
            </w:pPr>
            <w:r>
              <w:rPr>
                <w:color w:val="000000"/>
                <w:spacing w:val="0"/>
                <w:w w:val="100"/>
                <w:position w:val="0"/>
                <w:sz w:val="18"/>
                <w:szCs w:val="18"/>
              </w:rPr>
              <w:t>减值准备 年末余额</w:t>
            </w:r>
          </w:p>
        </w:tc>
      </w:tr>
      <w:tr>
        <w:trPr>
          <w:trHeight w:val="394"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苏宁消费金融</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116,773</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147,000</w:t>
            </w:r>
          </w:p>
        </w:tc>
        <w:tc>
          <w:tcPr>
            <w:tcBorders/>
            <w:shd w:val="clear" w:color="auto" w:fill="FFFFFF"/>
            <w:vAlign w:val="bottom"/>
          </w:tcPr>
          <w:p>
            <w:pPr>
              <w:pStyle w:val="Style28"/>
              <w:keepNext w:val="0"/>
              <w:keepLines w:val="0"/>
              <w:widowControl w:val="0"/>
              <w:shd w:val="clear" w:color="auto" w:fill="auto"/>
              <w:tabs>
                <w:tab w:pos="1556" w:val="left"/>
              </w:tabs>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w:t>
              <w:tab/>
              <w:t>(92,818)</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tabs>
                <w:tab w:pos="1220" w:val="left"/>
              </w:tabs>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w:t>
              <w:tab/>
              <w:t>170,955</w:t>
            </w:r>
          </w:p>
        </w:tc>
        <w:tc>
          <w:tcPr>
            <w:tcBorders/>
            <w:shd w:val="clear" w:color="auto" w:fill="FFFFFF"/>
            <w:vAlign w:val="top"/>
          </w:tcPr>
          <w:p>
            <w:pPr>
              <w:widowControl w:val="0"/>
              <w:rPr>
                <w:sz w:val="10"/>
                <w:szCs w:val="10"/>
              </w:rPr>
            </w:pPr>
          </w:p>
        </w:tc>
      </w:tr>
      <w:tr>
        <w:trPr>
          <w:trHeight w:val="494" w:hRule="exact"/>
        </w:trPr>
        <w:tc>
          <w:tcPr>
            <w:tcBorders/>
            <w:shd w:val="clear" w:color="auto" w:fill="FFFFFF"/>
            <w:vAlign w:val="top"/>
          </w:tcPr>
          <w:p>
            <w:pPr>
              <w:pStyle w:val="Style28"/>
              <w:keepNext w:val="0"/>
              <w:keepLines w:val="0"/>
              <w:widowControl w:val="0"/>
              <w:shd w:val="clear" w:color="auto" w:fill="auto"/>
              <w:bidi w:val="0"/>
              <w:spacing w:before="0" w:after="0" w:line="235" w:lineRule="exact"/>
              <w:ind w:left="220" w:right="0" w:hanging="220"/>
              <w:jc w:val="left"/>
              <w:rPr>
                <w:sz w:val="18"/>
                <w:szCs w:val="18"/>
              </w:rPr>
            </w:pPr>
            <w:r>
              <w:rPr>
                <w:color w:val="000000"/>
                <w:spacing w:val="0"/>
                <w:w w:val="100"/>
                <w:position w:val="0"/>
                <w:sz w:val="18"/>
                <w:szCs w:val="18"/>
              </w:rPr>
              <w:t>锤子科技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北京</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有限公 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锤子科技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45,328</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tabs>
                <w:tab w:pos="1647" w:val="left"/>
              </w:tabs>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w:t>
              <w:tab/>
              <w:t>(8,082)</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00"/>
              <w:jc w:val="left"/>
              <w:rPr>
                <w:sz w:val="20"/>
                <w:szCs w:val="20"/>
              </w:rPr>
            </w:pPr>
            <w:r>
              <w:rPr>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20"/>
              <w:jc w:val="left"/>
              <w:rPr>
                <w:sz w:val="20"/>
                <w:szCs w:val="20"/>
              </w:rPr>
            </w:pPr>
            <w:r>
              <w:rPr>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tabs>
                <w:tab w:pos="1297" w:val="left"/>
              </w:tabs>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w:t>
              <w:tab/>
              <w:t>37,246</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r>
      <w:tr>
        <w:trPr>
          <w:trHeight w:val="250"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丸悦香港有限公司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丸悦</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28,104</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tabs>
                <w:tab w:pos="1638" w:val="left"/>
              </w:tabs>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w:t>
              <w:tab/>
              <w:t>(2,916)</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00"/>
              <w:jc w:val="left"/>
              <w:rPr>
                <w:sz w:val="20"/>
                <w:szCs w:val="20"/>
              </w:rPr>
            </w:pPr>
            <w:r>
              <w:rPr>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00"/>
              <w:jc w:val="both"/>
              <w:rPr>
                <w:sz w:val="20"/>
                <w:szCs w:val="20"/>
              </w:rPr>
            </w:pPr>
            <w:r>
              <w:rPr>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tabs>
                <w:tab w:pos="1292" w:val="left"/>
              </w:tabs>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w:t>
              <w:tab/>
              <w:t>25,188</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40"/>
              <w:jc w:val="left"/>
              <w:rPr>
                <w:sz w:val="20"/>
                <w:szCs w:val="20"/>
              </w:rPr>
            </w:pPr>
            <w:r>
              <w:rPr>
                <w:color w:val="000000"/>
                <w:spacing w:val="0"/>
                <w:w w:val="100"/>
                <w:position w:val="0"/>
                <w:sz w:val="20"/>
                <w:szCs w:val="20"/>
              </w:rPr>
              <w:t>-</w:t>
            </w:r>
          </w:p>
        </w:tc>
      </w:tr>
      <w:tr>
        <w:trPr>
          <w:trHeight w:val="422"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Onward J Bridge Co., Ltd.</w:t>
            </w:r>
          </w:p>
          <w:p>
            <w:pPr>
              <w:pStyle w:val="Style2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(“OnwardJBridge”</w:t>
            </w:r>
            <w:r>
              <w:rPr>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9,344</w:t>
            </w:r>
          </w:p>
        </w:tc>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tabs>
                <w:tab w:pos="1647" w:val="left"/>
              </w:tabs>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w:t>
              <w:tab/>
              <w:t>(3,783)</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tabs>
                <w:tab w:pos="1393" w:val="left"/>
              </w:tabs>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w:t>
              <w:tab/>
              <w:t>5,561</w:t>
            </w:r>
          </w:p>
        </w:tc>
        <w:tc>
          <w:tcPr>
            <w:tcBorders/>
            <w:shd w:val="clear" w:color="auto" w:fill="FFFFFF"/>
            <w:vAlign w:val="top"/>
          </w:tcPr>
          <w:p>
            <w:pPr>
              <w:widowControl w:val="0"/>
              <w:rPr>
                <w:sz w:val="10"/>
                <w:szCs w:val="10"/>
              </w:rPr>
            </w:pPr>
          </w:p>
        </w:tc>
      </w:tr>
      <w:tr>
        <w:trPr>
          <w:trHeight w:val="413"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Hearts Hire Co., Ltd. (“Hearts</w:t>
            </w:r>
          </w:p>
          <w:p>
            <w:pPr>
              <w:pStyle w:val="Style2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Hire”</w:t>
            </w:r>
            <w:r>
              <w:rPr>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418</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tabs>
                <w:tab w:pos="1782" w:val="left"/>
              </w:tabs>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w:t>
              <w:tab/>
              <w:t>(418)</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00"/>
              <w:jc w:val="left"/>
              <w:rPr>
                <w:sz w:val="20"/>
                <w:szCs w:val="20"/>
              </w:rPr>
            </w:pPr>
            <w:r>
              <w:rPr>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20"/>
              <w:jc w:val="left"/>
              <w:rPr>
                <w:sz w:val="20"/>
                <w:szCs w:val="20"/>
              </w:rPr>
            </w:pPr>
            <w:r>
              <w:rPr>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r>
      <w:tr>
        <w:trPr>
          <w:trHeight w:val="610"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220" w:right="0" w:hanging="220"/>
              <w:jc w:val="left"/>
              <w:rPr>
                <w:sz w:val="18"/>
                <w:szCs w:val="18"/>
              </w:rPr>
            </w:pPr>
            <w:r>
              <w:rPr>
                <w:rFonts w:ascii="Times New Roman" w:eastAsia="Times New Roman" w:hAnsi="Times New Roman" w:cs="Times New Roman"/>
                <w:color w:val="000000"/>
                <w:spacing w:val="0"/>
                <w:w w:val="100"/>
                <w:position w:val="0"/>
                <w:sz w:val="18"/>
                <w:szCs w:val="18"/>
              </w:rPr>
              <w:t>Greenland and Laox Investment Limited (“Greenland”</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(i)</w:t>
            </w:r>
          </w:p>
        </w:tc>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153,441</w:t>
            </w:r>
          </w:p>
        </w:tc>
        <w:tc>
          <w:tcPr>
            <w:tcBorders/>
            <w:shd w:val="clear" w:color="auto" w:fill="FFFFFF"/>
            <w:vAlign w:val="bottom"/>
          </w:tcPr>
          <w:p>
            <w:pPr>
              <w:pStyle w:val="Style28"/>
              <w:keepNext w:val="0"/>
              <w:keepLines w:val="0"/>
              <w:widowControl w:val="0"/>
              <w:shd w:val="clear" w:color="auto" w:fill="auto"/>
              <w:tabs>
                <w:tab w:pos="1772" w:val="left"/>
              </w:tabs>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w:t>
              <w:tab/>
              <w:t>(826)</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tabs>
                <w:tab w:pos="1215" w:val="left"/>
              </w:tabs>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w:t>
              <w:tab/>
              <w:t>152,615</w:t>
            </w:r>
          </w:p>
        </w:tc>
        <w:tc>
          <w:tcPr>
            <w:tcBorders/>
            <w:shd w:val="clear" w:color="auto" w:fill="FFFFFF"/>
            <w:vAlign w:val="top"/>
          </w:tcPr>
          <w:p>
            <w:pPr>
              <w:widowControl w:val="0"/>
              <w:rPr>
                <w:sz w:val="10"/>
                <w:szCs w:val="10"/>
              </w:rPr>
            </w:pPr>
          </w:p>
        </w:tc>
      </w:tr>
      <w:tr>
        <w:trPr>
          <w:trHeight w:val="312" w:hRule="exact"/>
        </w:trPr>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199,967</w:t>
            </w:r>
          </w:p>
        </w:tc>
        <w:tc>
          <w:tcPr>
            <w:tcBorders>
              <w:top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300,441</w:t>
            </w:r>
          </w:p>
        </w:tc>
        <w:tc>
          <w:tcPr>
            <w:tcBorders>
              <w:top w:val="single" w:sz="4"/>
              <w:bottom w:val="single" w:sz="4"/>
            </w:tcBorders>
            <w:shd w:val="clear" w:color="auto" w:fill="FFFFFF"/>
            <w:vAlign w:val="bottom"/>
          </w:tcPr>
          <w:p>
            <w:pPr>
              <w:pStyle w:val="Style28"/>
              <w:keepNext w:val="0"/>
              <w:keepLines w:val="0"/>
              <w:widowControl w:val="0"/>
              <w:shd w:val="clear" w:color="auto" w:fill="auto"/>
              <w:tabs>
                <w:tab w:pos="1460" w:val="left"/>
              </w:tabs>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w:t>
              <w:tab/>
              <w:t>(108,843)</w:t>
            </w:r>
          </w:p>
        </w:tc>
        <w:tc>
          <w:tcPr>
            <w:tcBorders>
              <w:top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00"/>
              <w:jc w:val="left"/>
              <w:rPr>
                <w:sz w:val="20"/>
                <w:szCs w:val="20"/>
              </w:rPr>
            </w:pPr>
            <w:r>
              <w:rPr>
                <w:color w:val="000000"/>
                <w:spacing w:val="0"/>
                <w:w w:val="100"/>
                <w:position w:val="0"/>
                <w:sz w:val="20"/>
                <w:szCs w:val="20"/>
              </w:rPr>
              <w:t>-</w:t>
            </w:r>
          </w:p>
        </w:tc>
        <w:tc>
          <w:tcPr>
            <w:tcBorders>
              <w:top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00"/>
              <w:jc w:val="both"/>
              <w:rPr>
                <w:sz w:val="20"/>
                <w:szCs w:val="20"/>
              </w:rPr>
            </w:pPr>
            <w:r>
              <w:rPr>
                <w:color w:val="000000"/>
                <w:spacing w:val="0"/>
                <w:w w:val="100"/>
                <w:position w:val="0"/>
                <w:sz w:val="20"/>
                <w:szCs w:val="20"/>
              </w:rPr>
              <w:t>-</w:t>
            </w:r>
          </w:p>
        </w:tc>
        <w:tc>
          <w:tcPr>
            <w:tcBorders>
              <w:top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w:t>
            </w:r>
          </w:p>
        </w:tc>
        <w:tc>
          <w:tcPr>
            <w:tcBorders>
              <w:top w:val="single" w:sz="4"/>
              <w:bottom w:val="single" w:sz="4"/>
            </w:tcBorders>
            <w:shd w:val="clear" w:color="auto" w:fill="FFFFFF"/>
            <w:vAlign w:val="bottom"/>
          </w:tcPr>
          <w:p>
            <w:pPr>
              <w:pStyle w:val="Style28"/>
              <w:keepNext w:val="0"/>
              <w:keepLines w:val="0"/>
              <w:widowControl w:val="0"/>
              <w:shd w:val="clear" w:color="auto" w:fill="auto"/>
              <w:tabs>
                <w:tab w:pos="1206" w:val="left"/>
              </w:tabs>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w:t>
              <w:tab/>
              <w:t>391,565</w:t>
            </w:r>
          </w:p>
        </w:tc>
        <w:tc>
          <w:tcPr>
            <w:tcBorders>
              <w:top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40"/>
              <w:jc w:val="left"/>
              <w:rPr>
                <w:sz w:val="20"/>
                <w:szCs w:val="20"/>
              </w:rPr>
            </w:pPr>
            <w:r>
              <w:rPr>
                <w:color w:val="000000"/>
                <w:spacing w:val="0"/>
                <w:w w:val="100"/>
                <w:position w:val="0"/>
                <w:sz w:val="20"/>
                <w:szCs w:val="20"/>
              </w:rPr>
              <w:t>-</w:t>
            </w:r>
          </w:p>
        </w:tc>
      </w:tr>
    </w:tbl>
    <w:p>
      <w:pPr>
        <w:widowControl w:val="0"/>
        <w:spacing w:after="259" w:line="1" w:lineRule="exact"/>
      </w:pPr>
    </w:p>
    <w:p>
      <w:pPr>
        <w:pStyle w:val="Style32"/>
        <w:keepNext w:val="0"/>
        <w:keepLines w:val="0"/>
        <w:widowControl w:val="0"/>
        <w:shd w:val="clear" w:color="auto" w:fill="auto"/>
        <w:bidi w:val="0"/>
        <w:spacing w:before="0" w:after="260" w:line="314" w:lineRule="exact"/>
        <w:ind w:left="1080" w:right="0" w:hanging="360"/>
        <w:jc w:val="both"/>
        <w:rPr>
          <w:sz w:val="24"/>
          <w:szCs w:val="24"/>
        </w:rPr>
      </w:pPr>
      <w:r>
        <w:rPr>
          <w:rFonts w:ascii="Times New Roman" w:eastAsia="Times New Roman" w:hAnsi="Times New Roman" w:cs="Times New Roman"/>
          <w:color w:val="000000"/>
          <w:spacing w:val="0"/>
          <w:w w:val="100"/>
          <w:position w:val="0"/>
          <w:sz w:val="24"/>
          <w:szCs w:val="24"/>
        </w:rPr>
        <w:t>（i）</w:t>
      </w:r>
      <w:r>
        <w:rPr>
          <w:color w:val="000000"/>
          <w:spacing w:val="0"/>
          <w:w w:val="100"/>
          <w:position w:val="0"/>
          <w:sz w:val="24"/>
          <w:szCs w:val="24"/>
        </w:rPr>
        <w:t>于</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月，本集团参与出资设立</w:t>
      </w:r>
      <w:r>
        <w:rPr>
          <w:rFonts w:ascii="Times New Roman" w:eastAsia="Times New Roman" w:hAnsi="Times New Roman" w:cs="Times New Roman"/>
          <w:color w:val="000000"/>
          <w:spacing w:val="0"/>
          <w:w w:val="100"/>
          <w:position w:val="0"/>
          <w:sz w:val="24"/>
          <w:szCs w:val="24"/>
        </w:rPr>
        <w:t>Greenland</w:t>
      </w:r>
      <w:r>
        <w:rPr>
          <w:color w:val="000000"/>
          <w:spacing w:val="0"/>
          <w:w w:val="100"/>
          <w:position w:val="0"/>
          <w:sz w:val="24"/>
          <w:szCs w:val="24"/>
        </w:rPr>
        <w:t>，</w:t>
      </w:r>
      <w:r>
        <w:rPr>
          <w:color w:val="000000"/>
          <w:spacing w:val="0"/>
          <w:w w:val="100"/>
          <w:position w:val="0"/>
          <w:sz w:val="24"/>
          <w:szCs w:val="24"/>
        </w:rPr>
        <w:t>本集团认缴出资美元</w:t>
      </w:r>
      <w:r>
        <w:rPr>
          <w:rFonts w:ascii="Times New Roman" w:eastAsia="Times New Roman" w:hAnsi="Times New Roman" w:cs="Times New Roman"/>
          <w:color w:val="000000"/>
          <w:spacing w:val="0"/>
          <w:w w:val="100"/>
          <w:position w:val="0"/>
          <w:sz w:val="24"/>
          <w:szCs w:val="24"/>
        </w:rPr>
        <w:t>2,100</w:t>
      </w:r>
      <w:r>
        <w:rPr>
          <w:color w:val="000000"/>
          <w:spacing w:val="0"/>
          <w:w w:val="100"/>
          <w:position w:val="0"/>
          <w:sz w:val="24"/>
          <w:szCs w:val="24"/>
        </w:rPr>
        <w:t>万元，折合约人民币</w:t>
      </w:r>
      <w:r>
        <w:rPr>
          <w:rFonts w:ascii="Times New Roman" w:eastAsia="Times New Roman" w:hAnsi="Times New Roman" w:cs="Times New Roman"/>
          <w:color w:val="000000"/>
          <w:spacing w:val="0"/>
          <w:w w:val="100"/>
          <w:position w:val="0"/>
          <w:sz w:val="24"/>
          <w:szCs w:val="24"/>
        </w:rPr>
        <w:t>1.53</w:t>
      </w:r>
      <w:r>
        <w:rPr>
          <w:color w:val="000000"/>
          <w:spacing w:val="0"/>
          <w:w w:val="100"/>
          <w:position w:val="0"/>
          <w:sz w:val="24"/>
          <w:szCs w:val="24"/>
        </w:rPr>
        <w:t>亿元，占</w:t>
      </w:r>
      <w:r>
        <w:rPr>
          <w:rFonts w:ascii="Times New Roman" w:eastAsia="Times New Roman" w:hAnsi="Times New Roman" w:cs="Times New Roman"/>
          <w:color w:val="000000"/>
          <w:spacing w:val="0"/>
          <w:w w:val="100"/>
          <w:position w:val="0"/>
          <w:sz w:val="24"/>
          <w:szCs w:val="24"/>
        </w:rPr>
        <w:t>Greenland</w:t>
      </w:r>
      <w:r>
        <w:rPr>
          <w:color w:val="000000"/>
          <w:spacing w:val="0"/>
          <w:w w:val="100"/>
          <w:position w:val="0"/>
          <w:sz w:val="24"/>
          <w:szCs w:val="24"/>
        </w:rPr>
        <w:t>注册资 本总额的</w:t>
      </w:r>
      <w:r>
        <w:rPr>
          <w:rFonts w:ascii="Times New Roman" w:eastAsia="Times New Roman" w:hAnsi="Times New Roman" w:cs="Times New Roman"/>
          <w:color w:val="000000"/>
          <w:spacing w:val="0"/>
          <w:w w:val="100"/>
          <w:position w:val="0"/>
          <w:sz w:val="24"/>
          <w:szCs w:val="24"/>
        </w:rPr>
        <w:t>35%</w:t>
      </w:r>
      <w:r>
        <w:rPr>
          <w:color w:val="000000"/>
          <w:spacing w:val="0"/>
          <w:w w:val="100"/>
          <w:position w:val="0"/>
          <w:sz w:val="24"/>
          <w:szCs w:val="24"/>
        </w:rPr>
        <w:t>。同时，本集团在</w:t>
      </w:r>
      <w:r>
        <w:rPr>
          <w:rFonts w:ascii="Times New Roman" w:eastAsia="Times New Roman" w:hAnsi="Times New Roman" w:cs="Times New Roman"/>
          <w:color w:val="000000"/>
          <w:spacing w:val="0"/>
          <w:w w:val="100"/>
          <w:position w:val="0"/>
          <w:sz w:val="24"/>
          <w:szCs w:val="24"/>
        </w:rPr>
        <w:t>Greenland</w:t>
      </w:r>
      <w:r>
        <w:rPr>
          <w:color w:val="000000"/>
          <w:spacing w:val="0"/>
          <w:w w:val="100"/>
          <w:position w:val="0"/>
          <w:sz w:val="24"/>
          <w:szCs w:val="24"/>
        </w:rPr>
        <w:t>五名董事组成的董事会中占有两个董事席位。截至</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日止，本集团已完成 全部认缴资本的支付。</w:t>
      </w:r>
    </w:p>
    <w:p>
      <w:pPr>
        <w:pStyle w:val="Style32"/>
        <w:keepNext w:val="0"/>
        <w:keepLines w:val="0"/>
        <w:widowControl w:val="0"/>
        <w:shd w:val="clear" w:color="auto" w:fill="auto"/>
        <w:bidi w:val="0"/>
        <w:spacing w:before="0" w:after="260" w:line="240" w:lineRule="auto"/>
        <w:ind w:left="1080" w:right="0" w:firstLine="0"/>
        <w:jc w:val="both"/>
        <w:rPr>
          <w:sz w:val="24"/>
          <w:szCs w:val="24"/>
        </w:rPr>
        <w:sectPr>
          <w:headerReference w:type="default" r:id="rId119"/>
          <w:footerReference w:type="default" r:id="rId120"/>
          <w:headerReference w:type="even" r:id="rId121"/>
          <w:footerReference w:type="even" r:id="rId122"/>
          <w:footnotePr>
            <w:pos w:val="pageBottom"/>
            <w:numFmt w:val="decimal"/>
            <w:numRestart w:val="continuous"/>
          </w:footnotePr>
          <w:pgSz w:w="16840" w:h="11900" w:orient="landscape"/>
          <w:pgMar w:top="1752" w:right="673" w:bottom="1657" w:left="1239" w:header="0" w:footer="3" w:gutter="0"/>
          <w:cols w:space="720"/>
          <w:noEndnote/>
          <w:rtlGutter w:val="0"/>
          <w:docGrid w:linePitch="360"/>
        </w:sectPr>
      </w:pPr>
      <w:r>
        <w:rPr>
          <w:color w:val="000000"/>
          <w:spacing w:val="0"/>
          <w:w w:val="100"/>
          <w:position w:val="0"/>
          <w:sz w:val="24"/>
          <w:szCs w:val="24"/>
        </w:rPr>
        <w:t>在联营企业中的权益相关信息见附注六</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w:t>
      </w:r>
    </w:p>
    <w:p>
      <w:pPr>
        <w:pStyle w:val="Style32"/>
        <w:keepNext w:val="0"/>
        <w:keepLines w:val="0"/>
        <w:widowControl w:val="0"/>
        <w:shd w:val="clear" w:color="auto" w:fill="auto"/>
        <w:bidi w:val="0"/>
        <w:spacing w:before="0" w:after="0" w:line="240" w:lineRule="auto"/>
        <w:ind w:left="0" w:right="0" w:firstLine="660"/>
        <w:jc w:val="both"/>
        <w:rPr>
          <w:sz w:val="24"/>
          <w:szCs w:val="24"/>
        </w:rPr>
      </w:pPr>
      <w:r>
        <w:rPr>
          <w:b/>
          <w:bCs/>
          <w:color w:val="000000"/>
          <w:spacing w:val="0"/>
          <w:w w:val="100"/>
          <w:position w:val="0"/>
          <w:sz w:val="24"/>
          <w:szCs w:val="24"/>
        </w:rPr>
        <w:t>财务报表附注</w:t>
      </w:r>
    </w:p>
    <w:p>
      <w:pPr>
        <w:pStyle w:val="Style88"/>
        <w:keepNext/>
        <w:keepLines/>
        <w:widowControl w:val="0"/>
        <w:shd w:val="clear" w:color="auto" w:fill="auto"/>
        <w:bidi w:val="0"/>
        <w:spacing w:before="0" w:after="0" w:line="240" w:lineRule="auto"/>
        <w:ind w:left="0" w:right="0" w:firstLine="660"/>
        <w:jc w:val="both"/>
      </w:pPr>
      <w:bookmarkStart w:id="874" w:name="bookmark874"/>
      <w:bookmarkStart w:id="875" w:name="bookmark875"/>
      <w:bookmarkStart w:id="876" w:name="bookmark876"/>
      <w:r>
        <w:rPr>
          <w:color w:val="000000"/>
          <w:spacing w:val="0"/>
          <w:w w:val="100"/>
          <w:position w:val="0"/>
          <w:sz w:val="24"/>
          <w:szCs w:val="24"/>
        </w:rPr>
        <w:t>2016</w:t>
      </w:r>
      <w:r>
        <w:rPr>
          <w:rFonts w:ascii="SimSun" w:eastAsia="SimSun" w:hAnsi="SimSun" w:cs="SimSun"/>
          <w:b/>
          <w:bCs/>
          <w:color w:val="000000"/>
          <w:spacing w:val="0"/>
          <w:w w:val="100"/>
          <w:position w:val="0"/>
          <w:sz w:val="24"/>
          <w:szCs w:val="24"/>
        </w:rPr>
        <w:t>年度</w:t>
      </w:r>
      <w:bookmarkEnd w:id="874"/>
      <w:bookmarkEnd w:id="875"/>
      <w:bookmarkEnd w:id="876"/>
    </w:p>
    <w:p>
      <w:pPr>
        <w:pStyle w:val="Style32"/>
        <w:keepNext w:val="0"/>
        <w:keepLines w:val="0"/>
        <w:widowControl w:val="0"/>
        <w:shd w:val="clear" w:color="auto" w:fill="auto"/>
        <w:bidi w:val="0"/>
        <w:spacing w:before="0" w:after="220" w:line="240" w:lineRule="auto"/>
        <w:ind w:left="0" w:right="0" w:firstLine="660"/>
        <w:jc w:val="both"/>
        <w:rPr>
          <w:sz w:val="20"/>
          <w:szCs w:val="20"/>
        </w:rPr>
      </w:pPr>
      <w:r>
        <w:rPr>
          <w:rFonts w:ascii="Arial" w:eastAsia="Arial" w:hAnsi="Arial" w:cs="Arial"/>
          <w:color w:val="000000"/>
          <w:spacing w:val="0"/>
          <w:w w:val="100"/>
          <w:position w:val="0"/>
          <w:sz w:val="20"/>
          <w:szCs w:val="20"/>
        </w:rPr>
        <w:t>（</w:t>
      </w:r>
      <w:r>
        <w:rPr>
          <w:color w:val="000000"/>
          <w:spacing w:val="0"/>
          <w:w w:val="100"/>
          <w:position w:val="0"/>
          <w:sz w:val="20"/>
          <w:szCs w:val="20"/>
        </w:rPr>
        <w:t>除特别注明外，金额单位为人民币千元</w:t>
      </w:r>
      <w:r>
        <w:rPr>
          <w:rFonts w:ascii="Arial" w:eastAsia="Arial" w:hAnsi="Arial" w:cs="Arial"/>
          <w:color w:val="000000"/>
          <w:spacing w:val="0"/>
          <w:w w:val="100"/>
          <w:position w:val="0"/>
          <w:sz w:val="20"/>
          <w:szCs w:val="20"/>
        </w:rPr>
        <w:t>）</w:t>
      </w:r>
    </w:p>
    <w:p>
      <w:pPr>
        <w:pStyle w:val="Style32"/>
        <w:keepNext w:val="0"/>
        <w:keepLines w:val="0"/>
        <w:widowControl w:val="0"/>
        <w:shd w:val="clear" w:color="auto" w:fill="auto"/>
        <w:tabs>
          <w:tab w:pos="586" w:val="left"/>
        </w:tabs>
        <w:bidi w:val="0"/>
        <w:spacing w:before="0" w:after="220" w:line="240" w:lineRule="auto"/>
        <w:ind w:left="0" w:right="0" w:firstLine="0"/>
        <w:jc w:val="left"/>
        <w:rPr>
          <w:sz w:val="24"/>
          <w:szCs w:val="24"/>
        </w:rPr>
      </w:pPr>
      <w:r>
        <w:rPr>
          <w:b/>
          <w:bCs/>
          <w:color w:val="000000"/>
          <w:spacing w:val="0"/>
          <w:w w:val="100"/>
          <w:position w:val="0"/>
          <w:sz w:val="24"/>
          <w:szCs w:val="24"/>
        </w:rPr>
        <w:t>四</w:t>
        <w:tab/>
        <w:t>合并财务报表项目附注</w:t>
      </w:r>
      <w:r>
        <w:rPr>
          <w:rFonts w:ascii="Times New Roman" w:eastAsia="Times New Roman" w:hAnsi="Times New Roman" w:cs="Times New Roman"/>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4"/>
          <w:szCs w:val="24"/>
        </w:rPr>
        <w:t>）</w:t>
      </w:r>
    </w:p>
    <w:p>
      <w:pPr>
        <w:pStyle w:val="Style32"/>
        <w:keepNext w:val="0"/>
        <w:keepLines w:val="0"/>
        <w:widowControl w:val="0"/>
        <w:shd w:val="clear" w:color="auto" w:fill="auto"/>
        <w:bidi w:val="0"/>
        <w:spacing w:before="0" w:after="28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（13）</w:t>
      </w:r>
      <w:r>
        <w:rPr>
          <w:b/>
          <w:bCs/>
          <w:color w:val="000000"/>
          <w:spacing w:val="0"/>
          <w:w w:val="100"/>
          <w:position w:val="0"/>
          <w:sz w:val="24"/>
          <w:szCs w:val="24"/>
        </w:rPr>
        <w:t>投资性房地产</w:t>
      </w:r>
    </w:p>
    <w:tbl>
      <w:tblPr>
        <w:tblOverlap w:val="never"/>
        <w:jc w:val="center"/>
        <w:tblLayout w:type="fixed"/>
      </w:tblPr>
      <w:tblGrid>
        <w:gridCol w:w="1627"/>
        <w:gridCol w:w="1531"/>
        <w:gridCol w:w="1589"/>
        <w:gridCol w:w="1325"/>
        <w:gridCol w:w="1642"/>
        <w:gridCol w:w="1291"/>
      </w:tblGrid>
      <w:tr>
        <w:trPr>
          <w:trHeight w:val="653"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80"/>
              <w:jc w:val="left"/>
              <w:rPr>
                <w:sz w:val="20"/>
                <w:szCs w:val="20"/>
              </w:rPr>
            </w:pPr>
            <w:r>
              <w:rPr>
                <w:rFonts w:ascii="Times New Roman" w:eastAsia="Times New Roman" w:hAnsi="Times New Roman" w:cs="Times New Roman"/>
                <w:color w:val="000000"/>
                <w:spacing w:val="0"/>
                <w:w w:val="100"/>
                <w:position w:val="0"/>
                <w:sz w:val="20"/>
                <w:szCs w:val="20"/>
              </w:rPr>
              <w:t xml:space="preserve">2015 </w:t>
            </w:r>
            <w:r>
              <w:rPr>
                <w:color w:val="000000"/>
                <w:spacing w:val="0"/>
                <w:w w:val="100"/>
                <w:position w:val="0"/>
                <w:sz w:val="20"/>
                <w:szCs w:val="20"/>
              </w:rPr>
              <w:t>年</w:t>
            </w:r>
          </w:p>
          <w:p>
            <w:pPr>
              <w:pStyle w:val="Style28"/>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本年转入</w:t>
            </w:r>
          </w:p>
          <w:p>
            <w:pPr>
              <w:pStyle w:val="Style28"/>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附注四</w:t>
            </w:r>
            <w:r>
              <w:rPr>
                <w:rFonts w:ascii="Times New Roman" w:eastAsia="Times New Roman" w:hAnsi="Times New Roman" w:cs="Times New Roman"/>
                <w:color w:val="000000"/>
                <w:spacing w:val="0"/>
                <w:w w:val="100"/>
                <w:position w:val="0"/>
                <w:sz w:val="20"/>
                <w:szCs w:val="20"/>
              </w:rPr>
              <w:t>（14））</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本年计提</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本年转出</w:t>
            </w:r>
          </w:p>
          <w:p>
            <w:pPr>
              <w:pStyle w:val="Style28"/>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附注四</w:t>
            </w:r>
            <w:r>
              <w:rPr>
                <w:rFonts w:ascii="Times New Roman" w:eastAsia="Times New Roman" w:hAnsi="Times New Roman" w:cs="Times New Roman"/>
                <w:color w:val="000000"/>
                <w:spacing w:val="0"/>
                <w:w w:val="100"/>
                <w:position w:val="0"/>
                <w:sz w:val="20"/>
                <w:szCs w:val="20"/>
              </w:rPr>
              <w:t>（14））</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 xml:space="preserve">2016 </w:t>
            </w:r>
            <w:r>
              <w:rPr>
                <w:color w:val="000000"/>
                <w:spacing w:val="0"/>
                <w:w w:val="100"/>
                <w:position w:val="0"/>
                <w:sz w:val="20"/>
                <w:szCs w:val="20"/>
              </w:rPr>
              <w:t>年</w:t>
            </w:r>
          </w:p>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w:t>
            </w:r>
          </w:p>
        </w:tc>
      </w:tr>
      <w:tr>
        <w:trPr>
          <w:trHeight w:val="370"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原价合计</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1,750,626</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1,050,000</w:t>
            </w:r>
          </w:p>
        </w:tc>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80"/>
              <w:jc w:val="left"/>
              <w:rPr>
                <w:sz w:val="20"/>
                <w:szCs w:val="20"/>
              </w:rPr>
            </w:pPr>
            <w:r>
              <w:rPr>
                <w:rFonts w:ascii="Times New Roman" w:eastAsia="Times New Roman" w:hAnsi="Times New Roman" w:cs="Times New Roman"/>
                <w:color w:val="000000"/>
                <w:spacing w:val="0"/>
                <w:w w:val="100"/>
                <w:position w:val="0"/>
                <w:sz w:val="20"/>
                <w:szCs w:val="20"/>
              </w:rPr>
              <w:t>(312,395)</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2,488,231</w:t>
            </w:r>
          </w:p>
        </w:tc>
      </w:tr>
      <w:tr>
        <w:trPr>
          <w:trHeight w:val="269"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房屋、建筑物</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1,750,626</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1,050,000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80"/>
              <w:jc w:val="left"/>
              <w:rPr>
                <w:sz w:val="20"/>
                <w:szCs w:val="20"/>
              </w:rPr>
            </w:pPr>
            <w:r>
              <w:rPr>
                <w:rFonts w:ascii="Times New Roman" w:eastAsia="Times New Roman" w:hAnsi="Times New Roman" w:cs="Times New Roman"/>
                <w:color w:val="000000"/>
                <w:spacing w:val="0"/>
                <w:w w:val="100"/>
                <w:position w:val="0"/>
                <w:sz w:val="20"/>
                <w:szCs w:val="20"/>
              </w:rPr>
              <w:t>(312,395)</w:t>
            </w:r>
          </w:p>
        </w:tc>
        <w:tc>
          <w:tcPr>
            <w:tcBorders>
              <w:top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2,488,231</w:t>
            </w:r>
          </w:p>
        </w:tc>
      </w:tr>
      <w:tr>
        <w:trPr>
          <w:trHeight w:val="509" w:hRule="exact"/>
        </w:trPr>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累计折旧合计</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(163,950)</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80"/>
              <w:jc w:val="left"/>
              <w:rPr>
                <w:sz w:val="20"/>
                <w:szCs w:val="20"/>
              </w:rPr>
            </w:pPr>
            <w:r>
              <w:rPr>
                <w:rFonts w:ascii="Times New Roman" w:eastAsia="Times New Roman" w:hAnsi="Times New Roman" w:cs="Times New Roman"/>
                <w:color w:val="000000"/>
                <w:spacing w:val="0"/>
                <w:w w:val="100"/>
                <w:position w:val="0"/>
                <w:sz w:val="20"/>
                <w:szCs w:val="20"/>
              </w:rPr>
              <w:t>(82,460)</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(49,261)</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60"/>
              <w:jc w:val="left"/>
              <w:rPr>
                <w:sz w:val="20"/>
                <w:szCs w:val="20"/>
              </w:rPr>
            </w:pPr>
            <w:r>
              <w:rPr>
                <w:rFonts w:ascii="Times New Roman" w:eastAsia="Times New Roman" w:hAnsi="Times New Roman" w:cs="Times New Roman"/>
                <w:color w:val="000000"/>
                <w:spacing w:val="0"/>
                <w:w w:val="100"/>
                <w:position w:val="0"/>
                <w:sz w:val="20"/>
                <w:szCs w:val="20"/>
              </w:rPr>
              <w:t>36,946</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(258,725)</w:t>
            </w:r>
          </w:p>
        </w:tc>
      </w:tr>
      <w:tr>
        <w:trPr>
          <w:trHeight w:val="274" w:hRule="exact"/>
        </w:trPr>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房屋、建筑物</w:t>
            </w:r>
          </w:p>
        </w:tc>
        <w:tc>
          <w:tcPr>
            <w:tcBorders>
              <w:top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(163,950)</w:t>
            </w:r>
          </w:p>
        </w:tc>
        <w:tc>
          <w:tcPr>
            <w:tcBorders>
              <w:top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80"/>
              <w:jc w:val="left"/>
              <w:rPr>
                <w:sz w:val="20"/>
                <w:szCs w:val="20"/>
              </w:rPr>
            </w:pPr>
            <w:r>
              <w:rPr>
                <w:rFonts w:ascii="Times New Roman" w:eastAsia="Times New Roman" w:hAnsi="Times New Roman" w:cs="Times New Roman"/>
                <w:color w:val="000000"/>
                <w:spacing w:val="0"/>
                <w:w w:val="100"/>
                <w:position w:val="0"/>
                <w:sz w:val="20"/>
                <w:szCs w:val="20"/>
              </w:rPr>
              <w:t>(82,460)</w:t>
            </w:r>
          </w:p>
        </w:tc>
        <w:tc>
          <w:tcPr>
            <w:tcBorders>
              <w:top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(49,261)</w:t>
            </w:r>
          </w:p>
        </w:tc>
        <w:tc>
          <w:tcPr>
            <w:tcBorders>
              <w:top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60"/>
              <w:jc w:val="left"/>
              <w:rPr>
                <w:sz w:val="20"/>
                <w:szCs w:val="20"/>
              </w:rPr>
            </w:pPr>
            <w:r>
              <w:rPr>
                <w:rFonts w:ascii="Times New Roman" w:eastAsia="Times New Roman" w:hAnsi="Times New Roman" w:cs="Times New Roman"/>
                <w:color w:val="000000"/>
                <w:spacing w:val="0"/>
                <w:w w:val="100"/>
                <w:position w:val="0"/>
                <w:sz w:val="20"/>
                <w:szCs w:val="20"/>
              </w:rPr>
              <w:t>36,946</w:t>
            </w:r>
          </w:p>
        </w:tc>
        <w:tc>
          <w:tcPr>
            <w:tcBorders>
              <w:top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(258,725)</w:t>
            </w:r>
          </w:p>
        </w:tc>
      </w:tr>
    </w:tbl>
    <w:p>
      <w:pPr>
        <w:widowControl w:val="0"/>
        <w:spacing w:after="219" w:line="1" w:lineRule="exact"/>
      </w:pPr>
    </w:p>
    <w:p>
      <w:pPr>
        <w:pStyle w:val="Style53"/>
        <w:keepNext w:val="0"/>
        <w:keepLines w:val="0"/>
        <w:widowControl w:val="0"/>
        <w:shd w:val="clear" w:color="auto" w:fill="auto"/>
        <w:tabs>
          <w:tab w:pos="2585" w:val="left"/>
          <w:tab w:pos="8585" w:val="left"/>
        </w:tabs>
        <w:bidi w:val="0"/>
        <w:spacing w:before="0" w:after="0" w:line="240" w:lineRule="auto"/>
        <w:ind w:left="0" w:right="0" w:firstLine="660"/>
        <w:jc w:val="both"/>
        <w:rPr>
          <w:sz w:val="20"/>
          <w:szCs w:val="20"/>
        </w:rPr>
      </w:pPr>
      <w:r>
        <w:rPr>
          <w:rFonts w:ascii="SimSun" w:eastAsia="SimSun" w:hAnsi="SimSun" w:cs="SimSun"/>
          <w:color w:val="000000"/>
          <w:spacing w:val="0"/>
          <w:w w:val="100"/>
          <w:position w:val="0"/>
          <w:sz w:val="20"/>
          <w:szCs w:val="20"/>
        </w:rPr>
        <w:t>账面净值合计</w:t>
        <w:tab/>
      </w:r>
      <w:r>
        <w:rPr>
          <w:color w:val="000000"/>
          <w:spacing w:val="0"/>
          <w:w w:val="100"/>
          <w:position w:val="0"/>
          <w:sz w:val="20"/>
          <w:szCs w:val="20"/>
        </w:rPr>
        <w:t>1,586,676</w:t>
        <w:tab/>
        <w:t>2,229,506</w:t>
      </w:r>
    </w:p>
    <w:p>
      <w:pPr>
        <w:pStyle w:val="Style53"/>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2585" w:val="left"/>
          <w:tab w:pos="8585" w:val="left"/>
        </w:tabs>
        <w:bidi w:val="0"/>
        <w:spacing w:before="0" w:after="220" w:line="240" w:lineRule="auto"/>
        <w:ind w:left="0" w:right="0" w:firstLine="660"/>
        <w:jc w:val="both"/>
        <w:rPr>
          <w:sz w:val="20"/>
          <w:szCs w:val="20"/>
        </w:rPr>
      </w:pPr>
      <w:r>
        <w:rPr>
          <w:rFonts w:ascii="SimSun" w:eastAsia="SimSun" w:hAnsi="SimSun" w:cs="SimSun"/>
          <w:color w:val="000000"/>
          <w:spacing w:val="0"/>
          <w:w w:val="100"/>
          <w:position w:val="0"/>
          <w:sz w:val="20"/>
          <w:szCs w:val="20"/>
          <w:u w:val="single"/>
        </w:rPr>
        <w:t>房屋、建筑物</w:t>
        <w:tab/>
      </w:r>
      <w:r>
        <w:rPr>
          <w:color w:val="000000"/>
          <w:spacing w:val="0"/>
          <w:w w:val="100"/>
          <w:position w:val="0"/>
          <w:sz w:val="20"/>
          <w:szCs w:val="20"/>
          <w:u w:val="single"/>
        </w:rPr>
        <w:t>1,586,676</w:t>
        <w:tab/>
        <w:t>2,229,506</w:t>
      </w:r>
    </w:p>
    <w:p>
      <w:pPr>
        <w:pStyle w:val="Style32"/>
        <w:keepNext w:val="0"/>
        <w:keepLines w:val="0"/>
        <w:widowControl w:val="0"/>
        <w:shd w:val="clear" w:color="auto" w:fill="auto"/>
        <w:bidi w:val="0"/>
        <w:spacing w:before="0" w:after="220" w:line="307" w:lineRule="exact"/>
        <w:ind w:left="660" w:right="0" w:firstLine="0"/>
        <w:jc w:val="both"/>
        <w:rPr>
          <w:sz w:val="24"/>
          <w:szCs w:val="24"/>
        </w:rPr>
      </w:pP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年度投资性房地产计提折旧金额约为人民币</w:t>
      </w:r>
      <w:r>
        <w:rPr>
          <w:rFonts w:ascii="Times New Roman" w:eastAsia="Times New Roman" w:hAnsi="Times New Roman" w:cs="Times New Roman"/>
          <w:color w:val="000000"/>
          <w:spacing w:val="0"/>
          <w:w w:val="100"/>
          <w:position w:val="0"/>
          <w:sz w:val="24"/>
          <w:szCs w:val="24"/>
        </w:rPr>
        <w:t>4,926</w:t>
      </w:r>
      <w:r>
        <w:rPr>
          <w:color w:val="000000"/>
          <w:spacing w:val="0"/>
          <w:w w:val="100"/>
          <w:position w:val="0"/>
          <w:sz w:val="24"/>
          <w:szCs w:val="24"/>
        </w:rPr>
        <w:t>万元</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sz w:val="24"/>
          <w:szCs w:val="24"/>
        </w:rPr>
        <w:t xml:space="preserve">年度：约人民币 </w:t>
      </w:r>
      <w:r>
        <w:rPr>
          <w:rFonts w:ascii="Times New Roman" w:eastAsia="Times New Roman" w:hAnsi="Times New Roman" w:cs="Times New Roman"/>
          <w:color w:val="000000"/>
          <w:spacing w:val="0"/>
          <w:w w:val="100"/>
          <w:position w:val="0"/>
          <w:sz w:val="24"/>
          <w:szCs w:val="24"/>
        </w:rPr>
        <w:t xml:space="preserve">4,425 </w:t>
      </w:r>
      <w:r>
        <w:rPr>
          <w:color w:val="000000"/>
          <w:spacing w:val="0"/>
          <w:w w:val="100"/>
          <w:position w:val="0"/>
          <w:sz w:val="24"/>
          <w:szCs w:val="24"/>
        </w:rPr>
        <w:t>万元</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w:t>
      </w:r>
    </w:p>
    <w:p>
      <w:pPr>
        <w:pStyle w:val="Style32"/>
        <w:keepNext w:val="0"/>
        <w:keepLines w:val="0"/>
        <w:widowControl w:val="0"/>
        <w:shd w:val="clear" w:color="auto" w:fill="auto"/>
        <w:bidi w:val="0"/>
        <w:spacing w:before="0" w:after="220" w:line="324" w:lineRule="exact"/>
        <w:ind w:left="660" w:right="0" w:firstLine="0"/>
        <w:jc w:val="both"/>
        <w:rPr>
          <w:sz w:val="24"/>
          <w:szCs w:val="24"/>
        </w:rPr>
      </w:pPr>
      <w:r>
        <w:rPr>
          <w:color w:val="000000"/>
          <w:spacing w:val="0"/>
          <w:w w:val="100"/>
          <w:position w:val="0"/>
          <w:sz w:val="24"/>
          <w:szCs w:val="24"/>
        </w:rPr>
        <w:t>于</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年度，本集团将账面价值约为人民币</w:t>
      </w:r>
      <w:r>
        <w:rPr>
          <w:rFonts w:ascii="Times New Roman" w:eastAsia="Times New Roman" w:hAnsi="Times New Roman" w:cs="Times New Roman"/>
          <w:color w:val="000000"/>
          <w:spacing w:val="0"/>
          <w:w w:val="100"/>
          <w:position w:val="0"/>
          <w:sz w:val="24"/>
          <w:szCs w:val="24"/>
        </w:rPr>
        <w:t>2.75</w:t>
      </w:r>
      <w:r>
        <w:rPr>
          <w:color w:val="000000"/>
          <w:spacing w:val="0"/>
          <w:w w:val="100"/>
          <w:position w:val="0"/>
          <w:sz w:val="24"/>
          <w:szCs w:val="24"/>
        </w:rPr>
        <w:t>亿元</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原价：约人民币</w:t>
      </w:r>
      <w:r>
        <w:rPr>
          <w:rFonts w:ascii="Times New Roman" w:eastAsia="Times New Roman" w:hAnsi="Times New Roman" w:cs="Times New Roman"/>
          <w:color w:val="000000"/>
          <w:spacing w:val="0"/>
          <w:w w:val="100"/>
          <w:position w:val="0"/>
          <w:sz w:val="24"/>
          <w:szCs w:val="24"/>
        </w:rPr>
        <w:t>3.12</w:t>
      </w:r>
      <w:r>
        <w:rPr>
          <w:color w:val="000000"/>
          <w:spacing w:val="0"/>
          <w:w w:val="100"/>
          <w:position w:val="0"/>
          <w:sz w:val="24"/>
          <w:szCs w:val="24"/>
        </w:rPr>
        <w:t>亿元</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 房屋及建筑物改为自用，自改变用途之日起，将相应的投资性房地产转换为固定资 产核算。</w:t>
      </w:r>
    </w:p>
    <w:p>
      <w:pPr>
        <w:pStyle w:val="Style32"/>
        <w:keepNext w:val="0"/>
        <w:keepLines w:val="0"/>
        <w:widowControl w:val="0"/>
        <w:shd w:val="clear" w:color="auto" w:fill="auto"/>
        <w:bidi w:val="0"/>
        <w:spacing w:before="0" w:after="220" w:line="322" w:lineRule="exact"/>
        <w:ind w:left="660" w:right="0" w:firstLine="0"/>
        <w:jc w:val="both"/>
        <w:rPr>
          <w:sz w:val="24"/>
          <w:szCs w:val="24"/>
        </w:rPr>
      </w:pPr>
      <w:r>
        <w:rPr>
          <w:color w:val="000000"/>
          <w:spacing w:val="0"/>
          <w:w w:val="100"/>
          <w:position w:val="0"/>
          <w:sz w:val="24"/>
          <w:szCs w:val="24"/>
        </w:rPr>
        <w:t>于</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年度，本集团将账面价值约为人民币</w:t>
      </w:r>
      <w:r>
        <w:rPr>
          <w:rFonts w:ascii="Times New Roman" w:eastAsia="Times New Roman" w:hAnsi="Times New Roman" w:cs="Times New Roman"/>
          <w:color w:val="000000"/>
          <w:spacing w:val="0"/>
          <w:w w:val="100"/>
          <w:position w:val="0"/>
          <w:sz w:val="24"/>
          <w:szCs w:val="24"/>
        </w:rPr>
        <w:t>9.68</w:t>
      </w:r>
      <w:r>
        <w:rPr>
          <w:color w:val="000000"/>
          <w:spacing w:val="0"/>
          <w:w w:val="100"/>
          <w:position w:val="0"/>
          <w:sz w:val="24"/>
          <w:szCs w:val="24"/>
        </w:rPr>
        <w:t>亿元</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原价：约人民币</w:t>
      </w:r>
      <w:r>
        <w:rPr>
          <w:rFonts w:ascii="Times New Roman" w:eastAsia="Times New Roman" w:hAnsi="Times New Roman" w:cs="Times New Roman"/>
          <w:color w:val="000000"/>
          <w:spacing w:val="0"/>
          <w:w w:val="100"/>
          <w:position w:val="0"/>
          <w:sz w:val="24"/>
          <w:szCs w:val="24"/>
        </w:rPr>
        <w:t>10.5</w:t>
      </w:r>
      <w:r>
        <w:rPr>
          <w:color w:val="000000"/>
          <w:spacing w:val="0"/>
          <w:w w:val="100"/>
          <w:position w:val="0"/>
          <w:sz w:val="24"/>
          <w:szCs w:val="24"/>
        </w:rPr>
        <w:t>亿元</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 房屋及建筑物改为出租，自改变用途之日起，将相应的固定资产转换为投资性房地 产核算。</w:t>
      </w:r>
    </w:p>
    <w:p>
      <w:pPr>
        <w:pStyle w:val="Style32"/>
        <w:keepNext w:val="0"/>
        <w:keepLines w:val="0"/>
        <w:widowControl w:val="0"/>
        <w:shd w:val="clear" w:color="auto" w:fill="auto"/>
        <w:bidi w:val="0"/>
        <w:spacing w:before="0" w:after="220" w:line="319" w:lineRule="exact"/>
        <w:ind w:left="660" w:right="0" w:firstLine="0"/>
        <w:jc w:val="both"/>
        <w:rPr>
          <w:sz w:val="24"/>
          <w:szCs w:val="24"/>
        </w:rPr>
        <w:sectPr>
          <w:headerReference w:type="default" r:id="rId123"/>
          <w:footerReference w:type="default" r:id="rId124"/>
          <w:headerReference w:type="even" r:id="rId125"/>
          <w:footerReference w:type="even" r:id="rId126"/>
          <w:footnotePr>
            <w:pos w:val="pageBottom"/>
            <w:numFmt w:val="decimal"/>
            <w:numRestart w:val="continuous"/>
          </w:footnotePr>
          <w:pgSz w:w="11900" w:h="16840"/>
          <w:pgMar w:top="1326" w:right="674" w:bottom="1326" w:left="1669" w:header="0" w:footer="3" w:gutter="0"/>
          <w:cols w:space="720"/>
          <w:noEndnote/>
          <w:rtlGutter w:val="0"/>
          <w:docGrid w:linePitch="360"/>
        </w:sectPr>
      </w:pPr>
      <w:r>
        <w:rPr>
          <w:color w:val="000000"/>
          <w:spacing w:val="0"/>
          <w:w w:val="100"/>
          <w:position w:val="0"/>
          <w:sz w:val="24"/>
          <w:szCs w:val="24"/>
        </w:rPr>
        <w:t>于</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日，本集团账面价值约人民币</w:t>
      </w:r>
      <w:r>
        <w:rPr>
          <w:rFonts w:ascii="Times New Roman" w:eastAsia="Times New Roman" w:hAnsi="Times New Roman" w:cs="Times New Roman"/>
          <w:color w:val="000000"/>
          <w:spacing w:val="0"/>
          <w:w w:val="100"/>
          <w:position w:val="0"/>
          <w:sz w:val="24"/>
          <w:szCs w:val="24"/>
        </w:rPr>
        <w:t>4.72</w:t>
      </w:r>
      <w:r>
        <w:rPr>
          <w:color w:val="000000"/>
          <w:spacing w:val="0"/>
          <w:w w:val="100"/>
          <w:position w:val="0"/>
          <w:sz w:val="24"/>
          <w:szCs w:val="24"/>
        </w:rPr>
        <w:t>亿元</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原价：约人民币</w:t>
      </w:r>
      <w:r>
        <w:rPr>
          <w:rFonts w:ascii="Times New Roman" w:eastAsia="Times New Roman" w:hAnsi="Times New Roman" w:cs="Times New Roman"/>
          <w:color w:val="000000"/>
          <w:spacing w:val="0"/>
          <w:w w:val="100"/>
          <w:position w:val="0"/>
          <w:sz w:val="24"/>
          <w:szCs w:val="24"/>
        </w:rPr>
        <w:t>4.81</w:t>
      </w:r>
      <w:r>
        <w:rPr>
          <w:color w:val="000000"/>
          <w:spacing w:val="0"/>
          <w:w w:val="100"/>
          <w:position w:val="0"/>
          <w:sz w:val="24"/>
          <w:szCs w:val="24"/>
        </w:rPr>
        <w:t>亿 元</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日：账面价值约人民币</w:t>
      </w:r>
      <w:r>
        <w:rPr>
          <w:rFonts w:ascii="Times New Roman" w:eastAsia="Times New Roman" w:hAnsi="Times New Roman" w:cs="Times New Roman"/>
          <w:color w:val="000000"/>
          <w:spacing w:val="0"/>
          <w:w w:val="100"/>
          <w:position w:val="0"/>
          <w:sz w:val="24"/>
          <w:szCs w:val="24"/>
        </w:rPr>
        <w:t>2.22</w:t>
      </w:r>
      <w:r>
        <w:rPr>
          <w:color w:val="000000"/>
          <w:spacing w:val="0"/>
          <w:w w:val="100"/>
          <w:position w:val="0"/>
          <w:sz w:val="24"/>
          <w:szCs w:val="24"/>
        </w:rPr>
        <w:t>亿元</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原价：约人民币</w:t>
      </w:r>
      <w:r>
        <w:rPr>
          <w:rFonts w:ascii="Times New Roman" w:eastAsia="Times New Roman" w:hAnsi="Times New Roman" w:cs="Times New Roman"/>
          <w:color w:val="000000"/>
          <w:spacing w:val="0"/>
          <w:w w:val="100"/>
          <w:position w:val="0"/>
          <w:sz w:val="24"/>
          <w:szCs w:val="24"/>
        </w:rPr>
        <w:t>2.24</w:t>
      </w:r>
      <w:r>
        <w:rPr>
          <w:color w:val="000000"/>
          <w:spacing w:val="0"/>
          <w:w w:val="100"/>
          <w:position w:val="0"/>
          <w:sz w:val="24"/>
          <w:szCs w:val="24"/>
        </w:rPr>
        <w:t>亿元</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 投资性房地产未办妥房产权证。</w:t>
      </w:r>
    </w:p>
    <w:p>
      <w:pPr>
        <w:pStyle w:val="Style32"/>
        <w:keepNext w:val="0"/>
        <w:keepLines w:val="0"/>
        <w:widowControl w:val="0"/>
        <w:shd w:val="clear" w:color="auto" w:fill="auto"/>
        <w:bidi w:val="0"/>
        <w:spacing w:before="0" w:after="0" w:line="240" w:lineRule="auto"/>
        <w:ind w:left="0" w:right="0" w:firstLine="720"/>
        <w:jc w:val="left"/>
        <w:rPr>
          <w:sz w:val="24"/>
          <w:szCs w:val="24"/>
        </w:rPr>
      </w:pPr>
      <w:r>
        <w:rPr>
          <w:b/>
          <w:bCs/>
          <w:color w:val="000000"/>
          <w:spacing w:val="0"/>
          <w:w w:val="100"/>
          <w:position w:val="0"/>
          <w:sz w:val="24"/>
          <w:szCs w:val="24"/>
        </w:rPr>
        <w:t>财务报表附注</w:t>
      </w:r>
    </w:p>
    <w:p>
      <w:pPr>
        <w:pStyle w:val="Style88"/>
        <w:keepNext/>
        <w:keepLines/>
        <w:widowControl w:val="0"/>
        <w:shd w:val="clear" w:color="auto" w:fill="auto"/>
        <w:bidi w:val="0"/>
        <w:spacing w:before="0" w:after="0" w:line="240" w:lineRule="auto"/>
        <w:ind w:left="0" w:right="0" w:firstLine="720"/>
        <w:jc w:val="left"/>
      </w:pPr>
      <w:bookmarkStart w:id="877" w:name="bookmark877"/>
      <w:bookmarkStart w:id="878" w:name="bookmark878"/>
      <w:bookmarkStart w:id="879" w:name="bookmark879"/>
      <w:r>
        <w:rPr>
          <w:color w:val="000000"/>
          <w:spacing w:val="0"/>
          <w:w w:val="100"/>
          <w:position w:val="0"/>
          <w:sz w:val="24"/>
          <w:szCs w:val="24"/>
        </w:rPr>
        <w:t>2016</w:t>
      </w:r>
      <w:r>
        <w:rPr>
          <w:rFonts w:ascii="SimSun" w:eastAsia="SimSun" w:hAnsi="SimSun" w:cs="SimSun"/>
          <w:b/>
          <w:bCs/>
          <w:color w:val="000000"/>
          <w:spacing w:val="0"/>
          <w:w w:val="100"/>
          <w:position w:val="0"/>
          <w:sz w:val="24"/>
          <w:szCs w:val="24"/>
        </w:rPr>
        <w:t>年度</w:t>
      </w:r>
      <w:bookmarkEnd w:id="877"/>
      <w:bookmarkEnd w:id="878"/>
      <w:bookmarkEnd w:id="879"/>
    </w:p>
    <w:p>
      <w:pPr>
        <w:pStyle w:val="Style32"/>
        <w:keepNext w:val="0"/>
        <w:keepLines w:val="0"/>
        <w:widowControl w:val="0"/>
        <w:shd w:val="clear" w:color="auto" w:fill="auto"/>
        <w:bidi w:val="0"/>
        <w:spacing w:before="0" w:after="200" w:line="240" w:lineRule="auto"/>
        <w:ind w:left="0" w:right="0" w:firstLine="720"/>
        <w:jc w:val="left"/>
        <w:rPr>
          <w:sz w:val="20"/>
          <w:szCs w:val="20"/>
        </w:rPr>
      </w:pPr>
      <w:r>
        <w:rPr>
          <w:rFonts w:ascii="Arial" w:eastAsia="Arial" w:hAnsi="Arial" w:cs="Arial"/>
          <w:color w:val="000000"/>
          <w:spacing w:val="0"/>
          <w:w w:val="100"/>
          <w:position w:val="0"/>
          <w:sz w:val="20"/>
          <w:szCs w:val="20"/>
        </w:rPr>
        <w:t>(</w:t>
      </w:r>
      <w:r>
        <w:rPr>
          <w:color w:val="000000"/>
          <w:spacing w:val="0"/>
          <w:w w:val="100"/>
          <w:position w:val="0"/>
          <w:sz w:val="20"/>
          <w:szCs w:val="20"/>
        </w:rPr>
        <w:t>除特别注明外，金额单位为人民币千元</w:t>
      </w:r>
      <w:r>
        <w:rPr>
          <w:rFonts w:ascii="Arial" w:eastAsia="Arial" w:hAnsi="Arial" w:cs="Arial"/>
          <w:color w:val="000000"/>
          <w:spacing w:val="0"/>
          <w:w w:val="100"/>
          <w:position w:val="0"/>
          <w:sz w:val="20"/>
          <w:szCs w:val="20"/>
        </w:rPr>
        <w:t>)</w:t>
      </w:r>
    </w:p>
    <w:p>
      <w:pPr>
        <w:pStyle w:val="Style32"/>
        <w:keepNext w:val="0"/>
        <w:keepLines w:val="0"/>
        <w:widowControl w:val="0"/>
        <w:shd w:val="clear" w:color="auto" w:fill="auto"/>
        <w:tabs>
          <w:tab w:pos="662" w:val="left"/>
        </w:tabs>
        <w:bidi w:val="0"/>
        <w:spacing w:before="0" w:after="260" w:line="240" w:lineRule="auto"/>
        <w:ind w:left="0" w:right="0" w:firstLine="0"/>
        <w:jc w:val="left"/>
        <w:rPr>
          <w:sz w:val="24"/>
          <w:szCs w:val="24"/>
        </w:rPr>
      </w:pPr>
      <w:r>
        <w:rPr>
          <w:b/>
          <w:bCs/>
          <w:color w:val="000000"/>
          <w:spacing w:val="0"/>
          <w:w w:val="100"/>
          <w:position w:val="0"/>
          <w:sz w:val="24"/>
          <w:szCs w:val="24"/>
        </w:rPr>
        <w:t>四</w:t>
        <w:tab/>
        <w:t>合并财务报表项目附注</w:t>
      </w:r>
      <w:r>
        <w:rPr>
          <w:rFonts w:ascii="Times New Roman" w:eastAsia="Times New Roman" w:hAnsi="Times New Roman" w:cs="Times New Roman"/>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4"/>
          <w:szCs w:val="24"/>
        </w:rPr>
        <w:t>)</w:t>
      </w:r>
    </w:p>
    <w:p>
      <w:pPr>
        <w:pStyle w:val="Style25"/>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(14)</w:t>
      </w:r>
      <w:r>
        <w:rPr>
          <w:b/>
          <w:bCs/>
          <w:color w:val="000000"/>
          <w:spacing w:val="0"/>
          <w:w w:val="100"/>
          <w:position w:val="0"/>
          <w:sz w:val="24"/>
          <w:szCs w:val="24"/>
        </w:rPr>
        <w:t>固定资产</w:t>
      </w:r>
    </w:p>
    <w:tbl>
      <w:tblPr>
        <w:tblOverlap w:val="never"/>
        <w:jc w:val="center"/>
        <w:tblLayout w:type="fixed"/>
      </w:tblPr>
      <w:tblGrid>
        <w:gridCol w:w="3494"/>
        <w:gridCol w:w="1858"/>
        <w:gridCol w:w="1541"/>
        <w:gridCol w:w="1574"/>
        <w:gridCol w:w="1454"/>
        <w:gridCol w:w="1536"/>
        <w:gridCol w:w="1454"/>
      </w:tblGrid>
      <w:tr>
        <w:trPr>
          <w:trHeight w:val="470"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原价</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房屋及建筑物</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机器设备</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运输工具</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电子设备</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其他设备</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180" w:firstLine="0"/>
              <w:jc w:val="right"/>
              <w:rPr>
                <w:sz w:val="18"/>
                <w:szCs w:val="18"/>
              </w:rPr>
            </w:pPr>
            <w:r>
              <w:rPr>
                <w:color w:val="000000"/>
                <w:spacing w:val="0"/>
                <w:w w:val="100"/>
                <w:position w:val="0"/>
                <w:sz w:val="18"/>
                <w:szCs w:val="18"/>
              </w:rPr>
              <w:t>合计</w:t>
            </w:r>
          </w:p>
        </w:tc>
      </w:tr>
      <w:tr>
        <w:trPr>
          <w:trHeight w:val="24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13,117,006</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343,914</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190,257</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1,713,774</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936,491</w:t>
            </w:r>
          </w:p>
        </w:tc>
        <w:tc>
          <w:tcPr>
            <w:tcBorders>
              <w:top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16,301,442</w:t>
            </w:r>
          </w:p>
        </w:tc>
      </w:tr>
      <w:tr>
        <w:trPr>
          <w:trHeight w:val="240" w:hRule="exact"/>
        </w:trPr>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本年增加</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right w:val="single" w:sz="4"/>
            </w:tcBorders>
            <w:shd w:val="clear" w:color="auto" w:fill="FFFFFF"/>
            <w:vAlign w:val="top"/>
          </w:tcPr>
          <w:p>
            <w:pPr>
              <w:widowControl w:val="0"/>
              <w:rPr>
                <w:sz w:val="10"/>
                <w:szCs w:val="10"/>
              </w:rPr>
            </w:pPr>
          </w:p>
        </w:tc>
      </w:tr>
      <w:tr>
        <w:trPr>
          <w:trHeight w:val="235" w:hRule="exact"/>
        </w:trPr>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购置</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194,578</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75,646</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7,254</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311,610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129,805</w:t>
            </w:r>
          </w:p>
        </w:tc>
        <w:tc>
          <w:tcPr>
            <w:tcBorders>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180" w:firstLine="0"/>
              <w:jc w:val="right"/>
              <w:rPr>
                <w:sz w:val="18"/>
                <w:szCs w:val="18"/>
              </w:rPr>
            </w:pPr>
            <w:r>
              <w:rPr>
                <w:rFonts w:ascii="Times New Roman" w:eastAsia="Times New Roman" w:hAnsi="Times New Roman" w:cs="Times New Roman"/>
                <w:color w:val="000000"/>
                <w:spacing w:val="0"/>
                <w:w w:val="100"/>
                <w:position w:val="0"/>
                <w:sz w:val="18"/>
                <w:szCs w:val="18"/>
              </w:rPr>
              <w:t>718,893</w:t>
            </w:r>
          </w:p>
        </w:tc>
      </w:tr>
      <w:tr>
        <w:trPr>
          <w:trHeight w:val="226" w:hRule="exact"/>
        </w:trPr>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投资性房地产转入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附注四</w:t>
            </w:r>
            <w:r>
              <w:rPr>
                <w:rFonts w:ascii="Times New Roman" w:eastAsia="Times New Roman" w:hAnsi="Times New Roman" w:cs="Times New Roman"/>
                <w:color w:val="000000"/>
                <w:spacing w:val="0"/>
                <w:w w:val="100"/>
                <w:position w:val="0"/>
                <w:sz w:val="18"/>
                <w:szCs w:val="18"/>
              </w:rPr>
              <w:t>(13))</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312,395</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180" w:firstLine="0"/>
              <w:jc w:val="right"/>
              <w:rPr>
                <w:sz w:val="18"/>
                <w:szCs w:val="18"/>
              </w:rPr>
            </w:pPr>
            <w:r>
              <w:rPr>
                <w:rFonts w:ascii="Times New Roman" w:eastAsia="Times New Roman" w:hAnsi="Times New Roman" w:cs="Times New Roman"/>
                <w:color w:val="000000"/>
                <w:spacing w:val="0"/>
                <w:w w:val="100"/>
                <w:position w:val="0"/>
                <w:sz w:val="18"/>
                <w:szCs w:val="18"/>
              </w:rPr>
              <w:t>312,395</w:t>
            </w:r>
          </w:p>
        </w:tc>
      </w:tr>
      <w:tr>
        <w:trPr>
          <w:trHeight w:val="259" w:hRule="exact"/>
        </w:trPr>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在建工程转入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附注四</w:t>
            </w:r>
            <w:r>
              <w:rPr>
                <w:rFonts w:ascii="Times New Roman" w:eastAsia="Times New Roman" w:hAnsi="Times New Roman" w:cs="Times New Roman"/>
                <w:color w:val="000000"/>
                <w:spacing w:val="0"/>
                <w:w w:val="100"/>
                <w:position w:val="0"/>
                <w:sz w:val="18"/>
                <w:szCs w:val="18"/>
              </w:rPr>
              <w:t>(15))</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1,911,457</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180" w:firstLine="0"/>
              <w:jc w:val="right"/>
              <w:rPr>
                <w:sz w:val="18"/>
                <w:szCs w:val="18"/>
              </w:rPr>
            </w:pPr>
            <w:r>
              <w:rPr>
                <w:rFonts w:ascii="Times New Roman" w:eastAsia="Times New Roman" w:hAnsi="Times New Roman" w:cs="Times New Roman"/>
                <w:color w:val="000000"/>
                <w:spacing w:val="0"/>
                <w:w w:val="100"/>
                <w:position w:val="0"/>
                <w:sz w:val="18"/>
                <w:szCs w:val="18"/>
              </w:rPr>
              <w:t>1,911,457</w:t>
            </w:r>
          </w:p>
        </w:tc>
      </w:tr>
      <w:tr>
        <w:trPr>
          <w:trHeight w:val="269" w:hRule="exact"/>
        </w:trPr>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非同一控制下企业合并</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附注五</w:t>
            </w:r>
            <w:r>
              <w:rPr>
                <w:rFonts w:ascii="Times New Roman" w:eastAsia="Times New Roman" w:hAnsi="Times New Roman" w:cs="Times New Roman"/>
                <w:color w:val="000000"/>
                <w:spacing w:val="0"/>
                <w:w w:val="100"/>
                <w:position w:val="0"/>
                <w:sz w:val="18"/>
                <w:szCs w:val="18"/>
              </w:rPr>
              <w:t>(1)(c))</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10,214</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896</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538</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280" w:firstLine="0"/>
              <w:jc w:val="right"/>
              <w:rPr>
                <w:sz w:val="18"/>
                <w:szCs w:val="18"/>
              </w:rPr>
            </w:pPr>
            <w:r>
              <w:rPr>
                <w:rFonts w:ascii="Times New Roman" w:eastAsia="Times New Roman" w:hAnsi="Times New Roman" w:cs="Times New Roman"/>
                <w:color w:val="000000"/>
                <w:spacing w:val="0"/>
                <w:w w:val="100"/>
                <w:position w:val="0"/>
                <w:sz w:val="18"/>
                <w:szCs w:val="18"/>
              </w:rPr>
              <w:t>499</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12,147</w:t>
            </w:r>
          </w:p>
        </w:tc>
      </w:tr>
      <w:tr>
        <w:trPr>
          <w:trHeight w:val="283" w:hRule="exact"/>
        </w:trPr>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本年减少</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right w:val="single" w:sz="4"/>
            </w:tcBorders>
            <w:shd w:val="clear" w:color="auto" w:fill="FFFFFF"/>
            <w:vAlign w:val="top"/>
          </w:tcPr>
          <w:p>
            <w:pPr>
              <w:widowControl w:val="0"/>
              <w:rPr>
                <w:sz w:val="10"/>
                <w:szCs w:val="10"/>
              </w:rPr>
            </w:pPr>
          </w:p>
        </w:tc>
      </w:tr>
      <w:tr>
        <w:trPr>
          <w:trHeight w:val="283" w:hRule="exact"/>
        </w:trPr>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处置及报废</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(1,129,143)</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(9,458)</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(46,166)</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(55,022)</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(26,715)</w:t>
            </w:r>
          </w:p>
        </w:tc>
        <w:tc>
          <w:tcPr>
            <w:tcBorders>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(1,266,504)</w:t>
            </w:r>
          </w:p>
        </w:tc>
      </w:tr>
      <w:tr>
        <w:trPr>
          <w:trHeight w:val="274" w:hRule="exact"/>
        </w:trPr>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处置子公司减少</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(561,679)</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(644)</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(678)</w:t>
            </w:r>
          </w:p>
        </w:tc>
        <w:tc>
          <w:tcPr>
            <w:tcBorders>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(563,001)</w:t>
            </w:r>
          </w:p>
        </w:tc>
      </w:tr>
      <w:tr>
        <w:trPr>
          <w:trHeight w:val="274" w:hRule="exact"/>
        </w:trPr>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转出至投资性房地产</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附注四</w:t>
            </w:r>
            <w:r>
              <w:rPr>
                <w:rFonts w:ascii="Times New Roman" w:eastAsia="Times New Roman" w:hAnsi="Times New Roman" w:cs="Times New Roman"/>
                <w:color w:val="000000"/>
                <w:spacing w:val="0"/>
                <w:w w:val="100"/>
                <w:position w:val="0"/>
                <w:sz w:val="18"/>
                <w:szCs w:val="18"/>
              </w:rPr>
              <w:t>(13))</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(1,050,000)</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(1,050,000)</w:t>
            </w:r>
          </w:p>
        </w:tc>
      </w:tr>
      <w:tr>
        <w:trPr>
          <w:trHeight w:val="245" w:hRule="exact"/>
        </w:trPr>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本年外币报表折算差异</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27,419</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834</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677</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9,644</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1,748</w:t>
            </w:r>
          </w:p>
        </w:tc>
        <w:tc>
          <w:tcPr>
            <w:tcBorders>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40,322</w:t>
            </w:r>
          </w:p>
        </w:tc>
      </w:tr>
      <w:tr>
        <w:trPr>
          <w:trHeight w:val="293" w:hRule="exact"/>
        </w:trPr>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tc>
        <w:tc>
          <w:tcPr>
            <w:tcBorders>
              <w:top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12,832,247</w:t>
            </w:r>
          </w:p>
        </w:tc>
        <w:tc>
          <w:tcPr>
            <w:tcBorders>
              <w:top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411,832</w:t>
            </w:r>
          </w:p>
        </w:tc>
        <w:tc>
          <w:tcPr>
            <w:tcBorders>
              <w:top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152,560</w:t>
            </w:r>
          </w:p>
        </w:tc>
        <w:tc>
          <w:tcPr>
            <w:tcBorders>
              <w:top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1,979,861</w:t>
            </w:r>
          </w:p>
        </w:tc>
        <w:tc>
          <w:tcPr>
            <w:tcBorders>
              <w:top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1,040,651</w:t>
            </w:r>
          </w:p>
        </w:tc>
        <w:tc>
          <w:tcPr>
            <w:tcBorders>
              <w:top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16,417,151</w:t>
            </w:r>
          </w:p>
        </w:tc>
      </w:tr>
    </w:tbl>
    <w:p>
      <w:pPr>
        <w:widowControl w:val="0"/>
        <w:spacing w:after="199" w:line="1" w:lineRule="exact"/>
      </w:pPr>
    </w:p>
    <w:p>
      <w:pPr>
        <w:pStyle w:val="Style25"/>
        <w:keepNext w:val="0"/>
        <w:keepLines w:val="0"/>
        <w:widowControl w:val="0"/>
        <w:shd w:val="clear" w:color="auto" w:fill="auto"/>
        <w:bidi w:val="0"/>
        <w:spacing w:before="0" w:after="0" w:line="240" w:lineRule="auto"/>
        <w:ind w:left="96" w:right="0" w:firstLine="0"/>
        <w:jc w:val="left"/>
        <w:rPr>
          <w:sz w:val="18"/>
          <w:szCs w:val="18"/>
        </w:rPr>
      </w:pPr>
      <w:r>
        <w:rPr>
          <w:color w:val="000000"/>
          <w:spacing w:val="0"/>
          <w:w w:val="100"/>
          <w:position w:val="0"/>
          <w:sz w:val="18"/>
          <w:szCs w:val="18"/>
        </w:rPr>
        <w:t>累计折旧</w:t>
      </w:r>
    </w:p>
    <w:tbl>
      <w:tblPr>
        <w:tblOverlap w:val="never"/>
        <w:jc w:val="center"/>
        <w:tblLayout w:type="fixed"/>
      </w:tblPr>
      <w:tblGrid>
        <w:gridCol w:w="3528"/>
        <w:gridCol w:w="1872"/>
        <w:gridCol w:w="1546"/>
        <w:gridCol w:w="1507"/>
        <w:gridCol w:w="1507"/>
        <w:gridCol w:w="1531"/>
        <w:gridCol w:w="1421"/>
      </w:tblGrid>
      <w:tr>
        <w:trPr>
          <w:trHeight w:val="32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(1,132,713)</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(120,290)</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(135,737)</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(1,091,220)</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(524,891)</w:t>
            </w:r>
          </w:p>
        </w:tc>
        <w:tc>
          <w:tcPr>
            <w:tcBorders>
              <w:top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(3,004,851)</w:t>
            </w:r>
          </w:p>
        </w:tc>
      </w:tr>
      <w:tr>
        <w:trPr>
          <w:trHeight w:val="278" w:hRule="exact"/>
        </w:trPr>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本年增加</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计提</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(362,213)</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(50,558)</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(21,554)</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(264,319)</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(124,591)</w:t>
            </w:r>
          </w:p>
        </w:tc>
        <w:tc>
          <w:tcPr>
            <w:tcBorders>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(823,235)</w:t>
            </w:r>
          </w:p>
        </w:tc>
      </w:tr>
      <w:tr>
        <w:trPr>
          <w:trHeight w:val="274" w:hRule="exact"/>
        </w:trPr>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投资性房地产转入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附注四</w:t>
            </w:r>
            <w:r>
              <w:rPr>
                <w:rFonts w:ascii="Times New Roman" w:eastAsia="Times New Roman" w:hAnsi="Times New Roman" w:cs="Times New Roman"/>
                <w:color w:val="000000"/>
                <w:spacing w:val="0"/>
                <w:w w:val="100"/>
                <w:position w:val="0"/>
                <w:sz w:val="18"/>
                <w:szCs w:val="18"/>
              </w:rPr>
              <w:t>(13))</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(36,946)</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30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(36,946)</w:t>
            </w:r>
          </w:p>
        </w:tc>
      </w:tr>
      <w:tr>
        <w:trPr>
          <w:trHeight w:val="278" w:hRule="exact"/>
        </w:trPr>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本年减少</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处置及报废</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135,714</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4,732</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36,933</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42,855</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18,672</w:t>
            </w:r>
          </w:p>
        </w:tc>
        <w:tc>
          <w:tcPr>
            <w:tcBorders>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238,906</w:t>
            </w:r>
          </w:p>
        </w:tc>
      </w:tr>
      <w:tr>
        <w:trPr>
          <w:trHeight w:val="274" w:hRule="exact"/>
        </w:trPr>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处置子公司减少</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14,608</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300" w:firstLine="0"/>
              <w:jc w:val="right"/>
              <w:rPr>
                <w:sz w:val="18"/>
                <w:szCs w:val="18"/>
              </w:rPr>
            </w:pPr>
            <w:r>
              <w:rPr>
                <w:rFonts w:ascii="Times New Roman" w:eastAsia="Times New Roman" w:hAnsi="Times New Roman" w:cs="Times New Roman"/>
                <w:color w:val="000000"/>
                <w:spacing w:val="0"/>
                <w:w w:val="100"/>
                <w:position w:val="0"/>
                <w:sz w:val="18"/>
                <w:szCs w:val="18"/>
              </w:rPr>
              <w:t>160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142</w:t>
            </w:r>
          </w:p>
        </w:tc>
        <w:tc>
          <w:tcPr>
            <w:tcBorders>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14,910</w:t>
            </w:r>
          </w:p>
        </w:tc>
      </w:tr>
      <w:tr>
        <w:trPr>
          <w:trHeight w:val="283" w:hRule="exact"/>
        </w:trPr>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转出至投资性房地产</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附注四</w:t>
            </w:r>
            <w:r>
              <w:rPr>
                <w:rFonts w:ascii="Times New Roman" w:eastAsia="Times New Roman" w:hAnsi="Times New Roman" w:cs="Times New Roman"/>
                <w:color w:val="000000"/>
                <w:spacing w:val="0"/>
                <w:w w:val="100"/>
                <w:position w:val="0"/>
                <w:sz w:val="18"/>
                <w:szCs w:val="18"/>
              </w:rPr>
              <w:t>(13))</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82,460</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30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82,460</w:t>
            </w:r>
          </w:p>
        </w:tc>
      </w:tr>
      <w:tr>
        <w:trPr>
          <w:trHeight w:val="245" w:hRule="exact"/>
        </w:trPr>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本年外币报表折算差异</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(13,724)</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(580)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(186)</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(4,810)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(1,154)</w:t>
            </w:r>
          </w:p>
        </w:tc>
        <w:tc>
          <w:tcPr>
            <w:tcBorders>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(20,454)</w:t>
            </w:r>
          </w:p>
        </w:tc>
      </w:tr>
      <w:tr>
        <w:trPr>
          <w:trHeight w:val="288" w:hRule="exact"/>
        </w:trPr>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tc>
        <w:tc>
          <w:tcPr>
            <w:tcBorders>
              <w:top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(1,312,814)</w:t>
            </w:r>
          </w:p>
        </w:tc>
        <w:tc>
          <w:tcPr>
            <w:tcBorders>
              <w:top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(166,696)</w:t>
            </w:r>
          </w:p>
        </w:tc>
        <w:tc>
          <w:tcPr>
            <w:tcBorders>
              <w:top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(120,544)</w:t>
            </w:r>
          </w:p>
        </w:tc>
        <w:tc>
          <w:tcPr>
            <w:tcBorders>
              <w:top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(1,317,334)</w:t>
            </w:r>
          </w:p>
        </w:tc>
        <w:tc>
          <w:tcPr>
            <w:tcBorders>
              <w:top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(631,822)</w:t>
            </w:r>
          </w:p>
        </w:tc>
        <w:tc>
          <w:tcPr>
            <w:tcBorders>
              <w:top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(3,549,210)</w:t>
            </w:r>
          </w:p>
        </w:tc>
      </w:tr>
    </w:tbl>
    <w:p>
      <w:pPr>
        <w:sectPr>
          <w:headerReference w:type="default" r:id="rId127"/>
          <w:footerReference w:type="default" r:id="rId128"/>
          <w:headerReference w:type="even" r:id="rId129"/>
          <w:footerReference w:type="even" r:id="rId130"/>
          <w:footnotePr>
            <w:pos w:val="pageBottom"/>
            <w:numFmt w:val="decimal"/>
            <w:numRestart w:val="continuous"/>
          </w:footnotePr>
          <w:pgSz w:w="16840" w:h="11900" w:orient="landscape"/>
          <w:pgMar w:top="1321" w:right="1988" w:bottom="1321" w:left="1316" w:header="0" w:footer="3" w:gutter="0"/>
          <w:cols w:space="720"/>
          <w:noEndnote/>
          <w:rtlGutter w:val="0"/>
          <w:docGrid w:linePitch="360"/>
        </w:sectPr>
      </w:pPr>
    </w:p>
    <w:p>
      <w:pPr>
        <w:pStyle w:val="Style32"/>
        <w:keepNext w:val="0"/>
        <w:keepLines w:val="0"/>
        <w:widowControl w:val="0"/>
        <w:shd w:val="clear" w:color="auto" w:fill="auto"/>
        <w:bidi w:val="0"/>
        <w:spacing w:before="0" w:after="0" w:line="240" w:lineRule="auto"/>
        <w:ind w:left="0" w:right="0" w:firstLine="700"/>
        <w:jc w:val="left"/>
        <w:rPr>
          <w:sz w:val="24"/>
          <w:szCs w:val="24"/>
        </w:rPr>
      </w:pPr>
      <w:r>
        <w:rPr>
          <w:b/>
          <w:bCs/>
          <w:color w:val="000000"/>
          <w:spacing w:val="0"/>
          <w:w w:val="100"/>
          <w:position w:val="0"/>
          <w:sz w:val="24"/>
          <w:szCs w:val="24"/>
        </w:rPr>
        <w:t>财务报表附注</w:t>
      </w:r>
    </w:p>
    <w:p>
      <w:pPr>
        <w:pStyle w:val="Style88"/>
        <w:keepNext/>
        <w:keepLines/>
        <w:widowControl w:val="0"/>
        <w:shd w:val="clear" w:color="auto" w:fill="auto"/>
        <w:bidi w:val="0"/>
        <w:spacing w:before="0" w:after="0" w:line="240" w:lineRule="auto"/>
        <w:ind w:left="0" w:right="0"/>
        <w:jc w:val="left"/>
      </w:pPr>
      <w:bookmarkStart w:id="880" w:name="bookmark880"/>
      <w:bookmarkStart w:id="881" w:name="bookmark881"/>
      <w:bookmarkStart w:id="882" w:name="bookmark882"/>
      <w:r>
        <w:rPr>
          <w:color w:val="000000"/>
          <w:spacing w:val="0"/>
          <w:w w:val="100"/>
          <w:position w:val="0"/>
          <w:sz w:val="24"/>
          <w:szCs w:val="24"/>
        </w:rPr>
        <w:t>2016</w:t>
      </w:r>
      <w:r>
        <w:rPr>
          <w:rFonts w:ascii="SimSun" w:eastAsia="SimSun" w:hAnsi="SimSun" w:cs="SimSun"/>
          <w:b/>
          <w:bCs/>
          <w:color w:val="000000"/>
          <w:spacing w:val="0"/>
          <w:w w:val="100"/>
          <w:position w:val="0"/>
          <w:sz w:val="24"/>
          <w:szCs w:val="24"/>
        </w:rPr>
        <w:t>年度</w:t>
      </w:r>
      <w:bookmarkEnd w:id="880"/>
      <w:bookmarkEnd w:id="881"/>
      <w:bookmarkEnd w:id="882"/>
    </w:p>
    <w:p>
      <w:pPr>
        <w:pStyle w:val="Style32"/>
        <w:keepNext w:val="0"/>
        <w:keepLines w:val="0"/>
        <w:widowControl w:val="0"/>
        <w:shd w:val="clear" w:color="auto" w:fill="auto"/>
        <w:bidi w:val="0"/>
        <w:spacing w:before="0" w:after="580" w:line="240" w:lineRule="auto"/>
        <w:ind w:left="0" w:right="0" w:firstLine="700"/>
        <w:jc w:val="left"/>
        <w:rPr>
          <w:sz w:val="20"/>
          <w:szCs w:val="20"/>
        </w:rPr>
      </w:pPr>
      <w:r>
        <w:rPr>
          <w:color w:val="000000"/>
          <w:spacing w:val="0"/>
          <w:w w:val="100"/>
          <w:position w:val="0"/>
          <w:sz w:val="20"/>
          <w:szCs w:val="20"/>
        </w:rPr>
        <w:t>（除特别注明外，金额单位为人民币千元）</w:t>
      </w:r>
    </w:p>
    <w:p>
      <w:pPr>
        <w:pStyle w:val="Style32"/>
        <w:keepNext w:val="0"/>
        <w:keepLines w:val="0"/>
        <w:widowControl w:val="0"/>
        <w:shd w:val="clear" w:color="auto" w:fill="auto"/>
        <w:tabs>
          <w:tab w:pos="614" w:val="left"/>
        </w:tabs>
        <w:bidi w:val="0"/>
        <w:spacing w:before="0" w:after="260" w:line="240" w:lineRule="auto"/>
        <w:ind w:left="0" w:right="0" w:firstLine="0"/>
        <w:jc w:val="left"/>
        <w:rPr>
          <w:sz w:val="24"/>
          <w:szCs w:val="24"/>
        </w:rPr>
      </w:pPr>
      <w:r>
        <w:rPr>
          <w:b/>
          <w:bCs/>
          <w:color w:val="000000"/>
          <w:spacing w:val="0"/>
          <w:w w:val="100"/>
          <w:position w:val="0"/>
          <w:sz w:val="24"/>
          <w:szCs w:val="24"/>
        </w:rPr>
        <w:t>四</w:t>
        <w:tab/>
        <w:t>合并财务报表项目附注（续）</w:t>
      </w:r>
    </w:p>
    <w:p>
      <w:pPr>
        <w:pStyle w:val="Style32"/>
        <w:keepNext w:val="0"/>
        <w:keepLines w:val="0"/>
        <w:widowControl w:val="0"/>
        <w:shd w:val="clear" w:color="auto" w:fill="auto"/>
        <w:bidi w:val="0"/>
        <w:spacing w:before="0" w:after="260" w:line="240" w:lineRule="auto"/>
        <w:ind w:left="0" w:right="0" w:firstLine="0"/>
        <w:jc w:val="left"/>
        <w:rPr>
          <w:sz w:val="24"/>
          <w:szCs w:val="24"/>
        </w:rPr>
      </w:pPr>
      <w:r>
        <w:rPr>
          <w:rFonts w:ascii="Arial" w:eastAsia="Arial" w:hAnsi="Arial" w:cs="Arial"/>
          <w:color w:val="000000"/>
          <w:spacing w:val="0"/>
          <w:w w:val="100"/>
          <w:position w:val="0"/>
          <w:sz w:val="24"/>
          <w:szCs w:val="24"/>
        </w:rPr>
        <w:t>（14）</w:t>
      </w:r>
      <w:r>
        <w:rPr>
          <w:b/>
          <w:bCs/>
          <w:color w:val="000000"/>
          <w:spacing w:val="0"/>
          <w:w w:val="100"/>
          <w:position w:val="0"/>
          <w:sz w:val="24"/>
          <w:szCs w:val="24"/>
        </w:rPr>
        <w:t>固定资产（续）</w:t>
      </w:r>
    </w:p>
    <w:p>
      <w:pPr>
        <w:pStyle w:val="Style113"/>
        <w:keepNext w:val="0"/>
        <w:keepLines w:val="0"/>
        <w:widowControl w:val="0"/>
        <w:shd w:val="clear" w:color="auto" w:fill="auto"/>
        <w:tabs>
          <w:tab w:pos="1915" w:val="left"/>
        </w:tabs>
        <w:bidi w:val="0"/>
        <w:spacing w:before="0" w:after="260" w:line="240" w:lineRule="auto"/>
        <w:ind w:left="0" w:right="0" w:firstLine="0"/>
        <w:jc w:val="right"/>
      </w:pPr>
      <w:r>
        <w:rPr>
          <w:color w:val="000000"/>
          <w:spacing w:val="0"/>
          <w:w w:val="100"/>
          <w:position w:val="0"/>
        </w:rPr>
        <w:t>房屋及建筑物</w:t>
        <w:tab/>
        <w:t>机器设备</w:t>
      </w:r>
    </w:p>
    <w:p>
      <w:pPr>
        <w:pStyle w:val="Style25"/>
        <w:keepNext w:val="0"/>
        <w:keepLines w:val="0"/>
        <w:widowControl w:val="0"/>
        <w:shd w:val="clear" w:color="auto" w:fill="auto"/>
        <w:bidi w:val="0"/>
        <w:spacing w:before="0" w:after="0" w:line="240" w:lineRule="auto"/>
        <w:ind w:left="91" w:right="0" w:firstLine="0"/>
        <w:jc w:val="left"/>
        <w:rPr>
          <w:sz w:val="18"/>
          <w:szCs w:val="18"/>
        </w:rPr>
      </w:pPr>
      <w:r>
        <w:rPr>
          <w:color w:val="000000"/>
          <w:spacing w:val="0"/>
          <w:w w:val="100"/>
          <w:position w:val="0"/>
          <w:sz w:val="18"/>
          <w:szCs w:val="18"/>
        </w:rPr>
        <w:t>减值准备</w:t>
      </w:r>
    </w:p>
    <w:tbl>
      <w:tblPr>
        <w:tblOverlap w:val="never"/>
        <w:jc w:val="right"/>
        <w:tblLayout w:type="fixed"/>
      </w:tblPr>
      <w:tblGrid>
        <w:gridCol w:w="2986"/>
        <w:gridCol w:w="2424"/>
        <w:gridCol w:w="1070"/>
      </w:tblGrid>
      <w:tr>
        <w:trPr>
          <w:trHeight w:val="31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(34,318)</w:t>
            </w:r>
          </w:p>
        </w:tc>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w:t>
            </w:r>
          </w:p>
        </w:tc>
      </w:tr>
      <w:tr>
        <w:trPr>
          <w:trHeight w:val="269" w:hRule="exact"/>
        </w:trPr>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本年增加</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88" w:hRule="exact"/>
        </w:trPr>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计提</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(9,659)</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259" w:hRule="exact"/>
        </w:trPr>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本年减少</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78" w:hRule="exact"/>
        </w:trPr>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处置及报废</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520" w:firstLine="0"/>
              <w:jc w:val="right"/>
              <w:rPr>
                <w:sz w:val="18"/>
                <w:szCs w:val="18"/>
              </w:rPr>
            </w:pPr>
            <w:r>
              <w:rPr>
                <w:rFonts w:ascii="Times New Roman" w:eastAsia="Times New Roman" w:hAnsi="Times New Roman" w:cs="Times New Roman"/>
                <w:color w:val="000000"/>
                <w:spacing w:val="0"/>
                <w:w w:val="100"/>
                <w:position w:val="0"/>
                <w:sz w:val="18"/>
                <w:szCs w:val="18"/>
              </w:rPr>
              <w:t>1,703</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264" w:hRule="exact"/>
        </w:trPr>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本年外币报表折算差异</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(4,236)</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(46,510)</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562" w:hRule="exact"/>
        </w:trPr>
        <w:tc>
          <w:tcPr>
            <w:gridSpan w:val="3"/>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账面价值</w:t>
            </w:r>
          </w:p>
        </w:tc>
      </w:tr>
      <w:tr>
        <w:trPr>
          <w:trHeight w:val="31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11,472,923</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245,136</w:t>
            </w:r>
          </w:p>
        </w:tc>
      </w:tr>
      <w:tr>
        <w:trPr>
          <w:trHeight w:val="254" w:hRule="exact"/>
        </w:trPr>
        <w:tc>
          <w:tcPr>
            <w:tcBorders>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tc>
        <w:tc>
          <w:tcPr>
            <w:tcBorders>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11,949,975</w:t>
            </w:r>
          </w:p>
        </w:tc>
        <w:tc>
          <w:tcPr>
            <w:tcBorders>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223,624</w:t>
            </w:r>
          </w:p>
        </w:tc>
      </w:tr>
    </w:tbl>
    <w:p>
      <w:pPr>
        <w:sectPr>
          <w:headerReference w:type="default" r:id="rId131"/>
          <w:footerReference w:type="default" r:id="rId132"/>
          <w:headerReference w:type="even" r:id="rId133"/>
          <w:footerReference w:type="even" r:id="rId134"/>
          <w:footnotePr>
            <w:pos w:val="pageBottom"/>
            <w:numFmt w:val="decimal"/>
            <w:numRestart w:val="continuous"/>
          </w:footnotePr>
          <w:pgSz w:w="8400" w:h="11900"/>
          <w:pgMar w:top="1352" w:right="0" w:bottom="1352" w:left="1296" w:header="0" w:footer="924" w:gutter="0"/>
          <w:pgNumType w:start="207"/>
          <w:cols w:space="720"/>
          <w:noEndnote/>
          <w:rtlGutter w:val="0"/>
          <w:docGrid w:linePitch="360"/>
        </w:sectPr>
      </w:pPr>
    </w:p>
    <w:tbl>
      <w:tblPr>
        <w:tblOverlap w:val="never"/>
        <w:jc w:val="left"/>
        <w:tblLayout w:type="fixed"/>
      </w:tblPr>
      <w:tblGrid>
        <w:gridCol w:w="1978"/>
        <w:gridCol w:w="1478"/>
        <w:gridCol w:w="1661"/>
        <w:gridCol w:w="1315"/>
      </w:tblGrid>
      <w:tr>
        <w:trPr>
          <w:trHeight w:val="744"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运输工具</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电子设备</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其他设备</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160" w:firstLine="0"/>
              <w:jc w:val="right"/>
              <w:rPr>
                <w:sz w:val="18"/>
                <w:szCs w:val="18"/>
              </w:rPr>
            </w:pPr>
            <w:r>
              <w:rPr>
                <w:color w:val="000000"/>
                <w:spacing w:val="0"/>
                <w:w w:val="100"/>
                <w:position w:val="0"/>
                <w:sz w:val="18"/>
                <w:szCs w:val="18"/>
              </w:rPr>
              <w:t>合计</w:t>
            </w:r>
          </w:p>
        </w:tc>
      </w:tr>
      <w:tr>
        <w:trPr>
          <w:trHeight w:val="470"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60" w:right="0" w:firstLine="0"/>
              <w:jc w:val="left"/>
              <w:rPr>
                <w:sz w:val="24"/>
                <w:szCs w:val="24"/>
              </w:rPr>
            </w:pPr>
            <w:r>
              <w:rPr>
                <w:color w:val="000000"/>
                <w:spacing w:val="0"/>
                <w:w w:val="100"/>
                <w:position w:val="0"/>
                <w:sz w:val="24"/>
                <w:szCs w:val="24"/>
              </w:rPr>
              <w:t>-</w:t>
            </w:r>
          </w:p>
        </w:tc>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(3H)</w:t>
            </w:r>
          </w:p>
        </w:tc>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(8,358)</w:t>
            </w:r>
          </w:p>
        </w:tc>
        <w:tc>
          <w:tcPr>
            <w:tcBorders>
              <w:top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(42,987)</w:t>
            </w:r>
          </w:p>
        </w:tc>
      </w:tr>
      <w:tr>
        <w:trPr>
          <w:trHeight w:val="552"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1460" w:right="0" w:firstLine="0"/>
              <w:jc w:val="left"/>
              <w:rPr>
                <w:sz w:val="24"/>
                <w:szCs w:val="24"/>
              </w:rPr>
            </w:pPr>
            <w:r>
              <w:rPr>
                <w:color w:val="000000"/>
                <w:spacing w:val="0"/>
                <w:w w:val="100"/>
                <w:position w:val="0"/>
                <w:sz w:val="24"/>
                <w:szCs w:val="24"/>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(93)</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w:t>
            </w:r>
          </w:p>
        </w:tc>
        <w:tc>
          <w:tcPr>
            <w:tcBorders>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(9,953)</w:t>
            </w:r>
          </w:p>
        </w:tc>
      </w:tr>
      <w:tr>
        <w:trPr>
          <w:trHeight w:val="408"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1460" w:right="0" w:firstLine="0"/>
              <w:jc w:val="left"/>
              <w:rPr>
                <w:sz w:val="24"/>
                <w:szCs w:val="24"/>
              </w:rPr>
            </w:pPr>
            <w:r>
              <w:rPr>
                <w:color w:val="000000"/>
                <w:spacing w:val="0"/>
                <w:w w:val="100"/>
                <w:position w:val="0"/>
                <w:sz w:val="24"/>
                <w:szCs w:val="24"/>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404</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410</w:t>
            </w:r>
          </w:p>
        </w:tc>
        <w:tc>
          <w:tcPr>
            <w:tcBorders>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2,517</w:t>
            </w:r>
          </w:p>
        </w:tc>
      </w:tr>
      <w:tr>
        <w:trPr>
          <w:trHeight w:val="235"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1460" w:right="0" w:firstLine="0"/>
              <w:jc w:val="left"/>
              <w:rPr>
                <w:sz w:val="24"/>
                <w:szCs w:val="24"/>
              </w:rPr>
            </w:pPr>
            <w:r>
              <w:rPr>
                <w:color w:val="000000"/>
                <w:spacing w:val="0"/>
                <w:w w:val="100"/>
                <w:position w:val="0"/>
                <w:sz w:val="24"/>
                <w:szCs w:val="24"/>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(H3)</w:t>
            </w:r>
          </w:p>
        </w:tc>
        <w:tc>
          <w:tcPr>
            <w:tcBorders>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(4,349)</w:t>
            </w:r>
          </w:p>
        </w:tc>
      </w:tr>
      <w:tr>
        <w:trPr>
          <w:trHeight w:val="288" w:hRule="exact"/>
        </w:trPr>
        <w:tc>
          <w:tcPr>
            <w:tcBorders>
              <w:top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460" w:right="0" w:firstLine="0"/>
              <w:jc w:val="left"/>
              <w:rPr>
                <w:sz w:val="24"/>
                <w:szCs w:val="24"/>
              </w:rPr>
            </w:pPr>
            <w:r>
              <w:rPr>
                <w:color w:val="000000"/>
                <w:spacing w:val="0"/>
                <w:w w:val="100"/>
                <w:position w:val="0"/>
                <w:sz w:val="24"/>
                <w:szCs w:val="24"/>
              </w:rPr>
              <w:t>-</w:t>
            </w:r>
          </w:p>
        </w:tc>
        <w:tc>
          <w:tcPr>
            <w:tcBorders>
              <w:top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(8,262)</w:t>
            </w:r>
          </w:p>
        </w:tc>
        <w:tc>
          <w:tcPr>
            <w:tcBorders>
              <w:top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(54,772)</w:t>
            </w:r>
          </w:p>
        </w:tc>
      </w:tr>
    </w:tbl>
    <w:p>
      <w:pPr>
        <w:widowControl w:val="0"/>
        <w:spacing w:after="539" w:line="1" w:lineRule="exact"/>
      </w:pPr>
    </w:p>
    <w:tbl>
      <w:tblPr>
        <w:tblOverlap w:val="never"/>
        <w:jc w:val="left"/>
        <w:tblLayout w:type="fixed"/>
      </w:tblPr>
      <w:tblGrid>
        <w:gridCol w:w="2006"/>
        <w:gridCol w:w="1450"/>
        <w:gridCol w:w="1498"/>
        <w:gridCol w:w="1478"/>
      </w:tblGrid>
      <w:tr>
        <w:trPr>
          <w:trHeight w:val="331" w:hRule="exact"/>
        </w:trPr>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32,016</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662,527</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400,567</w:t>
            </w:r>
          </w:p>
        </w:tc>
        <w:tc>
          <w:tcPr>
            <w:tcBorders>
              <w:top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12,813,169</w:t>
            </w:r>
          </w:p>
        </w:tc>
      </w:tr>
      <w:tr>
        <w:trPr>
          <w:trHeight w:val="245" w:hRule="exact"/>
        </w:trPr>
        <w:tc>
          <w:tcPr>
            <w:tcBorders>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54,520</w:t>
            </w:r>
          </w:p>
        </w:tc>
        <w:tc>
          <w:tcPr>
            <w:tcBorders>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622,243</w:t>
            </w:r>
          </w:p>
        </w:tc>
        <w:tc>
          <w:tcPr>
            <w:tcBorders>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403,242</w:t>
            </w:r>
          </w:p>
        </w:tc>
        <w:tc>
          <w:tcPr>
            <w:tcBorders>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13,253,604</w:t>
            </w:r>
          </w:p>
        </w:tc>
      </w:tr>
    </w:tbl>
    <w:p>
      <w:pPr>
        <w:sectPr>
          <w:headerReference w:type="default" r:id="rId135"/>
          <w:footerReference w:type="default" r:id="rId136"/>
          <w:headerReference w:type="even" r:id="rId137"/>
          <w:footerReference w:type="even" r:id="rId138"/>
          <w:footnotePr>
            <w:pos w:val="pageBottom"/>
            <w:numFmt w:val="decimal"/>
            <w:numRestart w:val="continuous"/>
          </w:footnotePr>
          <w:pgSz w:w="8400" w:h="11900"/>
          <w:pgMar w:top="3819" w:right="1296" w:bottom="3819" w:left="0" w:header="3391" w:footer="3" w:gutter="0"/>
          <w:pgNumType w:start="202"/>
          <w:cols w:space="720"/>
          <w:noEndnote/>
          <w:rtlGutter w:val="0"/>
          <w:docGrid w:linePitch="360"/>
        </w:sectPr>
      </w:pPr>
    </w:p>
    <w:p>
      <w:pPr>
        <w:pStyle w:val="Style32"/>
        <w:keepNext w:val="0"/>
        <w:keepLines w:val="0"/>
        <w:widowControl w:val="0"/>
        <w:shd w:val="clear" w:color="auto" w:fill="auto"/>
        <w:bidi w:val="0"/>
        <w:spacing w:before="0" w:after="0" w:line="240" w:lineRule="auto"/>
        <w:ind w:left="0" w:right="0" w:firstLine="720"/>
        <w:jc w:val="left"/>
        <w:rPr>
          <w:sz w:val="24"/>
          <w:szCs w:val="24"/>
        </w:rPr>
      </w:pPr>
      <w:r>
        <w:rPr>
          <w:b/>
          <w:bCs/>
          <w:color w:val="000000"/>
          <w:spacing w:val="0"/>
          <w:w w:val="100"/>
          <w:position w:val="0"/>
          <w:sz w:val="24"/>
          <w:szCs w:val="24"/>
        </w:rPr>
        <w:t>财务报表附注</w:t>
      </w:r>
    </w:p>
    <w:p>
      <w:pPr>
        <w:pStyle w:val="Style88"/>
        <w:keepNext/>
        <w:keepLines/>
        <w:widowControl w:val="0"/>
        <w:shd w:val="clear" w:color="auto" w:fill="auto"/>
        <w:bidi w:val="0"/>
        <w:spacing w:before="0" w:after="0" w:line="240" w:lineRule="auto"/>
        <w:ind w:left="0" w:right="0" w:firstLine="720"/>
        <w:jc w:val="left"/>
      </w:pPr>
      <w:bookmarkStart w:id="883" w:name="bookmark883"/>
      <w:bookmarkStart w:id="884" w:name="bookmark884"/>
      <w:bookmarkStart w:id="885" w:name="bookmark885"/>
      <w:r>
        <w:rPr>
          <w:color w:val="000000"/>
          <w:spacing w:val="0"/>
          <w:w w:val="100"/>
          <w:position w:val="0"/>
          <w:sz w:val="24"/>
          <w:szCs w:val="24"/>
        </w:rPr>
        <w:t>2016</w:t>
      </w:r>
      <w:r>
        <w:rPr>
          <w:rFonts w:ascii="SimSun" w:eastAsia="SimSun" w:hAnsi="SimSun" w:cs="SimSun"/>
          <w:b/>
          <w:bCs/>
          <w:color w:val="000000"/>
          <w:spacing w:val="0"/>
          <w:w w:val="100"/>
          <w:position w:val="0"/>
          <w:sz w:val="24"/>
          <w:szCs w:val="24"/>
        </w:rPr>
        <w:t>年度</w:t>
      </w:r>
      <w:bookmarkEnd w:id="883"/>
      <w:bookmarkEnd w:id="884"/>
      <w:bookmarkEnd w:id="885"/>
    </w:p>
    <w:p>
      <w:pPr>
        <w:pStyle w:val="Style32"/>
        <w:keepNext w:val="0"/>
        <w:keepLines w:val="0"/>
        <w:widowControl w:val="0"/>
        <w:shd w:val="clear" w:color="auto" w:fill="auto"/>
        <w:bidi w:val="0"/>
        <w:spacing w:before="0" w:after="240" w:line="240" w:lineRule="auto"/>
        <w:ind w:left="0" w:right="0" w:firstLine="720"/>
        <w:jc w:val="left"/>
        <w:rPr>
          <w:sz w:val="24"/>
          <w:szCs w:val="24"/>
        </w:rPr>
      </w:pPr>
      <w:r>
        <w:rPr>
          <w:rFonts w:ascii="Arial" w:eastAsia="Arial" w:hAnsi="Arial" w:cs="Arial"/>
          <w:color w:val="000000"/>
          <w:spacing w:val="0"/>
          <w:w w:val="100"/>
          <w:position w:val="0"/>
          <w:sz w:val="20"/>
          <w:szCs w:val="20"/>
        </w:rPr>
        <w:t>（</w:t>
      </w:r>
      <w:r>
        <w:rPr>
          <w:color w:val="000000"/>
          <w:spacing w:val="0"/>
          <w:w w:val="100"/>
          <w:position w:val="0"/>
          <w:sz w:val="20"/>
          <w:szCs w:val="20"/>
        </w:rPr>
        <w:t>除特别注明外，金额单位为人民币千元</w:t>
      </w:r>
      <w:r>
        <w:rPr>
          <w:color w:val="000000"/>
          <w:spacing w:val="0"/>
          <w:w w:val="100"/>
          <w:position w:val="0"/>
          <w:sz w:val="24"/>
          <w:szCs w:val="24"/>
        </w:rPr>
        <w:t>）</w:t>
      </w:r>
    </w:p>
    <w:p>
      <w:pPr>
        <w:pStyle w:val="Style32"/>
        <w:keepNext w:val="0"/>
        <w:keepLines w:val="0"/>
        <w:widowControl w:val="0"/>
        <w:shd w:val="clear" w:color="auto" w:fill="auto"/>
        <w:tabs>
          <w:tab w:pos="699" w:val="left"/>
        </w:tabs>
        <w:bidi w:val="0"/>
        <w:spacing w:before="0" w:after="240" w:line="240" w:lineRule="auto"/>
        <w:ind w:left="0" w:right="0" w:firstLine="0"/>
        <w:jc w:val="left"/>
        <w:rPr>
          <w:sz w:val="24"/>
          <w:szCs w:val="24"/>
        </w:rPr>
      </w:pPr>
      <w:r>
        <w:rPr>
          <w:b/>
          <w:bCs/>
          <w:color w:val="000000"/>
          <w:spacing w:val="0"/>
          <w:w w:val="100"/>
          <w:position w:val="0"/>
          <w:sz w:val="24"/>
          <w:szCs w:val="24"/>
        </w:rPr>
        <w:t>四</w:t>
        <w:tab/>
        <w:t>合并财务报表项目附注</w:t>
      </w:r>
      <w:r>
        <w:rPr>
          <w:rFonts w:ascii="Times New Roman" w:eastAsia="Times New Roman" w:hAnsi="Times New Roman" w:cs="Times New Roman"/>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4"/>
          <w:szCs w:val="24"/>
        </w:rPr>
        <w:t>）</w:t>
      </w:r>
    </w:p>
    <w:p>
      <w:pPr>
        <w:pStyle w:val="Style53"/>
        <w:keepNext w:val="0"/>
        <w:keepLines w:val="0"/>
        <w:widowControl w:val="0"/>
        <w:shd w:val="clear" w:color="auto" w:fill="auto"/>
        <w:bidi w:val="0"/>
        <w:spacing w:before="0" w:after="180" w:line="276" w:lineRule="auto"/>
        <w:ind w:left="0" w:right="0" w:firstLine="0"/>
        <w:jc w:val="left"/>
        <w:rPr>
          <w:sz w:val="24"/>
          <w:szCs w:val="24"/>
        </w:rPr>
      </w:pPr>
      <w:r>
        <w:rPr>
          <w:color w:val="000000"/>
          <w:spacing w:val="0"/>
          <w:w w:val="100"/>
          <w:position w:val="0"/>
          <w:sz w:val="24"/>
          <w:szCs w:val="24"/>
        </w:rPr>
        <w:t>（14）</w:t>
      </w:r>
      <w:r>
        <w:rPr>
          <w:rFonts w:ascii="SimSun" w:eastAsia="SimSun" w:hAnsi="SimSun" w:cs="SimSun"/>
          <w:b/>
          <w:bCs/>
          <w:color w:val="000000"/>
          <w:spacing w:val="0"/>
          <w:w w:val="100"/>
          <w:position w:val="0"/>
          <w:sz w:val="24"/>
          <w:szCs w:val="24"/>
        </w:rPr>
        <w:t>固定资产</w:t>
      </w:r>
      <w:r>
        <w:rPr>
          <w:color w:val="000000"/>
          <w:spacing w:val="0"/>
          <w:w w:val="100"/>
          <w:position w:val="0"/>
          <w:sz w:val="24"/>
          <w:szCs w:val="24"/>
        </w:rPr>
        <w:t>（</w:t>
      </w:r>
      <w:r>
        <w:rPr>
          <w:rFonts w:ascii="SimSun" w:eastAsia="SimSun" w:hAnsi="SimSun" w:cs="SimSun"/>
          <w:b/>
          <w:bCs/>
          <w:color w:val="000000"/>
          <w:spacing w:val="0"/>
          <w:w w:val="100"/>
          <w:position w:val="0"/>
          <w:sz w:val="24"/>
          <w:szCs w:val="24"/>
        </w:rPr>
        <w:t>续</w:t>
      </w:r>
      <w:r>
        <w:rPr>
          <w:rFonts w:ascii="SimSun" w:eastAsia="SimSun" w:hAnsi="SimSun" w:cs="SimSun"/>
          <w:color w:val="000000"/>
          <w:spacing w:val="0"/>
          <w:w w:val="100"/>
          <w:position w:val="0"/>
          <w:sz w:val="24"/>
          <w:szCs w:val="24"/>
        </w:rPr>
        <w:t>）</w:t>
      </w:r>
    </w:p>
    <w:p>
      <w:pPr>
        <w:pStyle w:val="Style32"/>
        <w:keepNext w:val="0"/>
        <w:keepLines w:val="0"/>
        <w:widowControl w:val="0"/>
        <w:shd w:val="clear" w:color="auto" w:fill="auto"/>
        <w:bidi w:val="0"/>
        <w:spacing w:before="0" w:after="240" w:line="316" w:lineRule="exact"/>
        <w:ind w:left="720" w:right="0" w:firstLine="0"/>
        <w:jc w:val="both"/>
        <w:rPr>
          <w:sz w:val="24"/>
          <w:szCs w:val="24"/>
        </w:rPr>
      </w:pPr>
      <w:r>
        <w:rPr>
          <w:color w:val="000000"/>
          <w:spacing w:val="0"/>
          <w:w w:val="100"/>
          <w:position w:val="0"/>
          <w:sz w:val="24"/>
          <w:szCs w:val="24"/>
        </w:rPr>
        <w:t>于</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日，账面价值约为人民币</w:t>
      </w:r>
      <w:r>
        <w:rPr>
          <w:rFonts w:ascii="Times New Roman" w:eastAsia="Times New Roman" w:hAnsi="Times New Roman" w:cs="Times New Roman"/>
          <w:color w:val="000000"/>
          <w:spacing w:val="0"/>
          <w:w w:val="100"/>
          <w:position w:val="0"/>
          <w:sz w:val="24"/>
          <w:szCs w:val="24"/>
        </w:rPr>
        <w:t>220</w:t>
      </w:r>
      <w:r>
        <w:rPr>
          <w:color w:val="000000"/>
          <w:spacing w:val="0"/>
          <w:w w:val="100"/>
          <w:position w:val="0"/>
          <w:sz w:val="24"/>
          <w:szCs w:val="24"/>
        </w:rPr>
        <w:t>万元</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原价约为人民币</w:t>
      </w:r>
      <w:r>
        <w:rPr>
          <w:rFonts w:ascii="Times New Roman" w:eastAsia="Times New Roman" w:hAnsi="Times New Roman" w:cs="Times New Roman"/>
          <w:color w:val="000000"/>
          <w:spacing w:val="0"/>
          <w:w w:val="100"/>
          <w:position w:val="0"/>
          <w:sz w:val="24"/>
          <w:szCs w:val="24"/>
        </w:rPr>
        <w:t>504</w:t>
      </w:r>
      <w:r>
        <w:rPr>
          <w:color w:val="000000"/>
          <w:spacing w:val="0"/>
          <w:w w:val="100"/>
          <w:position w:val="0"/>
          <w:sz w:val="24"/>
          <w:szCs w:val="24"/>
        </w:rPr>
        <w:t>万元</w:t>
      </w:r>
      <w:r>
        <w:rPr>
          <w:rFonts w:ascii="Times New Roman" w:eastAsia="Times New Roman" w:hAnsi="Times New Roman" w:cs="Times New Roman"/>
          <w:color w:val="000000"/>
          <w:spacing w:val="0"/>
          <w:w w:val="100"/>
          <w:position w:val="0"/>
          <w:sz w:val="24"/>
          <w:szCs w:val="24"/>
        </w:rPr>
        <w:t xml:space="preserve">） </w:t>
      </w:r>
      <w:r>
        <w:rPr>
          <w:color w:val="000000"/>
          <w:spacing w:val="0"/>
          <w:w w:val="100"/>
          <w:position w:val="0"/>
          <w:sz w:val="24"/>
          <w:szCs w:val="24"/>
        </w:rPr>
        <w:t>的房屋及建筑物</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日，账面价值约人民币</w:t>
      </w:r>
      <w:r>
        <w:rPr>
          <w:rFonts w:ascii="Times New Roman" w:eastAsia="Times New Roman" w:hAnsi="Times New Roman" w:cs="Times New Roman"/>
          <w:color w:val="000000"/>
          <w:spacing w:val="0"/>
          <w:w w:val="100"/>
          <w:position w:val="0"/>
          <w:sz w:val="24"/>
          <w:szCs w:val="24"/>
        </w:rPr>
        <w:t>6.91</w:t>
      </w:r>
      <w:r>
        <w:rPr>
          <w:color w:val="000000"/>
          <w:spacing w:val="0"/>
          <w:w w:val="100"/>
          <w:position w:val="0"/>
          <w:sz w:val="24"/>
          <w:szCs w:val="24"/>
        </w:rPr>
        <w:t>亿元、原价约人民 币</w:t>
      </w:r>
      <w:r>
        <w:rPr>
          <w:rFonts w:ascii="Times New Roman" w:eastAsia="Times New Roman" w:hAnsi="Times New Roman" w:cs="Times New Roman"/>
          <w:color w:val="000000"/>
          <w:spacing w:val="0"/>
          <w:w w:val="100"/>
          <w:position w:val="0"/>
          <w:sz w:val="24"/>
          <w:szCs w:val="24"/>
        </w:rPr>
        <w:t>7.95</w:t>
      </w:r>
      <w:r>
        <w:rPr>
          <w:color w:val="000000"/>
          <w:spacing w:val="0"/>
          <w:w w:val="100"/>
          <w:position w:val="0"/>
          <w:sz w:val="24"/>
          <w:szCs w:val="24"/>
        </w:rPr>
        <w:t>亿元</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作为约人民币</w:t>
      </w:r>
      <w:r>
        <w:rPr>
          <w:rFonts w:ascii="Times New Roman" w:eastAsia="Times New Roman" w:hAnsi="Times New Roman" w:cs="Times New Roman"/>
          <w:color w:val="000000"/>
          <w:spacing w:val="0"/>
          <w:w w:val="100"/>
          <w:position w:val="0"/>
          <w:sz w:val="24"/>
          <w:szCs w:val="24"/>
        </w:rPr>
        <w:t>886</w:t>
      </w:r>
      <w:r>
        <w:rPr>
          <w:color w:val="000000"/>
          <w:spacing w:val="0"/>
          <w:w w:val="100"/>
          <w:position w:val="0"/>
          <w:sz w:val="24"/>
          <w:szCs w:val="24"/>
        </w:rPr>
        <w:t>万元的长期借款</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 xml:space="preserve">日：约人民币 </w:t>
      </w:r>
      <w:r>
        <w:rPr>
          <w:rFonts w:ascii="Times New Roman" w:eastAsia="Times New Roman" w:hAnsi="Times New Roman" w:cs="Times New Roman"/>
          <w:color w:val="000000"/>
          <w:spacing w:val="0"/>
          <w:w w:val="100"/>
          <w:position w:val="0"/>
          <w:sz w:val="24"/>
          <w:szCs w:val="24"/>
        </w:rPr>
        <w:t>3.8</w:t>
      </w:r>
      <w:r>
        <w:rPr>
          <w:color w:val="000000"/>
          <w:spacing w:val="0"/>
          <w:w w:val="100"/>
          <w:position w:val="0"/>
          <w:sz w:val="24"/>
          <w:szCs w:val="24"/>
        </w:rPr>
        <w:t>亿元的长期借款</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附注四</w:t>
      </w:r>
      <w:r>
        <w:rPr>
          <w:rFonts w:ascii="Times New Roman" w:eastAsia="Times New Roman" w:hAnsi="Times New Roman" w:cs="Times New Roman"/>
          <w:color w:val="000000"/>
          <w:spacing w:val="0"/>
          <w:w w:val="100"/>
          <w:position w:val="0"/>
          <w:sz w:val="24"/>
          <w:szCs w:val="24"/>
        </w:rPr>
        <w:t>（33））</w:t>
      </w:r>
      <w:r>
        <w:rPr>
          <w:color w:val="000000"/>
          <w:spacing w:val="0"/>
          <w:w w:val="100"/>
          <w:position w:val="0"/>
          <w:sz w:val="24"/>
          <w:szCs w:val="24"/>
        </w:rPr>
        <w:t>以及约人民币</w:t>
      </w:r>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4"/>
          <w:szCs w:val="24"/>
        </w:rPr>
        <w:t>亿元的短期借款</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附注四</w:t>
      </w:r>
      <w:r>
        <w:rPr>
          <w:rFonts w:ascii="Times New Roman" w:eastAsia="Times New Roman" w:hAnsi="Times New Roman" w:cs="Times New Roman"/>
          <w:color w:val="000000"/>
          <w:spacing w:val="0"/>
          <w:w w:val="100"/>
          <w:position w:val="0"/>
          <w:sz w:val="24"/>
          <w:szCs w:val="24"/>
        </w:rPr>
        <w:t>（22）））</w:t>
      </w:r>
      <w:r>
        <w:rPr>
          <w:color w:val="000000"/>
          <w:spacing w:val="0"/>
          <w:w w:val="100"/>
          <w:position w:val="0"/>
          <w:sz w:val="24"/>
          <w:szCs w:val="24"/>
        </w:rPr>
        <w:t>的 抵押物。</w:t>
      </w:r>
    </w:p>
    <w:p>
      <w:pPr>
        <w:pStyle w:val="Style32"/>
        <w:keepNext w:val="0"/>
        <w:keepLines w:val="0"/>
        <w:widowControl w:val="0"/>
        <w:shd w:val="clear" w:color="auto" w:fill="auto"/>
        <w:bidi w:val="0"/>
        <w:spacing w:before="0" w:after="240" w:line="312" w:lineRule="exact"/>
        <w:ind w:left="720" w:right="0" w:firstLine="0"/>
        <w:jc w:val="both"/>
        <w:rPr>
          <w:sz w:val="24"/>
          <w:szCs w:val="24"/>
        </w:rPr>
      </w:pP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年度固定资产计提的折旧金额约为人民币</w:t>
      </w:r>
      <w:r>
        <w:rPr>
          <w:rFonts w:ascii="Times New Roman" w:eastAsia="Times New Roman" w:hAnsi="Times New Roman" w:cs="Times New Roman"/>
          <w:color w:val="000000"/>
          <w:spacing w:val="0"/>
          <w:w w:val="100"/>
          <w:position w:val="0"/>
          <w:sz w:val="24"/>
          <w:szCs w:val="24"/>
        </w:rPr>
        <w:t>8.23</w:t>
      </w:r>
      <w:r>
        <w:rPr>
          <w:color w:val="000000"/>
          <w:spacing w:val="0"/>
          <w:w w:val="100"/>
          <w:position w:val="0"/>
          <w:sz w:val="24"/>
          <w:szCs w:val="24"/>
        </w:rPr>
        <w:t>亿元</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sz w:val="24"/>
          <w:szCs w:val="24"/>
        </w:rPr>
        <w:t xml:space="preserve">年度：约人民币 </w:t>
      </w:r>
      <w:r>
        <w:rPr>
          <w:rFonts w:ascii="Times New Roman" w:eastAsia="Times New Roman" w:hAnsi="Times New Roman" w:cs="Times New Roman"/>
          <w:color w:val="000000"/>
          <w:spacing w:val="0"/>
          <w:w w:val="100"/>
          <w:position w:val="0"/>
          <w:sz w:val="24"/>
          <w:szCs w:val="24"/>
        </w:rPr>
        <w:t>8.43</w:t>
      </w:r>
      <w:r>
        <w:rPr>
          <w:color w:val="000000"/>
          <w:spacing w:val="0"/>
          <w:w w:val="100"/>
          <w:position w:val="0"/>
          <w:sz w:val="24"/>
          <w:szCs w:val="24"/>
        </w:rPr>
        <w:t>亿元</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 xml:space="preserve">，其中计入营业成本、销售费用及管理费用的折旧费用分别为约人民币 </w:t>
      </w:r>
      <w:r>
        <w:rPr>
          <w:rFonts w:ascii="Times New Roman" w:eastAsia="Times New Roman" w:hAnsi="Times New Roman" w:cs="Times New Roman"/>
          <w:color w:val="000000"/>
          <w:spacing w:val="0"/>
          <w:w w:val="100"/>
          <w:position w:val="0"/>
          <w:sz w:val="24"/>
          <w:szCs w:val="24"/>
        </w:rPr>
        <w:t>1.02</w:t>
      </w:r>
      <w:r>
        <w:rPr>
          <w:color w:val="000000"/>
          <w:spacing w:val="0"/>
          <w:w w:val="100"/>
          <w:position w:val="0"/>
          <w:sz w:val="24"/>
          <w:szCs w:val="24"/>
        </w:rPr>
        <w:t>亿元、约人民币</w:t>
      </w:r>
      <w:r>
        <w:rPr>
          <w:rFonts w:ascii="Times New Roman" w:eastAsia="Times New Roman" w:hAnsi="Times New Roman" w:cs="Times New Roman"/>
          <w:color w:val="000000"/>
          <w:spacing w:val="0"/>
          <w:w w:val="100"/>
          <w:position w:val="0"/>
          <w:sz w:val="24"/>
          <w:szCs w:val="24"/>
        </w:rPr>
        <w:t>4.38</w:t>
      </w:r>
      <w:r>
        <w:rPr>
          <w:color w:val="000000"/>
          <w:spacing w:val="0"/>
          <w:w w:val="100"/>
          <w:position w:val="0"/>
          <w:sz w:val="24"/>
          <w:szCs w:val="24"/>
        </w:rPr>
        <w:t>亿元及约人民币</w:t>
      </w:r>
      <w:r>
        <w:rPr>
          <w:rFonts w:ascii="Times New Roman" w:eastAsia="Times New Roman" w:hAnsi="Times New Roman" w:cs="Times New Roman"/>
          <w:color w:val="000000"/>
          <w:spacing w:val="0"/>
          <w:w w:val="100"/>
          <w:position w:val="0"/>
          <w:sz w:val="24"/>
          <w:szCs w:val="24"/>
        </w:rPr>
        <w:t>2.83</w:t>
      </w:r>
      <w:r>
        <w:rPr>
          <w:color w:val="000000"/>
          <w:spacing w:val="0"/>
          <w:w w:val="100"/>
          <w:position w:val="0"/>
          <w:sz w:val="24"/>
          <w:szCs w:val="24"/>
        </w:rPr>
        <w:t>亿元</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sz w:val="24"/>
          <w:szCs w:val="24"/>
        </w:rPr>
        <w:t>年度：其中计入营业成 本、销售费用及管理费用的折旧费用分别为约人民币</w:t>
      </w:r>
      <w:r>
        <w:rPr>
          <w:rFonts w:ascii="Times New Roman" w:eastAsia="Times New Roman" w:hAnsi="Times New Roman" w:cs="Times New Roman"/>
          <w:color w:val="000000"/>
          <w:spacing w:val="0"/>
          <w:w w:val="100"/>
          <w:position w:val="0"/>
          <w:sz w:val="24"/>
          <w:szCs w:val="24"/>
        </w:rPr>
        <w:t>9,704</w:t>
      </w:r>
      <w:r>
        <w:rPr>
          <w:color w:val="000000"/>
          <w:spacing w:val="0"/>
          <w:w w:val="100"/>
          <w:position w:val="0"/>
          <w:sz w:val="24"/>
          <w:szCs w:val="24"/>
        </w:rPr>
        <w:t>万元、约人民币</w:t>
      </w:r>
      <w:r>
        <w:rPr>
          <w:rFonts w:ascii="Times New Roman" w:eastAsia="Times New Roman" w:hAnsi="Times New Roman" w:cs="Times New Roman"/>
          <w:color w:val="000000"/>
          <w:spacing w:val="0"/>
          <w:w w:val="100"/>
          <w:position w:val="0"/>
          <w:sz w:val="24"/>
          <w:szCs w:val="24"/>
        </w:rPr>
        <w:t xml:space="preserve">4.41 </w:t>
      </w:r>
      <w:r>
        <w:rPr>
          <w:color w:val="000000"/>
          <w:spacing w:val="0"/>
          <w:w w:val="100"/>
          <w:position w:val="0"/>
          <w:sz w:val="24"/>
          <w:szCs w:val="24"/>
        </w:rPr>
        <w:t>亿元及约人民币</w:t>
      </w:r>
      <w:r>
        <w:rPr>
          <w:rFonts w:ascii="Times New Roman" w:eastAsia="Times New Roman" w:hAnsi="Times New Roman" w:cs="Times New Roman"/>
          <w:color w:val="000000"/>
          <w:spacing w:val="0"/>
          <w:w w:val="100"/>
          <w:position w:val="0"/>
          <w:sz w:val="24"/>
          <w:szCs w:val="24"/>
        </w:rPr>
        <w:t>3.05</w:t>
      </w:r>
      <w:r>
        <w:rPr>
          <w:color w:val="000000"/>
          <w:spacing w:val="0"/>
          <w:w w:val="100"/>
          <w:position w:val="0"/>
          <w:sz w:val="24"/>
          <w:szCs w:val="24"/>
        </w:rPr>
        <w:t>亿元</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w:t>
      </w:r>
    </w:p>
    <w:p>
      <w:pPr>
        <w:pStyle w:val="Style32"/>
        <w:keepNext w:val="0"/>
        <w:keepLines w:val="0"/>
        <w:widowControl w:val="0"/>
        <w:shd w:val="clear" w:color="auto" w:fill="auto"/>
        <w:bidi w:val="0"/>
        <w:spacing w:before="0" w:after="240" w:line="326" w:lineRule="exact"/>
        <w:ind w:left="720" w:right="0" w:firstLine="0"/>
        <w:jc w:val="both"/>
        <w:rPr>
          <w:sz w:val="24"/>
          <w:szCs w:val="24"/>
        </w:rPr>
      </w:pPr>
      <w:r>
        <w:rPr>
          <w:color w:val="000000"/>
          <w:spacing w:val="0"/>
          <w:w w:val="100"/>
          <w:position w:val="0"/>
          <w:sz w:val="24"/>
          <w:szCs w:val="24"/>
        </w:rPr>
        <w:t>由在建工程转入固定资产的原价约为人民币</w:t>
      </w:r>
      <w:r>
        <w:rPr>
          <w:rFonts w:ascii="Times New Roman" w:eastAsia="Times New Roman" w:hAnsi="Times New Roman" w:cs="Times New Roman"/>
          <w:color w:val="000000"/>
          <w:spacing w:val="0"/>
          <w:w w:val="100"/>
          <w:position w:val="0"/>
          <w:sz w:val="24"/>
          <w:szCs w:val="24"/>
        </w:rPr>
        <w:t>19.11</w:t>
      </w:r>
      <w:r>
        <w:rPr>
          <w:color w:val="000000"/>
          <w:spacing w:val="0"/>
          <w:w w:val="100"/>
          <w:position w:val="0"/>
          <w:sz w:val="24"/>
          <w:szCs w:val="24"/>
        </w:rPr>
        <w:t>亿元</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sz w:val="24"/>
          <w:szCs w:val="24"/>
        </w:rPr>
        <w:t>年度：约人民币</w:t>
      </w:r>
      <w:r>
        <w:rPr>
          <w:rFonts w:ascii="Times New Roman" w:eastAsia="Times New Roman" w:hAnsi="Times New Roman" w:cs="Times New Roman"/>
          <w:color w:val="000000"/>
          <w:spacing w:val="0"/>
          <w:w w:val="100"/>
          <w:position w:val="0"/>
          <w:sz w:val="24"/>
          <w:szCs w:val="24"/>
        </w:rPr>
        <w:t xml:space="preserve">36.6 </w:t>
      </w:r>
      <w:r>
        <w:rPr>
          <w:color w:val="000000"/>
          <w:spacing w:val="0"/>
          <w:w w:val="100"/>
          <w:position w:val="0"/>
          <w:sz w:val="24"/>
          <w:szCs w:val="24"/>
        </w:rPr>
        <w:t>亿元</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w:t>
      </w:r>
    </w:p>
    <w:p>
      <w:pPr>
        <w:pStyle w:val="Style32"/>
        <w:keepNext w:val="0"/>
        <w:keepLines w:val="0"/>
        <w:widowControl w:val="0"/>
        <w:shd w:val="clear" w:color="auto" w:fill="auto"/>
        <w:tabs>
          <w:tab w:pos="699" w:val="left"/>
        </w:tabs>
        <w:bidi w:val="0"/>
        <w:spacing w:before="0" w:after="240" w:line="316" w:lineRule="exact"/>
        <w:ind w:left="0" w:right="0" w:firstLine="0"/>
        <w:jc w:val="left"/>
        <w:rPr>
          <w:sz w:val="24"/>
          <w:szCs w:val="24"/>
        </w:rPr>
      </w:pPr>
      <w:bookmarkStart w:id="886" w:name="bookmark886"/>
      <w:r>
        <w:rPr>
          <w:rFonts w:ascii="Times New Roman" w:eastAsia="Times New Roman" w:hAnsi="Times New Roman" w:cs="Times New Roman"/>
          <w:color w:val="000000"/>
          <w:spacing w:val="0"/>
          <w:w w:val="100"/>
          <w:position w:val="0"/>
          <w:sz w:val="24"/>
          <w:szCs w:val="24"/>
        </w:rPr>
        <w:t>（</w:t>
      </w:r>
      <w:bookmarkEnd w:id="886"/>
      <w:r>
        <w:rPr>
          <w:rFonts w:ascii="Times New Roman" w:eastAsia="Times New Roman" w:hAnsi="Times New Roman" w:cs="Times New Roman"/>
          <w:color w:val="000000"/>
          <w:spacing w:val="0"/>
          <w:w w:val="100"/>
          <w:position w:val="0"/>
          <w:sz w:val="24"/>
          <w:szCs w:val="24"/>
        </w:rPr>
        <w:t>a）</w:t>
        <w:tab/>
      </w:r>
      <w:r>
        <w:rPr>
          <w:color w:val="000000"/>
          <w:spacing w:val="0"/>
          <w:w w:val="100"/>
          <w:position w:val="0"/>
          <w:sz w:val="24"/>
          <w:szCs w:val="24"/>
        </w:rPr>
        <w:t>于</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日和</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日，本集团无重大闲置的固定资产。</w:t>
      </w:r>
    </w:p>
    <w:p>
      <w:pPr>
        <w:pStyle w:val="Style32"/>
        <w:keepNext w:val="0"/>
        <w:keepLines w:val="0"/>
        <w:widowControl w:val="0"/>
        <w:shd w:val="clear" w:color="auto" w:fill="auto"/>
        <w:tabs>
          <w:tab w:pos="699" w:val="left"/>
        </w:tabs>
        <w:bidi w:val="0"/>
        <w:spacing w:before="0" w:after="240" w:line="276" w:lineRule="auto"/>
        <w:ind w:left="0" w:right="0" w:firstLine="0"/>
        <w:jc w:val="left"/>
        <w:rPr>
          <w:sz w:val="24"/>
          <w:szCs w:val="24"/>
        </w:rPr>
      </w:pPr>
      <w:bookmarkStart w:id="887" w:name="bookmark887"/>
      <w:r>
        <w:rPr>
          <w:rFonts w:ascii="Times New Roman" w:eastAsia="Times New Roman" w:hAnsi="Times New Roman" w:cs="Times New Roman"/>
          <w:color w:val="000000"/>
          <w:spacing w:val="0"/>
          <w:w w:val="100"/>
          <w:position w:val="0"/>
          <w:sz w:val="24"/>
          <w:szCs w:val="24"/>
        </w:rPr>
        <w:t>（</w:t>
      </w:r>
      <w:bookmarkEnd w:id="887"/>
      <w:r>
        <w:rPr>
          <w:rFonts w:ascii="Times New Roman" w:eastAsia="Times New Roman" w:hAnsi="Times New Roman" w:cs="Times New Roman"/>
          <w:color w:val="000000"/>
          <w:spacing w:val="0"/>
          <w:w w:val="100"/>
          <w:position w:val="0"/>
          <w:sz w:val="24"/>
          <w:szCs w:val="24"/>
        </w:rPr>
        <w:t>b）</w:t>
        <w:tab/>
      </w:r>
      <w:r>
        <w:rPr>
          <w:color w:val="000000"/>
          <w:spacing w:val="0"/>
          <w:w w:val="100"/>
          <w:position w:val="0"/>
          <w:sz w:val="24"/>
          <w:szCs w:val="24"/>
        </w:rPr>
        <w:t>未办妥产权证书的固定资产：</w:t>
      </w:r>
    </w:p>
    <w:p>
      <w:pPr>
        <w:pStyle w:val="Style32"/>
        <w:keepNext w:val="0"/>
        <w:keepLines w:val="0"/>
        <w:widowControl w:val="0"/>
        <w:shd w:val="clear" w:color="auto" w:fill="auto"/>
        <w:tabs>
          <w:tab w:pos="1934" w:val="left"/>
        </w:tabs>
        <w:bidi w:val="0"/>
        <w:spacing w:before="0" w:after="240" w:line="316" w:lineRule="exact"/>
        <w:ind w:left="0" w:right="0" w:firstLine="0"/>
        <w:jc w:val="right"/>
        <w:rPr>
          <w:sz w:val="24"/>
          <w:szCs w:val="24"/>
        </w:rPr>
      </w:pPr>
      <w:r>
        <w:rPr>
          <w:color w:val="000000"/>
          <w:spacing w:val="0"/>
          <w:w w:val="100"/>
          <w:position w:val="0"/>
          <w:sz w:val="24"/>
          <w:szCs w:val="24"/>
        </w:rPr>
        <w:t>账面价值</w:t>
        <w:tab/>
        <w:t>未办妥产权证书原因</w:t>
      </w:r>
    </w:p>
    <w:p>
      <w:pPr>
        <w:pStyle w:val="Style53"/>
        <w:keepNext w:val="0"/>
        <w:keepLines w:val="0"/>
        <w:widowControl w:val="0"/>
        <w:shd w:val="clear" w:color="auto" w:fill="auto"/>
        <w:tabs>
          <w:tab w:pos="3571" w:val="left"/>
          <w:tab w:leader="underscore" w:pos="5078" w:val="left"/>
          <w:tab w:pos="6595" w:val="left"/>
          <w:tab w:leader="underscore" w:pos="7742" w:val="left"/>
        </w:tabs>
        <w:bidi w:val="0"/>
        <w:spacing w:before="0" w:after="240" w:line="316" w:lineRule="exact"/>
        <w:ind w:left="0" w:right="0" w:firstLine="720"/>
        <w:jc w:val="both"/>
        <w:rPr>
          <w:sz w:val="24"/>
          <w:szCs w:val="24"/>
        </w:rPr>
      </w:pPr>
      <w:r>
        <w:rPr>
          <w:rFonts w:ascii="SimSun" w:eastAsia="SimSun" w:hAnsi="SimSun" w:cs="SimSun"/>
          <w:color w:val="000000"/>
          <w:spacing w:val="0"/>
          <w:w w:val="100"/>
          <w:position w:val="0"/>
          <w:sz w:val="24"/>
          <w:szCs w:val="24"/>
        </w:rPr>
        <w:t>房屋、建筑物</w:t>
        <w:tab/>
        <w:tab/>
      </w:r>
      <w:r>
        <w:rPr>
          <w:color w:val="000000"/>
          <w:spacing w:val="0"/>
          <w:w w:val="100"/>
          <w:position w:val="0"/>
          <w:sz w:val="24"/>
          <w:szCs w:val="24"/>
          <w:u w:val="single"/>
        </w:rPr>
        <w:t>3,093,770</w:t>
      </w:r>
      <w:r>
        <w:rPr>
          <w:color w:val="000000"/>
          <w:spacing w:val="0"/>
          <w:w w:val="100"/>
          <w:position w:val="0"/>
          <w:sz w:val="24"/>
          <w:szCs w:val="24"/>
        </w:rPr>
        <w:tab/>
        <w:tab/>
      </w:r>
      <w:r>
        <w:rPr>
          <w:rFonts w:ascii="SimSun" w:eastAsia="SimSun" w:hAnsi="SimSun" w:cs="SimSun"/>
          <w:color w:val="000000"/>
          <w:spacing w:val="0"/>
          <w:w w:val="100"/>
          <w:position w:val="0"/>
          <w:sz w:val="24"/>
          <w:szCs w:val="24"/>
          <w:u w:val="single"/>
        </w:rPr>
        <w:t>手续在办理中</w:t>
      </w:r>
      <w:r>
        <w:br w:type="page"/>
      </w:r>
    </w:p>
    <w:p>
      <w:pPr>
        <w:pStyle w:val="Style32"/>
        <w:keepNext w:val="0"/>
        <w:keepLines w:val="0"/>
        <w:widowControl w:val="0"/>
        <w:shd w:val="clear" w:color="auto" w:fill="auto"/>
        <w:bidi w:val="0"/>
        <w:spacing w:before="0" w:after="0" w:line="240" w:lineRule="auto"/>
        <w:ind w:left="0" w:right="0" w:firstLine="620"/>
        <w:jc w:val="left"/>
        <w:rPr>
          <w:sz w:val="24"/>
          <w:szCs w:val="24"/>
        </w:rPr>
      </w:pPr>
      <w:r>
        <w:rPr>
          <w:b/>
          <w:bCs/>
          <w:color w:val="000000"/>
          <w:spacing w:val="0"/>
          <w:w w:val="100"/>
          <w:position w:val="0"/>
          <w:sz w:val="24"/>
          <w:szCs w:val="24"/>
        </w:rPr>
        <w:t>财务报表附注</w:t>
      </w:r>
    </w:p>
    <w:p>
      <w:pPr>
        <w:pStyle w:val="Style88"/>
        <w:keepNext/>
        <w:keepLines/>
        <w:widowControl w:val="0"/>
        <w:shd w:val="clear" w:color="auto" w:fill="auto"/>
        <w:bidi w:val="0"/>
        <w:spacing w:before="0" w:after="0" w:line="240" w:lineRule="auto"/>
        <w:ind w:left="0" w:right="0" w:firstLine="620"/>
        <w:jc w:val="left"/>
      </w:pPr>
      <w:bookmarkStart w:id="888" w:name="bookmark888"/>
      <w:bookmarkStart w:id="889" w:name="bookmark889"/>
      <w:bookmarkStart w:id="890" w:name="bookmark890"/>
      <w:r>
        <w:rPr>
          <w:color w:val="000000"/>
          <w:spacing w:val="0"/>
          <w:w w:val="100"/>
          <w:position w:val="0"/>
          <w:sz w:val="24"/>
          <w:szCs w:val="24"/>
        </w:rPr>
        <w:t>2016</w:t>
      </w:r>
      <w:r>
        <w:rPr>
          <w:rFonts w:ascii="SimSun" w:eastAsia="SimSun" w:hAnsi="SimSun" w:cs="SimSun"/>
          <w:b/>
          <w:bCs/>
          <w:color w:val="000000"/>
          <w:spacing w:val="0"/>
          <w:w w:val="100"/>
          <w:position w:val="0"/>
          <w:sz w:val="24"/>
          <w:szCs w:val="24"/>
        </w:rPr>
        <w:t>年度</w:t>
      </w:r>
      <w:bookmarkEnd w:id="888"/>
      <w:bookmarkEnd w:id="889"/>
      <w:bookmarkEnd w:id="890"/>
    </w:p>
    <w:p>
      <w:pPr>
        <w:pStyle w:val="Style32"/>
        <w:keepNext w:val="0"/>
        <w:keepLines w:val="0"/>
        <w:widowControl w:val="0"/>
        <w:shd w:val="clear" w:color="auto" w:fill="auto"/>
        <w:bidi w:val="0"/>
        <w:spacing w:before="0" w:after="240" w:line="240" w:lineRule="auto"/>
        <w:ind w:left="0" w:right="0" w:firstLine="620"/>
        <w:jc w:val="left"/>
        <w:rPr>
          <w:sz w:val="20"/>
          <w:szCs w:val="20"/>
        </w:rPr>
      </w:pPr>
      <w:r>
        <w:rPr>
          <w:rFonts w:ascii="Arial" w:eastAsia="Arial" w:hAnsi="Arial" w:cs="Arial"/>
          <w:color w:val="000000"/>
          <w:spacing w:val="0"/>
          <w:w w:val="100"/>
          <w:position w:val="0"/>
          <w:sz w:val="20"/>
          <w:szCs w:val="20"/>
        </w:rPr>
        <w:t>（</w:t>
      </w:r>
      <w:r>
        <w:rPr>
          <w:color w:val="000000"/>
          <w:spacing w:val="0"/>
          <w:w w:val="100"/>
          <w:position w:val="0"/>
          <w:sz w:val="20"/>
          <w:szCs w:val="20"/>
        </w:rPr>
        <w:t>除特别注明外，金额单位为人民币千元</w:t>
      </w:r>
      <w:r>
        <w:rPr>
          <w:rFonts w:ascii="Arial" w:eastAsia="Arial" w:hAnsi="Arial" w:cs="Arial"/>
          <w:color w:val="000000"/>
          <w:spacing w:val="0"/>
          <w:w w:val="100"/>
          <w:position w:val="0"/>
          <w:sz w:val="20"/>
          <w:szCs w:val="20"/>
        </w:rPr>
        <w:t>）</w:t>
      </w:r>
    </w:p>
    <w:p>
      <w:pPr>
        <w:pStyle w:val="Style32"/>
        <w:keepNext w:val="0"/>
        <w:keepLines w:val="0"/>
        <w:widowControl w:val="0"/>
        <w:shd w:val="clear" w:color="auto" w:fill="auto"/>
        <w:tabs>
          <w:tab w:pos="542" w:val="left"/>
        </w:tabs>
        <w:bidi w:val="0"/>
        <w:spacing w:before="0" w:after="240" w:line="240" w:lineRule="auto"/>
        <w:ind w:left="0" w:right="0" w:firstLine="0"/>
        <w:jc w:val="left"/>
        <w:rPr>
          <w:sz w:val="24"/>
          <w:szCs w:val="24"/>
        </w:rPr>
      </w:pPr>
      <w:r>
        <w:rPr>
          <w:b/>
          <w:bCs/>
          <w:color w:val="000000"/>
          <w:spacing w:val="0"/>
          <w:w w:val="100"/>
          <w:position w:val="0"/>
          <w:sz w:val="24"/>
          <w:szCs w:val="24"/>
        </w:rPr>
        <w:t>四</w:t>
        <w:tab/>
        <w:t>合并财务报表项目附注</w:t>
      </w:r>
      <w:r>
        <w:rPr>
          <w:rFonts w:ascii="Times New Roman" w:eastAsia="Times New Roman" w:hAnsi="Times New Roman" w:cs="Times New Roman"/>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4"/>
          <w:szCs w:val="24"/>
        </w:rPr>
        <w:t>）</w:t>
      </w:r>
    </w:p>
    <w:p>
      <w:pPr>
        <w:pStyle w:val="Style32"/>
        <w:keepNext w:val="0"/>
        <w:keepLines w:val="0"/>
        <w:widowControl w:val="0"/>
        <w:shd w:val="clear" w:color="auto" w:fill="auto"/>
        <w:bidi w:val="0"/>
        <w:spacing w:before="0" w:after="28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（15）</w:t>
      </w:r>
      <w:r>
        <w:rPr>
          <w:b/>
          <w:bCs/>
          <w:color w:val="000000"/>
          <w:spacing w:val="0"/>
          <w:w w:val="100"/>
          <w:position w:val="0"/>
          <w:sz w:val="24"/>
          <w:szCs w:val="24"/>
        </w:rPr>
        <w:t>在建工程</w:t>
      </w:r>
    </w:p>
    <w:p>
      <w:pPr>
        <w:pStyle w:val="Style25"/>
        <w:keepNext w:val="0"/>
        <w:keepLines w:val="0"/>
        <w:widowControl w:val="0"/>
        <w:shd w:val="clear" w:color="auto" w:fill="auto"/>
        <w:tabs>
          <w:tab w:pos="6192" w:val="left"/>
        </w:tabs>
        <w:bidi w:val="0"/>
        <w:spacing w:before="0" w:after="0" w:line="240" w:lineRule="auto"/>
        <w:ind w:left="2746" w:right="0" w:firstLine="0"/>
        <w:jc w:val="left"/>
        <w:rPr>
          <w:sz w:val="20"/>
          <w:szCs w:val="20"/>
        </w:rPr>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w:t>
        <w:tab/>
      </w:r>
      <w:r>
        <w:rPr>
          <w:rFonts w:ascii="Times New Roman" w:eastAsia="Times New Roman" w:hAnsi="Times New Roman" w:cs="Times New Roman"/>
          <w:color w:val="000000"/>
          <w:spacing w:val="0"/>
          <w:w w:val="100"/>
          <w:position w:val="0"/>
          <w:sz w:val="20"/>
          <w:szCs w:val="20"/>
        </w:rPr>
        <w:t>2015</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w:t>
      </w:r>
    </w:p>
    <w:tbl>
      <w:tblPr>
        <w:tblOverlap w:val="never"/>
        <w:jc w:val="right"/>
        <w:tblLayout w:type="fixed"/>
      </w:tblPr>
      <w:tblGrid>
        <w:gridCol w:w="1997"/>
        <w:gridCol w:w="1176"/>
        <w:gridCol w:w="898"/>
        <w:gridCol w:w="1344"/>
        <w:gridCol w:w="1210"/>
        <w:gridCol w:w="835"/>
        <w:gridCol w:w="1176"/>
      </w:tblGrid>
      <w:tr>
        <w:trPr>
          <w:trHeight w:val="648" w:hRule="exact"/>
        </w:trPr>
        <w:tc>
          <w:tcPr>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64" w:lineRule="exact"/>
              <w:ind w:left="0" w:right="220" w:firstLine="0"/>
              <w:jc w:val="right"/>
              <w:rPr>
                <w:sz w:val="20"/>
                <w:szCs w:val="20"/>
              </w:rPr>
            </w:pPr>
            <w:r>
              <w:rPr>
                <w:color w:val="000000"/>
                <w:spacing w:val="0"/>
                <w:w w:val="100"/>
                <w:position w:val="0"/>
                <w:sz w:val="20"/>
                <w:szCs w:val="20"/>
              </w:rPr>
              <w:t>账面 余额</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减值</w:t>
            </w:r>
          </w:p>
          <w:p>
            <w:pPr>
              <w:pStyle w:val="Style28"/>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准备</w:t>
            </w:r>
          </w:p>
        </w:tc>
        <w:tc>
          <w:tcPr>
            <w:tcBorders>
              <w:top w:val="single" w:sz="4"/>
            </w:tcBorders>
            <w:shd w:val="clear" w:color="auto" w:fill="FFFFFF"/>
            <w:vAlign w:val="top"/>
          </w:tcPr>
          <w:p>
            <w:pPr>
              <w:pStyle w:val="Style28"/>
              <w:keepNext w:val="0"/>
              <w:keepLines w:val="0"/>
              <w:widowControl w:val="0"/>
              <w:shd w:val="clear" w:color="auto" w:fill="auto"/>
              <w:bidi w:val="0"/>
              <w:spacing w:before="0" w:after="40" w:line="240" w:lineRule="auto"/>
              <w:ind w:left="0" w:right="0" w:firstLine="600"/>
              <w:jc w:val="left"/>
              <w:rPr>
                <w:sz w:val="20"/>
                <w:szCs w:val="20"/>
              </w:rPr>
            </w:pPr>
            <w:r>
              <w:rPr>
                <w:color w:val="000000"/>
                <w:spacing w:val="0"/>
                <w:w w:val="100"/>
                <w:position w:val="0"/>
                <w:sz w:val="20"/>
                <w:szCs w:val="20"/>
              </w:rPr>
              <w:t>账面</w:t>
            </w:r>
          </w:p>
          <w:p>
            <w:pPr>
              <w:pStyle w:val="Style28"/>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rPr>
              <w:t>价值</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59" w:lineRule="exact"/>
              <w:ind w:left="0" w:right="160" w:firstLine="0"/>
              <w:jc w:val="right"/>
              <w:rPr>
                <w:sz w:val="20"/>
                <w:szCs w:val="20"/>
              </w:rPr>
            </w:pPr>
            <w:r>
              <w:rPr>
                <w:color w:val="000000"/>
                <w:spacing w:val="0"/>
                <w:w w:val="100"/>
                <w:position w:val="0"/>
                <w:sz w:val="20"/>
                <w:szCs w:val="20"/>
              </w:rPr>
              <w:t>账面 余额</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280" w:firstLine="0"/>
              <w:jc w:val="right"/>
              <w:rPr>
                <w:sz w:val="20"/>
                <w:szCs w:val="20"/>
              </w:rPr>
            </w:pPr>
            <w:r>
              <w:rPr>
                <w:color w:val="000000"/>
                <w:spacing w:val="0"/>
                <w:w w:val="100"/>
                <w:position w:val="0"/>
                <w:sz w:val="20"/>
                <w:szCs w:val="20"/>
              </w:rPr>
              <w:t>减值</w:t>
            </w:r>
          </w:p>
          <w:p>
            <w:pPr>
              <w:pStyle w:val="Style28"/>
              <w:keepNext w:val="0"/>
              <w:keepLines w:val="0"/>
              <w:widowControl w:val="0"/>
              <w:shd w:val="clear" w:color="auto" w:fill="auto"/>
              <w:bidi w:val="0"/>
              <w:spacing w:before="0" w:after="0" w:line="240" w:lineRule="auto"/>
              <w:ind w:left="0" w:right="280" w:firstLine="0"/>
              <w:jc w:val="right"/>
              <w:rPr>
                <w:sz w:val="20"/>
                <w:szCs w:val="20"/>
              </w:rPr>
            </w:pPr>
            <w:r>
              <w:rPr>
                <w:color w:val="000000"/>
                <w:spacing w:val="0"/>
                <w:w w:val="100"/>
                <w:position w:val="0"/>
                <w:sz w:val="20"/>
                <w:szCs w:val="20"/>
              </w:rPr>
              <w:t>准备</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账面</w:t>
            </w:r>
          </w:p>
          <w:p>
            <w:pPr>
              <w:pStyle w:val="Style28"/>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价值</w:t>
            </w:r>
          </w:p>
        </w:tc>
      </w:tr>
      <w:tr>
        <w:trPr>
          <w:trHeight w:val="360"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雨花物流基地</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both"/>
              <w:rPr>
                <w:sz w:val="20"/>
                <w:szCs w:val="20"/>
              </w:rPr>
            </w:pPr>
            <w:r>
              <w:rPr>
                <w:rFonts w:ascii="Times New Roman" w:eastAsia="Times New Roman" w:hAnsi="Times New Roman" w:cs="Times New Roman"/>
                <w:color w:val="000000"/>
                <w:spacing w:val="0"/>
                <w:w w:val="100"/>
                <w:position w:val="0"/>
                <w:sz w:val="20"/>
                <w:szCs w:val="20"/>
              </w:rPr>
              <w:t>415,659</w:t>
            </w:r>
          </w:p>
        </w:tc>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jc w:val="both"/>
              <w:rPr>
                <w:sz w:val="20"/>
                <w:szCs w:val="20"/>
              </w:rPr>
            </w:pPr>
            <w:r>
              <w:rPr>
                <w:rFonts w:ascii="Times New Roman" w:eastAsia="Times New Roman" w:hAnsi="Times New Roman" w:cs="Times New Roman"/>
                <w:color w:val="000000"/>
                <w:spacing w:val="0"/>
                <w:w w:val="100"/>
                <w:position w:val="0"/>
                <w:sz w:val="20"/>
                <w:szCs w:val="20"/>
              </w:rPr>
              <w:t>415,659</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80"/>
              <w:jc w:val="both"/>
              <w:rPr>
                <w:sz w:val="20"/>
                <w:szCs w:val="20"/>
              </w:rPr>
            </w:pPr>
            <w:r>
              <w:rPr>
                <w:rFonts w:ascii="Times New Roman" w:eastAsia="Times New Roman" w:hAnsi="Times New Roman" w:cs="Times New Roman"/>
                <w:color w:val="000000"/>
                <w:spacing w:val="0"/>
                <w:w w:val="100"/>
                <w:position w:val="0"/>
                <w:sz w:val="20"/>
                <w:szCs w:val="20"/>
              </w:rPr>
              <w:t>361,217</w:t>
            </w:r>
          </w:p>
        </w:tc>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jc w:val="both"/>
              <w:rPr>
                <w:sz w:val="20"/>
                <w:szCs w:val="20"/>
              </w:rPr>
            </w:pPr>
            <w:r>
              <w:rPr>
                <w:rFonts w:ascii="Times New Roman" w:eastAsia="Times New Roman" w:hAnsi="Times New Roman" w:cs="Times New Roman"/>
                <w:color w:val="000000"/>
                <w:spacing w:val="0"/>
                <w:w w:val="100"/>
                <w:position w:val="0"/>
                <w:sz w:val="20"/>
                <w:szCs w:val="20"/>
              </w:rPr>
              <w:t>361,217</w:t>
            </w:r>
          </w:p>
        </w:tc>
      </w:tr>
      <w:tr>
        <w:trPr>
          <w:trHeight w:val="226"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滁州苏宁广场项目</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both"/>
              <w:rPr>
                <w:sz w:val="20"/>
                <w:szCs w:val="20"/>
              </w:rPr>
            </w:pPr>
            <w:r>
              <w:rPr>
                <w:rFonts w:ascii="Times New Roman" w:eastAsia="Times New Roman" w:hAnsi="Times New Roman" w:cs="Times New Roman"/>
                <w:color w:val="000000"/>
                <w:spacing w:val="0"/>
                <w:w w:val="100"/>
                <w:position w:val="0"/>
                <w:sz w:val="20"/>
                <w:szCs w:val="20"/>
              </w:rPr>
              <w:t>325,646</w:t>
            </w:r>
          </w:p>
        </w:tc>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jc w:val="both"/>
              <w:rPr>
                <w:sz w:val="20"/>
                <w:szCs w:val="20"/>
              </w:rPr>
            </w:pPr>
            <w:r>
              <w:rPr>
                <w:rFonts w:ascii="Times New Roman" w:eastAsia="Times New Roman" w:hAnsi="Times New Roman" w:cs="Times New Roman"/>
                <w:color w:val="000000"/>
                <w:spacing w:val="0"/>
                <w:w w:val="100"/>
                <w:position w:val="0"/>
                <w:sz w:val="20"/>
                <w:szCs w:val="20"/>
              </w:rPr>
              <w:t>325,646</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80"/>
              <w:jc w:val="both"/>
              <w:rPr>
                <w:sz w:val="20"/>
                <w:szCs w:val="20"/>
              </w:rPr>
            </w:pPr>
            <w:r>
              <w:rPr>
                <w:rFonts w:ascii="Times New Roman" w:eastAsia="Times New Roman" w:hAnsi="Times New Roman" w:cs="Times New Roman"/>
                <w:color w:val="000000"/>
                <w:spacing w:val="0"/>
                <w:w w:val="100"/>
                <w:position w:val="0"/>
                <w:sz w:val="20"/>
                <w:szCs w:val="20"/>
              </w:rPr>
              <w:t>180,678</w:t>
            </w:r>
          </w:p>
        </w:tc>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jc w:val="both"/>
              <w:rPr>
                <w:sz w:val="20"/>
                <w:szCs w:val="20"/>
              </w:rPr>
            </w:pPr>
            <w:r>
              <w:rPr>
                <w:rFonts w:ascii="Times New Roman" w:eastAsia="Times New Roman" w:hAnsi="Times New Roman" w:cs="Times New Roman"/>
                <w:color w:val="000000"/>
                <w:spacing w:val="0"/>
                <w:w w:val="100"/>
                <w:position w:val="0"/>
                <w:sz w:val="20"/>
                <w:szCs w:val="20"/>
              </w:rPr>
              <w:t>180,678</w:t>
            </w:r>
          </w:p>
        </w:tc>
      </w:tr>
      <w:tr>
        <w:trPr>
          <w:trHeight w:val="235"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日照苏宁电器广场项目</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both"/>
              <w:rPr>
                <w:sz w:val="20"/>
                <w:szCs w:val="20"/>
              </w:rPr>
            </w:pPr>
            <w:r>
              <w:rPr>
                <w:rFonts w:ascii="Times New Roman" w:eastAsia="Times New Roman" w:hAnsi="Times New Roman" w:cs="Times New Roman"/>
                <w:color w:val="000000"/>
                <w:spacing w:val="0"/>
                <w:w w:val="100"/>
                <w:position w:val="0"/>
                <w:sz w:val="20"/>
                <w:szCs w:val="20"/>
              </w:rPr>
              <w:t>285,078</w:t>
            </w:r>
          </w:p>
        </w:tc>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jc w:val="both"/>
              <w:rPr>
                <w:sz w:val="20"/>
                <w:szCs w:val="20"/>
              </w:rPr>
            </w:pPr>
            <w:r>
              <w:rPr>
                <w:rFonts w:ascii="Times New Roman" w:eastAsia="Times New Roman" w:hAnsi="Times New Roman" w:cs="Times New Roman"/>
                <w:color w:val="000000"/>
                <w:spacing w:val="0"/>
                <w:w w:val="100"/>
                <w:position w:val="0"/>
                <w:sz w:val="20"/>
                <w:szCs w:val="20"/>
              </w:rPr>
              <w:t>285,078</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80"/>
              <w:jc w:val="both"/>
              <w:rPr>
                <w:sz w:val="20"/>
                <w:szCs w:val="20"/>
              </w:rPr>
            </w:pPr>
            <w:r>
              <w:rPr>
                <w:rFonts w:ascii="Times New Roman" w:eastAsia="Times New Roman" w:hAnsi="Times New Roman" w:cs="Times New Roman"/>
                <w:color w:val="000000"/>
                <w:spacing w:val="0"/>
                <w:w w:val="100"/>
                <w:position w:val="0"/>
                <w:sz w:val="20"/>
                <w:szCs w:val="20"/>
              </w:rPr>
              <w:t>246,188</w:t>
            </w:r>
          </w:p>
        </w:tc>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jc w:val="both"/>
              <w:rPr>
                <w:sz w:val="20"/>
                <w:szCs w:val="20"/>
              </w:rPr>
            </w:pPr>
            <w:r>
              <w:rPr>
                <w:rFonts w:ascii="Times New Roman" w:eastAsia="Times New Roman" w:hAnsi="Times New Roman" w:cs="Times New Roman"/>
                <w:color w:val="000000"/>
                <w:spacing w:val="0"/>
                <w:w w:val="100"/>
                <w:position w:val="0"/>
                <w:sz w:val="20"/>
                <w:szCs w:val="20"/>
              </w:rPr>
              <w:t>246,188</w:t>
            </w:r>
          </w:p>
        </w:tc>
      </w:tr>
      <w:tr>
        <w:trPr>
          <w:trHeight w:val="235"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西安泾阳物流基地</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both"/>
              <w:rPr>
                <w:sz w:val="20"/>
                <w:szCs w:val="20"/>
              </w:rPr>
            </w:pPr>
            <w:r>
              <w:rPr>
                <w:rFonts w:ascii="Times New Roman" w:eastAsia="Times New Roman" w:hAnsi="Times New Roman" w:cs="Times New Roman"/>
                <w:color w:val="000000"/>
                <w:spacing w:val="0"/>
                <w:w w:val="100"/>
                <w:position w:val="0"/>
                <w:sz w:val="20"/>
                <w:szCs w:val="20"/>
              </w:rPr>
              <w:t>164,411</w:t>
            </w:r>
          </w:p>
        </w:tc>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jc w:val="both"/>
              <w:rPr>
                <w:sz w:val="20"/>
                <w:szCs w:val="20"/>
              </w:rPr>
            </w:pPr>
            <w:r>
              <w:rPr>
                <w:rFonts w:ascii="Times New Roman" w:eastAsia="Times New Roman" w:hAnsi="Times New Roman" w:cs="Times New Roman"/>
                <w:color w:val="000000"/>
                <w:spacing w:val="0"/>
                <w:w w:val="100"/>
                <w:position w:val="0"/>
                <w:sz w:val="20"/>
                <w:szCs w:val="20"/>
              </w:rPr>
              <w:t>164,411</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10,325</w:t>
            </w:r>
          </w:p>
        </w:tc>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0"/>
                <w:szCs w:val="20"/>
              </w:rPr>
              <w:t>10,325</w:t>
            </w:r>
          </w:p>
        </w:tc>
      </w:tr>
      <w:tr>
        <w:trPr>
          <w:trHeight w:val="235"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鄂州物流基地</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both"/>
              <w:rPr>
                <w:sz w:val="20"/>
                <w:szCs w:val="20"/>
              </w:rPr>
            </w:pPr>
            <w:r>
              <w:rPr>
                <w:rFonts w:ascii="Times New Roman" w:eastAsia="Times New Roman" w:hAnsi="Times New Roman" w:cs="Times New Roman"/>
                <w:color w:val="000000"/>
                <w:spacing w:val="0"/>
                <w:w w:val="100"/>
                <w:position w:val="0"/>
                <w:sz w:val="20"/>
                <w:szCs w:val="20"/>
              </w:rPr>
              <w:t>112,583</w:t>
            </w:r>
          </w:p>
        </w:tc>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jc w:val="both"/>
              <w:rPr>
                <w:sz w:val="20"/>
                <w:szCs w:val="20"/>
              </w:rPr>
            </w:pPr>
            <w:r>
              <w:rPr>
                <w:rFonts w:ascii="Times New Roman" w:eastAsia="Times New Roman" w:hAnsi="Times New Roman" w:cs="Times New Roman"/>
                <w:color w:val="000000"/>
                <w:spacing w:val="0"/>
                <w:w w:val="100"/>
                <w:position w:val="0"/>
                <w:sz w:val="20"/>
                <w:szCs w:val="20"/>
              </w:rPr>
              <w:t>112,583</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33,232</w:t>
            </w:r>
          </w:p>
        </w:tc>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0"/>
                <w:szCs w:val="20"/>
              </w:rPr>
              <w:t>33,232</w:t>
            </w:r>
          </w:p>
        </w:tc>
      </w:tr>
      <w:tr>
        <w:trPr>
          <w:trHeight w:val="230"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内江物流项目</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36,149</w:t>
            </w:r>
          </w:p>
        </w:tc>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0"/>
                <w:szCs w:val="20"/>
              </w:rPr>
              <w:t>36,149</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40"/>
              <w:jc w:val="both"/>
              <w:rPr>
                <w:sz w:val="20"/>
                <w:szCs w:val="20"/>
              </w:rPr>
            </w:pPr>
            <w:r>
              <w:rPr>
                <w:rFonts w:ascii="Times New Roman" w:eastAsia="Times New Roman" w:hAnsi="Times New Roman" w:cs="Times New Roman"/>
                <w:color w:val="000000"/>
                <w:spacing w:val="0"/>
                <w:w w:val="100"/>
                <w:position w:val="0"/>
                <w:sz w:val="20"/>
                <w:szCs w:val="20"/>
              </w:rPr>
              <w:t>496</w:t>
            </w:r>
          </w:p>
        </w:tc>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60"/>
              <w:jc w:val="both"/>
              <w:rPr>
                <w:sz w:val="20"/>
                <w:szCs w:val="20"/>
              </w:rPr>
            </w:pPr>
            <w:r>
              <w:rPr>
                <w:rFonts w:ascii="Times New Roman" w:eastAsia="Times New Roman" w:hAnsi="Times New Roman" w:cs="Times New Roman"/>
                <w:color w:val="000000"/>
                <w:spacing w:val="0"/>
                <w:w w:val="100"/>
                <w:position w:val="0"/>
                <w:sz w:val="20"/>
                <w:szCs w:val="20"/>
              </w:rPr>
              <w:t>496</w:t>
            </w:r>
          </w:p>
        </w:tc>
      </w:tr>
      <w:tr>
        <w:trPr>
          <w:trHeight w:val="235"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常州物流基地</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35,321</w:t>
            </w:r>
          </w:p>
        </w:tc>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0"/>
                <w:szCs w:val="20"/>
              </w:rPr>
              <w:t>35,321</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4,395</w:t>
            </w:r>
          </w:p>
        </w:tc>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4,395</w:t>
            </w:r>
          </w:p>
        </w:tc>
      </w:tr>
      <w:tr>
        <w:trPr>
          <w:trHeight w:val="235"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石家庄物流基地</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32,832</w:t>
            </w:r>
          </w:p>
        </w:tc>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0"/>
                <w:szCs w:val="20"/>
              </w:rPr>
              <w:t>32,832</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7,145</w:t>
            </w:r>
          </w:p>
        </w:tc>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7,145</w:t>
            </w:r>
          </w:p>
        </w:tc>
      </w:tr>
      <w:tr>
        <w:trPr>
          <w:trHeight w:val="461"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厦门物流基地</w:t>
            </w:r>
          </w:p>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华南地区电子商务运营</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24,208</w:t>
            </w:r>
          </w:p>
        </w:tc>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0"/>
                <w:szCs w:val="20"/>
              </w:rPr>
              <w:t>24,208</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24,208</w:t>
            </w:r>
          </w:p>
        </w:tc>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0"/>
                <w:szCs w:val="20"/>
              </w:rPr>
              <w:t>24,208</w:t>
            </w:r>
          </w:p>
        </w:tc>
      </w:tr>
      <w:tr>
        <w:trPr>
          <w:trHeight w:val="235"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中心项目</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20,594</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0"/>
                <w:szCs w:val="20"/>
              </w:rPr>
              <w:t>20,594</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1,880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1,880</w:t>
            </w:r>
          </w:p>
        </w:tc>
      </w:tr>
      <w:tr>
        <w:trPr>
          <w:trHeight w:val="230"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宁波物流基地</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18,656</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0"/>
                <w:szCs w:val="20"/>
              </w:rPr>
              <w:t>18,656</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both"/>
              <w:rPr>
                <w:sz w:val="20"/>
                <w:szCs w:val="20"/>
              </w:rPr>
            </w:pPr>
            <w:r>
              <w:rPr>
                <w:rFonts w:ascii="Times New Roman" w:eastAsia="Times New Roman" w:hAnsi="Times New Roman" w:cs="Times New Roman"/>
                <w:color w:val="000000"/>
                <w:spacing w:val="0"/>
                <w:w w:val="100"/>
                <w:position w:val="0"/>
                <w:sz w:val="20"/>
                <w:szCs w:val="20"/>
              </w:rPr>
              <w:t>131</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60"/>
              <w:jc w:val="both"/>
              <w:rPr>
                <w:sz w:val="20"/>
                <w:szCs w:val="20"/>
              </w:rPr>
            </w:pPr>
            <w:r>
              <w:rPr>
                <w:rFonts w:ascii="Times New Roman" w:eastAsia="Times New Roman" w:hAnsi="Times New Roman" w:cs="Times New Roman"/>
                <w:color w:val="000000"/>
                <w:spacing w:val="0"/>
                <w:w w:val="100"/>
                <w:position w:val="0"/>
                <w:sz w:val="20"/>
                <w:szCs w:val="20"/>
              </w:rPr>
              <w:t>131</w:t>
            </w:r>
          </w:p>
        </w:tc>
      </w:tr>
      <w:tr>
        <w:trPr>
          <w:trHeight w:val="235"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徐州物流中心二期</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15,671</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0"/>
                <w:szCs w:val="20"/>
              </w:rPr>
              <w:t>15,671</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16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r>
      <w:tr>
        <w:trPr>
          <w:trHeight w:val="466" w:hRule="exact"/>
        </w:trPr>
        <w:tc>
          <w:tcPr>
            <w:tcBorders/>
            <w:shd w:val="clear" w:color="auto" w:fill="FFFFFF"/>
            <w:vAlign w:val="bottom"/>
          </w:tcPr>
          <w:p>
            <w:pPr>
              <w:pStyle w:val="Style28"/>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南宁物流基地一期 苏宁总部概念店地铁连</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14,533</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0"/>
                <w:szCs w:val="20"/>
              </w:rPr>
              <w:t>14,533</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28,057</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0"/>
                <w:szCs w:val="20"/>
              </w:rPr>
              <w:t>28,057</w:t>
            </w:r>
          </w:p>
        </w:tc>
      </w:tr>
      <w:tr>
        <w:trPr>
          <w:trHeight w:val="235"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通口项目</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8,143</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left"/>
              <w:rPr>
                <w:sz w:val="20"/>
                <w:szCs w:val="20"/>
              </w:rPr>
            </w:pPr>
            <w:r>
              <w:rPr>
                <w:rFonts w:ascii="Times New Roman" w:eastAsia="Times New Roman" w:hAnsi="Times New Roman" w:cs="Times New Roman"/>
                <w:color w:val="000000"/>
                <w:spacing w:val="0"/>
                <w:w w:val="100"/>
                <w:position w:val="0"/>
                <w:sz w:val="20"/>
                <w:szCs w:val="20"/>
              </w:rPr>
              <w:t>8,143</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8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r>
      <w:tr>
        <w:trPr>
          <w:trHeight w:val="470"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太原物流基地</w:t>
            </w:r>
          </w:p>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天津</w:t>
            </w:r>
            <w:r>
              <w:rPr>
                <w:rFonts w:ascii="Times New Roman" w:eastAsia="Times New Roman" w:hAnsi="Times New Roman" w:cs="Times New Roman"/>
                <w:color w:val="000000"/>
                <w:spacing w:val="0"/>
                <w:w w:val="100"/>
                <w:position w:val="0"/>
                <w:sz w:val="18"/>
                <w:szCs w:val="18"/>
              </w:rPr>
              <w:t>B2C</w:t>
            </w:r>
            <w:r>
              <w:rPr>
                <w:color w:val="000000"/>
                <w:spacing w:val="0"/>
                <w:w w:val="100"/>
                <w:position w:val="0"/>
                <w:sz w:val="18"/>
                <w:szCs w:val="18"/>
              </w:rPr>
              <w:t>自动分拣中</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3,912</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00"/>
              <w:jc w:val="left"/>
              <w:rPr>
                <w:sz w:val="20"/>
                <w:szCs w:val="20"/>
              </w:rPr>
            </w:pPr>
            <w:r>
              <w:rPr>
                <w:rFonts w:ascii="Times New Roman" w:eastAsia="Times New Roman" w:hAnsi="Times New Roman" w:cs="Times New Roman"/>
                <w:color w:val="000000"/>
                <w:spacing w:val="0"/>
                <w:w w:val="100"/>
                <w:position w:val="0"/>
                <w:sz w:val="20"/>
                <w:szCs w:val="20"/>
              </w:rPr>
              <w:t>3,912</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40"/>
              <w:jc w:val="both"/>
              <w:rPr>
                <w:sz w:val="20"/>
                <w:szCs w:val="20"/>
              </w:rPr>
            </w:pPr>
            <w:r>
              <w:rPr>
                <w:rFonts w:ascii="Times New Roman" w:eastAsia="Times New Roman" w:hAnsi="Times New Roman" w:cs="Times New Roman"/>
                <w:color w:val="000000"/>
                <w:spacing w:val="0"/>
                <w:w w:val="100"/>
                <w:position w:val="0"/>
                <w:sz w:val="20"/>
                <w:szCs w:val="20"/>
              </w:rPr>
              <w:t>697</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60"/>
              <w:jc w:val="both"/>
              <w:rPr>
                <w:sz w:val="20"/>
                <w:szCs w:val="20"/>
              </w:rPr>
            </w:pPr>
            <w:r>
              <w:rPr>
                <w:rFonts w:ascii="Times New Roman" w:eastAsia="Times New Roman" w:hAnsi="Times New Roman" w:cs="Times New Roman"/>
                <w:color w:val="000000"/>
                <w:spacing w:val="0"/>
                <w:w w:val="100"/>
                <w:position w:val="0"/>
                <w:sz w:val="20"/>
                <w:szCs w:val="20"/>
              </w:rPr>
              <w:t>697</w:t>
            </w:r>
          </w:p>
        </w:tc>
      </w:tr>
      <w:tr>
        <w:trPr>
          <w:trHeight w:val="226"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心</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1,409</w:t>
            </w:r>
          </w:p>
        </w:tc>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left"/>
              <w:rPr>
                <w:sz w:val="20"/>
                <w:szCs w:val="20"/>
              </w:rPr>
            </w:pPr>
            <w:r>
              <w:rPr>
                <w:rFonts w:ascii="Times New Roman" w:eastAsia="Times New Roman" w:hAnsi="Times New Roman" w:cs="Times New Roman"/>
                <w:color w:val="000000"/>
                <w:spacing w:val="0"/>
                <w:w w:val="100"/>
                <w:position w:val="0"/>
                <w:sz w:val="20"/>
                <w:szCs w:val="20"/>
              </w:rPr>
              <w:t>1,409</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1,042</w:t>
            </w:r>
          </w:p>
        </w:tc>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1,042</w:t>
            </w:r>
          </w:p>
        </w:tc>
      </w:tr>
      <w:tr>
        <w:trPr>
          <w:trHeight w:val="235"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包头苏宁电器广场</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80"/>
              <w:jc w:val="both"/>
              <w:rPr>
                <w:sz w:val="20"/>
                <w:szCs w:val="20"/>
              </w:rPr>
            </w:pPr>
            <w:r>
              <w:rPr>
                <w:rFonts w:ascii="Times New Roman" w:eastAsia="Times New Roman" w:hAnsi="Times New Roman" w:cs="Times New Roman"/>
                <w:color w:val="000000"/>
                <w:spacing w:val="0"/>
                <w:w w:val="100"/>
                <w:position w:val="0"/>
                <w:sz w:val="20"/>
                <w:szCs w:val="20"/>
              </w:rPr>
              <w:t>248,033</w:t>
            </w:r>
          </w:p>
        </w:tc>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jc w:val="both"/>
              <w:rPr>
                <w:sz w:val="20"/>
                <w:szCs w:val="20"/>
              </w:rPr>
            </w:pPr>
            <w:r>
              <w:rPr>
                <w:rFonts w:ascii="Times New Roman" w:eastAsia="Times New Roman" w:hAnsi="Times New Roman" w:cs="Times New Roman"/>
                <w:color w:val="000000"/>
                <w:spacing w:val="0"/>
                <w:w w:val="100"/>
                <w:position w:val="0"/>
                <w:sz w:val="20"/>
                <w:szCs w:val="20"/>
              </w:rPr>
              <w:t>248,033</w:t>
            </w:r>
          </w:p>
        </w:tc>
      </w:tr>
      <w:tr>
        <w:trPr>
          <w:trHeight w:val="235"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济宁苏宁电器广场</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80"/>
              <w:jc w:val="both"/>
              <w:rPr>
                <w:sz w:val="20"/>
                <w:szCs w:val="20"/>
              </w:rPr>
            </w:pPr>
            <w:r>
              <w:rPr>
                <w:rFonts w:ascii="Times New Roman" w:eastAsia="Times New Roman" w:hAnsi="Times New Roman" w:cs="Times New Roman"/>
                <w:color w:val="000000"/>
                <w:spacing w:val="0"/>
                <w:w w:val="100"/>
                <w:position w:val="0"/>
                <w:sz w:val="20"/>
                <w:szCs w:val="20"/>
              </w:rPr>
              <w:t>198,352</w:t>
            </w:r>
          </w:p>
        </w:tc>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jc w:val="both"/>
              <w:rPr>
                <w:sz w:val="20"/>
                <w:szCs w:val="20"/>
              </w:rPr>
            </w:pPr>
            <w:r>
              <w:rPr>
                <w:rFonts w:ascii="Times New Roman" w:eastAsia="Times New Roman" w:hAnsi="Times New Roman" w:cs="Times New Roman"/>
                <w:color w:val="000000"/>
                <w:spacing w:val="0"/>
                <w:w w:val="100"/>
                <w:position w:val="0"/>
                <w:sz w:val="20"/>
                <w:szCs w:val="20"/>
              </w:rPr>
              <w:t>198,352</w:t>
            </w:r>
          </w:p>
        </w:tc>
      </w:tr>
      <w:tr>
        <w:trPr>
          <w:trHeight w:val="235"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苏州物流基地</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77,645</w:t>
            </w:r>
          </w:p>
        </w:tc>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0"/>
                <w:szCs w:val="20"/>
              </w:rPr>
              <w:t>77,645</w:t>
            </w:r>
          </w:p>
        </w:tc>
      </w:tr>
      <w:tr>
        <w:trPr>
          <w:trHeight w:val="235"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眉山物流基地</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77,164</w:t>
            </w:r>
          </w:p>
        </w:tc>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0"/>
                <w:szCs w:val="20"/>
              </w:rPr>
              <w:t>77,164</w:t>
            </w:r>
          </w:p>
        </w:tc>
      </w:tr>
      <w:tr>
        <w:trPr>
          <w:trHeight w:val="230"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绍兴物流基地</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74,757</w:t>
            </w:r>
          </w:p>
        </w:tc>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0"/>
                <w:szCs w:val="20"/>
              </w:rPr>
              <w:t>74,757</w:t>
            </w:r>
          </w:p>
        </w:tc>
      </w:tr>
      <w:tr>
        <w:trPr>
          <w:trHeight w:val="235"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郑州物流基地</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64,221</w:t>
            </w:r>
          </w:p>
        </w:tc>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0"/>
                <w:szCs w:val="20"/>
              </w:rPr>
              <w:t>64,221</w:t>
            </w:r>
          </w:p>
        </w:tc>
      </w:tr>
      <w:tr>
        <w:trPr>
          <w:trHeight w:val="230"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重庆二期物流基地</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38,006</w:t>
            </w:r>
          </w:p>
        </w:tc>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0"/>
                <w:szCs w:val="20"/>
              </w:rPr>
              <w:t>38,006</w:t>
            </w:r>
          </w:p>
        </w:tc>
      </w:tr>
      <w:tr>
        <w:trPr>
          <w:trHeight w:val="230"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青岛办公区购置房</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31,529</w:t>
            </w:r>
          </w:p>
        </w:tc>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0"/>
                <w:szCs w:val="20"/>
              </w:rPr>
              <w:t>31,529</w:t>
            </w:r>
          </w:p>
        </w:tc>
      </w:tr>
      <w:tr>
        <w:trPr>
          <w:trHeight w:val="240"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中山物流基地</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30,577</w:t>
            </w:r>
          </w:p>
        </w:tc>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0"/>
                <w:szCs w:val="20"/>
              </w:rPr>
              <w:t>30,577</w:t>
            </w:r>
          </w:p>
        </w:tc>
      </w:tr>
      <w:tr>
        <w:trPr>
          <w:trHeight w:val="230"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兰州物流基地</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27,782</w:t>
            </w:r>
          </w:p>
        </w:tc>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0"/>
                <w:szCs w:val="20"/>
              </w:rPr>
              <w:t>27,782</w:t>
            </w:r>
          </w:p>
        </w:tc>
      </w:tr>
      <w:tr>
        <w:trPr>
          <w:trHeight w:val="230"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宜兴苏宁生活广场</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19,245</w:t>
            </w:r>
          </w:p>
        </w:tc>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0"/>
                <w:szCs w:val="20"/>
              </w:rPr>
              <w:t>19,245</w:t>
            </w:r>
          </w:p>
        </w:tc>
      </w:tr>
      <w:tr>
        <w:trPr>
          <w:trHeight w:val="240"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沈阳物流基地</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13,015</w:t>
            </w:r>
          </w:p>
        </w:tc>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0"/>
                <w:szCs w:val="20"/>
              </w:rPr>
              <w:t>13,015</w:t>
            </w:r>
          </w:p>
        </w:tc>
      </w:tr>
      <w:tr>
        <w:trPr>
          <w:trHeight w:val="230"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杭州二期物流基地</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4,066</w:t>
            </w:r>
          </w:p>
        </w:tc>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4,066</w:t>
            </w:r>
          </w:p>
        </w:tc>
      </w:tr>
      <w:tr>
        <w:trPr>
          <w:trHeight w:val="230"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渤宁苏宁物流基地</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1,993</w:t>
            </w:r>
          </w:p>
        </w:tc>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1,993</w:t>
            </w:r>
          </w:p>
        </w:tc>
      </w:tr>
      <w:tr>
        <w:trPr>
          <w:trHeight w:val="250"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上海苏宁电器广场</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1,266</w:t>
            </w:r>
          </w:p>
        </w:tc>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1,266</w:t>
            </w:r>
          </w:p>
        </w:tc>
      </w:tr>
      <w:tr>
        <w:trPr>
          <w:trHeight w:val="245"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71,717</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0"/>
                <w:szCs w:val="20"/>
              </w:rPr>
              <w:t>71,717</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80"/>
              <w:jc w:val="both"/>
              <w:rPr>
                <w:sz w:val="20"/>
                <w:szCs w:val="20"/>
              </w:rPr>
            </w:pPr>
            <w:r>
              <w:rPr>
                <w:rFonts w:ascii="Times New Roman" w:eastAsia="Times New Roman" w:hAnsi="Times New Roman" w:cs="Times New Roman"/>
                <w:color w:val="000000"/>
                <w:spacing w:val="0"/>
                <w:w w:val="100"/>
                <w:position w:val="0"/>
                <w:sz w:val="20"/>
                <w:szCs w:val="20"/>
              </w:rPr>
              <w:t>107,761</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jc w:val="both"/>
              <w:rPr>
                <w:sz w:val="20"/>
                <w:szCs w:val="20"/>
              </w:rPr>
            </w:pPr>
            <w:r>
              <w:rPr>
                <w:rFonts w:ascii="Times New Roman" w:eastAsia="Times New Roman" w:hAnsi="Times New Roman" w:cs="Times New Roman"/>
                <w:color w:val="000000"/>
                <w:spacing w:val="0"/>
                <w:w w:val="100"/>
                <w:position w:val="0"/>
                <w:sz w:val="20"/>
                <w:szCs w:val="20"/>
              </w:rPr>
              <w:t>107,761</w:t>
            </w:r>
          </w:p>
        </w:tc>
      </w:tr>
      <w:tr>
        <w:trPr>
          <w:trHeight w:val="264" w:hRule="exact"/>
        </w:trPr>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1,586,522</w:t>
            </w:r>
          </w:p>
        </w:tc>
        <w:tc>
          <w:tcPr>
            <w:tcBorders>
              <w:top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60"/>
              <w:jc w:val="both"/>
              <w:rPr>
                <w:sz w:val="20"/>
                <w:szCs w:val="20"/>
              </w:rPr>
            </w:pPr>
            <w:r>
              <w:rPr>
                <w:rFonts w:ascii="Times New Roman" w:eastAsia="Times New Roman" w:hAnsi="Times New Roman" w:cs="Times New Roman"/>
                <w:color w:val="000000"/>
                <w:spacing w:val="0"/>
                <w:w w:val="100"/>
                <w:position w:val="0"/>
                <w:sz w:val="20"/>
                <w:szCs w:val="20"/>
              </w:rPr>
              <w:t>1,586,522</w:t>
            </w:r>
          </w:p>
        </w:tc>
        <w:tc>
          <w:tcPr>
            <w:tcBorders>
              <w:top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both"/>
              <w:rPr>
                <w:sz w:val="20"/>
                <w:szCs w:val="20"/>
              </w:rPr>
            </w:pPr>
            <w:r>
              <w:rPr>
                <w:rFonts w:ascii="Times New Roman" w:eastAsia="Times New Roman" w:hAnsi="Times New Roman" w:cs="Times New Roman"/>
                <w:color w:val="000000"/>
                <w:spacing w:val="0"/>
                <w:w w:val="100"/>
                <w:position w:val="0"/>
                <w:sz w:val="20"/>
                <w:szCs w:val="20"/>
              </w:rPr>
              <w:t>1,915,103</w:t>
            </w:r>
          </w:p>
        </w:tc>
        <w:tc>
          <w:tcPr>
            <w:tcBorders>
              <w:top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both"/>
              <w:rPr>
                <w:sz w:val="20"/>
                <w:szCs w:val="20"/>
              </w:rPr>
            </w:pPr>
            <w:r>
              <w:rPr>
                <w:rFonts w:ascii="Times New Roman" w:eastAsia="Times New Roman" w:hAnsi="Times New Roman" w:cs="Times New Roman"/>
                <w:color w:val="000000"/>
                <w:spacing w:val="0"/>
                <w:w w:val="100"/>
                <w:position w:val="0"/>
                <w:sz w:val="20"/>
                <w:szCs w:val="20"/>
              </w:rPr>
              <w:t>1,915,103</w:t>
            </w:r>
          </w:p>
        </w:tc>
      </w:tr>
    </w:tbl>
    <w:p>
      <w:pPr>
        <w:sectPr>
          <w:headerReference w:type="default" r:id="rId139"/>
          <w:footerReference w:type="default" r:id="rId140"/>
          <w:headerReference w:type="even" r:id="rId141"/>
          <w:footerReference w:type="even" r:id="rId142"/>
          <w:footnotePr>
            <w:pos w:val="pageBottom"/>
            <w:numFmt w:val="decimal"/>
            <w:numRestart w:val="continuous"/>
          </w:footnotePr>
          <w:pgSz w:w="11900" w:h="16840"/>
          <w:pgMar w:top="1326" w:right="1025" w:bottom="3745" w:left="1611" w:header="0" w:footer="3" w:gutter="0"/>
          <w:cols w:space="720"/>
          <w:noEndnote/>
          <w:rtlGutter w:val="0"/>
          <w:docGrid w:linePitch="360"/>
        </w:sectPr>
      </w:pPr>
    </w:p>
    <w:p>
      <w:pPr>
        <w:pStyle w:val="Style32"/>
        <w:keepNext w:val="0"/>
        <w:keepLines w:val="0"/>
        <w:widowControl w:val="0"/>
        <w:shd w:val="clear" w:color="auto" w:fill="auto"/>
        <w:bidi w:val="0"/>
        <w:spacing w:before="0" w:after="0" w:line="240" w:lineRule="auto"/>
        <w:ind w:left="0" w:right="0" w:firstLine="660"/>
        <w:jc w:val="left"/>
        <w:rPr>
          <w:sz w:val="24"/>
          <w:szCs w:val="24"/>
        </w:rPr>
      </w:pPr>
      <w:r>
        <w:rPr>
          <w:b/>
          <w:bCs/>
          <w:color w:val="000000"/>
          <w:spacing w:val="0"/>
          <w:w w:val="100"/>
          <w:position w:val="0"/>
          <w:sz w:val="24"/>
          <w:szCs w:val="24"/>
        </w:rPr>
        <w:t>财务报表附注</w:t>
      </w:r>
    </w:p>
    <w:p>
      <w:pPr>
        <w:pStyle w:val="Style88"/>
        <w:keepNext/>
        <w:keepLines/>
        <w:widowControl w:val="0"/>
        <w:shd w:val="clear" w:color="auto" w:fill="auto"/>
        <w:bidi w:val="0"/>
        <w:spacing w:before="0" w:after="0" w:line="240" w:lineRule="auto"/>
        <w:ind w:left="0" w:right="0" w:firstLine="660"/>
        <w:jc w:val="left"/>
      </w:pPr>
      <w:bookmarkStart w:id="891" w:name="bookmark891"/>
      <w:bookmarkStart w:id="892" w:name="bookmark892"/>
      <w:bookmarkStart w:id="893" w:name="bookmark893"/>
      <w:r>
        <w:rPr>
          <w:color w:val="000000"/>
          <w:spacing w:val="0"/>
          <w:w w:val="100"/>
          <w:position w:val="0"/>
          <w:sz w:val="24"/>
          <w:szCs w:val="24"/>
        </w:rPr>
        <w:t>2016</w:t>
      </w:r>
      <w:r>
        <w:rPr>
          <w:rFonts w:ascii="SimSun" w:eastAsia="SimSun" w:hAnsi="SimSun" w:cs="SimSun"/>
          <w:b/>
          <w:bCs/>
          <w:color w:val="000000"/>
          <w:spacing w:val="0"/>
          <w:w w:val="100"/>
          <w:position w:val="0"/>
          <w:sz w:val="24"/>
          <w:szCs w:val="24"/>
        </w:rPr>
        <w:t>年度</w:t>
      </w:r>
      <w:bookmarkEnd w:id="891"/>
      <w:bookmarkEnd w:id="892"/>
      <w:bookmarkEnd w:id="893"/>
    </w:p>
    <w:p>
      <w:pPr>
        <w:pStyle w:val="Style32"/>
        <w:keepNext w:val="0"/>
        <w:keepLines w:val="0"/>
        <w:widowControl w:val="0"/>
        <w:shd w:val="clear" w:color="auto" w:fill="auto"/>
        <w:bidi w:val="0"/>
        <w:spacing w:before="0" w:after="260" w:line="240" w:lineRule="auto"/>
        <w:ind w:left="0" w:right="0" w:firstLine="660"/>
        <w:jc w:val="left"/>
        <w:rPr>
          <w:sz w:val="20"/>
          <w:szCs w:val="20"/>
        </w:rPr>
      </w:pPr>
      <w:r>
        <w:rPr>
          <w:rFonts w:ascii="Arial" w:eastAsia="Arial" w:hAnsi="Arial" w:cs="Arial"/>
          <w:color w:val="000000"/>
          <w:spacing w:val="0"/>
          <w:w w:val="100"/>
          <w:position w:val="0"/>
          <w:sz w:val="20"/>
          <w:szCs w:val="20"/>
        </w:rPr>
        <w:t>(</w:t>
      </w:r>
      <w:r>
        <w:rPr>
          <w:color w:val="000000"/>
          <w:spacing w:val="0"/>
          <w:w w:val="100"/>
          <w:position w:val="0"/>
          <w:sz w:val="20"/>
          <w:szCs w:val="20"/>
        </w:rPr>
        <w:t>除特别注明外，金额单位为人民币千元</w:t>
      </w:r>
      <w:r>
        <w:rPr>
          <w:rFonts w:ascii="Arial" w:eastAsia="Arial" w:hAnsi="Arial" w:cs="Arial"/>
          <w:color w:val="000000"/>
          <w:spacing w:val="0"/>
          <w:w w:val="100"/>
          <w:position w:val="0"/>
          <w:sz w:val="20"/>
          <w:szCs w:val="20"/>
        </w:rPr>
        <w:t>)</w:t>
      </w:r>
    </w:p>
    <w:p>
      <w:pPr>
        <w:pStyle w:val="Style32"/>
        <w:keepNext w:val="0"/>
        <w:keepLines w:val="0"/>
        <w:widowControl w:val="0"/>
        <w:shd w:val="clear" w:color="auto" w:fill="auto"/>
        <w:tabs>
          <w:tab w:pos="562" w:val="left"/>
        </w:tabs>
        <w:bidi w:val="0"/>
        <w:spacing w:before="0" w:after="260" w:line="240" w:lineRule="auto"/>
        <w:ind w:left="0" w:right="0" w:firstLine="0"/>
        <w:jc w:val="left"/>
        <w:rPr>
          <w:sz w:val="24"/>
          <w:szCs w:val="24"/>
        </w:rPr>
      </w:pPr>
      <w:r>
        <w:rPr>
          <w:b/>
          <w:bCs/>
          <w:color w:val="000000"/>
          <w:spacing w:val="0"/>
          <w:w w:val="100"/>
          <w:position w:val="0"/>
          <w:sz w:val="24"/>
          <w:szCs w:val="24"/>
        </w:rPr>
        <w:t>四</w:t>
        <w:tab/>
        <w:t>合并财务报表项目附注</w:t>
      </w:r>
      <w:r>
        <w:rPr>
          <w:rFonts w:ascii="Times New Roman" w:eastAsia="Times New Roman" w:hAnsi="Times New Roman" w:cs="Times New Roman"/>
          <w:color w:val="000000"/>
          <w:spacing w:val="0"/>
          <w:w w:val="100"/>
          <w:position w:val="0"/>
          <w:sz w:val="24"/>
          <w:szCs w:val="24"/>
        </w:rPr>
        <w:t>(</w:t>
      </w:r>
      <w:r>
        <w:rPr>
          <w:b/>
          <w:bCs/>
          <w:color w:val="000000"/>
          <w:spacing w:val="0"/>
          <w:w w:val="100"/>
          <w:position w:val="0"/>
          <w:sz w:val="24"/>
          <w:szCs w:val="24"/>
        </w:rPr>
        <w:t>续</w:t>
      </w:r>
      <w:r>
        <w:rPr>
          <w:rFonts w:ascii="Times New Roman" w:eastAsia="Times New Roman" w:hAnsi="Times New Roman" w:cs="Times New Roman"/>
          <w:color w:val="000000"/>
          <w:spacing w:val="0"/>
          <w:w w:val="100"/>
          <w:position w:val="0"/>
          <w:sz w:val="24"/>
          <w:szCs w:val="24"/>
        </w:rPr>
        <w:t>)</w:t>
      </w:r>
    </w:p>
    <w:p>
      <w:pPr>
        <w:pStyle w:val="Style53"/>
        <w:keepNext w:val="0"/>
        <w:keepLines w:val="0"/>
        <w:widowControl w:val="0"/>
        <w:shd w:val="clear" w:color="auto" w:fill="auto"/>
        <w:bidi w:val="0"/>
        <w:spacing w:before="0" w:after="260" w:line="240" w:lineRule="auto"/>
        <w:ind w:left="0" w:right="0" w:firstLine="0"/>
        <w:jc w:val="left"/>
        <w:rPr>
          <w:sz w:val="24"/>
          <w:szCs w:val="24"/>
        </w:rPr>
      </w:pPr>
      <w:r>
        <w:rPr>
          <w:color w:val="000000"/>
          <w:spacing w:val="0"/>
          <w:w w:val="100"/>
          <w:position w:val="0"/>
          <w:sz w:val="24"/>
          <w:szCs w:val="24"/>
        </w:rPr>
        <w:t>(15)</w:t>
      </w:r>
      <w:r>
        <w:rPr>
          <w:rFonts w:ascii="SimSun" w:eastAsia="SimSun" w:hAnsi="SimSun" w:cs="SimSun"/>
          <w:b/>
          <w:bCs/>
          <w:color w:val="000000"/>
          <w:spacing w:val="0"/>
          <w:w w:val="100"/>
          <w:position w:val="0"/>
          <w:sz w:val="24"/>
          <w:szCs w:val="24"/>
        </w:rPr>
        <w:t>在建工程</w:t>
      </w:r>
      <w:r>
        <w:rPr>
          <w:color w:val="000000"/>
          <w:spacing w:val="0"/>
          <w:w w:val="100"/>
          <w:position w:val="0"/>
          <w:sz w:val="24"/>
          <w:szCs w:val="24"/>
        </w:rPr>
        <w:t>(</w:t>
      </w:r>
      <w:r>
        <w:rPr>
          <w:rFonts w:ascii="SimSun" w:eastAsia="SimSun" w:hAnsi="SimSun" w:cs="SimSun"/>
          <w:b/>
          <w:bCs/>
          <w:color w:val="000000"/>
          <w:spacing w:val="0"/>
          <w:w w:val="100"/>
          <w:position w:val="0"/>
          <w:sz w:val="24"/>
          <w:szCs w:val="24"/>
        </w:rPr>
        <w:t>续</w:t>
      </w:r>
      <w:r>
        <w:rPr>
          <w:color w:val="000000"/>
          <w:spacing w:val="0"/>
          <w:w w:val="100"/>
          <w:position w:val="0"/>
          <w:sz w:val="24"/>
          <w:szCs w:val="24"/>
        </w:rPr>
        <w:t>)</w:t>
      </w:r>
    </w:p>
    <w:p>
      <w:pPr>
        <w:pStyle w:val="Style32"/>
        <w:keepNext w:val="0"/>
        <w:keepLines w:val="0"/>
        <w:widowControl w:val="0"/>
        <w:shd w:val="clear" w:color="auto" w:fill="auto"/>
        <w:tabs>
          <w:tab w:pos="562" w:val="left"/>
        </w:tabs>
        <w:bidi w:val="0"/>
        <w:spacing w:before="0" w:after="26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(a)</w:t>
        <w:tab/>
      </w:r>
      <w:r>
        <w:rPr>
          <w:color w:val="000000"/>
          <w:spacing w:val="0"/>
          <w:w w:val="100"/>
          <w:position w:val="0"/>
          <w:sz w:val="24"/>
          <w:szCs w:val="24"/>
        </w:rPr>
        <w:t>重大在建工程变动</w:t>
      </w:r>
    </w:p>
    <w:p>
      <w:pPr>
        <w:pStyle w:val="Style25"/>
        <w:keepNext w:val="0"/>
        <w:keepLines w:val="0"/>
        <w:widowControl w:val="0"/>
        <w:shd w:val="clear" w:color="auto" w:fill="auto"/>
        <w:bidi w:val="0"/>
        <w:spacing w:before="0" w:after="0" w:line="240" w:lineRule="auto"/>
        <w:ind w:left="11938" w:right="0" w:firstLine="0"/>
        <w:jc w:val="left"/>
        <w:rPr>
          <w:sz w:val="18"/>
          <w:szCs w:val="18"/>
        </w:rPr>
      </w:pPr>
      <w:r>
        <w:rPr>
          <w:color w:val="000000"/>
          <w:spacing w:val="0"/>
          <w:w w:val="100"/>
          <w:position w:val="0"/>
          <w:sz w:val="18"/>
          <w:szCs w:val="18"/>
        </w:rPr>
        <w:t>其中：本</w:t>
      </w:r>
    </w:p>
    <w:tbl>
      <w:tblPr>
        <w:tblOverlap w:val="never"/>
        <w:jc w:val="center"/>
        <w:tblLayout w:type="fixed"/>
      </w:tblPr>
      <w:tblGrid>
        <w:gridCol w:w="2136"/>
        <w:gridCol w:w="926"/>
        <w:gridCol w:w="1133"/>
        <w:gridCol w:w="970"/>
        <w:gridCol w:w="1157"/>
        <w:gridCol w:w="974"/>
        <w:gridCol w:w="1080"/>
        <w:gridCol w:w="955"/>
        <w:gridCol w:w="1526"/>
        <w:gridCol w:w="970"/>
        <w:gridCol w:w="998"/>
        <w:gridCol w:w="974"/>
        <w:gridCol w:w="1032"/>
      </w:tblGrid>
      <w:tr>
        <w:trPr>
          <w:trHeight w:val="802"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工程名称</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预算数</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8"/>
                <w:szCs w:val="18"/>
              </w:rPr>
              <w:t>年</w:t>
            </w:r>
          </w:p>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本年增加</w:t>
            </w:r>
          </w:p>
        </w:tc>
        <w:tc>
          <w:tcPr>
            <w:tcBorders/>
            <w:shd w:val="clear" w:color="auto" w:fill="FFFFFF"/>
            <w:vAlign w:val="top"/>
          </w:tcPr>
          <w:p>
            <w:pPr>
              <w:pStyle w:val="Style28"/>
              <w:keepNext w:val="0"/>
              <w:keepLines w:val="0"/>
              <w:widowControl w:val="0"/>
              <w:shd w:val="clear" w:color="auto" w:fill="auto"/>
              <w:bidi w:val="0"/>
              <w:spacing w:before="0" w:after="0" w:line="226" w:lineRule="exact"/>
              <w:ind w:left="0" w:right="0" w:firstLine="0"/>
              <w:jc w:val="right"/>
              <w:rPr>
                <w:sz w:val="18"/>
                <w:szCs w:val="18"/>
              </w:rPr>
            </w:pPr>
            <w:r>
              <w:rPr>
                <w:color w:val="000000"/>
                <w:spacing w:val="0"/>
                <w:w w:val="100"/>
                <w:position w:val="0"/>
                <w:sz w:val="18"/>
                <w:szCs w:val="18"/>
              </w:rPr>
              <w:t xml:space="preserve">本年转入 固定资产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附注四</w:t>
            </w:r>
            <w:r>
              <w:rPr>
                <w:rFonts w:ascii="Times New Roman" w:eastAsia="Times New Roman" w:hAnsi="Times New Roman" w:cs="Times New Roman"/>
                <w:color w:val="000000"/>
                <w:spacing w:val="0"/>
                <w:w w:val="100"/>
                <w:position w:val="0"/>
                <w:sz w:val="18"/>
                <w:szCs w:val="18"/>
              </w:rPr>
              <w:t>(14))</w:t>
            </w:r>
          </w:p>
        </w:tc>
        <w:tc>
          <w:tcPr>
            <w:tcBorders/>
            <w:shd w:val="clear" w:color="auto" w:fill="FFFFFF"/>
            <w:vAlign w:val="center"/>
          </w:tcPr>
          <w:p>
            <w:pPr>
              <w:pStyle w:val="Style28"/>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本年竣工 决算调整</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8"/>
                <w:szCs w:val="18"/>
              </w:rPr>
              <w:t>年</w:t>
            </w:r>
          </w:p>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tc>
        <w:tc>
          <w:tcPr>
            <w:tcBorders/>
            <w:shd w:val="clear" w:color="auto" w:fill="FFFFFF"/>
            <w:vAlign w:val="top"/>
          </w:tcPr>
          <w:p>
            <w:pPr>
              <w:pStyle w:val="Style28"/>
              <w:keepNext w:val="0"/>
              <w:keepLines w:val="0"/>
              <w:widowControl w:val="0"/>
              <w:shd w:val="clear" w:color="auto" w:fill="auto"/>
              <w:bidi w:val="0"/>
              <w:spacing w:before="0" w:after="0" w:line="230" w:lineRule="exact"/>
              <w:ind w:left="0" w:right="140" w:firstLine="0"/>
              <w:jc w:val="right"/>
              <w:rPr>
                <w:sz w:val="18"/>
                <w:szCs w:val="18"/>
              </w:rPr>
            </w:pPr>
            <w:r>
              <w:rPr>
                <w:color w:val="000000"/>
                <w:spacing w:val="0"/>
                <w:w w:val="100"/>
                <w:position w:val="0"/>
                <w:sz w:val="18"/>
                <w:szCs w:val="18"/>
              </w:rPr>
              <w:t>工程投入 占预算的 比例</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工程进度</w:t>
            </w:r>
          </w:p>
        </w:tc>
        <w:tc>
          <w:tcPr>
            <w:tcBorders/>
            <w:shd w:val="clear" w:color="auto" w:fill="FFFFFF"/>
            <w:vAlign w:val="top"/>
          </w:tcPr>
          <w:p>
            <w:pPr>
              <w:pStyle w:val="Style28"/>
              <w:keepNext w:val="0"/>
              <w:keepLines w:val="0"/>
              <w:widowControl w:val="0"/>
              <w:shd w:val="clear" w:color="auto" w:fill="auto"/>
              <w:bidi w:val="0"/>
              <w:spacing w:before="0" w:after="0" w:line="233" w:lineRule="exact"/>
              <w:ind w:left="0" w:right="0" w:firstLine="0"/>
              <w:jc w:val="right"/>
              <w:rPr>
                <w:sz w:val="18"/>
                <w:szCs w:val="18"/>
              </w:rPr>
            </w:pPr>
            <w:r>
              <w:rPr>
                <w:color w:val="000000"/>
                <w:spacing w:val="0"/>
                <w:w w:val="100"/>
                <w:position w:val="0"/>
                <w:sz w:val="18"/>
                <w:szCs w:val="18"/>
              </w:rPr>
              <w:t>借款费用 资本化 累计金额</w:t>
            </w:r>
          </w:p>
        </w:tc>
        <w:tc>
          <w:tcPr>
            <w:tcBorders/>
            <w:shd w:val="clear" w:color="auto" w:fill="FFFFFF"/>
            <w:vAlign w:val="top"/>
          </w:tcPr>
          <w:p>
            <w:pPr>
              <w:pStyle w:val="Style28"/>
              <w:keepNext w:val="0"/>
              <w:keepLines w:val="0"/>
              <w:widowControl w:val="0"/>
              <w:shd w:val="clear" w:color="auto" w:fill="auto"/>
              <w:bidi w:val="0"/>
              <w:spacing w:before="0" w:after="0" w:line="235" w:lineRule="exact"/>
              <w:ind w:left="0" w:right="140" w:firstLine="0"/>
              <w:jc w:val="right"/>
              <w:rPr>
                <w:sz w:val="18"/>
                <w:szCs w:val="18"/>
              </w:rPr>
            </w:pPr>
            <w:r>
              <w:rPr>
                <w:color w:val="000000"/>
                <w:spacing w:val="0"/>
                <w:w w:val="100"/>
                <w:position w:val="0"/>
                <w:sz w:val="18"/>
                <w:szCs w:val="18"/>
              </w:rPr>
              <w:t>年借款费 用资本化 金额</w:t>
            </w:r>
          </w:p>
        </w:tc>
        <w:tc>
          <w:tcPr>
            <w:tcBorders/>
            <w:shd w:val="clear" w:color="auto" w:fill="FFFFFF"/>
            <w:vAlign w:val="top"/>
          </w:tcPr>
          <w:p>
            <w:pPr>
              <w:pStyle w:val="Style28"/>
              <w:keepNext w:val="0"/>
              <w:keepLines w:val="0"/>
              <w:widowControl w:val="0"/>
              <w:shd w:val="clear" w:color="auto" w:fill="auto"/>
              <w:bidi w:val="0"/>
              <w:spacing w:before="0" w:after="0" w:line="240" w:lineRule="exact"/>
              <w:ind w:left="0" w:right="0" w:firstLine="0"/>
              <w:jc w:val="right"/>
              <w:rPr>
                <w:sz w:val="18"/>
                <w:szCs w:val="18"/>
              </w:rPr>
            </w:pPr>
            <w:r>
              <w:rPr>
                <w:color w:val="000000"/>
                <w:spacing w:val="0"/>
                <w:w w:val="100"/>
                <w:position w:val="0"/>
                <w:sz w:val="18"/>
                <w:szCs w:val="18"/>
              </w:rPr>
              <w:t>本年借款 费用资本 化率</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资金来源</w:t>
            </w:r>
          </w:p>
        </w:tc>
      </w:tr>
      <w:tr>
        <w:trPr>
          <w:trHeight w:val="346"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雨花物流基地</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511,670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361,217</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54,442</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415,659</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75%</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基本建设完成</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34,698</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140" w:firstLine="0"/>
              <w:jc w:val="right"/>
              <w:rPr>
                <w:sz w:val="18"/>
                <w:szCs w:val="18"/>
              </w:rPr>
            </w:pPr>
            <w:r>
              <w:rPr>
                <w:rFonts w:ascii="Times New Roman" w:eastAsia="Times New Roman" w:hAnsi="Times New Roman" w:cs="Times New Roman"/>
                <w:color w:val="000000"/>
                <w:spacing w:val="0"/>
                <w:w w:val="100"/>
                <w:position w:val="0"/>
                <w:sz w:val="18"/>
                <w:szCs w:val="18"/>
              </w:rPr>
              <w:t>14,630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5.45%</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自有及借款</w:t>
            </w:r>
          </w:p>
        </w:tc>
      </w:tr>
      <w:tr>
        <w:trPr>
          <w:trHeight w:val="235"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滁州苏宁广场项目</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629,380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180,678</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144,968</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325,646</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75%</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基本建设完成</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13,549</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9,474</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5.45%</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自有及借款</w:t>
            </w:r>
          </w:p>
        </w:tc>
      </w:tr>
      <w:tr>
        <w:trPr>
          <w:trHeight w:val="230"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日照苏宁电器广场项目</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627,160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246,188</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291,851</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(252,961)</w:t>
            </w:r>
          </w:p>
        </w:tc>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285,078</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83%</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部分投入运营</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20,564</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140" w:firstLine="0"/>
              <w:jc w:val="right"/>
              <w:rPr>
                <w:sz w:val="18"/>
                <w:szCs w:val="18"/>
              </w:rPr>
            </w:pPr>
            <w:r>
              <w:rPr>
                <w:rFonts w:ascii="Times New Roman" w:eastAsia="Times New Roman" w:hAnsi="Times New Roman" w:cs="Times New Roman"/>
                <w:color w:val="000000"/>
                <w:spacing w:val="0"/>
                <w:w w:val="100"/>
                <w:position w:val="0"/>
                <w:sz w:val="18"/>
                <w:szCs w:val="18"/>
              </w:rPr>
              <w:t>12,881</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5.45%</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自有及借款</w:t>
            </w:r>
          </w:p>
        </w:tc>
      </w:tr>
      <w:tr>
        <w:trPr>
          <w:trHeight w:val="235"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西安泾阳物流基地</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184,252</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10,325</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154,086</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164,411</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86%</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基本建设完成</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3,146</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3,060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5.45%</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自有及借款</w:t>
            </w:r>
          </w:p>
        </w:tc>
      </w:tr>
      <w:tr>
        <w:trPr>
          <w:trHeight w:val="235"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鄂州物流基地</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163,353</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33,232</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79,351</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112,583</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67%</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基本建设完成</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2,978</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2,920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5.45%</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自有及借款</w:t>
            </w:r>
          </w:p>
        </w:tc>
      </w:tr>
      <w:tr>
        <w:trPr>
          <w:trHeight w:val="226"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内江物流项目</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46,530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496</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35,653</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36,149</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77%</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基本建设完成</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545</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545</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5.45%</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自有及借款</w:t>
            </w:r>
          </w:p>
        </w:tc>
      </w:tr>
      <w:tr>
        <w:trPr>
          <w:trHeight w:val="235"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石家庄物流基地</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67,934</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7,145</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25,687</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32,832</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42%</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主体建筑施工中</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804</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601</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5.45%</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自有及借款</w:t>
            </w:r>
          </w:p>
        </w:tc>
      </w:tr>
      <w:tr>
        <w:trPr>
          <w:trHeight w:val="230"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常州物流基地</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48,406</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4,395</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30,926</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35,321</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72%</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基本建设完成</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463</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451</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5.45%</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自有及借款</w:t>
            </w:r>
          </w:p>
        </w:tc>
      </w:tr>
      <w:tr>
        <w:trPr>
          <w:trHeight w:val="461"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厦门物流基地</w:t>
            </w:r>
          </w:p>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华南地区电子商务运营</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169,590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24,208</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24,208</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98%</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部分投入运营</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14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募集资金</w:t>
            </w:r>
          </w:p>
        </w:tc>
      </w:tr>
      <w:tr>
        <w:trPr>
          <w:trHeight w:val="245"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中心</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318,920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1,880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18,714</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20,594</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4%</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基础建设中</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240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220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5.45%</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自有及借款</w:t>
            </w:r>
          </w:p>
        </w:tc>
      </w:tr>
      <w:tr>
        <w:trPr>
          <w:trHeight w:val="230"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宁波物流基地</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140,830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131</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18,525</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18,656</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13%</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基础建设中</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197</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197</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5.45%</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自有及借款</w:t>
            </w:r>
          </w:p>
        </w:tc>
      </w:tr>
      <w:tr>
        <w:trPr>
          <w:trHeight w:val="235"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徐州物流中心二期</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56,210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15,671</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15,671</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28%</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基础建设中</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101</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101</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5.45%</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自有及借款</w:t>
            </w:r>
          </w:p>
        </w:tc>
      </w:tr>
      <w:tr>
        <w:trPr>
          <w:trHeight w:val="461" w:hRule="exact"/>
        </w:trPr>
        <w:tc>
          <w:tcPr>
            <w:tcBorders/>
            <w:shd w:val="clear" w:color="auto" w:fill="FFFFFF"/>
            <w:vAlign w:val="bottom"/>
          </w:tcPr>
          <w:p>
            <w:pPr>
              <w:pStyle w:val="Style28"/>
              <w:keepNext w:val="0"/>
              <w:keepLines w:val="0"/>
              <w:widowControl w:val="0"/>
              <w:shd w:val="clear" w:color="auto" w:fill="auto"/>
              <w:bidi w:val="0"/>
              <w:spacing w:before="0" w:after="0" w:line="226" w:lineRule="exact"/>
              <w:ind w:left="0" w:right="0" w:firstLine="0"/>
              <w:jc w:val="left"/>
              <w:rPr>
                <w:sz w:val="18"/>
                <w:szCs w:val="18"/>
              </w:rPr>
            </w:pPr>
            <w:r>
              <w:rPr>
                <w:color w:val="000000"/>
                <w:spacing w:val="0"/>
                <w:w w:val="100"/>
                <w:position w:val="0"/>
                <w:sz w:val="18"/>
                <w:szCs w:val="18"/>
              </w:rPr>
              <w:t>南宁物流基地一期 苏宁总部概念店地铁连</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131,590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28,057</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64,668</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(78,192)</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14,533</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69%</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部分投入运营</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1,682</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1,328</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5.45%</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自有及借款</w:t>
            </w:r>
          </w:p>
        </w:tc>
      </w:tr>
      <w:tr>
        <w:trPr>
          <w:trHeight w:val="240"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通口项目</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12,000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8,143</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8,143</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64%</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基本建设完成</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470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470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5.45%</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自有及借款</w:t>
            </w:r>
          </w:p>
        </w:tc>
      </w:tr>
      <w:tr>
        <w:trPr>
          <w:trHeight w:val="230"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太原物流基地</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85,025</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697</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3,215</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3,912</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5%</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基础建设中</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14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5.45%</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自有及借款</w:t>
            </w:r>
          </w:p>
        </w:tc>
      </w:tr>
      <w:tr>
        <w:trPr>
          <w:trHeight w:val="250"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天津</w:t>
            </w:r>
            <w:r>
              <w:rPr>
                <w:rFonts w:ascii="Times New Roman" w:eastAsia="Times New Roman" w:hAnsi="Times New Roman" w:cs="Times New Roman"/>
                <w:color w:val="000000"/>
                <w:spacing w:val="0"/>
                <w:w w:val="100"/>
                <w:position w:val="0"/>
                <w:sz w:val="18"/>
                <w:szCs w:val="18"/>
              </w:rPr>
              <w:t>B2C</w:t>
            </w:r>
            <w:r>
              <w:rPr>
                <w:color w:val="000000"/>
                <w:spacing w:val="0"/>
                <w:w w:val="100"/>
                <w:position w:val="0"/>
                <w:sz w:val="18"/>
                <w:szCs w:val="18"/>
              </w:rPr>
              <w:t>自动分拣中心</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368,296</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1,042</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367</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1,409</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14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基础建设中</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140" w:firstLine="0"/>
              <w:jc w:val="right"/>
              <w:rPr>
                <w:sz w:val="18"/>
                <w:szCs w:val="18"/>
              </w:rPr>
            </w:pPr>
            <w:r>
              <w:rPr>
                <w:rFonts w:ascii="Times New Roman" w:eastAsia="Times New Roman" w:hAnsi="Times New Roman" w:cs="Times New Roman"/>
                <w:color w:val="000000"/>
                <w:spacing w:val="0"/>
                <w:w w:val="100"/>
                <w:position w:val="0"/>
                <w:sz w:val="18"/>
                <w:szCs w:val="18"/>
              </w:rPr>
              <w:t>47</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5.45%</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自有及借款</w:t>
            </w:r>
          </w:p>
        </w:tc>
      </w:tr>
    </w:tbl>
    <w:p>
      <w:pPr>
        <w:pStyle w:val="Style32"/>
        <w:keepNext w:val="0"/>
        <w:keepLines w:val="0"/>
        <w:widowControl w:val="0"/>
        <w:shd w:val="clear" w:color="auto" w:fill="auto"/>
        <w:bidi w:val="0"/>
        <w:spacing w:before="0" w:after="0" w:line="240" w:lineRule="auto"/>
        <w:ind w:left="0" w:right="0" w:firstLine="680"/>
        <w:jc w:val="left"/>
        <w:rPr>
          <w:sz w:val="24"/>
          <w:szCs w:val="24"/>
        </w:rPr>
      </w:pPr>
      <w:r>
        <w:rPr>
          <w:b/>
          <w:bCs/>
          <w:color w:val="000000"/>
          <w:spacing w:val="0"/>
          <w:w w:val="100"/>
          <w:position w:val="0"/>
          <w:sz w:val="24"/>
          <w:szCs w:val="24"/>
        </w:rPr>
        <w:t>财务报表附注</w:t>
      </w:r>
    </w:p>
    <w:p>
      <w:pPr>
        <w:pStyle w:val="Style88"/>
        <w:keepNext/>
        <w:keepLines/>
        <w:widowControl w:val="0"/>
        <w:shd w:val="clear" w:color="auto" w:fill="auto"/>
        <w:bidi w:val="0"/>
        <w:spacing w:before="0" w:after="0" w:line="240" w:lineRule="auto"/>
        <w:ind w:left="0" w:right="0" w:firstLine="680"/>
        <w:jc w:val="left"/>
      </w:pPr>
      <w:bookmarkStart w:id="894" w:name="bookmark894"/>
      <w:bookmarkStart w:id="895" w:name="bookmark895"/>
      <w:bookmarkStart w:id="896" w:name="bookmark896"/>
      <w:r>
        <w:rPr>
          <w:color w:val="000000"/>
          <w:spacing w:val="0"/>
          <w:w w:val="100"/>
          <w:position w:val="0"/>
          <w:sz w:val="24"/>
          <w:szCs w:val="24"/>
        </w:rPr>
        <w:t>2016</w:t>
      </w:r>
      <w:r>
        <w:rPr>
          <w:rFonts w:ascii="SimSun" w:eastAsia="SimSun" w:hAnsi="SimSun" w:cs="SimSun"/>
          <w:b/>
          <w:bCs/>
          <w:color w:val="000000"/>
          <w:spacing w:val="0"/>
          <w:w w:val="100"/>
          <w:position w:val="0"/>
          <w:sz w:val="24"/>
          <w:szCs w:val="24"/>
        </w:rPr>
        <w:t>年度</w:t>
      </w:r>
      <w:bookmarkEnd w:id="894"/>
      <w:bookmarkEnd w:id="895"/>
      <w:bookmarkEnd w:id="896"/>
    </w:p>
    <w:p>
      <w:pPr>
        <w:pStyle w:val="Style32"/>
        <w:keepNext w:val="0"/>
        <w:keepLines w:val="0"/>
        <w:widowControl w:val="0"/>
        <w:shd w:val="clear" w:color="auto" w:fill="auto"/>
        <w:bidi w:val="0"/>
        <w:spacing w:before="0" w:after="260" w:line="240" w:lineRule="auto"/>
        <w:ind w:left="0" w:right="0" w:firstLine="680"/>
        <w:jc w:val="left"/>
        <w:rPr>
          <w:sz w:val="20"/>
          <w:szCs w:val="20"/>
        </w:rPr>
      </w:pPr>
      <w:r>
        <w:rPr>
          <w:rFonts w:ascii="Arial" w:eastAsia="Arial" w:hAnsi="Arial" w:cs="Arial"/>
          <w:color w:val="000000"/>
          <w:spacing w:val="0"/>
          <w:w w:val="100"/>
          <w:position w:val="0"/>
          <w:sz w:val="20"/>
          <w:szCs w:val="20"/>
        </w:rPr>
        <w:t>（</w:t>
      </w:r>
      <w:r>
        <w:rPr>
          <w:color w:val="000000"/>
          <w:spacing w:val="0"/>
          <w:w w:val="100"/>
          <w:position w:val="0"/>
          <w:sz w:val="20"/>
          <w:szCs w:val="20"/>
        </w:rPr>
        <w:t>除特别注明外，金额单位为人民币千元</w:t>
      </w:r>
      <w:r>
        <w:rPr>
          <w:rFonts w:ascii="Arial" w:eastAsia="Arial" w:hAnsi="Arial" w:cs="Arial"/>
          <w:color w:val="000000"/>
          <w:spacing w:val="0"/>
          <w:w w:val="100"/>
          <w:position w:val="0"/>
          <w:sz w:val="20"/>
          <w:szCs w:val="20"/>
        </w:rPr>
        <w:t>）</w:t>
      </w:r>
    </w:p>
    <w:p>
      <w:pPr>
        <w:pStyle w:val="Style32"/>
        <w:keepNext w:val="0"/>
        <w:keepLines w:val="0"/>
        <w:widowControl w:val="0"/>
        <w:shd w:val="clear" w:color="auto" w:fill="auto"/>
        <w:tabs>
          <w:tab w:pos="631" w:val="left"/>
        </w:tabs>
        <w:bidi w:val="0"/>
        <w:spacing w:before="0" w:after="260" w:line="240" w:lineRule="auto"/>
        <w:ind w:left="0" w:right="0" w:firstLine="0"/>
        <w:jc w:val="left"/>
        <w:rPr>
          <w:sz w:val="24"/>
          <w:szCs w:val="24"/>
        </w:rPr>
      </w:pPr>
      <w:r>
        <w:rPr>
          <w:b/>
          <w:bCs/>
          <w:color w:val="000000"/>
          <w:spacing w:val="0"/>
          <w:w w:val="100"/>
          <w:position w:val="0"/>
          <w:sz w:val="24"/>
          <w:szCs w:val="24"/>
        </w:rPr>
        <w:t>四</w:t>
        <w:tab/>
        <w:t>合并财务报表项目附注</w:t>
      </w:r>
      <w:r>
        <w:rPr>
          <w:rFonts w:ascii="Times New Roman" w:eastAsia="Times New Roman" w:hAnsi="Times New Roman" w:cs="Times New Roman"/>
          <w:color w:val="000000"/>
          <w:spacing w:val="0"/>
          <w:w w:val="100"/>
          <w:position w:val="0"/>
          <w:sz w:val="24"/>
          <w:szCs w:val="24"/>
        </w:rPr>
        <w:t>（</w:t>
      </w:r>
      <w:r>
        <w:rPr>
          <w:b/>
          <w:bCs/>
          <w:color w:val="000000"/>
          <w:spacing w:val="0"/>
          <w:w w:val="100"/>
          <w:position w:val="0"/>
          <w:sz w:val="24"/>
          <w:szCs w:val="24"/>
        </w:rPr>
        <w:t>续</w:t>
      </w:r>
      <w:r>
        <w:rPr>
          <w:rFonts w:ascii="Times New Roman" w:eastAsia="Times New Roman" w:hAnsi="Times New Roman" w:cs="Times New Roman"/>
          <w:color w:val="000000"/>
          <w:spacing w:val="0"/>
          <w:w w:val="100"/>
          <w:position w:val="0"/>
          <w:sz w:val="24"/>
          <w:szCs w:val="24"/>
        </w:rPr>
        <w:t>）</w:t>
      </w:r>
    </w:p>
    <w:p>
      <w:pPr>
        <w:pStyle w:val="Style53"/>
        <w:keepNext w:val="0"/>
        <w:keepLines w:val="0"/>
        <w:widowControl w:val="0"/>
        <w:shd w:val="clear" w:color="auto" w:fill="auto"/>
        <w:bidi w:val="0"/>
        <w:spacing w:before="0" w:after="260" w:line="240" w:lineRule="auto"/>
        <w:ind w:left="0" w:right="0" w:firstLine="0"/>
        <w:jc w:val="left"/>
        <w:rPr>
          <w:sz w:val="24"/>
          <w:szCs w:val="24"/>
        </w:rPr>
      </w:pPr>
      <w:r>
        <w:rPr>
          <w:color w:val="000000"/>
          <w:spacing w:val="0"/>
          <w:w w:val="100"/>
          <w:position w:val="0"/>
          <w:sz w:val="24"/>
          <w:szCs w:val="24"/>
        </w:rPr>
        <w:t>（15）</w:t>
      </w:r>
      <w:r>
        <w:rPr>
          <w:rFonts w:ascii="SimSun" w:eastAsia="SimSun" w:hAnsi="SimSun" w:cs="SimSun"/>
          <w:b/>
          <w:bCs/>
          <w:color w:val="000000"/>
          <w:spacing w:val="0"/>
          <w:w w:val="100"/>
          <w:position w:val="0"/>
          <w:sz w:val="24"/>
          <w:szCs w:val="24"/>
        </w:rPr>
        <w:t>在建工程</w:t>
      </w:r>
      <w:r>
        <w:rPr>
          <w:color w:val="000000"/>
          <w:spacing w:val="0"/>
          <w:w w:val="100"/>
          <w:position w:val="0"/>
          <w:sz w:val="24"/>
          <w:szCs w:val="24"/>
        </w:rPr>
        <w:t>（</w:t>
      </w:r>
      <w:r>
        <w:rPr>
          <w:rFonts w:ascii="SimSun" w:eastAsia="SimSun" w:hAnsi="SimSun" w:cs="SimSun"/>
          <w:b/>
          <w:bCs/>
          <w:color w:val="000000"/>
          <w:spacing w:val="0"/>
          <w:w w:val="100"/>
          <w:position w:val="0"/>
          <w:sz w:val="24"/>
          <w:szCs w:val="24"/>
        </w:rPr>
        <w:t>续</w:t>
      </w:r>
      <w:r>
        <w:rPr>
          <w:rFonts w:ascii="SimSun" w:eastAsia="SimSun" w:hAnsi="SimSun" w:cs="SimSun"/>
          <w:color w:val="000000"/>
          <w:spacing w:val="0"/>
          <w:w w:val="100"/>
          <w:position w:val="0"/>
          <w:sz w:val="24"/>
          <w:szCs w:val="24"/>
        </w:rPr>
        <w:t>）</w:t>
      </w:r>
    </w:p>
    <w:p>
      <w:pPr>
        <w:pStyle w:val="Style32"/>
        <w:keepNext w:val="0"/>
        <w:keepLines w:val="0"/>
        <w:widowControl w:val="0"/>
        <w:shd w:val="clear" w:color="auto" w:fill="auto"/>
        <w:tabs>
          <w:tab w:pos="631" w:val="left"/>
        </w:tabs>
        <w:bidi w:val="0"/>
        <w:spacing w:before="0" w:after="26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（a）</w:t>
        <w:tab/>
      </w:r>
      <w:r>
        <w:rPr>
          <w:color w:val="000000"/>
          <w:spacing w:val="0"/>
          <w:w w:val="100"/>
          <w:position w:val="0"/>
          <w:sz w:val="24"/>
          <w:szCs w:val="24"/>
        </w:rPr>
        <w:t>重大在建工程变动</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续</w:t>
      </w:r>
      <w:r>
        <w:rPr>
          <w:rFonts w:ascii="Times New Roman" w:eastAsia="Times New Roman" w:hAnsi="Times New Roman" w:cs="Times New Roman"/>
          <w:color w:val="000000"/>
          <w:spacing w:val="0"/>
          <w:w w:val="100"/>
          <w:position w:val="0"/>
          <w:sz w:val="24"/>
          <w:szCs w:val="24"/>
        </w:rPr>
        <w:t>）</w:t>
      </w:r>
    </w:p>
    <w:tbl>
      <w:tblPr>
        <w:tblOverlap w:val="never"/>
        <w:jc w:val="center"/>
        <w:tblLayout w:type="fixed"/>
      </w:tblPr>
      <w:tblGrid>
        <w:gridCol w:w="1877"/>
        <w:gridCol w:w="1171"/>
        <w:gridCol w:w="1147"/>
        <w:gridCol w:w="970"/>
        <w:gridCol w:w="1205"/>
        <w:gridCol w:w="998"/>
        <w:gridCol w:w="1037"/>
        <w:gridCol w:w="1109"/>
        <w:gridCol w:w="1344"/>
        <w:gridCol w:w="922"/>
        <w:gridCol w:w="1075"/>
        <w:gridCol w:w="931"/>
        <w:gridCol w:w="1042"/>
      </w:tblGrid>
      <w:tr>
        <w:trPr>
          <w:trHeight w:val="806"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工程名称</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预算数</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8"/>
                <w:szCs w:val="18"/>
              </w:rPr>
              <w:t>年</w:t>
            </w:r>
          </w:p>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本年增加</w:t>
            </w:r>
          </w:p>
        </w:tc>
        <w:tc>
          <w:tcPr>
            <w:tcBorders/>
            <w:shd w:val="clear" w:color="auto" w:fill="FFFFFF"/>
            <w:vAlign w:val="top"/>
          </w:tcPr>
          <w:p>
            <w:pPr>
              <w:pStyle w:val="Style28"/>
              <w:keepNext w:val="0"/>
              <w:keepLines w:val="0"/>
              <w:widowControl w:val="0"/>
              <w:shd w:val="clear" w:color="auto" w:fill="auto"/>
              <w:bidi w:val="0"/>
              <w:spacing w:before="0" w:after="0" w:line="226" w:lineRule="exact"/>
              <w:ind w:left="0" w:right="0" w:firstLine="320"/>
              <w:jc w:val="both"/>
              <w:rPr>
                <w:sz w:val="18"/>
                <w:szCs w:val="18"/>
              </w:rPr>
            </w:pPr>
            <w:r>
              <w:rPr>
                <w:color w:val="000000"/>
                <w:spacing w:val="0"/>
                <w:w w:val="100"/>
                <w:position w:val="0"/>
                <w:sz w:val="18"/>
                <w:szCs w:val="18"/>
              </w:rPr>
              <w:t xml:space="preserve">本年转入 固定资产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附注四</w:t>
            </w:r>
            <w:r>
              <w:rPr>
                <w:rFonts w:ascii="Times New Roman" w:eastAsia="Times New Roman" w:hAnsi="Times New Roman" w:cs="Times New Roman"/>
                <w:color w:val="000000"/>
                <w:spacing w:val="0"/>
                <w:w w:val="100"/>
                <w:position w:val="0"/>
                <w:sz w:val="18"/>
                <w:szCs w:val="18"/>
              </w:rPr>
              <w:t>（14））</w:t>
            </w:r>
          </w:p>
        </w:tc>
        <w:tc>
          <w:tcPr>
            <w:tcBorders/>
            <w:shd w:val="clear" w:color="auto" w:fill="FFFFFF"/>
            <w:vAlign w:val="center"/>
          </w:tcPr>
          <w:p>
            <w:pPr>
              <w:pStyle w:val="Style28"/>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本年竣工 决算调整</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8"/>
                <w:szCs w:val="18"/>
              </w:rPr>
              <w:t>年</w:t>
            </w:r>
          </w:p>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tc>
        <w:tc>
          <w:tcPr>
            <w:tcBorders/>
            <w:shd w:val="clear" w:color="auto" w:fill="FFFFFF"/>
            <w:vAlign w:val="top"/>
          </w:tcPr>
          <w:p>
            <w:pPr>
              <w:pStyle w:val="Style28"/>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工程投入 占预算的 比例</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工程进度</w:t>
            </w:r>
          </w:p>
        </w:tc>
        <w:tc>
          <w:tcPr>
            <w:tcBorders/>
            <w:shd w:val="clear" w:color="auto" w:fill="FFFFFF"/>
            <w:vAlign w:val="top"/>
          </w:tcPr>
          <w:p>
            <w:pPr>
              <w:pStyle w:val="Style28"/>
              <w:keepNext w:val="0"/>
              <w:keepLines w:val="0"/>
              <w:widowControl w:val="0"/>
              <w:shd w:val="clear" w:color="auto" w:fill="auto"/>
              <w:bidi w:val="0"/>
              <w:spacing w:before="0" w:after="0" w:line="233" w:lineRule="exact"/>
              <w:ind w:left="0" w:right="0" w:firstLine="0"/>
              <w:jc w:val="right"/>
              <w:rPr>
                <w:sz w:val="18"/>
                <w:szCs w:val="18"/>
              </w:rPr>
            </w:pPr>
            <w:r>
              <w:rPr>
                <w:color w:val="000000"/>
                <w:spacing w:val="0"/>
                <w:w w:val="100"/>
                <w:position w:val="0"/>
                <w:sz w:val="18"/>
                <w:szCs w:val="18"/>
              </w:rPr>
              <w:t>借款费用 资本化 累计金额</w:t>
            </w:r>
          </w:p>
        </w:tc>
        <w:tc>
          <w:tcPr>
            <w:tcBorders/>
            <w:shd w:val="clear" w:color="auto" w:fill="FFFFFF"/>
            <w:vAlign w:val="top"/>
          </w:tcPr>
          <w:p>
            <w:pPr>
              <w:pStyle w:val="Style28"/>
              <w:keepNext w:val="0"/>
              <w:keepLines w:val="0"/>
              <w:widowControl w:val="0"/>
              <w:shd w:val="clear" w:color="auto" w:fill="auto"/>
              <w:bidi w:val="0"/>
              <w:spacing w:before="0" w:after="0" w:line="226" w:lineRule="exact"/>
              <w:ind w:left="0" w:right="0" w:firstLine="0"/>
              <w:jc w:val="right"/>
              <w:rPr>
                <w:sz w:val="18"/>
                <w:szCs w:val="18"/>
              </w:rPr>
            </w:pPr>
            <w:r>
              <w:rPr>
                <w:color w:val="000000"/>
                <w:spacing w:val="0"/>
                <w:w w:val="100"/>
                <w:position w:val="0"/>
                <w:sz w:val="18"/>
                <w:szCs w:val="18"/>
              </w:rPr>
              <w:t>其中：本年 借款费用资 本化金额</w:t>
            </w:r>
          </w:p>
        </w:tc>
        <w:tc>
          <w:tcPr>
            <w:tcBorders/>
            <w:shd w:val="clear" w:color="auto" w:fill="FFFFFF"/>
            <w:vAlign w:val="top"/>
          </w:tcPr>
          <w:p>
            <w:pPr>
              <w:pStyle w:val="Style28"/>
              <w:keepNext w:val="0"/>
              <w:keepLines w:val="0"/>
              <w:widowControl w:val="0"/>
              <w:shd w:val="clear" w:color="auto" w:fill="auto"/>
              <w:bidi w:val="0"/>
              <w:spacing w:before="0" w:after="0" w:line="240" w:lineRule="exact"/>
              <w:ind w:left="0" w:right="0" w:firstLine="0"/>
              <w:jc w:val="right"/>
              <w:rPr>
                <w:sz w:val="18"/>
                <w:szCs w:val="18"/>
              </w:rPr>
            </w:pPr>
            <w:r>
              <w:rPr>
                <w:color w:val="000000"/>
                <w:spacing w:val="0"/>
                <w:w w:val="100"/>
                <w:position w:val="0"/>
                <w:sz w:val="18"/>
                <w:szCs w:val="18"/>
              </w:rPr>
              <w:t>本年借款 费用资本 化率</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资金来源</w:t>
            </w:r>
          </w:p>
        </w:tc>
      </w:tr>
      <w:tr>
        <w:trPr>
          <w:trHeight w:val="341"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包头苏宁电器广场</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718,610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248,033</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117,007</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(365,040)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已投入运营</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16,669</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10,232</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5.45%</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自有及借款</w:t>
            </w:r>
          </w:p>
        </w:tc>
      </w:tr>
      <w:tr>
        <w:trPr>
          <w:trHeight w:val="240"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济宁苏宁电器广场</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392,480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198,352</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7,990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(206,342)</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已投入运营</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12,615</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5,505</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5.45%</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自有及借款</w:t>
            </w:r>
          </w:p>
        </w:tc>
      </w:tr>
      <w:tr>
        <w:trPr>
          <w:trHeight w:val="226"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苏州物流基地</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87,743</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77,645</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10,088</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(87,733)</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已投入运营</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2,116</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180" w:firstLine="0"/>
              <w:jc w:val="right"/>
              <w:rPr>
                <w:sz w:val="18"/>
                <w:szCs w:val="18"/>
              </w:rPr>
            </w:pPr>
            <w:r>
              <w:rPr>
                <w:rFonts w:ascii="Times New Roman" w:eastAsia="Times New Roman" w:hAnsi="Times New Roman" w:cs="Times New Roman"/>
                <w:color w:val="000000"/>
                <w:spacing w:val="0"/>
                <w:w w:val="100"/>
                <w:position w:val="0"/>
                <w:sz w:val="18"/>
                <w:szCs w:val="18"/>
              </w:rPr>
              <w:t>363</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5.45%</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募集及借款</w:t>
            </w:r>
          </w:p>
        </w:tc>
      </w:tr>
      <w:tr>
        <w:trPr>
          <w:trHeight w:val="240"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眉山物流基地</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236,978</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77,164</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159,804</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(236,968)</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已投入运营</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6,429</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5,490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5.45%</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自有及借款</w:t>
            </w:r>
          </w:p>
        </w:tc>
      </w:tr>
      <w:tr>
        <w:trPr>
          <w:trHeight w:val="230"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绍兴物流基地</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127,112</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74,757</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52,345</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(127,102)</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已投入运营</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5,437</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4,268</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5.45%</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自有及借款</w:t>
            </w:r>
          </w:p>
        </w:tc>
      </w:tr>
      <w:tr>
        <w:trPr>
          <w:trHeight w:val="230"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郑州物流基地</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88,744</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64,221</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24,513</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(88,734)</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已投入运营</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2,548</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1,794</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5.45%</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自有及借款</w:t>
            </w:r>
          </w:p>
        </w:tc>
      </w:tr>
      <w:tr>
        <w:trPr>
          <w:trHeight w:val="235"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重庆二期物流基地</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72,166</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38,006</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34,150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(72,156)</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已投入运营</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1,694</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1,024</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5.45%</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自有及借款</w:t>
            </w:r>
          </w:p>
        </w:tc>
      </w:tr>
      <w:tr>
        <w:trPr>
          <w:trHeight w:val="230"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青岛办公区购置房</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32,800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31,529</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551</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(32,080)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已投入运营</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18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5.45%</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自有及借款</w:t>
            </w:r>
          </w:p>
        </w:tc>
      </w:tr>
      <w:tr>
        <w:trPr>
          <w:trHeight w:val="240"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中山物流基地</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184,580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30,577</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(27,621)</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(2,956)</w:t>
            </w:r>
          </w:p>
        </w:tc>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已投入运营</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18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募集资金</w:t>
            </w:r>
          </w:p>
        </w:tc>
      </w:tr>
      <w:tr>
        <w:trPr>
          <w:trHeight w:val="230"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兰州物流基地</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90,267</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27,782</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62,475</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(90,257)</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已投入运营</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2,525</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2,093</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5.45%</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自有及借款</w:t>
            </w:r>
          </w:p>
        </w:tc>
      </w:tr>
      <w:tr>
        <w:trPr>
          <w:trHeight w:val="230"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宜兴苏宁生活广场</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67,535</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19,245</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48,289</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(67,534)</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已投入运营</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1,509</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1,365</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5.45%</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自有及借款</w:t>
            </w:r>
          </w:p>
        </w:tc>
      </w:tr>
      <w:tr>
        <w:trPr>
          <w:trHeight w:val="235"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沈阳物流基地</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233,269</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13,015</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(8,362)</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(4,653)</w:t>
            </w:r>
          </w:p>
        </w:tc>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已投入运营</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8,362</w:t>
            </w:r>
          </w:p>
        </w:tc>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5.45%</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自有及借款</w:t>
            </w:r>
          </w:p>
        </w:tc>
      </w:tr>
      <w:tr>
        <w:trPr>
          <w:trHeight w:val="230"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杭州二期物流基地</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211,560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4,066</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435</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(4,501)</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已投入运营</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w:t>
            </w:r>
          </w:p>
        </w:tc>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5.45%</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募集及借款</w:t>
            </w:r>
          </w:p>
        </w:tc>
      </w:tr>
      <w:tr>
        <w:trPr>
          <w:trHeight w:val="230"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渤宁苏宁物流基地</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208,709</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1,993</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189</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(2,182)</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已投入运营</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1,047</w:t>
            </w:r>
          </w:p>
        </w:tc>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5.45%</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募集及借款</w:t>
            </w:r>
          </w:p>
        </w:tc>
      </w:tr>
      <w:tr>
        <w:trPr>
          <w:trHeight w:val="250"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上海苏宁电器广场</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719,270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1,266</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(1,266)</w:t>
            </w:r>
          </w:p>
        </w:tc>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已投入运营</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15,122</w:t>
            </w:r>
          </w:p>
        </w:tc>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5.45%</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自有及借款</w:t>
            </w:r>
          </w:p>
        </w:tc>
      </w:tr>
      <w:tr>
        <w:trPr>
          <w:trHeight w:val="221"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107,761</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127,648</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(163,692)</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71,717</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11,675</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40"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1,915,103</w:t>
            </w:r>
          </w:p>
        </w:tc>
        <w:tc>
          <w:tcPr>
            <w:tcBorders>
              <w:top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1,591,751</w:t>
            </w:r>
          </w:p>
        </w:tc>
        <w:tc>
          <w:tcPr>
            <w:tcBorders>
              <w:top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(1,911,457)</w:t>
            </w:r>
          </w:p>
        </w:tc>
        <w:tc>
          <w:tcPr>
            <w:tcBorders>
              <w:top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(8,875)</w:t>
            </w:r>
          </w:p>
        </w:tc>
        <w:tc>
          <w:tcPr>
            <w:tcBorders>
              <w:top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1,586,522</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168,302</w:t>
            </w:r>
          </w:p>
        </w:tc>
        <w:tc>
          <w:tcPr>
            <w:tcBorders>
              <w:top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79,110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bl>
    <w:p>
      <w:pPr>
        <w:pStyle w:val="Style32"/>
        <w:keepNext w:val="0"/>
        <w:keepLines w:val="0"/>
        <w:widowControl w:val="0"/>
        <w:shd w:val="clear" w:color="auto" w:fill="auto"/>
        <w:bidi w:val="0"/>
        <w:spacing w:before="0" w:after="0" w:line="240" w:lineRule="auto"/>
        <w:ind w:left="0" w:right="0" w:firstLine="680"/>
        <w:jc w:val="left"/>
        <w:rPr>
          <w:sz w:val="24"/>
          <w:szCs w:val="24"/>
        </w:rPr>
      </w:pPr>
      <w:r>
        <w:rPr>
          <w:b/>
          <w:bCs/>
          <w:color w:val="000000"/>
          <w:spacing w:val="0"/>
          <w:w w:val="100"/>
          <w:position w:val="0"/>
          <w:sz w:val="24"/>
          <w:szCs w:val="24"/>
        </w:rPr>
        <w:t>财务报表附注</w:t>
      </w:r>
    </w:p>
    <w:p>
      <w:pPr>
        <w:pStyle w:val="Style88"/>
        <w:keepNext/>
        <w:keepLines/>
        <w:widowControl w:val="0"/>
        <w:shd w:val="clear" w:color="auto" w:fill="auto"/>
        <w:bidi w:val="0"/>
        <w:spacing w:before="0" w:after="0" w:line="240" w:lineRule="auto"/>
        <w:ind w:left="0" w:right="0" w:firstLine="680"/>
        <w:jc w:val="left"/>
      </w:pPr>
      <w:bookmarkStart w:id="897" w:name="bookmark897"/>
      <w:bookmarkStart w:id="898" w:name="bookmark898"/>
      <w:bookmarkStart w:id="899" w:name="bookmark899"/>
      <w:r>
        <w:rPr>
          <w:color w:val="000000"/>
          <w:spacing w:val="0"/>
          <w:w w:val="100"/>
          <w:position w:val="0"/>
          <w:sz w:val="24"/>
          <w:szCs w:val="24"/>
        </w:rPr>
        <w:t>2016</w:t>
      </w:r>
      <w:r>
        <w:rPr>
          <w:rFonts w:ascii="SimSun" w:eastAsia="SimSun" w:hAnsi="SimSun" w:cs="SimSun"/>
          <w:b/>
          <w:bCs/>
          <w:color w:val="000000"/>
          <w:spacing w:val="0"/>
          <w:w w:val="100"/>
          <w:position w:val="0"/>
          <w:sz w:val="24"/>
          <w:szCs w:val="24"/>
        </w:rPr>
        <w:t>年度</w:t>
      </w:r>
      <w:bookmarkEnd w:id="897"/>
      <w:bookmarkEnd w:id="898"/>
      <w:bookmarkEnd w:id="899"/>
    </w:p>
    <w:p>
      <w:pPr>
        <w:pStyle w:val="Style32"/>
        <w:keepNext w:val="0"/>
        <w:keepLines w:val="0"/>
        <w:widowControl w:val="0"/>
        <w:shd w:val="clear" w:color="auto" w:fill="auto"/>
        <w:bidi w:val="0"/>
        <w:spacing w:before="0" w:after="0" w:line="240" w:lineRule="auto"/>
        <w:ind w:left="0" w:right="0" w:firstLine="680"/>
        <w:jc w:val="left"/>
        <w:rPr>
          <w:sz w:val="20"/>
          <w:szCs w:val="20"/>
        </w:rPr>
        <w:sectPr>
          <w:headerReference w:type="default" r:id="rId143"/>
          <w:footerReference w:type="default" r:id="rId144"/>
          <w:headerReference w:type="even" r:id="rId145"/>
          <w:footerReference w:type="even" r:id="rId146"/>
          <w:footnotePr>
            <w:pos w:val="pageBottom"/>
            <w:numFmt w:val="decimal"/>
            <w:numRestart w:val="continuous"/>
          </w:footnotePr>
          <w:pgSz w:w="16840" w:h="11900" w:orient="landscape"/>
          <w:pgMar w:top="1321" w:right="571" w:bottom="2361" w:left="750" w:header="0" w:footer="3" w:gutter="0"/>
          <w:cols w:space="720"/>
          <w:noEndnote/>
          <w:rtlGutter w:val="0"/>
          <w:docGrid w:linePitch="360"/>
        </w:sectPr>
      </w:pPr>
      <w:r>
        <w:rPr>
          <w:rFonts w:ascii="Arial" w:eastAsia="Arial" w:hAnsi="Arial" w:cs="Arial"/>
          <w:color w:val="000000"/>
          <w:spacing w:val="0"/>
          <w:w w:val="100"/>
          <w:position w:val="0"/>
          <w:sz w:val="20"/>
          <w:szCs w:val="20"/>
        </w:rPr>
        <w:t>（</w:t>
      </w:r>
      <w:r>
        <w:rPr>
          <w:color w:val="000000"/>
          <w:spacing w:val="0"/>
          <w:w w:val="100"/>
          <w:position w:val="0"/>
          <w:sz w:val="20"/>
          <w:szCs w:val="20"/>
        </w:rPr>
        <w:t>除特别注明外，金额单位为人民币千元</w:t>
      </w:r>
      <w:r>
        <w:rPr>
          <w:rFonts w:ascii="Arial" w:eastAsia="Arial" w:hAnsi="Arial" w:cs="Arial"/>
          <w:color w:val="000000"/>
          <w:spacing w:val="0"/>
          <w:w w:val="100"/>
          <w:position w:val="0"/>
          <w:sz w:val="20"/>
          <w:szCs w:val="20"/>
        </w:rPr>
        <w:t>）</w:t>
      </w:r>
    </w:p>
    <w:p>
      <w:pPr>
        <w:pStyle w:val="Style32"/>
        <w:keepNext w:val="0"/>
        <w:keepLines w:val="0"/>
        <w:widowControl w:val="0"/>
        <w:shd w:val="clear" w:color="auto" w:fill="auto"/>
        <w:bidi w:val="0"/>
        <w:spacing w:before="0" w:after="0" w:line="288" w:lineRule="exact"/>
        <w:ind w:left="1380" w:right="0" w:firstLine="0"/>
        <w:jc w:val="left"/>
        <w:rPr>
          <w:sz w:val="24"/>
          <w:szCs w:val="24"/>
        </w:rPr>
      </w:pPr>
      <w:r>
        <w:rPr>
          <w:b/>
          <w:bCs/>
          <w:color w:val="000000"/>
          <w:spacing w:val="0"/>
          <w:w w:val="100"/>
          <w:position w:val="0"/>
          <w:sz w:val="24"/>
          <w:szCs w:val="24"/>
        </w:rPr>
        <w:t xml:space="preserve">财务报表附注 </w:t>
      </w:r>
      <w:r>
        <w:rPr>
          <w:rFonts w:ascii="Arial" w:eastAsia="Arial" w:hAnsi="Arial" w:cs="Arial"/>
          <w:color w:val="000000"/>
          <w:spacing w:val="0"/>
          <w:w w:val="100"/>
          <w:position w:val="0"/>
          <w:sz w:val="24"/>
          <w:szCs w:val="24"/>
        </w:rPr>
        <w:t>2016</w:t>
      </w:r>
      <w:r>
        <w:rPr>
          <w:b/>
          <w:bCs/>
          <w:color w:val="000000"/>
          <w:spacing w:val="0"/>
          <w:w w:val="100"/>
          <w:position w:val="0"/>
          <w:sz w:val="24"/>
          <w:szCs w:val="24"/>
        </w:rPr>
        <w:t>年度</w:t>
      </w:r>
    </w:p>
    <w:p>
      <w:pPr>
        <w:pStyle w:val="Style32"/>
        <w:keepNext w:val="0"/>
        <w:keepLines w:val="0"/>
        <w:widowControl w:val="0"/>
        <w:shd w:val="clear" w:color="auto" w:fill="auto"/>
        <w:bidi w:val="0"/>
        <w:spacing w:before="0" w:after="220" w:line="240" w:lineRule="auto"/>
        <w:ind w:left="1380" w:right="0" w:firstLine="0"/>
        <w:jc w:val="left"/>
        <w:rPr>
          <w:sz w:val="20"/>
          <w:szCs w:val="20"/>
        </w:rPr>
      </w:pPr>
      <w:r>
        <w:rPr>
          <w:rFonts w:ascii="Arial" w:eastAsia="Arial" w:hAnsi="Arial" w:cs="Arial"/>
          <w:color w:val="000000"/>
          <w:spacing w:val="0"/>
          <w:w w:val="100"/>
          <w:position w:val="0"/>
          <w:sz w:val="20"/>
          <w:szCs w:val="20"/>
        </w:rPr>
        <w:t>(</w:t>
      </w:r>
      <w:r>
        <w:rPr>
          <w:color w:val="000000"/>
          <w:spacing w:val="0"/>
          <w:w w:val="100"/>
          <w:position w:val="0"/>
          <w:sz w:val="20"/>
          <w:szCs w:val="20"/>
        </w:rPr>
        <w:t>除特别注明外，金额单位为人民币千元</w:t>
      </w:r>
      <w:r>
        <w:rPr>
          <w:rFonts w:ascii="Arial" w:eastAsia="Arial" w:hAnsi="Arial" w:cs="Arial"/>
          <w:color w:val="000000"/>
          <w:spacing w:val="0"/>
          <w:w w:val="100"/>
          <w:position w:val="0"/>
          <w:sz w:val="20"/>
          <w:szCs w:val="20"/>
        </w:rPr>
        <w:t>)</w:t>
      </w:r>
    </w:p>
    <w:p>
      <w:pPr>
        <w:pStyle w:val="Style32"/>
        <w:keepNext w:val="0"/>
        <w:keepLines w:val="0"/>
        <w:widowControl w:val="0"/>
        <w:shd w:val="clear" w:color="auto" w:fill="auto"/>
        <w:tabs>
          <w:tab w:pos="1338" w:val="left"/>
        </w:tabs>
        <w:bidi w:val="0"/>
        <w:spacing w:before="0" w:after="280" w:line="240" w:lineRule="auto"/>
        <w:ind w:left="0" w:right="0" w:firstLine="680"/>
        <w:jc w:val="left"/>
        <w:rPr>
          <w:sz w:val="24"/>
          <w:szCs w:val="24"/>
        </w:rPr>
      </w:pPr>
      <w:r>
        <w:rPr>
          <w:b/>
          <w:bCs/>
          <w:color w:val="000000"/>
          <w:spacing w:val="0"/>
          <w:w w:val="100"/>
          <w:position w:val="0"/>
          <w:sz w:val="24"/>
          <w:szCs w:val="24"/>
        </w:rPr>
        <w:t>四</w:t>
        <w:tab/>
        <w:t>合并财务报表项目附注</w:t>
      </w:r>
      <w:r>
        <w:rPr>
          <w:rFonts w:ascii="Times New Roman" w:eastAsia="Times New Roman" w:hAnsi="Times New Roman" w:cs="Times New Roman"/>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4"/>
          <w:szCs w:val="24"/>
        </w:rPr>
        <w:t>)</w:t>
      </w:r>
    </w:p>
    <w:p>
      <w:pPr>
        <w:pStyle w:val="Style32"/>
        <w:keepNext w:val="0"/>
        <w:keepLines w:val="0"/>
        <w:widowControl w:val="0"/>
        <w:shd w:val="clear" w:color="auto" w:fill="auto"/>
        <w:bidi w:val="0"/>
        <w:spacing w:before="0" w:after="280" w:line="240" w:lineRule="auto"/>
        <w:ind w:left="0" w:right="0" w:firstLine="680"/>
        <w:jc w:val="left"/>
        <w:rPr>
          <w:sz w:val="24"/>
          <w:szCs w:val="24"/>
        </w:rPr>
      </w:pPr>
      <w:r>
        <w:rPr>
          <w:rFonts w:ascii="Times New Roman" w:eastAsia="Times New Roman" w:hAnsi="Times New Roman" w:cs="Times New Roman"/>
          <w:color w:val="000000"/>
          <w:spacing w:val="0"/>
          <w:w w:val="100"/>
          <w:position w:val="0"/>
          <w:sz w:val="24"/>
          <w:szCs w:val="24"/>
        </w:rPr>
        <w:t xml:space="preserve">(16) </w:t>
      </w:r>
      <w:r>
        <w:rPr>
          <w:b/>
          <w:bCs/>
          <w:color w:val="000000"/>
          <w:spacing w:val="0"/>
          <w:w w:val="100"/>
          <w:position w:val="0"/>
          <w:sz w:val="24"/>
          <w:szCs w:val="24"/>
        </w:rPr>
        <w:t>无形资产</w:t>
      </w:r>
    </w:p>
    <w:tbl>
      <w:tblPr>
        <w:tblOverlap w:val="never"/>
        <w:jc w:val="center"/>
        <w:tblLayout w:type="fixed"/>
      </w:tblPr>
      <w:tblGrid>
        <w:gridCol w:w="2683"/>
        <w:gridCol w:w="1675"/>
        <w:gridCol w:w="1349"/>
        <w:gridCol w:w="1680"/>
        <w:gridCol w:w="1358"/>
        <w:gridCol w:w="2117"/>
        <w:gridCol w:w="1349"/>
      </w:tblGrid>
      <w:tr>
        <w:trPr>
          <w:trHeight w:val="326"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土地使用权</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20"/>
              <w:jc w:val="both"/>
              <w:rPr>
                <w:sz w:val="17"/>
                <w:szCs w:val="17"/>
              </w:rPr>
            </w:pPr>
            <w:r>
              <w:rPr>
                <w:color w:val="000000"/>
                <w:spacing w:val="0"/>
                <w:w w:val="100"/>
                <w:position w:val="0"/>
                <w:sz w:val="17"/>
                <w:szCs w:val="17"/>
              </w:rPr>
              <w:t>软件</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both"/>
              <w:rPr>
                <w:sz w:val="17"/>
                <w:szCs w:val="17"/>
              </w:rPr>
            </w:pPr>
            <w:r>
              <w:rPr>
                <w:color w:val="000000"/>
                <w:spacing w:val="0"/>
                <w:w w:val="100"/>
                <w:position w:val="0"/>
                <w:sz w:val="17"/>
                <w:szCs w:val="17"/>
              </w:rPr>
              <w:t>优惠承租权</w:t>
            </w:r>
            <w:r>
              <w:rPr>
                <w:rFonts w:ascii="Times New Roman" w:eastAsia="Times New Roman" w:hAnsi="Times New Roman" w:cs="Times New Roman"/>
                <w:color w:val="000000"/>
                <w:spacing w:val="0"/>
                <w:w w:val="100"/>
                <w:position w:val="0"/>
                <w:sz w:val="17"/>
                <w:szCs w:val="17"/>
              </w:rPr>
              <w:t>(a)</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商标及域名</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客户关系及客户清单</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合计</w:t>
            </w:r>
          </w:p>
        </w:tc>
      </w:tr>
      <w:tr>
        <w:trPr>
          <w:trHeight w:val="331"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原价</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2015</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7"/>
                <w:szCs w:val="17"/>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7"/>
                <w:szCs w:val="17"/>
              </w:rPr>
              <w:t>31</w:t>
            </w:r>
            <w:r>
              <w:rPr>
                <w:color w:val="000000"/>
                <w:spacing w:val="0"/>
                <w:w w:val="100"/>
                <w:position w:val="0"/>
                <w:sz w:val="17"/>
                <w:szCs w:val="17"/>
              </w:rPr>
              <w:t>日</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6,895,662</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1,129,608</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245,233</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634,860</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42,881</w:t>
            </w:r>
          </w:p>
        </w:tc>
        <w:tc>
          <w:tcPr>
            <w:tcBorders>
              <w:top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8,948,244</w:t>
            </w:r>
          </w:p>
        </w:tc>
      </w:tr>
      <w:tr>
        <w:trPr>
          <w:trHeight w:val="230" w:hRule="exact"/>
        </w:trPr>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本年增加</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right w:val="single" w:sz="4"/>
            </w:tcBorders>
            <w:shd w:val="clear" w:color="auto" w:fill="FFFFFF"/>
            <w:vAlign w:val="top"/>
          </w:tcPr>
          <w:p>
            <w:pPr>
              <w:widowControl w:val="0"/>
              <w:rPr>
                <w:sz w:val="10"/>
                <w:szCs w:val="10"/>
              </w:rPr>
            </w:pPr>
          </w:p>
        </w:tc>
      </w:tr>
      <w:tr>
        <w:trPr>
          <w:trHeight w:val="230" w:hRule="exact"/>
        </w:trPr>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购置</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124,737</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24,302</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2,839</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5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151,878</w:t>
            </w:r>
          </w:p>
        </w:tc>
      </w:tr>
      <w:tr>
        <w:trPr>
          <w:trHeight w:val="230" w:hRule="exact"/>
        </w:trPr>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开发支出转入</w:t>
            </w:r>
            <w:r>
              <w:rPr>
                <w:rFonts w:ascii="Times New Roman" w:eastAsia="Times New Roman" w:hAnsi="Times New Roman" w:cs="Times New Roman"/>
                <w:color w:val="000000"/>
                <w:spacing w:val="0"/>
                <w:w w:val="100"/>
                <w:position w:val="0"/>
                <w:sz w:val="17"/>
                <w:szCs w:val="17"/>
              </w:rPr>
              <w:t>(</w:t>
            </w:r>
            <w:r>
              <w:rPr>
                <w:color w:val="000000"/>
                <w:spacing w:val="0"/>
                <w:w w:val="100"/>
                <w:position w:val="0"/>
                <w:sz w:val="17"/>
                <w:szCs w:val="17"/>
              </w:rPr>
              <w:t>附注四</w:t>
            </w:r>
            <w:r>
              <w:rPr>
                <w:rFonts w:ascii="Times New Roman" w:eastAsia="Times New Roman" w:hAnsi="Times New Roman" w:cs="Times New Roman"/>
                <w:color w:val="000000"/>
                <w:spacing w:val="0"/>
                <w:w w:val="100"/>
                <w:position w:val="0"/>
                <w:sz w:val="17"/>
                <w:szCs w:val="17"/>
              </w:rPr>
              <w:t>(16(b))</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1,744</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5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1,744</w:t>
            </w:r>
          </w:p>
        </w:tc>
      </w:tr>
      <w:tr>
        <w:trPr>
          <w:trHeight w:val="226" w:hRule="exact"/>
        </w:trPr>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非同一控制下企业合并</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right w:val="single" w:sz="4"/>
            </w:tcBorders>
            <w:shd w:val="clear" w:color="auto" w:fill="FFFFFF"/>
            <w:vAlign w:val="top"/>
          </w:tcPr>
          <w:p>
            <w:pPr>
              <w:widowControl w:val="0"/>
              <w:rPr>
                <w:sz w:val="10"/>
                <w:szCs w:val="10"/>
              </w:rPr>
            </w:pPr>
          </w:p>
        </w:tc>
      </w:tr>
      <w:tr>
        <w:trPr>
          <w:trHeight w:val="226" w:hRule="exact"/>
        </w:trPr>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7"/>
                <w:szCs w:val="17"/>
              </w:rPr>
              <w:t>(</w:t>
            </w:r>
            <w:r>
              <w:rPr>
                <w:color w:val="000000"/>
                <w:spacing w:val="0"/>
                <w:w w:val="100"/>
                <w:position w:val="0"/>
                <w:sz w:val="17"/>
                <w:szCs w:val="17"/>
              </w:rPr>
              <w:t>附注五</w:t>
            </w:r>
            <w:r>
              <w:rPr>
                <w:rFonts w:ascii="Times New Roman" w:eastAsia="Times New Roman" w:hAnsi="Times New Roman" w:cs="Times New Roman"/>
                <w:color w:val="000000"/>
                <w:spacing w:val="0"/>
                <w:w w:val="100"/>
                <w:position w:val="0"/>
                <w:sz w:val="17"/>
                <w:szCs w:val="17"/>
              </w:rPr>
              <w:t>(1)(c))</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4,238</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300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5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9,248</w:t>
            </w:r>
          </w:p>
        </w:tc>
      </w:tr>
      <w:tr>
        <w:trPr>
          <w:trHeight w:val="230" w:hRule="exact"/>
        </w:trPr>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本年减少</w:t>
            </w:r>
          </w:p>
        </w:tc>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right w:val="single" w:sz="4"/>
            </w:tcBorders>
            <w:shd w:val="clear" w:color="auto" w:fill="FFFFFF"/>
            <w:vAlign w:val="top"/>
          </w:tcPr>
          <w:p>
            <w:pPr>
              <w:widowControl w:val="0"/>
              <w:rPr>
                <w:sz w:val="10"/>
                <w:szCs w:val="10"/>
              </w:rPr>
            </w:pPr>
          </w:p>
        </w:tc>
      </w:tr>
      <w:tr>
        <w:trPr>
          <w:trHeight w:val="245" w:hRule="exact"/>
        </w:trPr>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处置</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(294,853)</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5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(294,853)</w:t>
            </w:r>
          </w:p>
        </w:tc>
      </w:tr>
      <w:tr>
        <w:trPr>
          <w:trHeight w:val="226" w:hRule="exact"/>
        </w:trPr>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处置子公司减少</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(1,031,952)</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(39)</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5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(1,031,991)</w:t>
            </w:r>
          </w:p>
        </w:tc>
      </w:tr>
      <w:tr>
        <w:trPr>
          <w:trHeight w:val="226" w:hRule="exact"/>
        </w:trPr>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转入存货</w:t>
            </w:r>
            <w:r>
              <w:rPr>
                <w:rFonts w:ascii="Times New Roman" w:eastAsia="Times New Roman" w:hAnsi="Times New Roman" w:cs="Times New Roman"/>
                <w:color w:val="000000"/>
                <w:spacing w:val="0"/>
                <w:w w:val="100"/>
                <w:position w:val="0"/>
                <w:sz w:val="17"/>
                <w:szCs w:val="17"/>
              </w:rPr>
              <w:t>-</w:t>
            </w:r>
            <w:r>
              <w:rPr>
                <w:color w:val="000000"/>
                <w:spacing w:val="0"/>
                <w:w w:val="100"/>
                <w:position w:val="0"/>
                <w:sz w:val="17"/>
                <w:szCs w:val="17"/>
              </w:rPr>
              <w:t>房地产开发成本</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(51,363)</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5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(51,363)</w:t>
            </w:r>
          </w:p>
        </w:tc>
      </w:tr>
      <w:tr>
        <w:trPr>
          <w:trHeight w:val="230" w:hRule="exact"/>
        </w:trPr>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本年外币报表折算差异</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1,055</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1,131</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5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2,450</w:t>
            </w:r>
          </w:p>
        </w:tc>
      </w:tr>
      <w:tr>
        <w:trPr>
          <w:trHeight w:val="221" w:hRule="exact"/>
        </w:trPr>
        <w:tc>
          <w:tcPr>
            <w:tcBorders>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7"/>
                <w:szCs w:val="17"/>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7"/>
                <w:szCs w:val="17"/>
              </w:rPr>
              <w:t>31</w:t>
            </w:r>
            <w:r>
              <w:rPr>
                <w:color w:val="000000"/>
                <w:spacing w:val="0"/>
                <w:w w:val="100"/>
                <w:position w:val="0"/>
                <w:sz w:val="17"/>
                <w:szCs w:val="17"/>
              </w:rPr>
              <w:t>日</w:t>
            </w:r>
          </w:p>
        </w:tc>
        <w:tc>
          <w:tcPr>
            <w:tcBorders>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5,647,524</w:t>
            </w:r>
          </w:p>
        </w:tc>
        <w:tc>
          <w:tcPr>
            <w:tcBorders>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1,157,046</w:t>
            </w:r>
          </w:p>
        </w:tc>
        <w:tc>
          <w:tcPr>
            <w:tcBorders>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245,233</w:t>
            </w:r>
          </w:p>
        </w:tc>
        <w:tc>
          <w:tcPr>
            <w:tcBorders>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642,673</w:t>
            </w:r>
          </w:p>
        </w:tc>
        <w:tc>
          <w:tcPr>
            <w:tcBorders>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42,881</w:t>
            </w:r>
          </w:p>
        </w:tc>
        <w:tc>
          <w:tcPr>
            <w:tcBorders>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7,735,357</w:t>
            </w:r>
          </w:p>
        </w:tc>
      </w:tr>
    </w:tbl>
    <w:p>
      <w:pPr>
        <w:widowControl w:val="0"/>
        <w:spacing w:after="219" w:line="1" w:lineRule="exact"/>
      </w:pPr>
    </w:p>
    <w:p>
      <w:pPr>
        <w:pStyle w:val="Style25"/>
        <w:keepNext w:val="0"/>
        <w:keepLines w:val="0"/>
        <w:widowControl w:val="0"/>
        <w:shd w:val="clear" w:color="auto" w:fill="auto"/>
        <w:bidi w:val="0"/>
        <w:spacing w:before="0" w:after="0" w:line="240" w:lineRule="auto"/>
        <w:ind w:left="101" w:right="0" w:firstLine="0"/>
        <w:jc w:val="left"/>
        <w:rPr>
          <w:sz w:val="17"/>
          <w:szCs w:val="17"/>
        </w:rPr>
      </w:pPr>
      <w:r>
        <w:rPr>
          <w:color w:val="000000"/>
          <w:spacing w:val="0"/>
          <w:w w:val="100"/>
          <w:position w:val="0"/>
          <w:sz w:val="17"/>
          <w:szCs w:val="17"/>
        </w:rPr>
        <w:t>累计摊销</w:t>
      </w:r>
    </w:p>
    <w:tbl>
      <w:tblPr>
        <w:tblOverlap w:val="never"/>
        <w:jc w:val="center"/>
        <w:tblLayout w:type="fixed"/>
      </w:tblPr>
      <w:tblGrid>
        <w:gridCol w:w="2798"/>
        <w:gridCol w:w="1680"/>
        <w:gridCol w:w="1526"/>
        <w:gridCol w:w="1594"/>
        <w:gridCol w:w="1728"/>
        <w:gridCol w:w="1642"/>
        <w:gridCol w:w="1334"/>
      </w:tblGrid>
      <w:tr>
        <w:trPr>
          <w:trHeight w:val="24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2015</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7"/>
                <w:szCs w:val="17"/>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7"/>
                <w:szCs w:val="17"/>
              </w:rPr>
              <w:t>31</w:t>
            </w:r>
            <w:r>
              <w:rPr>
                <w:color w:val="000000"/>
                <w:spacing w:val="0"/>
                <w:w w:val="100"/>
                <w:position w:val="0"/>
                <w:sz w:val="17"/>
                <w:szCs w:val="17"/>
              </w:rPr>
              <w:t>日</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(564,098)</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(745,119)</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(245,233)</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(220,585)</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(22,777)</w:t>
            </w:r>
          </w:p>
        </w:tc>
        <w:tc>
          <w:tcPr>
            <w:tcBorders>
              <w:top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(1,797,812)</w:t>
            </w:r>
          </w:p>
        </w:tc>
      </w:tr>
      <w:tr>
        <w:trPr>
          <w:trHeight w:val="226" w:hRule="exact"/>
        </w:trPr>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本年增加</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right w:val="single" w:sz="4"/>
            </w:tcBorders>
            <w:shd w:val="clear" w:color="auto" w:fill="FFFFFF"/>
            <w:vAlign w:val="top"/>
          </w:tcPr>
          <w:p>
            <w:pPr>
              <w:widowControl w:val="0"/>
              <w:rPr>
                <w:sz w:val="10"/>
                <w:szCs w:val="10"/>
              </w:rPr>
            </w:pPr>
          </w:p>
        </w:tc>
      </w:tr>
      <w:tr>
        <w:trPr>
          <w:trHeight w:val="235" w:hRule="exact"/>
        </w:trPr>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计提</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(139,785)</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(159,715)</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(91,357)</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(10,397)</w:t>
            </w:r>
          </w:p>
        </w:tc>
        <w:tc>
          <w:tcPr>
            <w:tcBorders>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(401,254)</w:t>
            </w:r>
          </w:p>
        </w:tc>
      </w:tr>
      <w:tr>
        <w:trPr>
          <w:trHeight w:val="226" w:hRule="exact"/>
        </w:trPr>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本年减少</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right w:val="single" w:sz="4"/>
            </w:tcBorders>
            <w:shd w:val="clear" w:color="auto" w:fill="FFFFFF"/>
            <w:vAlign w:val="top"/>
          </w:tcPr>
          <w:p>
            <w:pPr>
              <w:widowControl w:val="0"/>
              <w:rPr>
                <w:sz w:val="10"/>
                <w:szCs w:val="10"/>
              </w:rPr>
            </w:pPr>
          </w:p>
        </w:tc>
      </w:tr>
      <w:tr>
        <w:trPr>
          <w:trHeight w:val="235" w:hRule="exact"/>
        </w:trPr>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处置</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30,763</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30,763</w:t>
            </w:r>
          </w:p>
        </w:tc>
      </w:tr>
      <w:tr>
        <w:trPr>
          <w:trHeight w:val="216" w:hRule="exact"/>
        </w:trPr>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处置子公司减少</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113,515</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113,524</w:t>
            </w:r>
          </w:p>
        </w:tc>
      </w:tr>
      <w:tr>
        <w:trPr>
          <w:trHeight w:val="240" w:hRule="exact"/>
        </w:trPr>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转入存货</w:t>
            </w:r>
            <w:r>
              <w:rPr>
                <w:rFonts w:ascii="Times New Roman" w:eastAsia="Times New Roman" w:hAnsi="Times New Roman" w:cs="Times New Roman"/>
                <w:color w:val="000000"/>
                <w:spacing w:val="0"/>
                <w:w w:val="100"/>
                <w:position w:val="0"/>
                <w:sz w:val="17"/>
                <w:szCs w:val="17"/>
              </w:rPr>
              <w:t>-</w:t>
            </w:r>
            <w:r>
              <w:rPr>
                <w:color w:val="000000"/>
                <w:spacing w:val="0"/>
                <w:w w:val="100"/>
                <w:position w:val="0"/>
                <w:sz w:val="17"/>
                <w:szCs w:val="17"/>
              </w:rPr>
              <w:t>房地产开发成本</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12,097</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12,097</w:t>
            </w:r>
          </w:p>
        </w:tc>
      </w:tr>
      <w:tr>
        <w:trPr>
          <w:trHeight w:val="240" w:hRule="exact"/>
        </w:trPr>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本年外币报表折算差异</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(347)</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w:t>
            </w:r>
          </w:p>
        </w:tc>
      </w:tr>
      <w:tr>
        <w:trPr>
          <w:trHeight w:val="221" w:hRule="exact"/>
        </w:trPr>
        <w:tc>
          <w:tcPr>
            <w:tcBorders>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7"/>
                <w:szCs w:val="17"/>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7"/>
                <w:szCs w:val="17"/>
              </w:rPr>
              <w:t>31</w:t>
            </w:r>
            <w:r>
              <w:rPr>
                <w:color w:val="000000"/>
                <w:spacing w:val="0"/>
                <w:w w:val="100"/>
                <w:position w:val="0"/>
                <w:sz w:val="17"/>
                <w:szCs w:val="17"/>
              </w:rPr>
              <w:t>日</w:t>
            </w:r>
          </w:p>
        </w:tc>
        <w:tc>
          <w:tcPr>
            <w:tcBorders>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(547,508)</w:t>
            </w:r>
          </w:p>
        </w:tc>
        <w:tc>
          <w:tcPr>
            <w:tcBorders>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(905,172)</w:t>
            </w:r>
          </w:p>
        </w:tc>
        <w:tc>
          <w:tcPr>
            <w:tcBorders>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(245,233)</w:t>
            </w:r>
          </w:p>
        </w:tc>
        <w:tc>
          <w:tcPr>
            <w:tcBorders>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(311,972)</w:t>
            </w:r>
          </w:p>
        </w:tc>
        <w:tc>
          <w:tcPr>
            <w:tcBorders>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(33,174)</w:t>
            </w:r>
          </w:p>
        </w:tc>
        <w:tc>
          <w:tcPr>
            <w:tcBorders>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(2,043,059)</w:t>
            </w:r>
          </w:p>
        </w:tc>
      </w:tr>
    </w:tbl>
    <w:p>
      <w:pPr>
        <w:sectPr>
          <w:footnotePr>
            <w:pos w:val="pageBottom"/>
            <w:numFmt w:val="decimal"/>
            <w:numRestart w:val="continuous"/>
          </w:footnotePr>
          <w:pgSz w:w="16840" w:h="11900" w:orient="landscape"/>
          <w:pgMar w:top="1350" w:right="577" w:bottom="1350" w:left="745" w:header="0" w:footer="3" w:gutter="0"/>
          <w:cols w:space="720"/>
          <w:noEndnote/>
          <w:rtlGutter w:val="0"/>
          <w:docGrid w:linePitch="360"/>
        </w:sectPr>
      </w:pPr>
    </w:p>
    <w:p>
      <w:pPr>
        <w:widowControl w:val="0"/>
        <w:spacing w:line="219" w:lineRule="exact"/>
        <w:rPr>
          <w:sz w:val="18"/>
          <w:szCs w:val="18"/>
        </w:rPr>
      </w:pPr>
    </w:p>
    <w:p>
      <w:pPr>
        <w:widowControl w:val="0"/>
        <w:spacing w:line="1" w:lineRule="exact"/>
        <w:sectPr>
          <w:footnotePr>
            <w:pos w:val="pageBottom"/>
            <w:numFmt w:val="decimal"/>
            <w:numRestart w:val="continuous"/>
          </w:footnotePr>
          <w:pgSz w:w="16840" w:h="11900" w:orient="landscape"/>
          <w:pgMar w:top="1080" w:right="731" w:bottom="1232" w:left="1422" w:header="0" w:footer="3" w:gutter="0"/>
          <w:cols w:space="720"/>
          <w:noEndnote/>
          <w:rtlGutter w:val="0"/>
          <w:docGrid w:linePitch="360"/>
        </w:sectPr>
      </w:pPr>
    </w:p>
    <w:p>
      <w:pPr>
        <w:pStyle w:val="Style32"/>
        <w:keepNext w:val="0"/>
        <w:keepLines w:val="0"/>
        <w:framePr w:w="4819" w:h="2568" w:wrap="none" w:vAnchor="text" w:hAnchor="page" w:x="1423" w:y="21"/>
        <w:widowControl w:val="0"/>
        <w:shd w:val="clear" w:color="auto" w:fill="auto"/>
        <w:bidi w:val="0"/>
        <w:spacing w:before="0" w:after="0" w:line="240" w:lineRule="auto"/>
        <w:ind w:left="0" w:right="0" w:firstLine="720"/>
        <w:jc w:val="left"/>
        <w:rPr>
          <w:sz w:val="24"/>
          <w:szCs w:val="24"/>
        </w:rPr>
      </w:pPr>
      <w:r>
        <w:rPr>
          <w:b/>
          <w:bCs/>
          <w:color w:val="000000"/>
          <w:spacing w:val="0"/>
          <w:w w:val="100"/>
          <w:position w:val="0"/>
          <w:sz w:val="24"/>
          <w:szCs w:val="24"/>
        </w:rPr>
        <w:t>财务报表附注</w:t>
      </w:r>
    </w:p>
    <w:p>
      <w:pPr>
        <w:pStyle w:val="Style88"/>
        <w:keepNext/>
        <w:keepLines/>
        <w:framePr w:w="4819" w:h="2568" w:wrap="none" w:vAnchor="text" w:hAnchor="page" w:x="1423" w:y="21"/>
        <w:widowControl w:val="0"/>
        <w:shd w:val="clear" w:color="auto" w:fill="auto"/>
        <w:bidi w:val="0"/>
        <w:spacing w:before="0" w:after="0" w:line="240" w:lineRule="auto"/>
        <w:ind w:left="0" w:right="0" w:firstLine="720"/>
        <w:jc w:val="left"/>
      </w:pPr>
      <w:bookmarkStart w:id="900" w:name="bookmark900"/>
      <w:bookmarkStart w:id="901" w:name="bookmark901"/>
      <w:bookmarkStart w:id="902" w:name="bookmark902"/>
      <w:r>
        <w:rPr>
          <w:color w:val="000000"/>
          <w:spacing w:val="0"/>
          <w:w w:val="100"/>
          <w:position w:val="0"/>
          <w:sz w:val="24"/>
          <w:szCs w:val="24"/>
        </w:rPr>
        <w:t>2016</w:t>
      </w:r>
      <w:r>
        <w:rPr>
          <w:rFonts w:ascii="SimSun" w:eastAsia="SimSun" w:hAnsi="SimSun" w:cs="SimSun"/>
          <w:b/>
          <w:bCs/>
          <w:color w:val="000000"/>
          <w:spacing w:val="0"/>
          <w:w w:val="100"/>
          <w:position w:val="0"/>
          <w:sz w:val="24"/>
          <w:szCs w:val="24"/>
        </w:rPr>
        <w:t>年度</w:t>
      </w:r>
      <w:bookmarkEnd w:id="900"/>
      <w:bookmarkEnd w:id="901"/>
      <w:bookmarkEnd w:id="902"/>
    </w:p>
    <w:p>
      <w:pPr>
        <w:pStyle w:val="Style32"/>
        <w:keepNext w:val="0"/>
        <w:keepLines w:val="0"/>
        <w:framePr w:w="4819" w:h="2568" w:wrap="none" w:vAnchor="text" w:hAnchor="page" w:x="1423" w:y="21"/>
        <w:widowControl w:val="0"/>
        <w:shd w:val="clear" w:color="auto" w:fill="auto"/>
        <w:bidi w:val="0"/>
        <w:spacing w:before="0" w:after="280" w:line="240" w:lineRule="auto"/>
        <w:ind w:left="0" w:right="0" w:firstLine="720"/>
        <w:jc w:val="left"/>
        <w:rPr>
          <w:sz w:val="24"/>
          <w:szCs w:val="24"/>
        </w:rPr>
      </w:pPr>
      <w:r>
        <w:rPr>
          <w:rFonts w:ascii="Arial" w:eastAsia="Arial" w:hAnsi="Arial" w:cs="Arial"/>
          <w:color w:val="000000"/>
          <w:spacing w:val="0"/>
          <w:w w:val="100"/>
          <w:position w:val="0"/>
          <w:sz w:val="20"/>
          <w:szCs w:val="20"/>
        </w:rPr>
        <w:t>（</w:t>
      </w:r>
      <w:r>
        <w:rPr>
          <w:color w:val="000000"/>
          <w:spacing w:val="0"/>
          <w:w w:val="100"/>
          <w:position w:val="0"/>
          <w:sz w:val="20"/>
          <w:szCs w:val="20"/>
        </w:rPr>
        <w:t>除特别注明外，金额单位为人民币千元</w:t>
      </w:r>
      <w:r>
        <w:rPr>
          <w:color w:val="000000"/>
          <w:spacing w:val="0"/>
          <w:w w:val="100"/>
          <w:position w:val="0"/>
          <w:sz w:val="24"/>
          <w:szCs w:val="24"/>
        </w:rPr>
        <w:t>）</w:t>
      </w:r>
    </w:p>
    <w:p>
      <w:pPr>
        <w:pStyle w:val="Style32"/>
        <w:keepNext w:val="0"/>
        <w:keepLines w:val="0"/>
        <w:framePr w:w="4819" w:h="2568" w:wrap="none" w:vAnchor="text" w:hAnchor="page" w:x="1423" w:y="21"/>
        <w:widowControl w:val="0"/>
        <w:shd w:val="clear" w:color="auto" w:fill="auto"/>
        <w:tabs>
          <w:tab w:pos="658" w:val="left"/>
        </w:tabs>
        <w:bidi w:val="0"/>
        <w:spacing w:before="0" w:after="280" w:line="240" w:lineRule="auto"/>
        <w:ind w:left="0" w:right="0" w:firstLine="0"/>
        <w:jc w:val="left"/>
        <w:rPr>
          <w:sz w:val="24"/>
          <w:szCs w:val="24"/>
        </w:rPr>
      </w:pPr>
      <w:r>
        <w:rPr>
          <w:b/>
          <w:bCs/>
          <w:color w:val="000000"/>
          <w:spacing w:val="0"/>
          <w:w w:val="100"/>
          <w:position w:val="0"/>
          <w:sz w:val="24"/>
          <w:szCs w:val="24"/>
        </w:rPr>
        <w:t>四</w:t>
        <w:tab/>
        <w:t>合并财务报表项目附注</w:t>
      </w:r>
      <w:r>
        <w:rPr>
          <w:rFonts w:ascii="Times New Roman" w:eastAsia="Times New Roman" w:hAnsi="Times New Roman" w:cs="Times New Roman"/>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4"/>
          <w:szCs w:val="24"/>
        </w:rPr>
        <w:t>）</w:t>
      </w:r>
    </w:p>
    <w:p>
      <w:pPr>
        <w:pStyle w:val="Style53"/>
        <w:keepNext w:val="0"/>
        <w:keepLines w:val="0"/>
        <w:framePr w:w="4819" w:h="2568" w:wrap="none" w:vAnchor="text" w:hAnchor="page" w:x="1423" w:y="21"/>
        <w:widowControl w:val="0"/>
        <w:shd w:val="clear" w:color="auto" w:fill="auto"/>
        <w:bidi w:val="0"/>
        <w:spacing w:before="0" w:after="340" w:line="240" w:lineRule="auto"/>
        <w:ind w:left="0" w:right="0" w:firstLine="0"/>
        <w:jc w:val="left"/>
        <w:rPr>
          <w:sz w:val="24"/>
          <w:szCs w:val="24"/>
        </w:rPr>
      </w:pPr>
      <w:r>
        <w:rPr>
          <w:color w:val="000000"/>
          <w:spacing w:val="0"/>
          <w:w w:val="100"/>
          <w:position w:val="0"/>
          <w:sz w:val="24"/>
          <w:szCs w:val="24"/>
        </w:rPr>
        <w:t>（16）</w:t>
      </w:r>
      <w:r>
        <w:rPr>
          <w:rFonts w:ascii="SimSun" w:eastAsia="SimSun" w:hAnsi="SimSun" w:cs="SimSun"/>
          <w:b/>
          <w:bCs/>
          <w:color w:val="000000"/>
          <w:spacing w:val="0"/>
          <w:w w:val="100"/>
          <w:position w:val="0"/>
          <w:sz w:val="24"/>
          <w:szCs w:val="24"/>
        </w:rPr>
        <w:t>无形资产</w:t>
      </w:r>
      <w:r>
        <w:rPr>
          <w:color w:val="000000"/>
          <w:spacing w:val="0"/>
          <w:w w:val="100"/>
          <w:position w:val="0"/>
          <w:sz w:val="24"/>
          <w:szCs w:val="24"/>
        </w:rPr>
        <w:t>（</w:t>
      </w:r>
      <w:r>
        <w:rPr>
          <w:rFonts w:ascii="SimSun" w:eastAsia="SimSun" w:hAnsi="SimSun" w:cs="SimSun"/>
          <w:b/>
          <w:bCs/>
          <w:color w:val="000000"/>
          <w:spacing w:val="0"/>
          <w:w w:val="100"/>
          <w:position w:val="0"/>
          <w:sz w:val="24"/>
          <w:szCs w:val="24"/>
        </w:rPr>
        <w:t>续</w:t>
      </w:r>
      <w:r>
        <w:rPr>
          <w:rFonts w:ascii="SimSun" w:eastAsia="SimSun" w:hAnsi="SimSun" w:cs="SimSun"/>
          <w:color w:val="000000"/>
          <w:spacing w:val="0"/>
          <w:w w:val="100"/>
          <w:position w:val="0"/>
          <w:sz w:val="24"/>
          <w:szCs w:val="24"/>
        </w:rPr>
        <w:t>）</w:t>
      </w:r>
    </w:p>
    <w:p>
      <w:pPr>
        <w:pStyle w:val="Style113"/>
        <w:keepNext w:val="0"/>
        <w:keepLines w:val="0"/>
        <w:framePr w:w="4819" w:h="2568" w:wrap="none" w:vAnchor="text" w:hAnchor="page" w:x="1423" w:y="21"/>
        <w:widowControl w:val="0"/>
        <w:shd w:val="clear" w:color="auto" w:fill="auto"/>
        <w:bidi w:val="0"/>
        <w:spacing w:before="0" w:after="280" w:line="240" w:lineRule="auto"/>
        <w:ind w:left="0" w:right="0" w:firstLine="0"/>
        <w:jc w:val="right"/>
        <w:rPr>
          <w:sz w:val="17"/>
          <w:szCs w:val="17"/>
        </w:rPr>
      </w:pPr>
      <w:r>
        <w:rPr>
          <w:color w:val="000000"/>
          <w:spacing w:val="0"/>
          <w:w w:val="100"/>
          <w:position w:val="0"/>
          <w:sz w:val="17"/>
          <w:szCs w:val="17"/>
        </w:rPr>
        <w:t>土地使用权</w:t>
      </w:r>
    </w:p>
    <w:p>
      <w:pPr>
        <w:pStyle w:val="Style113"/>
        <w:keepNext w:val="0"/>
        <w:keepLines w:val="0"/>
        <w:framePr w:w="1934" w:h="240" w:wrap="none" w:vAnchor="text" w:hAnchor="page" w:x="7235" w:y="2343"/>
        <w:widowControl w:val="0"/>
        <w:shd w:val="clear" w:color="auto" w:fill="auto"/>
        <w:tabs>
          <w:tab w:pos="811" w:val="left"/>
        </w:tabs>
        <w:bidi w:val="0"/>
        <w:spacing w:before="0" w:after="0" w:line="240" w:lineRule="auto"/>
        <w:ind w:left="0" w:right="0" w:firstLine="0"/>
        <w:jc w:val="left"/>
        <w:rPr>
          <w:sz w:val="17"/>
          <w:szCs w:val="17"/>
        </w:rPr>
      </w:pPr>
      <w:r>
        <w:rPr>
          <w:color w:val="000000"/>
          <w:spacing w:val="0"/>
          <w:w w:val="100"/>
          <w:position w:val="0"/>
          <w:sz w:val="17"/>
          <w:szCs w:val="17"/>
        </w:rPr>
        <w:t>软件</w:t>
        <w:tab/>
        <w:t>优惠承租权</w:t>
      </w:r>
      <w:r>
        <w:rPr>
          <w:rFonts w:ascii="Times New Roman" w:eastAsia="Times New Roman" w:hAnsi="Times New Roman" w:cs="Times New Roman"/>
          <w:color w:val="000000"/>
          <w:spacing w:val="0"/>
          <w:w w:val="100"/>
          <w:position w:val="0"/>
          <w:sz w:val="17"/>
          <w:szCs w:val="17"/>
        </w:rPr>
        <w:t>（a）</w:t>
      </w:r>
    </w:p>
    <w:p>
      <w:pPr>
        <w:pStyle w:val="Style113"/>
        <w:keepNext w:val="0"/>
        <w:keepLines w:val="0"/>
        <w:framePr w:w="2664" w:h="226" w:wrap="none" w:vAnchor="text" w:hAnchor="page" w:x="9861" w:y="234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商标及域名客户关系及客户清单</w:t>
      </w:r>
    </w:p>
    <w:p>
      <w:pPr>
        <w:pStyle w:val="Style113"/>
        <w:keepNext w:val="0"/>
        <w:keepLines w:val="0"/>
        <w:framePr w:w="379" w:h="221" w:wrap="none" w:vAnchor="text" w:hAnchor="page" w:x="13831" w:y="2348"/>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合计</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21" w:line="1" w:lineRule="exact"/>
      </w:pPr>
    </w:p>
    <w:p>
      <w:pPr>
        <w:widowControl w:val="0"/>
        <w:spacing w:line="1" w:lineRule="exact"/>
        <w:sectPr>
          <w:footnotePr>
            <w:pos w:val="pageBottom"/>
            <w:numFmt w:val="decimal"/>
            <w:numRestart w:val="continuous"/>
          </w:footnotePr>
          <w:type w:val="continuous"/>
          <w:pgSz w:w="16840" w:h="11900" w:orient="landscape"/>
          <w:pgMar w:top="1080" w:right="731" w:bottom="1232" w:left="1422" w:header="0" w:footer="3" w:gutter="0"/>
          <w:cols w:space="720"/>
          <w:noEndnote/>
          <w:rtlGutter w:val="0"/>
          <w:docGrid w:linePitch="360"/>
        </w:sectPr>
      </w:pPr>
    </w:p>
    <w:p>
      <w:pPr>
        <w:pStyle w:val="Style25"/>
        <w:keepNext w:val="0"/>
        <w:keepLines w:val="0"/>
        <w:widowControl w:val="0"/>
        <w:shd w:val="clear" w:color="auto" w:fill="auto"/>
        <w:bidi w:val="0"/>
        <w:spacing w:before="0" w:after="0" w:line="240" w:lineRule="auto"/>
        <w:ind w:left="86" w:right="0" w:firstLine="0"/>
        <w:jc w:val="left"/>
        <w:rPr>
          <w:sz w:val="17"/>
          <w:szCs w:val="17"/>
        </w:rPr>
      </w:pPr>
      <w:r>
        <w:rPr>
          <w:color w:val="000000"/>
          <w:spacing w:val="0"/>
          <w:w w:val="100"/>
          <w:position w:val="0"/>
          <w:sz w:val="17"/>
          <w:szCs w:val="17"/>
        </w:rPr>
        <w:t>减值准备</w:t>
      </w:r>
    </w:p>
    <w:tbl>
      <w:tblPr>
        <w:tblOverlap w:val="never"/>
        <w:jc w:val="center"/>
        <w:tblLayout w:type="fixed"/>
      </w:tblPr>
      <w:tblGrid>
        <w:gridCol w:w="2962"/>
        <w:gridCol w:w="1858"/>
        <w:gridCol w:w="1464"/>
        <w:gridCol w:w="1325"/>
        <w:gridCol w:w="1944"/>
        <w:gridCol w:w="1498"/>
        <w:gridCol w:w="1267"/>
      </w:tblGrid>
      <w:tr>
        <w:trPr>
          <w:trHeight w:val="30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2015</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7"/>
                <w:szCs w:val="17"/>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7"/>
                <w:szCs w:val="17"/>
              </w:rPr>
              <w:t>31</w:t>
            </w:r>
            <w:r>
              <w:rPr>
                <w:color w:val="000000"/>
                <w:spacing w:val="0"/>
                <w:w w:val="100"/>
                <w:position w:val="0"/>
                <w:sz w:val="17"/>
                <w:szCs w:val="17"/>
              </w:rPr>
              <w:t>日</w:t>
            </w:r>
          </w:p>
        </w:tc>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(6,753)</w:t>
            </w:r>
          </w:p>
        </w:tc>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(6,753)</w:t>
            </w:r>
          </w:p>
        </w:tc>
      </w:tr>
      <w:tr>
        <w:trPr>
          <w:trHeight w:val="269" w:hRule="exact"/>
        </w:trPr>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本年增加</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right w:val="single" w:sz="4"/>
            </w:tcBorders>
            <w:shd w:val="clear" w:color="auto" w:fill="FFFFFF"/>
            <w:vAlign w:val="top"/>
          </w:tcPr>
          <w:p>
            <w:pPr>
              <w:widowControl w:val="0"/>
              <w:rPr>
                <w:sz w:val="10"/>
                <w:szCs w:val="10"/>
              </w:rPr>
            </w:pPr>
          </w:p>
        </w:tc>
      </w:tr>
      <w:tr>
        <w:trPr>
          <w:trHeight w:val="283" w:hRule="exact"/>
        </w:trPr>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本年计提</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(749)</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(749)</w:t>
            </w:r>
          </w:p>
        </w:tc>
      </w:tr>
      <w:tr>
        <w:trPr>
          <w:trHeight w:val="274" w:hRule="exact"/>
        </w:trPr>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本年外币报表折算差异</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(38)</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w:t>
            </w:r>
          </w:p>
        </w:tc>
      </w:tr>
      <w:tr>
        <w:trPr>
          <w:trHeight w:val="250" w:hRule="exact"/>
        </w:trPr>
        <w:tc>
          <w:tcPr>
            <w:tcBorders>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7"/>
                <w:szCs w:val="17"/>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7"/>
                <w:szCs w:val="17"/>
              </w:rPr>
              <w:t>31</w:t>
            </w:r>
            <w:r>
              <w:rPr>
                <w:color w:val="000000"/>
                <w:spacing w:val="0"/>
                <w:w w:val="100"/>
                <w:position w:val="0"/>
                <w:sz w:val="17"/>
                <w:szCs w:val="17"/>
              </w:rPr>
              <w:t>日</w:t>
            </w:r>
          </w:p>
        </w:tc>
        <w:tc>
          <w:tcPr>
            <w:tcBorders>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(7,540)</w:t>
            </w:r>
          </w:p>
        </w:tc>
        <w:tc>
          <w:tcPr>
            <w:tcBorders>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(7,540)</w:t>
            </w:r>
          </w:p>
        </w:tc>
      </w:tr>
    </w:tbl>
    <w:p>
      <w:pPr>
        <w:widowControl w:val="0"/>
        <w:spacing w:after="319" w:line="1" w:lineRule="exact"/>
      </w:pPr>
    </w:p>
    <w:p>
      <w:pPr>
        <w:widowControl w:val="0"/>
        <w:spacing w:line="1" w:lineRule="exact"/>
      </w:pPr>
    </w:p>
    <w:p>
      <w:pPr>
        <w:pStyle w:val="Style25"/>
        <w:keepNext w:val="0"/>
        <w:keepLines w:val="0"/>
        <w:widowControl w:val="0"/>
        <w:shd w:val="clear" w:color="auto" w:fill="auto"/>
        <w:bidi w:val="0"/>
        <w:spacing w:before="0" w:after="0" w:line="240" w:lineRule="auto"/>
        <w:ind w:left="91" w:right="0" w:firstLine="0"/>
        <w:jc w:val="left"/>
        <w:rPr>
          <w:sz w:val="17"/>
          <w:szCs w:val="17"/>
        </w:rPr>
      </w:pPr>
      <w:r>
        <w:rPr>
          <w:color w:val="000000"/>
          <w:spacing w:val="0"/>
          <w:w w:val="100"/>
          <w:position w:val="0"/>
          <w:sz w:val="17"/>
          <w:szCs w:val="17"/>
        </w:rPr>
        <w:t>账面价值</w:t>
      </w:r>
    </w:p>
    <w:tbl>
      <w:tblPr>
        <w:tblOverlap w:val="never"/>
        <w:jc w:val="center"/>
        <w:tblLayout w:type="fixed"/>
      </w:tblPr>
      <w:tblGrid>
        <w:gridCol w:w="2453"/>
        <w:gridCol w:w="2107"/>
        <w:gridCol w:w="1742"/>
        <w:gridCol w:w="2976"/>
        <w:gridCol w:w="1661"/>
        <w:gridCol w:w="1378"/>
      </w:tblGrid>
      <w:tr>
        <w:trPr>
          <w:trHeight w:val="336"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7"/>
                <w:szCs w:val="17"/>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7"/>
                <w:szCs w:val="17"/>
              </w:rPr>
              <w:t>31</w:t>
            </w:r>
            <w:r>
              <w:rPr>
                <w:color w:val="000000"/>
                <w:spacing w:val="0"/>
                <w:w w:val="100"/>
                <w:position w:val="0"/>
                <w:sz w:val="17"/>
                <w:szCs w:val="17"/>
              </w:rPr>
              <w:t>日</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5,100,016</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251,874</w:t>
            </w:r>
          </w:p>
        </w:tc>
        <w:tc>
          <w:tcPr>
            <w:tcBorders>
              <w:top w:val="single" w:sz="4"/>
            </w:tcBorders>
            <w:shd w:val="clear" w:color="auto" w:fill="FFFFFF"/>
            <w:vAlign w:val="bottom"/>
          </w:tcPr>
          <w:p>
            <w:pPr>
              <w:pStyle w:val="Style28"/>
              <w:keepNext w:val="0"/>
              <w:keepLines w:val="0"/>
              <w:widowControl w:val="0"/>
              <w:shd w:val="clear" w:color="auto" w:fill="auto"/>
              <w:tabs>
                <w:tab w:pos="994" w:val="left"/>
              </w:tabs>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tab/>
              <w:t>323,161</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9,707</w:t>
            </w:r>
          </w:p>
        </w:tc>
        <w:tc>
          <w:tcPr>
            <w:tcBorders>
              <w:top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5,684,758</w:t>
            </w:r>
          </w:p>
        </w:tc>
      </w:tr>
      <w:tr>
        <w:trPr>
          <w:trHeight w:val="235" w:hRule="exact"/>
        </w:trPr>
        <w:tc>
          <w:tcPr>
            <w:tcBorders>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2015</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7"/>
                <w:szCs w:val="17"/>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7"/>
                <w:szCs w:val="17"/>
              </w:rPr>
              <w:t>31</w:t>
            </w:r>
            <w:r>
              <w:rPr>
                <w:color w:val="000000"/>
                <w:spacing w:val="0"/>
                <w:w w:val="100"/>
                <w:position w:val="0"/>
                <w:sz w:val="17"/>
                <w:szCs w:val="17"/>
              </w:rPr>
              <w:t>日</w:t>
            </w:r>
          </w:p>
        </w:tc>
        <w:tc>
          <w:tcPr>
            <w:tcBorders>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6,331,564</w:t>
            </w:r>
          </w:p>
        </w:tc>
        <w:tc>
          <w:tcPr>
            <w:tcBorders>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384,489</w:t>
            </w:r>
          </w:p>
        </w:tc>
        <w:tc>
          <w:tcPr>
            <w:tcBorders>
              <w:bottom w:val="single" w:sz="4"/>
            </w:tcBorders>
            <w:shd w:val="clear" w:color="auto" w:fill="FFFFFF"/>
            <w:vAlign w:val="bottom"/>
          </w:tcPr>
          <w:p>
            <w:pPr>
              <w:pStyle w:val="Style28"/>
              <w:keepNext w:val="0"/>
              <w:keepLines w:val="0"/>
              <w:widowControl w:val="0"/>
              <w:shd w:val="clear" w:color="auto" w:fill="auto"/>
              <w:tabs>
                <w:tab w:pos="984" w:val="left"/>
              </w:tabs>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tab/>
              <w:t>407,522</w:t>
            </w:r>
          </w:p>
        </w:tc>
        <w:tc>
          <w:tcPr>
            <w:tcBorders>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20,104</w:t>
            </w:r>
          </w:p>
        </w:tc>
        <w:tc>
          <w:tcPr>
            <w:tcBorders>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7,143,679</w:t>
            </w:r>
          </w:p>
        </w:tc>
      </w:tr>
    </w:tbl>
    <w:p>
      <w:pPr>
        <w:widowControl w:val="0"/>
        <w:spacing w:after="219" w:line="1" w:lineRule="exact"/>
      </w:pPr>
    </w:p>
    <w:p>
      <w:pPr>
        <w:pStyle w:val="Style32"/>
        <w:keepNext w:val="0"/>
        <w:keepLines w:val="0"/>
        <w:widowControl w:val="0"/>
        <w:shd w:val="clear" w:color="auto" w:fill="auto"/>
        <w:bidi w:val="0"/>
        <w:spacing w:before="0" w:after="28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年度无形资产的摊销金额约人民币</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亿元</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sz w:val="24"/>
          <w:szCs w:val="24"/>
        </w:rPr>
        <w:t>年度：约人民币</w:t>
      </w:r>
      <w:r>
        <w:rPr>
          <w:rFonts w:ascii="Times New Roman" w:eastAsia="Times New Roman" w:hAnsi="Times New Roman" w:cs="Times New Roman"/>
          <w:color w:val="000000"/>
          <w:spacing w:val="0"/>
          <w:w w:val="100"/>
          <w:position w:val="0"/>
          <w:sz w:val="24"/>
          <w:szCs w:val="24"/>
        </w:rPr>
        <w:t>11.6</w:t>
      </w:r>
      <w:r>
        <w:rPr>
          <w:color w:val="000000"/>
          <w:spacing w:val="0"/>
          <w:w w:val="100"/>
          <w:position w:val="0"/>
          <w:sz w:val="24"/>
          <w:szCs w:val="24"/>
        </w:rPr>
        <w:t>亿元</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w:t>
      </w:r>
    </w:p>
    <w:p>
      <w:pPr>
        <w:pStyle w:val="Style32"/>
        <w:keepNext w:val="0"/>
        <w:keepLines w:val="0"/>
        <w:widowControl w:val="0"/>
        <w:shd w:val="clear" w:color="auto" w:fill="auto"/>
        <w:bidi w:val="0"/>
        <w:spacing w:before="0" w:after="280" w:line="240" w:lineRule="auto"/>
        <w:ind w:left="0" w:right="0" w:firstLine="0"/>
        <w:jc w:val="left"/>
        <w:rPr>
          <w:sz w:val="24"/>
          <w:szCs w:val="24"/>
        </w:rPr>
      </w:pPr>
      <w:r>
        <w:rPr>
          <w:color w:val="000000"/>
          <w:spacing w:val="0"/>
          <w:w w:val="100"/>
          <w:position w:val="0"/>
          <w:sz w:val="24"/>
          <w:szCs w:val="24"/>
        </w:rPr>
        <w:t>于</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日，无未办妥产权证的土地使用权</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日：无</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w:t>
      </w:r>
    </w:p>
    <w:p>
      <w:pPr>
        <w:pStyle w:val="Style32"/>
        <w:keepNext w:val="0"/>
        <w:keepLines w:val="0"/>
        <w:widowControl w:val="0"/>
        <w:shd w:val="clear" w:color="auto" w:fill="auto"/>
        <w:bidi w:val="0"/>
        <w:spacing w:before="0" w:after="280" w:line="240" w:lineRule="auto"/>
        <w:ind w:left="0" w:right="0" w:firstLine="0"/>
        <w:jc w:val="left"/>
        <w:rPr>
          <w:sz w:val="24"/>
          <w:szCs w:val="24"/>
        </w:rPr>
        <w:sectPr>
          <w:footnotePr>
            <w:pos w:val="pageBottom"/>
            <w:numFmt w:val="decimal"/>
            <w:numRestart w:val="continuous"/>
          </w:footnotePr>
          <w:type w:val="continuous"/>
          <w:pgSz w:w="16840" w:h="11900" w:orient="landscape"/>
          <w:pgMar w:top="1350" w:right="2472" w:bottom="1350" w:left="2050" w:header="0" w:footer="3" w:gutter="0"/>
          <w:cols w:space="720"/>
          <w:noEndnote/>
          <w:rtlGutter w:val="0"/>
          <w:docGrid w:linePitch="360"/>
        </w:sectPr>
      </w:pPr>
      <w:r>
        <w:rPr>
          <w:color w:val="000000"/>
          <w:spacing w:val="0"/>
          <w:w w:val="100"/>
          <w:position w:val="0"/>
          <w:sz w:val="24"/>
          <w:szCs w:val="24"/>
        </w:rPr>
        <w:t>于</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日，本集团无土地使用权作为借款的抵押物</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日：无</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w:t>
      </w:r>
    </w:p>
    <w:p>
      <w:pPr>
        <w:pStyle w:val="Style32"/>
        <w:keepNext w:val="0"/>
        <w:keepLines w:val="0"/>
        <w:widowControl w:val="0"/>
        <w:shd w:val="clear" w:color="auto" w:fill="auto"/>
        <w:bidi w:val="0"/>
        <w:spacing w:before="0" w:after="0" w:line="240" w:lineRule="auto"/>
        <w:ind w:left="0" w:right="0" w:firstLine="720"/>
        <w:jc w:val="left"/>
        <w:rPr>
          <w:sz w:val="24"/>
          <w:szCs w:val="24"/>
        </w:rPr>
      </w:pPr>
      <w:r>
        <w:rPr>
          <w:b/>
          <w:bCs/>
          <w:color w:val="000000"/>
          <w:spacing w:val="0"/>
          <w:w w:val="100"/>
          <w:position w:val="0"/>
          <w:sz w:val="24"/>
          <w:szCs w:val="24"/>
        </w:rPr>
        <w:t>财务报表附注</w:t>
      </w:r>
    </w:p>
    <w:p>
      <w:pPr>
        <w:pStyle w:val="Style88"/>
        <w:keepNext/>
        <w:keepLines/>
        <w:widowControl w:val="0"/>
        <w:shd w:val="clear" w:color="auto" w:fill="auto"/>
        <w:bidi w:val="0"/>
        <w:spacing w:before="0" w:after="0" w:line="240" w:lineRule="auto"/>
        <w:ind w:left="0" w:right="0" w:firstLine="720"/>
        <w:jc w:val="left"/>
      </w:pPr>
      <w:bookmarkStart w:id="903" w:name="bookmark903"/>
      <w:bookmarkStart w:id="904" w:name="bookmark904"/>
      <w:bookmarkStart w:id="905" w:name="bookmark905"/>
      <w:r>
        <w:rPr>
          <w:color w:val="000000"/>
          <w:spacing w:val="0"/>
          <w:w w:val="100"/>
          <w:position w:val="0"/>
          <w:sz w:val="24"/>
          <w:szCs w:val="24"/>
        </w:rPr>
        <w:t>2016</w:t>
      </w:r>
      <w:r>
        <w:rPr>
          <w:rFonts w:ascii="SimSun" w:eastAsia="SimSun" w:hAnsi="SimSun" w:cs="SimSun"/>
          <w:b/>
          <w:bCs/>
          <w:color w:val="000000"/>
          <w:spacing w:val="0"/>
          <w:w w:val="100"/>
          <w:position w:val="0"/>
          <w:sz w:val="24"/>
          <w:szCs w:val="24"/>
        </w:rPr>
        <w:t>年度</w:t>
      </w:r>
      <w:bookmarkEnd w:id="903"/>
      <w:bookmarkEnd w:id="904"/>
      <w:bookmarkEnd w:id="905"/>
    </w:p>
    <w:p>
      <w:pPr>
        <w:pStyle w:val="Style32"/>
        <w:keepNext w:val="0"/>
        <w:keepLines w:val="0"/>
        <w:widowControl w:val="0"/>
        <w:shd w:val="clear" w:color="auto" w:fill="auto"/>
        <w:bidi w:val="0"/>
        <w:spacing w:before="0" w:after="220" w:line="240" w:lineRule="auto"/>
        <w:ind w:left="0" w:right="0" w:firstLine="720"/>
        <w:jc w:val="left"/>
        <w:rPr>
          <w:sz w:val="24"/>
          <w:szCs w:val="24"/>
        </w:rPr>
      </w:pPr>
      <w:r>
        <w:rPr>
          <w:rFonts w:ascii="Arial" w:eastAsia="Arial" w:hAnsi="Arial" w:cs="Arial"/>
          <w:color w:val="000000"/>
          <w:spacing w:val="0"/>
          <w:w w:val="100"/>
          <w:position w:val="0"/>
          <w:sz w:val="20"/>
          <w:szCs w:val="20"/>
        </w:rPr>
        <w:t>（</w:t>
      </w:r>
      <w:r>
        <w:rPr>
          <w:color w:val="000000"/>
          <w:spacing w:val="0"/>
          <w:w w:val="100"/>
          <w:position w:val="0"/>
          <w:sz w:val="20"/>
          <w:szCs w:val="20"/>
        </w:rPr>
        <w:t>除特别注明外，金额单位为人民币千元</w:t>
      </w:r>
      <w:r>
        <w:rPr>
          <w:color w:val="000000"/>
          <w:spacing w:val="0"/>
          <w:w w:val="100"/>
          <w:position w:val="0"/>
          <w:sz w:val="24"/>
          <w:szCs w:val="24"/>
        </w:rPr>
        <w:t>）</w:t>
      </w:r>
    </w:p>
    <w:p>
      <w:pPr>
        <w:pStyle w:val="Style32"/>
        <w:keepNext w:val="0"/>
        <w:keepLines w:val="0"/>
        <w:widowControl w:val="0"/>
        <w:shd w:val="clear" w:color="auto" w:fill="auto"/>
        <w:tabs>
          <w:tab w:pos="695" w:val="left"/>
        </w:tabs>
        <w:bidi w:val="0"/>
        <w:spacing w:before="0" w:after="280" w:line="240" w:lineRule="auto"/>
        <w:ind w:left="0" w:right="0" w:firstLine="0"/>
        <w:jc w:val="left"/>
        <w:rPr>
          <w:sz w:val="24"/>
          <w:szCs w:val="24"/>
        </w:rPr>
      </w:pPr>
      <w:r>
        <w:rPr>
          <w:b/>
          <w:bCs/>
          <w:color w:val="000000"/>
          <w:spacing w:val="0"/>
          <w:w w:val="100"/>
          <w:position w:val="0"/>
          <w:sz w:val="24"/>
          <w:szCs w:val="24"/>
        </w:rPr>
        <w:t>四</w:t>
        <w:tab/>
        <w:t>合并财务报表项目附注</w:t>
      </w:r>
      <w:r>
        <w:rPr>
          <w:rFonts w:ascii="Times New Roman" w:eastAsia="Times New Roman" w:hAnsi="Times New Roman" w:cs="Times New Roman"/>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4"/>
          <w:szCs w:val="24"/>
        </w:rPr>
        <w:t>）</w:t>
      </w:r>
    </w:p>
    <w:p>
      <w:pPr>
        <w:pStyle w:val="Style53"/>
        <w:keepNext w:val="0"/>
        <w:keepLines w:val="0"/>
        <w:widowControl w:val="0"/>
        <w:shd w:val="clear" w:color="auto" w:fill="auto"/>
        <w:tabs>
          <w:tab w:pos="695" w:val="left"/>
        </w:tabs>
        <w:bidi w:val="0"/>
        <w:spacing w:before="0" w:after="220" w:line="276" w:lineRule="auto"/>
        <w:ind w:left="0" w:right="0" w:firstLine="0"/>
        <w:jc w:val="left"/>
        <w:rPr>
          <w:sz w:val="24"/>
          <w:szCs w:val="24"/>
        </w:rPr>
      </w:pPr>
      <w:r>
        <w:rPr>
          <w:color w:val="000000"/>
          <w:spacing w:val="0"/>
          <w:w w:val="100"/>
          <w:position w:val="0"/>
          <w:sz w:val="24"/>
          <w:szCs w:val="24"/>
        </w:rPr>
        <w:t>（16）</w:t>
        <w:tab/>
      </w:r>
      <w:r>
        <w:rPr>
          <w:rFonts w:ascii="SimSun" w:eastAsia="SimSun" w:hAnsi="SimSun" w:cs="SimSun"/>
          <w:b/>
          <w:bCs/>
          <w:color w:val="000000"/>
          <w:spacing w:val="0"/>
          <w:w w:val="100"/>
          <w:position w:val="0"/>
          <w:sz w:val="24"/>
          <w:szCs w:val="24"/>
        </w:rPr>
        <w:t>无形资产</w:t>
      </w:r>
      <w:r>
        <w:rPr>
          <w:color w:val="000000"/>
          <w:spacing w:val="0"/>
          <w:w w:val="100"/>
          <w:position w:val="0"/>
          <w:sz w:val="24"/>
          <w:szCs w:val="24"/>
        </w:rPr>
        <w:t>（</w:t>
      </w:r>
      <w:r>
        <w:rPr>
          <w:rFonts w:ascii="SimSun" w:eastAsia="SimSun" w:hAnsi="SimSun" w:cs="SimSun"/>
          <w:b/>
          <w:bCs/>
          <w:color w:val="000000"/>
          <w:spacing w:val="0"/>
          <w:w w:val="100"/>
          <w:position w:val="0"/>
          <w:sz w:val="24"/>
          <w:szCs w:val="24"/>
        </w:rPr>
        <w:t>续</w:t>
      </w:r>
      <w:r>
        <w:rPr>
          <w:rFonts w:ascii="SimSun" w:eastAsia="SimSun" w:hAnsi="SimSun" w:cs="SimSun"/>
          <w:color w:val="000000"/>
          <w:spacing w:val="0"/>
          <w:w w:val="100"/>
          <w:position w:val="0"/>
          <w:sz w:val="24"/>
          <w:szCs w:val="24"/>
        </w:rPr>
        <w:t>）</w:t>
      </w:r>
    </w:p>
    <w:p>
      <w:pPr>
        <w:pStyle w:val="Style32"/>
        <w:keepNext w:val="0"/>
        <w:keepLines w:val="0"/>
        <w:widowControl w:val="0"/>
        <w:shd w:val="clear" w:color="auto" w:fill="auto"/>
        <w:tabs>
          <w:tab w:pos="695" w:val="left"/>
        </w:tabs>
        <w:bidi w:val="0"/>
        <w:spacing w:before="0" w:after="220" w:line="276" w:lineRule="auto"/>
        <w:ind w:left="0" w:right="0" w:firstLine="0"/>
        <w:jc w:val="left"/>
        <w:rPr>
          <w:sz w:val="24"/>
          <w:szCs w:val="24"/>
        </w:rPr>
      </w:pPr>
      <w:bookmarkStart w:id="906" w:name="bookmark906"/>
      <w:r>
        <w:rPr>
          <w:rFonts w:ascii="Times New Roman" w:eastAsia="Times New Roman" w:hAnsi="Times New Roman" w:cs="Times New Roman"/>
          <w:color w:val="000000"/>
          <w:spacing w:val="0"/>
          <w:w w:val="100"/>
          <w:position w:val="0"/>
          <w:sz w:val="24"/>
          <w:szCs w:val="24"/>
        </w:rPr>
        <w:t>（</w:t>
      </w:r>
      <w:bookmarkEnd w:id="906"/>
      <w:r>
        <w:rPr>
          <w:rFonts w:ascii="Times New Roman" w:eastAsia="Times New Roman" w:hAnsi="Times New Roman" w:cs="Times New Roman"/>
          <w:color w:val="000000"/>
          <w:spacing w:val="0"/>
          <w:w w:val="100"/>
          <w:position w:val="0"/>
          <w:sz w:val="24"/>
          <w:szCs w:val="24"/>
        </w:rPr>
        <w:t>a）</w:t>
        <w:tab/>
      </w:r>
      <w:r>
        <w:rPr>
          <w:color w:val="000000"/>
          <w:spacing w:val="0"/>
          <w:w w:val="100"/>
          <w:position w:val="0"/>
          <w:sz w:val="24"/>
          <w:szCs w:val="24"/>
        </w:rPr>
        <w:t>优惠承租权</w:t>
      </w:r>
    </w:p>
    <w:p>
      <w:pPr>
        <w:pStyle w:val="Style32"/>
        <w:keepNext w:val="0"/>
        <w:keepLines w:val="0"/>
        <w:widowControl w:val="0"/>
        <w:shd w:val="clear" w:color="auto" w:fill="auto"/>
        <w:bidi w:val="0"/>
        <w:spacing w:before="0" w:after="280" w:line="314" w:lineRule="exact"/>
        <w:ind w:left="720" w:right="0" w:firstLine="20"/>
        <w:jc w:val="both"/>
        <w:rPr>
          <w:sz w:val="24"/>
          <w:szCs w:val="24"/>
        </w:rPr>
      </w:pPr>
      <w:r>
        <w:rPr>
          <w:color w:val="000000"/>
          <w:spacing w:val="0"/>
          <w:w w:val="100"/>
          <w:position w:val="0"/>
          <w:sz w:val="24"/>
          <w:szCs w:val="24"/>
        </w:rPr>
        <w:t>优惠承租权系</w:t>
      </w:r>
      <w:r>
        <w:rPr>
          <w:rFonts w:ascii="Times New Roman" w:eastAsia="Times New Roman" w:hAnsi="Times New Roman" w:cs="Times New Roman"/>
          <w:color w:val="000000"/>
          <w:spacing w:val="0"/>
          <w:w w:val="100"/>
          <w:position w:val="0"/>
          <w:sz w:val="24"/>
          <w:szCs w:val="24"/>
        </w:rPr>
        <w:t>2007</w:t>
      </w:r>
      <w:r>
        <w:rPr>
          <w:color w:val="000000"/>
          <w:spacing w:val="0"/>
          <w:w w:val="100"/>
          <w:position w:val="0"/>
          <w:sz w:val="24"/>
          <w:szCs w:val="24"/>
        </w:rPr>
        <w:t>年度本集团对加盟店进行业务合并的过程中确认的无形资 产。根据本集团与加盟公司签署《特许加盟终止协议》，加盟公司须协助本 集团承接原加盟店的租约。由于部分租约的租金较市场租金优惠，本集团按 照评估值确认该优惠承租权作为本集团的无形资产，并依照预计受益期以直 线法摊销。</w:t>
      </w:r>
    </w:p>
    <w:p>
      <w:pPr>
        <w:pStyle w:val="Style32"/>
        <w:keepNext w:val="0"/>
        <w:keepLines w:val="0"/>
        <w:widowControl w:val="0"/>
        <w:shd w:val="clear" w:color="auto" w:fill="auto"/>
        <w:tabs>
          <w:tab w:pos="695" w:val="left"/>
        </w:tabs>
        <w:bidi w:val="0"/>
        <w:spacing w:before="0" w:after="220" w:line="276" w:lineRule="auto"/>
        <w:ind w:left="0" w:right="0" w:firstLine="0"/>
        <w:jc w:val="left"/>
        <w:rPr>
          <w:sz w:val="24"/>
          <w:szCs w:val="24"/>
        </w:rPr>
      </w:pPr>
      <w:bookmarkStart w:id="907" w:name="bookmark907"/>
      <w:r>
        <w:rPr>
          <w:rFonts w:ascii="Times New Roman" w:eastAsia="Times New Roman" w:hAnsi="Times New Roman" w:cs="Times New Roman"/>
          <w:color w:val="000000"/>
          <w:spacing w:val="0"/>
          <w:w w:val="100"/>
          <w:position w:val="0"/>
          <w:sz w:val="24"/>
          <w:szCs w:val="24"/>
        </w:rPr>
        <w:t>（</w:t>
      </w:r>
      <w:bookmarkEnd w:id="907"/>
      <w:r>
        <w:rPr>
          <w:rFonts w:ascii="Times New Roman" w:eastAsia="Times New Roman" w:hAnsi="Times New Roman" w:cs="Times New Roman"/>
          <w:color w:val="000000"/>
          <w:spacing w:val="0"/>
          <w:w w:val="100"/>
          <w:position w:val="0"/>
          <w:sz w:val="24"/>
          <w:szCs w:val="24"/>
        </w:rPr>
        <w:t>b）</w:t>
        <w:tab/>
      </w:r>
      <w:r>
        <w:rPr>
          <w:color w:val="000000"/>
          <w:spacing w:val="0"/>
          <w:w w:val="100"/>
          <w:position w:val="0"/>
          <w:sz w:val="24"/>
          <w:szCs w:val="24"/>
        </w:rPr>
        <w:t>本集团开发支出列示如下：</w:t>
      </w:r>
    </w:p>
    <w:p>
      <w:pPr>
        <w:pStyle w:val="Style53"/>
        <w:keepNext w:val="0"/>
        <w:keepLines w:val="0"/>
        <w:widowControl w:val="0"/>
        <w:shd w:val="clear" w:color="auto" w:fill="auto"/>
        <w:tabs>
          <w:tab w:pos="5417" w:val="left"/>
        </w:tabs>
        <w:bidi w:val="0"/>
        <w:spacing w:before="0" w:after="0" w:line="240" w:lineRule="auto"/>
        <w:ind w:left="0" w:right="740" w:firstLine="0"/>
        <w:jc w:val="right"/>
      </w:pPr>
      <w:r>
        <w:rPr>
          <w:color w:val="000000"/>
          <w:spacing w:val="0"/>
          <w:w w:val="100"/>
          <w:position w:val="0"/>
        </w:rPr>
        <w:t xml:space="preserve">2015 </w:t>
      </w:r>
      <w:r>
        <w:rPr>
          <w:rFonts w:ascii="SimSun" w:eastAsia="SimSun" w:hAnsi="SimSun" w:cs="SimSun"/>
          <w:color w:val="000000"/>
          <w:spacing w:val="0"/>
          <w:w w:val="100"/>
          <w:position w:val="0"/>
        </w:rPr>
        <w:t>年</w:t>
        <w:tab/>
      </w:r>
      <w:r>
        <w:rPr>
          <w:color w:val="000000"/>
          <w:spacing w:val="0"/>
          <w:w w:val="100"/>
          <w:position w:val="0"/>
        </w:rPr>
        <w:t xml:space="preserve">2016 </w:t>
      </w:r>
      <w:r>
        <w:rPr>
          <w:rFonts w:ascii="SimSun" w:eastAsia="SimSun" w:hAnsi="SimSun" w:cs="SimSun"/>
          <w:color w:val="000000"/>
          <w:spacing w:val="0"/>
          <w:w w:val="100"/>
          <w:position w:val="0"/>
        </w:rPr>
        <w:t>年</w:t>
      </w:r>
    </w:p>
    <w:p>
      <w:pPr>
        <w:pStyle w:val="Style32"/>
        <w:keepNext w:val="0"/>
        <w:keepLines w:val="0"/>
        <w:widowControl w:val="0"/>
        <w:shd w:val="clear" w:color="auto" w:fill="auto"/>
        <w:tabs>
          <w:tab w:pos="3192" w:val="left"/>
          <w:tab w:pos="5417" w:val="left"/>
        </w:tabs>
        <w:bidi w:val="0"/>
        <w:spacing w:before="0" w:after="280" w:line="240" w:lineRule="auto"/>
        <w:ind w:left="0" w:right="740" w:firstLine="0"/>
        <w:jc w:val="right"/>
      </w:pP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 确认为无形资产</w:t>
        <w:tab/>
        <w:t>本年其他减少</w:t>
        <w:tab/>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p>
      <w:pPr>
        <w:pStyle w:val="Style53"/>
        <w:keepNext w:val="0"/>
        <w:keepLines w:val="0"/>
        <w:widowControl w:val="0"/>
        <w:shd w:val="clear" w:color="auto" w:fill="auto"/>
        <w:tabs>
          <w:tab w:leader="underscore" w:pos="2832" w:val="left"/>
          <w:tab w:leader="underscore" w:pos="4526" w:val="left"/>
          <w:tab w:leader="underscore" w:pos="6221" w:val="left"/>
          <w:tab w:leader="underscore" w:pos="8256" w:val="left"/>
        </w:tabs>
        <w:bidi w:val="0"/>
        <w:spacing w:before="0" w:after="220" w:line="315" w:lineRule="exact"/>
        <w:ind w:left="0" w:right="0" w:firstLine="720"/>
        <w:jc w:val="both"/>
      </w:pPr>
      <w:r>
        <w:rPr>
          <w:rFonts w:ascii="SimSun" w:eastAsia="SimSun" w:hAnsi="SimSun" w:cs="SimSun"/>
          <w:color w:val="000000"/>
          <w:spacing w:val="0"/>
          <w:w w:val="100"/>
          <w:position w:val="0"/>
          <w:sz w:val="24"/>
          <w:szCs w:val="24"/>
        </w:rPr>
        <w:t xml:space="preserve">软件开发 </w:t>
        <w:tab/>
      </w:r>
      <w:r>
        <w:rPr>
          <w:color w:val="000000"/>
          <w:spacing w:val="0"/>
          <w:w w:val="100"/>
          <w:position w:val="0"/>
          <w:u w:val="single"/>
        </w:rPr>
        <w:t>9,063</w:t>
      </w:r>
      <w:r>
        <w:rPr>
          <w:color w:val="000000"/>
          <w:spacing w:val="0"/>
          <w:w w:val="100"/>
          <w:position w:val="0"/>
        </w:rPr>
        <w:tab/>
      </w:r>
      <w:r>
        <w:rPr>
          <w:color w:val="000000"/>
          <w:spacing w:val="0"/>
          <w:w w:val="100"/>
          <w:position w:val="0"/>
          <w:u w:val="single"/>
        </w:rPr>
        <w:t>（1,744）</w:t>
      </w:r>
      <w:r>
        <w:rPr>
          <w:color w:val="000000"/>
          <w:spacing w:val="0"/>
          <w:w w:val="100"/>
          <w:position w:val="0"/>
        </w:rPr>
        <w:t xml:space="preserve"> </w:t>
        <w:tab/>
      </w:r>
      <w:r>
        <w:rPr>
          <w:color w:val="000000"/>
          <w:spacing w:val="0"/>
          <w:w w:val="100"/>
          <w:position w:val="0"/>
          <w:u w:val="single"/>
        </w:rPr>
        <w:t>（4,352）</w:t>
      </w:r>
      <w:r>
        <w:rPr>
          <w:color w:val="000000"/>
          <w:spacing w:val="0"/>
          <w:w w:val="100"/>
          <w:position w:val="0"/>
        </w:rPr>
        <w:tab/>
      </w:r>
      <w:r>
        <w:rPr>
          <w:color w:val="000000"/>
          <w:spacing w:val="0"/>
          <w:w w:val="100"/>
          <w:position w:val="0"/>
          <w:u w:val="single"/>
        </w:rPr>
        <w:t>2,967</w:t>
      </w:r>
    </w:p>
    <w:p>
      <w:pPr>
        <w:pStyle w:val="Style32"/>
        <w:keepNext w:val="0"/>
        <w:keepLines w:val="0"/>
        <w:widowControl w:val="0"/>
        <w:shd w:val="clear" w:color="auto" w:fill="auto"/>
        <w:bidi w:val="0"/>
        <w:spacing w:before="0" w:after="220" w:line="316" w:lineRule="exact"/>
        <w:ind w:left="720" w:right="0" w:firstLine="20"/>
        <w:jc w:val="both"/>
        <w:rPr>
          <w:sz w:val="24"/>
          <w:szCs w:val="24"/>
        </w:rPr>
      </w:pP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年度，本集团无新增软件开发支出</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sz w:val="24"/>
          <w:szCs w:val="24"/>
        </w:rPr>
        <w:t>年度：无</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，约人民币</w:t>
      </w:r>
      <w:r>
        <w:rPr>
          <w:rFonts w:ascii="Times New Roman" w:eastAsia="Times New Roman" w:hAnsi="Times New Roman" w:cs="Times New Roman"/>
          <w:color w:val="000000"/>
          <w:spacing w:val="0"/>
          <w:w w:val="100"/>
          <w:position w:val="0"/>
          <w:sz w:val="24"/>
          <w:szCs w:val="24"/>
        </w:rPr>
        <w:t>174</w:t>
      </w:r>
      <w:r>
        <w:rPr>
          <w:color w:val="000000"/>
          <w:spacing w:val="0"/>
          <w:w w:val="100"/>
          <w:position w:val="0"/>
          <w:sz w:val="24"/>
          <w:szCs w:val="24"/>
        </w:rPr>
        <w:t xml:space="preserve">万元 </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sz w:val="24"/>
          <w:szCs w:val="24"/>
        </w:rPr>
        <w:t>年度：约人民币</w:t>
      </w:r>
      <w:r>
        <w:rPr>
          <w:rFonts w:ascii="Times New Roman" w:eastAsia="Times New Roman" w:hAnsi="Times New Roman" w:cs="Times New Roman"/>
          <w:color w:val="000000"/>
          <w:spacing w:val="0"/>
          <w:w w:val="100"/>
          <w:position w:val="0"/>
          <w:sz w:val="24"/>
          <w:szCs w:val="24"/>
        </w:rPr>
        <w:t>2,278</w:t>
      </w:r>
      <w:r>
        <w:rPr>
          <w:color w:val="000000"/>
          <w:spacing w:val="0"/>
          <w:w w:val="100"/>
          <w:position w:val="0"/>
          <w:sz w:val="24"/>
          <w:szCs w:val="24"/>
        </w:rPr>
        <w:t>万元</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于当期确认为无形资产，约人民币</w:t>
      </w:r>
      <w:r>
        <w:rPr>
          <w:rFonts w:ascii="Times New Roman" w:eastAsia="Times New Roman" w:hAnsi="Times New Roman" w:cs="Times New Roman"/>
          <w:color w:val="000000"/>
          <w:spacing w:val="0"/>
          <w:w w:val="100"/>
          <w:position w:val="0"/>
          <w:sz w:val="24"/>
          <w:szCs w:val="24"/>
        </w:rPr>
        <w:t>297</w:t>
      </w:r>
      <w:r>
        <w:rPr>
          <w:color w:val="000000"/>
          <w:spacing w:val="0"/>
          <w:w w:val="100"/>
          <w:position w:val="0"/>
          <w:sz w:val="24"/>
          <w:szCs w:val="24"/>
        </w:rPr>
        <w:t xml:space="preserve">万元 </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sz w:val="24"/>
          <w:szCs w:val="24"/>
        </w:rPr>
        <w:t>年度：约人民币</w:t>
      </w:r>
      <w:r>
        <w:rPr>
          <w:rFonts w:ascii="Times New Roman" w:eastAsia="Times New Roman" w:hAnsi="Times New Roman" w:cs="Times New Roman"/>
          <w:color w:val="000000"/>
          <w:spacing w:val="0"/>
          <w:w w:val="100"/>
          <w:position w:val="0"/>
          <w:sz w:val="24"/>
          <w:szCs w:val="24"/>
        </w:rPr>
        <w:t>906</w:t>
      </w:r>
      <w:r>
        <w:rPr>
          <w:color w:val="000000"/>
          <w:spacing w:val="0"/>
          <w:w w:val="100"/>
          <w:position w:val="0"/>
          <w:sz w:val="24"/>
          <w:szCs w:val="24"/>
        </w:rPr>
        <w:t>万元</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包含在开发支出的年末余额中。于</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年度， 本集团软件开发支出系交由外部研发，无通过内部研发形成的无形资产</w:t>
      </w:r>
      <w:r>
        <w:rPr>
          <w:rFonts w:ascii="Times New Roman" w:eastAsia="Times New Roman" w:hAnsi="Times New Roman" w:cs="Times New Roman"/>
          <w:color w:val="000000"/>
          <w:spacing w:val="0"/>
          <w:w w:val="100"/>
          <w:position w:val="0"/>
          <w:sz w:val="24"/>
          <w:szCs w:val="24"/>
        </w:rPr>
        <w:t xml:space="preserve">（2015 </w:t>
      </w:r>
      <w:r>
        <w:rPr>
          <w:color w:val="000000"/>
          <w:spacing w:val="0"/>
          <w:w w:val="100"/>
          <w:position w:val="0"/>
          <w:sz w:val="24"/>
          <w:szCs w:val="24"/>
        </w:rPr>
        <w:t>年度：无</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w:t>
      </w:r>
    </w:p>
    <w:p>
      <w:pPr>
        <w:pStyle w:val="Style32"/>
        <w:keepNext w:val="0"/>
        <w:keepLines w:val="0"/>
        <w:widowControl w:val="0"/>
        <w:shd w:val="clear" w:color="auto" w:fill="auto"/>
        <w:bidi w:val="0"/>
        <w:spacing w:before="0" w:after="0" w:line="240" w:lineRule="auto"/>
        <w:ind w:left="0" w:right="0" w:firstLine="700"/>
        <w:jc w:val="left"/>
        <w:rPr>
          <w:sz w:val="24"/>
          <w:szCs w:val="24"/>
        </w:rPr>
      </w:pPr>
      <w:r>
        <w:rPr>
          <w:b/>
          <w:bCs/>
          <w:color w:val="000000"/>
          <w:spacing w:val="0"/>
          <w:w w:val="100"/>
          <w:position w:val="0"/>
          <w:sz w:val="24"/>
          <w:szCs w:val="24"/>
        </w:rPr>
        <w:t>财务报表附注</w:t>
      </w:r>
    </w:p>
    <w:p>
      <w:pPr>
        <w:pStyle w:val="Style88"/>
        <w:keepNext/>
        <w:keepLines/>
        <w:widowControl w:val="0"/>
        <w:shd w:val="clear" w:color="auto" w:fill="auto"/>
        <w:bidi w:val="0"/>
        <w:spacing w:before="0" w:after="0" w:line="240" w:lineRule="auto"/>
        <w:ind w:left="0" w:right="0"/>
        <w:jc w:val="left"/>
      </w:pPr>
      <w:bookmarkStart w:id="908" w:name="bookmark908"/>
      <w:bookmarkStart w:id="909" w:name="bookmark909"/>
      <w:bookmarkStart w:id="910" w:name="bookmark910"/>
      <w:r>
        <w:rPr>
          <w:color w:val="000000"/>
          <w:spacing w:val="0"/>
          <w:w w:val="100"/>
          <w:position w:val="0"/>
          <w:sz w:val="24"/>
          <w:szCs w:val="24"/>
        </w:rPr>
        <w:t>2016</w:t>
      </w:r>
      <w:r>
        <w:rPr>
          <w:rFonts w:ascii="SimSun" w:eastAsia="SimSun" w:hAnsi="SimSun" w:cs="SimSun"/>
          <w:b/>
          <w:bCs/>
          <w:color w:val="000000"/>
          <w:spacing w:val="0"/>
          <w:w w:val="100"/>
          <w:position w:val="0"/>
          <w:sz w:val="24"/>
          <w:szCs w:val="24"/>
        </w:rPr>
        <w:t>年度</w:t>
      </w:r>
      <w:bookmarkEnd w:id="908"/>
      <w:bookmarkEnd w:id="909"/>
      <w:bookmarkEnd w:id="910"/>
    </w:p>
    <w:p>
      <w:pPr>
        <w:pStyle w:val="Style32"/>
        <w:keepNext w:val="0"/>
        <w:keepLines w:val="0"/>
        <w:widowControl w:val="0"/>
        <w:shd w:val="clear" w:color="auto" w:fill="auto"/>
        <w:bidi w:val="0"/>
        <w:spacing w:before="0" w:after="220" w:line="240" w:lineRule="auto"/>
        <w:ind w:left="0" w:right="0" w:firstLine="700"/>
        <w:jc w:val="left"/>
        <w:rPr>
          <w:sz w:val="20"/>
          <w:szCs w:val="20"/>
        </w:rPr>
      </w:pPr>
      <w:r>
        <w:rPr>
          <w:rFonts w:ascii="Arial" w:eastAsia="Arial" w:hAnsi="Arial" w:cs="Arial"/>
          <w:color w:val="000000"/>
          <w:spacing w:val="0"/>
          <w:w w:val="100"/>
          <w:position w:val="0"/>
          <w:sz w:val="20"/>
          <w:szCs w:val="20"/>
        </w:rPr>
        <w:t>(</w:t>
      </w:r>
      <w:r>
        <w:rPr>
          <w:color w:val="000000"/>
          <w:spacing w:val="0"/>
          <w:w w:val="100"/>
          <w:position w:val="0"/>
          <w:sz w:val="20"/>
          <w:szCs w:val="20"/>
        </w:rPr>
        <w:t>除特别注明外，金额单位为人民币千元</w:t>
      </w:r>
      <w:r>
        <w:rPr>
          <w:rFonts w:ascii="Arial" w:eastAsia="Arial" w:hAnsi="Arial" w:cs="Arial"/>
          <w:color w:val="000000"/>
          <w:spacing w:val="0"/>
          <w:w w:val="100"/>
          <w:position w:val="0"/>
          <w:sz w:val="20"/>
          <w:szCs w:val="20"/>
        </w:rPr>
        <w:t>)</w:t>
      </w:r>
    </w:p>
    <w:p>
      <w:pPr>
        <w:pStyle w:val="Style32"/>
        <w:keepNext w:val="0"/>
        <w:keepLines w:val="0"/>
        <w:widowControl w:val="0"/>
        <w:shd w:val="clear" w:color="auto" w:fill="auto"/>
        <w:tabs>
          <w:tab w:pos="677" w:val="left"/>
        </w:tabs>
        <w:bidi w:val="0"/>
        <w:spacing w:before="0" w:after="220" w:line="240" w:lineRule="auto"/>
        <w:ind w:left="0" w:right="0" w:firstLine="0"/>
        <w:jc w:val="left"/>
        <w:rPr>
          <w:sz w:val="24"/>
          <w:szCs w:val="24"/>
        </w:rPr>
      </w:pPr>
      <w:r>
        <w:rPr>
          <w:b/>
          <w:bCs/>
          <w:color w:val="000000"/>
          <w:spacing w:val="0"/>
          <w:w w:val="100"/>
          <w:position w:val="0"/>
          <w:sz w:val="24"/>
          <w:szCs w:val="24"/>
        </w:rPr>
        <w:t>四</w:t>
        <w:tab/>
        <w:t>合并财务报表项目附注</w:t>
      </w:r>
      <w:r>
        <w:rPr>
          <w:rFonts w:ascii="Times New Roman" w:eastAsia="Times New Roman" w:hAnsi="Times New Roman" w:cs="Times New Roman"/>
          <w:color w:val="000000"/>
          <w:spacing w:val="0"/>
          <w:w w:val="100"/>
          <w:position w:val="0"/>
          <w:sz w:val="24"/>
          <w:szCs w:val="24"/>
        </w:rPr>
        <w:t>(</w:t>
      </w:r>
      <w:r>
        <w:rPr>
          <w:b/>
          <w:bCs/>
          <w:color w:val="000000"/>
          <w:spacing w:val="0"/>
          <w:w w:val="100"/>
          <w:position w:val="0"/>
          <w:sz w:val="24"/>
          <w:szCs w:val="24"/>
        </w:rPr>
        <w:t>续</w:t>
      </w:r>
      <w:r>
        <w:rPr>
          <w:rFonts w:ascii="Times New Roman" w:eastAsia="Times New Roman" w:hAnsi="Times New Roman" w:cs="Times New Roman"/>
          <w:color w:val="000000"/>
          <w:spacing w:val="0"/>
          <w:w w:val="100"/>
          <w:position w:val="0"/>
          <w:sz w:val="24"/>
          <w:szCs w:val="24"/>
        </w:rPr>
        <w:t>)</w:t>
      </w:r>
    </w:p>
    <w:p>
      <w:pPr>
        <w:pStyle w:val="Style53"/>
        <w:keepNext w:val="0"/>
        <w:keepLines w:val="0"/>
        <w:widowControl w:val="0"/>
        <w:shd w:val="clear" w:color="auto" w:fill="auto"/>
        <w:bidi w:val="0"/>
        <w:spacing w:before="0" w:after="300" w:line="240" w:lineRule="auto"/>
        <w:ind w:left="0" w:right="0" w:firstLine="0"/>
        <w:jc w:val="left"/>
        <w:rPr>
          <w:sz w:val="24"/>
          <w:szCs w:val="24"/>
        </w:rPr>
      </w:pPr>
      <w:r>
        <w:rPr>
          <w:color w:val="000000"/>
          <w:spacing w:val="0"/>
          <w:w w:val="100"/>
          <w:position w:val="0"/>
          <w:sz w:val="24"/>
          <w:szCs w:val="24"/>
        </w:rPr>
        <w:t>(17)</w:t>
      </w:r>
      <w:r>
        <w:rPr>
          <w:rFonts w:ascii="SimSun" w:eastAsia="SimSun" w:hAnsi="SimSun" w:cs="SimSun"/>
          <w:b/>
          <w:bCs/>
          <w:color w:val="000000"/>
          <w:spacing w:val="0"/>
          <w:w w:val="100"/>
          <w:position w:val="0"/>
          <w:sz w:val="24"/>
          <w:szCs w:val="24"/>
        </w:rPr>
        <w:t>商誉</w:t>
      </w:r>
    </w:p>
    <w:tbl>
      <w:tblPr>
        <w:tblOverlap w:val="never"/>
        <w:jc w:val="center"/>
        <w:tblLayout w:type="fixed"/>
      </w:tblPr>
      <w:tblGrid>
        <w:gridCol w:w="2323"/>
        <w:gridCol w:w="1282"/>
        <w:gridCol w:w="1565"/>
        <w:gridCol w:w="2338"/>
        <w:gridCol w:w="1138"/>
      </w:tblGrid>
      <w:tr>
        <w:trPr>
          <w:trHeight w:val="653"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 xml:space="preserve">2015 </w:t>
            </w:r>
            <w:r>
              <w:rPr>
                <w:color w:val="000000"/>
                <w:spacing w:val="0"/>
                <w:w w:val="100"/>
                <w:position w:val="0"/>
                <w:sz w:val="20"/>
                <w:szCs w:val="20"/>
              </w:rPr>
              <w:t>年</w:t>
            </w:r>
          </w:p>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本年增加</w:t>
            </w:r>
          </w:p>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附注四</w:t>
            </w:r>
            <w:r>
              <w:rPr>
                <w:rFonts w:ascii="Times New Roman" w:eastAsia="Times New Roman" w:hAnsi="Times New Roman" w:cs="Times New Roman"/>
                <w:color w:val="000000"/>
                <w:spacing w:val="0"/>
                <w:w w:val="100"/>
                <w:position w:val="0"/>
                <w:sz w:val="20"/>
                <w:szCs w:val="20"/>
              </w:rPr>
              <w:t>(52))</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外币报表</w:t>
            </w:r>
          </w:p>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本年减少折算差异</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 xml:space="preserve">2016 </w:t>
            </w:r>
            <w:r>
              <w:rPr>
                <w:color w:val="000000"/>
                <w:spacing w:val="0"/>
                <w:w w:val="100"/>
                <w:position w:val="0"/>
                <w:sz w:val="20"/>
                <w:szCs w:val="20"/>
              </w:rPr>
              <w:t>年</w:t>
            </w:r>
          </w:p>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w:t>
            </w:r>
          </w:p>
        </w:tc>
      </w:tr>
      <w:tr>
        <w:trPr>
          <w:trHeight w:val="701"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商誉</w:t>
            </w:r>
            <w:r>
              <w:rPr>
                <w:rFonts w:ascii="Times New Roman" w:eastAsia="Times New Roman" w:hAnsi="Times New Roman" w:cs="Times New Roman"/>
                <w:color w:val="000000"/>
                <w:spacing w:val="0"/>
                <w:w w:val="100"/>
                <w:position w:val="0"/>
                <w:sz w:val="20"/>
                <w:szCs w:val="20"/>
              </w:rPr>
              <w:t>-</w:t>
            </w:r>
          </w:p>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日本</w:t>
            </w:r>
            <w:r>
              <w:rPr>
                <w:rFonts w:ascii="Times New Roman" w:eastAsia="Times New Roman" w:hAnsi="Times New Roman" w:cs="Times New Roman"/>
                <w:color w:val="000000"/>
                <w:spacing w:val="0"/>
                <w:w w:val="100"/>
                <w:position w:val="0"/>
                <w:sz w:val="20"/>
                <w:szCs w:val="20"/>
              </w:rPr>
              <w:t>LAOX</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169,498</w:t>
            </w:r>
          </w:p>
        </w:tc>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tabs>
                <w:tab w:pos="1625" w:val="left"/>
              </w:tabs>
              <w:bidi w:val="0"/>
              <w:spacing w:before="0" w:after="0" w:line="240" w:lineRule="auto"/>
              <w:ind w:left="0" w:right="0" w:firstLine="900"/>
              <w:jc w:val="both"/>
              <w:rPr>
                <w:sz w:val="20"/>
                <w:szCs w:val="20"/>
              </w:rPr>
            </w:pPr>
            <w:r>
              <w:rPr>
                <w:rFonts w:ascii="Times New Roman" w:eastAsia="Times New Roman" w:hAnsi="Times New Roman" w:cs="Times New Roman"/>
                <w:color w:val="000000"/>
                <w:spacing w:val="0"/>
                <w:w w:val="100"/>
                <w:position w:val="0"/>
                <w:sz w:val="20"/>
                <w:szCs w:val="20"/>
              </w:rPr>
              <w:t>-</w:t>
              <w:tab/>
              <w:t>17,983</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80"/>
              <w:jc w:val="both"/>
              <w:rPr>
                <w:sz w:val="20"/>
                <w:szCs w:val="20"/>
              </w:rPr>
            </w:pPr>
            <w:r>
              <w:rPr>
                <w:rFonts w:ascii="Times New Roman" w:eastAsia="Times New Roman" w:hAnsi="Times New Roman" w:cs="Times New Roman"/>
                <w:color w:val="000000"/>
                <w:spacing w:val="0"/>
                <w:w w:val="100"/>
                <w:position w:val="0"/>
                <w:sz w:val="20"/>
                <w:szCs w:val="20"/>
              </w:rPr>
              <w:t>187,481</w:t>
            </w:r>
          </w:p>
        </w:tc>
      </w:tr>
      <w:tr>
        <w:trPr>
          <w:trHeight w:val="701"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Citicall Retain</w:t>
            </w:r>
          </w:p>
          <w:p>
            <w:pPr>
              <w:pStyle w:val="Style28"/>
              <w:keepNext w:val="0"/>
              <w:keepLines w:val="0"/>
              <w:widowControl w:val="0"/>
              <w:shd w:val="clear" w:color="auto" w:fill="auto"/>
              <w:bidi w:val="0"/>
              <w:spacing w:before="0" w:after="0" w:line="259" w:lineRule="exact"/>
              <w:ind w:left="24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Management Limited </w:t>
            </w:r>
            <w:r>
              <w:rPr>
                <w:color w:val="000000"/>
                <w:spacing w:val="0"/>
                <w:w w:val="100"/>
                <w:position w:val="0"/>
                <w:sz w:val="20"/>
                <w:szCs w:val="20"/>
              </w:rPr>
              <w:t>之零售批发业务</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60"/>
              <w:jc w:val="left"/>
              <w:rPr>
                <w:sz w:val="20"/>
                <w:szCs w:val="20"/>
              </w:rPr>
            </w:pPr>
            <w:r>
              <w:rPr>
                <w:rFonts w:ascii="Times New Roman" w:eastAsia="Times New Roman" w:hAnsi="Times New Roman" w:cs="Times New Roman"/>
                <w:color w:val="000000"/>
                <w:spacing w:val="0"/>
                <w:w w:val="100"/>
                <w:position w:val="0"/>
                <w:sz w:val="20"/>
                <w:szCs w:val="20"/>
              </w:rPr>
              <w:t>616</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both"/>
              <w:rPr>
                <w:sz w:val="20"/>
                <w:szCs w:val="20"/>
              </w:rPr>
            </w:pPr>
            <w:r>
              <w:rPr>
                <w:rFonts w:ascii="Times New Roman" w:eastAsia="Times New Roman" w:hAnsi="Times New Roman" w:cs="Times New Roman"/>
                <w:color w:val="000000"/>
                <w:spacing w:val="0"/>
                <w:w w:val="100"/>
                <w:position w:val="0"/>
                <w:sz w:val="20"/>
                <w:szCs w:val="20"/>
              </w:rPr>
              <w:t>616</w:t>
            </w:r>
          </w:p>
        </w:tc>
      </w:tr>
      <w:tr>
        <w:trPr>
          <w:trHeight w:val="523" w:hRule="exact"/>
        </w:trPr>
        <w:tc>
          <w:tcPr>
            <w:tcBorders/>
            <w:shd w:val="clear" w:color="auto" w:fill="FFFFFF"/>
            <w:vAlign w:val="top"/>
          </w:tcPr>
          <w:p>
            <w:pPr>
              <w:pStyle w:val="Style28"/>
              <w:keepNext w:val="0"/>
              <w:keepLines w:val="0"/>
              <w:widowControl w:val="0"/>
              <w:shd w:val="clear" w:color="auto" w:fill="auto"/>
              <w:bidi w:val="0"/>
              <w:spacing w:before="0" w:after="0" w:line="264" w:lineRule="exact"/>
              <w:ind w:left="240" w:right="0" w:hanging="240"/>
              <w:jc w:val="left"/>
              <w:rPr>
                <w:sz w:val="20"/>
                <w:szCs w:val="20"/>
              </w:rPr>
            </w:pPr>
            <w:r>
              <w:rPr>
                <w:color w:val="000000"/>
                <w:spacing w:val="0"/>
                <w:w w:val="100"/>
                <w:position w:val="0"/>
                <w:sz w:val="20"/>
                <w:szCs w:val="20"/>
              </w:rPr>
              <w:t>无锡胜利门苏宁云商销售 有限公司</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60"/>
              <w:jc w:val="left"/>
              <w:rPr>
                <w:sz w:val="20"/>
                <w:szCs w:val="20"/>
              </w:rPr>
            </w:pPr>
            <w:r>
              <w:rPr>
                <w:rFonts w:ascii="Times New Roman" w:eastAsia="Times New Roman" w:hAnsi="Times New Roman" w:cs="Times New Roman"/>
                <w:color w:val="000000"/>
                <w:spacing w:val="0"/>
                <w:w w:val="100"/>
                <w:position w:val="0"/>
                <w:sz w:val="20"/>
                <w:szCs w:val="20"/>
              </w:rPr>
              <w:t>569</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both"/>
              <w:rPr>
                <w:sz w:val="20"/>
                <w:szCs w:val="20"/>
              </w:rPr>
            </w:pPr>
            <w:r>
              <w:rPr>
                <w:rFonts w:ascii="Times New Roman" w:eastAsia="Times New Roman" w:hAnsi="Times New Roman" w:cs="Times New Roman"/>
                <w:color w:val="000000"/>
                <w:spacing w:val="0"/>
                <w:w w:val="100"/>
                <w:position w:val="0"/>
                <w:sz w:val="20"/>
                <w:szCs w:val="20"/>
              </w:rPr>
              <w:t>569</w:t>
            </w:r>
          </w:p>
        </w:tc>
      </w:tr>
      <w:tr>
        <w:trPr>
          <w:trHeight w:val="283"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红孩子母婴及美妆业务</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270,670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20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0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80"/>
              <w:jc w:val="both"/>
              <w:rPr>
                <w:sz w:val="20"/>
                <w:szCs w:val="20"/>
              </w:rPr>
            </w:pPr>
            <w:r>
              <w:rPr>
                <w:rFonts w:ascii="Times New Roman" w:eastAsia="Times New Roman" w:hAnsi="Times New Roman" w:cs="Times New Roman"/>
                <w:color w:val="000000"/>
                <w:spacing w:val="0"/>
                <w:w w:val="100"/>
                <w:position w:val="0"/>
                <w:sz w:val="20"/>
                <w:szCs w:val="20"/>
              </w:rPr>
              <w:t>270,670</w:t>
            </w:r>
          </w:p>
        </w:tc>
      </w:tr>
      <w:tr>
        <w:trPr>
          <w:trHeight w:val="274"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满座网业务</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33,372</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20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0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33,372</w:t>
            </w:r>
          </w:p>
        </w:tc>
      </w:tr>
      <w:tr>
        <w:trPr>
          <w:trHeight w:val="274"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好耶广告技术板块业务</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25,109</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120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140" w:firstLine="0"/>
              <w:jc w:val="right"/>
              <w:rPr>
                <w:sz w:val="20"/>
                <w:szCs w:val="20"/>
              </w:rPr>
            </w:pPr>
            <w:r>
              <w:rPr>
                <w:rFonts w:ascii="Times New Roman" w:eastAsia="Times New Roman" w:hAnsi="Times New Roman" w:cs="Times New Roman"/>
                <w:color w:val="000000"/>
                <w:spacing w:val="0"/>
                <w:w w:val="100"/>
                <w:position w:val="0"/>
                <w:sz w:val="20"/>
                <w:szCs w:val="20"/>
              </w:rPr>
              <w:t>- -</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25,109</w:t>
            </w:r>
          </w:p>
        </w:tc>
      </w:tr>
      <w:tr>
        <w:trPr>
          <w:trHeight w:val="432" w:hRule="exact"/>
        </w:trPr>
        <w:tc>
          <w:tcPr>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499,834</w:t>
            </w:r>
          </w:p>
        </w:tc>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0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tcBorders>
            <w:shd w:val="clear" w:color="auto" w:fill="FFFFFF"/>
            <w:vAlign w:val="center"/>
          </w:tcPr>
          <w:p>
            <w:pPr>
              <w:pStyle w:val="Style28"/>
              <w:keepNext w:val="0"/>
              <w:keepLines w:val="0"/>
              <w:widowControl w:val="0"/>
              <w:shd w:val="clear" w:color="auto" w:fill="auto"/>
              <w:tabs>
                <w:tab w:pos="1567" w:val="left"/>
              </w:tabs>
              <w:bidi w:val="0"/>
              <w:spacing w:before="0" w:after="0" w:line="240" w:lineRule="auto"/>
              <w:ind w:left="0" w:right="0" w:firstLine="900"/>
              <w:jc w:val="left"/>
              <w:rPr>
                <w:sz w:val="20"/>
                <w:szCs w:val="20"/>
              </w:rPr>
            </w:pPr>
            <w:r>
              <w:rPr>
                <w:rFonts w:ascii="Times New Roman" w:eastAsia="Times New Roman" w:hAnsi="Times New Roman" w:cs="Times New Roman"/>
                <w:color w:val="000000"/>
                <w:spacing w:val="0"/>
                <w:w w:val="100"/>
                <w:position w:val="0"/>
                <w:sz w:val="20"/>
                <w:szCs w:val="20"/>
              </w:rPr>
              <w:t>-</w:t>
              <w:tab/>
              <w:t>17,983</w:t>
            </w:r>
          </w:p>
        </w:tc>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both"/>
              <w:rPr>
                <w:sz w:val="20"/>
                <w:szCs w:val="20"/>
              </w:rPr>
            </w:pPr>
            <w:r>
              <w:rPr>
                <w:rFonts w:ascii="Times New Roman" w:eastAsia="Times New Roman" w:hAnsi="Times New Roman" w:cs="Times New Roman"/>
                <w:color w:val="000000"/>
                <w:spacing w:val="0"/>
                <w:w w:val="100"/>
                <w:position w:val="0"/>
                <w:sz w:val="20"/>
                <w:szCs w:val="20"/>
              </w:rPr>
              <w:t>517,817</w:t>
            </w:r>
          </w:p>
        </w:tc>
      </w:tr>
      <w:tr>
        <w:trPr>
          <w:trHeight w:val="696" w:hRule="exact"/>
        </w:trPr>
        <w:tc>
          <w:tcPr>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减：减值准备</w:t>
            </w:r>
            <w:r>
              <w:rPr>
                <w:rFonts w:ascii="Times New Roman" w:eastAsia="Times New Roman" w:hAnsi="Times New Roman" w:cs="Times New Roman"/>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 xml:space="preserve">a)- </w:t>
            </w:r>
            <w:r>
              <w:rPr>
                <w:color w:val="000000"/>
                <w:spacing w:val="0"/>
                <w:w w:val="100"/>
                <w:position w:val="0"/>
                <w:sz w:val="20"/>
                <w:szCs w:val="20"/>
              </w:rPr>
              <w:t>日本</w:t>
            </w:r>
            <w:r>
              <w:rPr>
                <w:rFonts w:ascii="Times New Roman" w:eastAsia="Times New Roman" w:hAnsi="Times New Roman" w:cs="Times New Roman"/>
                <w:color w:val="000000"/>
                <w:spacing w:val="0"/>
                <w:w w:val="100"/>
                <w:position w:val="0"/>
                <w:sz w:val="20"/>
                <w:szCs w:val="20"/>
              </w:rPr>
              <w:t>LAOX</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(31,571)</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left"/>
              <w:rPr>
                <w:sz w:val="20"/>
                <w:szCs w:val="20"/>
              </w:rPr>
            </w:pPr>
            <w:r>
              <w:rPr>
                <w:rFonts w:ascii="Times New Roman" w:eastAsia="Times New Roman" w:hAnsi="Times New Roman" w:cs="Times New Roman"/>
                <w:color w:val="000000"/>
                <w:spacing w:val="0"/>
                <w:w w:val="100"/>
                <w:position w:val="0"/>
                <w:sz w:val="20"/>
                <w:szCs w:val="20"/>
              </w:rPr>
              <w:t>(55,578)</w:t>
            </w:r>
          </w:p>
        </w:tc>
        <w:tc>
          <w:tcPr>
            <w:tcBorders/>
            <w:shd w:val="clear" w:color="auto" w:fill="FFFFFF"/>
            <w:vAlign w:val="bottom"/>
          </w:tcPr>
          <w:p>
            <w:pPr>
              <w:pStyle w:val="Style28"/>
              <w:keepNext w:val="0"/>
              <w:keepLines w:val="0"/>
              <w:widowControl w:val="0"/>
              <w:shd w:val="clear" w:color="auto" w:fill="auto"/>
              <w:tabs>
                <w:tab w:pos="1591" w:val="left"/>
              </w:tabs>
              <w:bidi w:val="0"/>
              <w:spacing w:before="0" w:after="0" w:line="240" w:lineRule="auto"/>
              <w:ind w:left="0" w:right="0" w:firstLine="900"/>
              <w:jc w:val="left"/>
              <w:rPr>
                <w:sz w:val="20"/>
                <w:szCs w:val="20"/>
              </w:rPr>
            </w:pPr>
            <w:r>
              <w:rPr>
                <w:rFonts w:ascii="Times New Roman" w:eastAsia="Times New Roman" w:hAnsi="Times New Roman" w:cs="Times New Roman"/>
                <w:color w:val="000000"/>
                <w:spacing w:val="0"/>
                <w:w w:val="100"/>
                <w:position w:val="0"/>
                <w:sz w:val="20"/>
                <w:szCs w:val="20"/>
              </w:rPr>
              <w:t>-</w:t>
              <w:tab/>
              <w:t>(3,350)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80"/>
              <w:jc w:val="both"/>
              <w:rPr>
                <w:sz w:val="20"/>
                <w:szCs w:val="20"/>
              </w:rPr>
            </w:pPr>
            <w:r>
              <w:rPr>
                <w:rFonts w:ascii="Times New Roman" w:eastAsia="Times New Roman" w:hAnsi="Times New Roman" w:cs="Times New Roman"/>
                <w:color w:val="000000"/>
                <w:spacing w:val="0"/>
                <w:w w:val="100"/>
                <w:position w:val="0"/>
                <w:sz w:val="20"/>
                <w:szCs w:val="20"/>
              </w:rPr>
              <w:t>(90,499)</w:t>
            </w:r>
          </w:p>
        </w:tc>
      </w:tr>
      <w:tr>
        <w:trPr>
          <w:trHeight w:val="706" w:hRule="exact"/>
        </w:trPr>
        <w:tc>
          <w:tcPr>
            <w:tcBorders/>
            <w:shd w:val="clear" w:color="auto" w:fill="FFFFFF"/>
            <w:vAlign w:val="bottom"/>
          </w:tcPr>
          <w:p>
            <w:pPr>
              <w:pStyle w:val="Style28"/>
              <w:keepNext w:val="0"/>
              <w:keepLines w:val="0"/>
              <w:widowControl w:val="0"/>
              <w:shd w:val="clear" w:color="auto" w:fill="auto"/>
              <w:bidi w:val="0"/>
              <w:spacing w:before="0" w:after="0" w:line="257"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Citicall Retain</w:t>
            </w:r>
          </w:p>
          <w:p>
            <w:pPr>
              <w:pStyle w:val="Style28"/>
              <w:keepNext w:val="0"/>
              <w:keepLines w:val="0"/>
              <w:widowControl w:val="0"/>
              <w:shd w:val="clear" w:color="auto" w:fill="auto"/>
              <w:bidi w:val="0"/>
              <w:spacing w:before="0" w:after="0" w:line="245" w:lineRule="exact"/>
              <w:ind w:left="24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Management Limited </w:t>
            </w:r>
            <w:r>
              <w:rPr>
                <w:color w:val="000000"/>
                <w:spacing w:val="0"/>
                <w:w w:val="100"/>
                <w:position w:val="0"/>
                <w:sz w:val="20"/>
                <w:szCs w:val="20"/>
              </w:rPr>
              <w:t>之零售批发业务</w:t>
            </w:r>
          </w:p>
        </w:tc>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00"/>
              <w:jc w:val="left"/>
              <w:rPr>
                <w:sz w:val="20"/>
                <w:szCs w:val="20"/>
              </w:rPr>
            </w:pPr>
            <w:r>
              <w:rPr>
                <w:rFonts w:ascii="Times New Roman" w:eastAsia="Times New Roman" w:hAnsi="Times New Roman" w:cs="Times New Roman"/>
                <w:color w:val="000000"/>
                <w:spacing w:val="0"/>
                <w:w w:val="100"/>
                <w:position w:val="0"/>
                <w:sz w:val="20"/>
                <w:szCs w:val="20"/>
              </w:rPr>
              <w:t>(616)</w:t>
            </w:r>
          </w:p>
        </w:tc>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(616)</w:t>
            </w:r>
          </w:p>
        </w:tc>
      </w:tr>
      <w:tr>
        <w:trPr>
          <w:trHeight w:val="586" w:hRule="exact"/>
        </w:trPr>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468,263</w:t>
            </w:r>
          </w:p>
        </w:tc>
        <w:tc>
          <w:tcPr>
            <w:tcBorders>
              <w:top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left"/>
              <w:rPr>
                <w:sz w:val="20"/>
                <w:szCs w:val="20"/>
              </w:rPr>
            </w:pPr>
            <w:r>
              <w:rPr>
                <w:rFonts w:ascii="Times New Roman" w:eastAsia="Times New Roman" w:hAnsi="Times New Roman" w:cs="Times New Roman"/>
                <w:color w:val="000000"/>
                <w:spacing w:val="0"/>
                <w:w w:val="100"/>
                <w:position w:val="0"/>
                <w:sz w:val="20"/>
                <w:szCs w:val="20"/>
              </w:rPr>
              <w:t>(56,194)</w:t>
            </w:r>
          </w:p>
        </w:tc>
        <w:tc>
          <w:tcPr>
            <w:tcBorders>
              <w:top w:val="single" w:sz="4"/>
              <w:bottom w:val="single" w:sz="4"/>
            </w:tcBorders>
            <w:shd w:val="clear" w:color="auto" w:fill="FFFFFF"/>
            <w:vAlign w:val="bottom"/>
          </w:tcPr>
          <w:p>
            <w:pPr>
              <w:pStyle w:val="Style28"/>
              <w:keepNext w:val="0"/>
              <w:keepLines w:val="0"/>
              <w:widowControl w:val="0"/>
              <w:shd w:val="clear" w:color="auto" w:fill="auto"/>
              <w:tabs>
                <w:tab w:pos="1567" w:val="left"/>
              </w:tabs>
              <w:bidi w:val="0"/>
              <w:spacing w:before="0" w:after="0" w:line="240" w:lineRule="auto"/>
              <w:ind w:left="0" w:right="0" w:firstLine="900"/>
              <w:jc w:val="both"/>
              <w:rPr>
                <w:sz w:val="20"/>
                <w:szCs w:val="20"/>
              </w:rPr>
            </w:pPr>
            <w:r>
              <w:rPr>
                <w:rFonts w:ascii="Times New Roman" w:eastAsia="Times New Roman" w:hAnsi="Times New Roman" w:cs="Times New Roman"/>
                <w:color w:val="000000"/>
                <w:spacing w:val="0"/>
                <w:w w:val="100"/>
                <w:position w:val="0"/>
                <w:sz w:val="20"/>
                <w:szCs w:val="20"/>
              </w:rPr>
              <w:t>-</w:t>
              <w:tab/>
              <w:t>14,633</w:t>
            </w:r>
          </w:p>
        </w:tc>
        <w:tc>
          <w:tcPr>
            <w:tcBorders>
              <w:top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80"/>
              <w:jc w:val="both"/>
              <w:rPr>
                <w:sz w:val="20"/>
                <w:szCs w:val="20"/>
              </w:rPr>
            </w:pPr>
            <w:r>
              <w:rPr>
                <w:rFonts w:ascii="Times New Roman" w:eastAsia="Times New Roman" w:hAnsi="Times New Roman" w:cs="Times New Roman"/>
                <w:color w:val="000000"/>
                <w:spacing w:val="0"/>
                <w:w w:val="100"/>
                <w:position w:val="0"/>
                <w:sz w:val="20"/>
                <w:szCs w:val="20"/>
              </w:rPr>
              <w:t>426,702</w:t>
            </w:r>
          </w:p>
        </w:tc>
      </w:tr>
    </w:tbl>
    <w:p>
      <w:pPr>
        <w:widowControl w:val="0"/>
        <w:spacing w:after="219" w:line="1" w:lineRule="exact"/>
      </w:pPr>
    </w:p>
    <w:p>
      <w:pPr>
        <w:pStyle w:val="Style53"/>
        <w:keepNext w:val="0"/>
        <w:keepLines w:val="0"/>
        <w:widowControl w:val="0"/>
        <w:shd w:val="clear" w:color="auto" w:fill="auto"/>
        <w:bidi w:val="0"/>
        <w:spacing w:before="0" w:after="300" w:line="240" w:lineRule="auto"/>
        <w:ind w:left="0" w:right="0" w:firstLine="0"/>
        <w:jc w:val="left"/>
        <w:rPr>
          <w:sz w:val="24"/>
          <w:szCs w:val="24"/>
        </w:rPr>
      </w:pPr>
      <w:r>
        <w:rPr>
          <w:color w:val="000000"/>
          <w:spacing w:val="0"/>
          <w:w w:val="100"/>
          <w:position w:val="0"/>
          <w:sz w:val="24"/>
          <w:szCs w:val="24"/>
        </w:rPr>
        <w:t xml:space="preserve">(a) </w:t>
      </w:r>
      <w:r>
        <w:rPr>
          <w:rFonts w:ascii="SimSun" w:eastAsia="SimSun" w:hAnsi="SimSun" w:cs="SimSun"/>
          <w:color w:val="000000"/>
          <w:spacing w:val="0"/>
          <w:w w:val="100"/>
          <w:position w:val="0"/>
          <w:sz w:val="24"/>
          <w:szCs w:val="24"/>
        </w:rPr>
        <w:t>减值</w:t>
      </w:r>
    </w:p>
    <w:p>
      <w:pPr>
        <w:pStyle w:val="Style32"/>
        <w:keepNext w:val="0"/>
        <w:keepLines w:val="0"/>
        <w:widowControl w:val="0"/>
        <w:shd w:val="clear" w:color="auto" w:fill="auto"/>
        <w:bidi w:val="0"/>
        <w:spacing w:before="0" w:after="220" w:line="240" w:lineRule="auto"/>
        <w:ind w:left="0" w:right="0" w:firstLine="700"/>
        <w:jc w:val="left"/>
        <w:rPr>
          <w:sz w:val="24"/>
          <w:szCs w:val="24"/>
        </w:rPr>
      </w:pPr>
      <w:r>
        <w:rPr>
          <w:color w:val="000000"/>
          <w:spacing w:val="0"/>
          <w:w w:val="100"/>
          <w:position w:val="0"/>
          <w:sz w:val="24"/>
          <w:szCs w:val="24"/>
        </w:rPr>
        <w:t>分摊至本集团资产组和资产组组合的商誉汇总如下：</w:t>
      </w:r>
    </w:p>
    <w:p>
      <w:pPr>
        <w:pStyle w:val="Style53"/>
        <w:keepNext w:val="0"/>
        <w:keepLines w:val="0"/>
        <w:widowControl w:val="0"/>
        <w:shd w:val="clear" w:color="auto" w:fill="auto"/>
        <w:tabs>
          <w:tab w:pos="2789" w:val="left"/>
        </w:tabs>
        <w:bidi w:val="0"/>
        <w:spacing w:before="0" w:after="220" w:line="240" w:lineRule="auto"/>
        <w:ind w:left="0" w:right="0" w:firstLine="0"/>
        <w:jc w:val="right"/>
        <w:rPr>
          <w:sz w:val="24"/>
          <w:szCs w:val="24"/>
        </w:rPr>
      </w:pPr>
      <w:r>
        <w:rPr>
          <w:color w:val="000000"/>
          <w:spacing w:val="0"/>
          <w:w w:val="100"/>
          <w:position w:val="0"/>
          <w:sz w:val="24"/>
          <w:szCs w:val="24"/>
        </w:rPr>
        <w:t>2016</w:t>
      </w:r>
      <w:r>
        <w:rPr>
          <w:rFonts w:ascii="SimSun" w:eastAsia="SimSun" w:hAnsi="SimSun" w:cs="SimSun"/>
          <w:color w:val="000000"/>
          <w:spacing w:val="0"/>
          <w:w w:val="100"/>
          <w:position w:val="0"/>
          <w:sz w:val="24"/>
          <w:szCs w:val="24"/>
        </w:rPr>
        <w:t>年</w:t>
      </w:r>
      <w:r>
        <w:rPr>
          <w:color w:val="000000"/>
          <w:spacing w:val="0"/>
          <w:w w:val="100"/>
          <w:position w:val="0"/>
          <w:sz w:val="24"/>
          <w:szCs w:val="24"/>
        </w:rPr>
        <w:t>12</w:t>
      </w:r>
      <w:r>
        <w:rPr>
          <w:rFonts w:ascii="SimSun" w:eastAsia="SimSun" w:hAnsi="SimSun" w:cs="SimSun"/>
          <w:color w:val="000000"/>
          <w:spacing w:val="0"/>
          <w:w w:val="100"/>
          <w:position w:val="0"/>
          <w:sz w:val="24"/>
          <w:szCs w:val="24"/>
        </w:rPr>
        <w:t>月</w:t>
      </w:r>
      <w:r>
        <w:rPr>
          <w:color w:val="000000"/>
          <w:spacing w:val="0"/>
          <w:w w:val="100"/>
          <w:position w:val="0"/>
          <w:sz w:val="24"/>
          <w:szCs w:val="24"/>
        </w:rPr>
        <w:t>31</w:t>
      </w:r>
      <w:r>
        <w:rPr>
          <w:rFonts w:ascii="SimSun" w:eastAsia="SimSun" w:hAnsi="SimSun" w:cs="SimSun"/>
          <w:color w:val="000000"/>
          <w:spacing w:val="0"/>
          <w:w w:val="100"/>
          <w:position w:val="0"/>
          <w:sz w:val="24"/>
          <w:szCs w:val="24"/>
        </w:rPr>
        <w:t>日</w:t>
        <w:tab/>
      </w:r>
      <w:r>
        <w:rPr>
          <w:color w:val="000000"/>
          <w:spacing w:val="0"/>
          <w:w w:val="100"/>
          <w:position w:val="0"/>
          <w:sz w:val="24"/>
          <w:szCs w:val="24"/>
        </w:rPr>
        <w:t>2015</w:t>
      </w:r>
      <w:r>
        <w:rPr>
          <w:rFonts w:ascii="SimSun" w:eastAsia="SimSun" w:hAnsi="SimSun" w:cs="SimSun"/>
          <w:color w:val="000000"/>
          <w:spacing w:val="0"/>
          <w:w w:val="100"/>
          <w:position w:val="0"/>
          <w:sz w:val="24"/>
          <w:szCs w:val="24"/>
        </w:rPr>
        <w:t>年</w:t>
      </w:r>
      <w:r>
        <w:rPr>
          <w:color w:val="000000"/>
          <w:spacing w:val="0"/>
          <w:w w:val="100"/>
          <w:position w:val="0"/>
          <w:sz w:val="24"/>
          <w:szCs w:val="24"/>
        </w:rPr>
        <w:t>12</w:t>
      </w:r>
      <w:r>
        <w:rPr>
          <w:rFonts w:ascii="SimSun" w:eastAsia="SimSun" w:hAnsi="SimSun" w:cs="SimSun"/>
          <w:color w:val="000000"/>
          <w:spacing w:val="0"/>
          <w:w w:val="100"/>
          <w:position w:val="0"/>
          <w:sz w:val="24"/>
          <w:szCs w:val="24"/>
        </w:rPr>
        <w:t>月</w:t>
      </w:r>
      <w:r>
        <w:rPr>
          <w:color w:val="000000"/>
          <w:spacing w:val="0"/>
          <w:w w:val="100"/>
          <w:position w:val="0"/>
          <w:sz w:val="24"/>
          <w:szCs w:val="24"/>
        </w:rPr>
        <w:t>31</w:t>
      </w:r>
      <w:r>
        <w:rPr>
          <w:rFonts w:ascii="SimSun" w:eastAsia="SimSun" w:hAnsi="SimSun" w:cs="SimSun"/>
          <w:color w:val="000000"/>
          <w:spacing w:val="0"/>
          <w:w w:val="100"/>
          <w:position w:val="0"/>
          <w:sz w:val="24"/>
          <w:szCs w:val="24"/>
        </w:rPr>
        <w:t>日</w:t>
      </w:r>
    </w:p>
    <w:p>
      <w:pPr>
        <w:pStyle w:val="Style53"/>
        <w:keepNext w:val="0"/>
        <w:keepLines w:val="0"/>
        <w:widowControl w:val="0"/>
        <w:shd w:val="clear" w:color="auto" w:fill="auto"/>
        <w:tabs>
          <w:tab w:pos="5745" w:val="left"/>
          <w:tab w:pos="8572" w:val="left"/>
        </w:tabs>
        <w:bidi w:val="0"/>
        <w:spacing w:before="0" w:after="0" w:line="240" w:lineRule="auto"/>
        <w:ind w:left="0" w:right="0" w:firstLine="700"/>
        <w:jc w:val="left"/>
        <w:rPr>
          <w:sz w:val="24"/>
          <w:szCs w:val="24"/>
        </w:rPr>
      </w:pPr>
      <w:r>
        <w:rPr>
          <w:rFonts w:ascii="SimSun" w:eastAsia="SimSun" w:hAnsi="SimSun" w:cs="SimSun"/>
          <w:color w:val="000000"/>
          <w:spacing w:val="0"/>
          <w:w w:val="100"/>
          <w:position w:val="0"/>
          <w:sz w:val="24"/>
          <w:szCs w:val="24"/>
        </w:rPr>
        <w:t xml:space="preserve">日本 </w:t>
      </w:r>
      <w:r>
        <w:rPr>
          <w:color w:val="000000"/>
          <w:spacing w:val="0"/>
          <w:w w:val="100"/>
          <w:position w:val="0"/>
          <w:sz w:val="24"/>
          <w:szCs w:val="24"/>
        </w:rPr>
        <w:t>LAOX</w:t>
        <w:tab/>
      </w:r>
      <w:r>
        <w:rPr>
          <w:color w:val="000000"/>
          <w:spacing w:val="0"/>
          <w:w w:val="100"/>
          <w:position w:val="0"/>
          <w:sz w:val="24"/>
          <w:szCs w:val="24"/>
        </w:rPr>
        <w:t>187,481</w:t>
        <w:tab/>
        <w:t>169,498</w:t>
      </w:r>
    </w:p>
    <w:p>
      <w:pPr>
        <w:pStyle w:val="Style53"/>
        <w:keepNext w:val="0"/>
        <w:keepLines w:val="0"/>
        <w:widowControl w:val="0"/>
        <w:shd w:val="clear" w:color="auto" w:fill="auto"/>
        <w:bidi w:val="0"/>
        <w:spacing w:before="0" w:after="0" w:line="240" w:lineRule="auto"/>
        <w:ind w:left="0" w:right="0" w:firstLine="700"/>
        <w:jc w:val="left"/>
        <w:rPr>
          <w:sz w:val="24"/>
          <w:szCs w:val="24"/>
        </w:rPr>
      </w:pPr>
      <w:r>
        <w:rPr>
          <w:color w:val="000000"/>
          <w:spacing w:val="0"/>
          <w:w w:val="100"/>
          <w:position w:val="0"/>
          <w:sz w:val="24"/>
          <w:szCs w:val="24"/>
        </w:rPr>
        <w:t>Citical Retain Management</w:t>
      </w:r>
    </w:p>
    <w:p>
      <w:pPr>
        <w:pStyle w:val="Style53"/>
        <w:keepNext w:val="0"/>
        <w:keepLines w:val="0"/>
        <w:widowControl w:val="0"/>
        <w:shd w:val="clear" w:color="auto" w:fill="auto"/>
        <w:tabs>
          <w:tab w:pos="6605" w:val="right"/>
          <w:tab w:pos="9369" w:val="right"/>
        </w:tabs>
        <w:bidi w:val="0"/>
        <w:spacing w:before="0" w:after="0" w:line="223" w:lineRule="auto"/>
        <w:ind w:left="0" w:right="0" w:firstLine="980"/>
        <w:jc w:val="left"/>
        <w:rPr>
          <w:sz w:val="24"/>
          <w:szCs w:val="24"/>
        </w:rPr>
      </w:pPr>
      <w:r>
        <w:rPr>
          <w:color w:val="000000"/>
          <w:spacing w:val="0"/>
          <w:w w:val="100"/>
          <w:position w:val="0"/>
          <w:sz w:val="24"/>
          <w:szCs w:val="24"/>
        </w:rPr>
        <w:t>Limited</w:t>
      </w:r>
      <w:r>
        <w:rPr>
          <w:rFonts w:ascii="SimSun" w:eastAsia="SimSun" w:hAnsi="SimSun" w:cs="SimSun"/>
          <w:color w:val="000000"/>
          <w:spacing w:val="0"/>
          <w:w w:val="100"/>
          <w:position w:val="0"/>
          <w:sz w:val="24"/>
          <w:szCs w:val="24"/>
        </w:rPr>
        <w:t>之零售批发业务</w:t>
        <w:tab/>
      </w:r>
      <w:r>
        <w:rPr>
          <w:color w:val="000000"/>
          <w:spacing w:val="0"/>
          <w:w w:val="100"/>
          <w:position w:val="0"/>
          <w:sz w:val="24"/>
          <w:szCs w:val="24"/>
        </w:rPr>
        <w:t>616</w:t>
        <w:tab/>
        <w:t>616</w:t>
      </w:r>
    </w:p>
    <w:p>
      <w:pPr>
        <w:pStyle w:val="Style32"/>
        <w:keepNext w:val="0"/>
        <w:keepLines w:val="0"/>
        <w:widowControl w:val="0"/>
        <w:shd w:val="clear" w:color="auto" w:fill="auto"/>
        <w:bidi w:val="0"/>
        <w:spacing w:before="0" w:after="0" w:line="240" w:lineRule="auto"/>
        <w:ind w:left="0" w:right="0" w:firstLine="700"/>
        <w:jc w:val="left"/>
        <w:rPr>
          <w:sz w:val="24"/>
          <w:szCs w:val="24"/>
        </w:rPr>
      </w:pPr>
      <w:r>
        <w:rPr>
          <w:color w:val="000000"/>
          <w:spacing w:val="0"/>
          <w:w w:val="100"/>
          <w:position w:val="0"/>
          <w:sz w:val="24"/>
          <w:szCs w:val="24"/>
        </w:rPr>
        <w:t>无锡胜利门苏宁云商销售</w:t>
      </w:r>
    </w:p>
    <w:p>
      <w:pPr>
        <w:pStyle w:val="Style53"/>
        <w:keepNext w:val="0"/>
        <w:keepLines w:val="0"/>
        <w:widowControl w:val="0"/>
        <w:shd w:val="clear" w:color="auto" w:fill="auto"/>
        <w:tabs>
          <w:tab w:pos="6605" w:val="right"/>
          <w:tab w:pos="9369" w:val="right"/>
        </w:tabs>
        <w:bidi w:val="0"/>
        <w:spacing w:before="0" w:after="0" w:line="240" w:lineRule="auto"/>
        <w:ind w:left="0" w:right="0" w:firstLine="980"/>
        <w:jc w:val="left"/>
        <w:rPr>
          <w:sz w:val="24"/>
          <w:szCs w:val="24"/>
        </w:rPr>
      </w:pPr>
      <w:r>
        <w:rPr>
          <w:rFonts w:ascii="SimSun" w:eastAsia="SimSun" w:hAnsi="SimSun" w:cs="SimSun"/>
          <w:color w:val="000000"/>
          <w:spacing w:val="0"/>
          <w:w w:val="100"/>
          <w:position w:val="0"/>
          <w:sz w:val="24"/>
          <w:szCs w:val="24"/>
        </w:rPr>
        <w:t>有限公司</w:t>
        <w:tab/>
      </w:r>
      <w:r>
        <w:rPr>
          <w:color w:val="000000"/>
          <w:spacing w:val="0"/>
          <w:w w:val="100"/>
          <w:position w:val="0"/>
          <w:sz w:val="24"/>
          <w:szCs w:val="24"/>
        </w:rPr>
        <w:t>569</w:t>
        <w:tab/>
        <w:t>569</w:t>
      </w:r>
    </w:p>
    <w:p>
      <w:pPr>
        <w:pStyle w:val="Style53"/>
        <w:keepNext w:val="0"/>
        <w:keepLines w:val="0"/>
        <w:widowControl w:val="0"/>
        <w:shd w:val="clear" w:color="auto" w:fill="auto"/>
        <w:tabs>
          <w:tab w:pos="6605" w:val="right"/>
          <w:tab w:pos="9369" w:val="right"/>
        </w:tabs>
        <w:bidi w:val="0"/>
        <w:spacing w:before="0" w:after="0" w:line="240" w:lineRule="auto"/>
        <w:ind w:left="0" w:right="0" w:firstLine="700"/>
        <w:jc w:val="left"/>
        <w:rPr>
          <w:sz w:val="24"/>
          <w:szCs w:val="24"/>
        </w:rPr>
      </w:pPr>
      <w:r>
        <w:rPr>
          <w:rFonts w:ascii="SimSun" w:eastAsia="SimSun" w:hAnsi="SimSun" w:cs="SimSun"/>
          <w:color w:val="000000"/>
          <w:spacing w:val="0"/>
          <w:w w:val="100"/>
          <w:position w:val="0"/>
          <w:sz w:val="24"/>
          <w:szCs w:val="24"/>
        </w:rPr>
        <w:t>红孩子母婴及美妆业务</w:t>
        <w:tab/>
      </w:r>
      <w:r>
        <w:rPr>
          <w:color w:val="000000"/>
          <w:spacing w:val="0"/>
          <w:w w:val="100"/>
          <w:position w:val="0"/>
          <w:sz w:val="24"/>
          <w:szCs w:val="24"/>
        </w:rPr>
        <w:t>270,670</w:t>
        <w:tab/>
        <w:t>270,670</w:t>
      </w:r>
    </w:p>
    <w:p>
      <w:pPr>
        <w:pStyle w:val="Style53"/>
        <w:keepNext w:val="0"/>
        <w:keepLines w:val="0"/>
        <w:widowControl w:val="0"/>
        <w:shd w:val="clear" w:color="auto" w:fill="auto"/>
        <w:tabs>
          <w:tab w:pos="6605" w:val="right"/>
          <w:tab w:pos="9369" w:val="right"/>
        </w:tabs>
        <w:bidi w:val="0"/>
        <w:spacing w:before="0" w:after="0" w:line="240" w:lineRule="auto"/>
        <w:ind w:left="0" w:right="0" w:firstLine="700"/>
        <w:jc w:val="left"/>
        <w:rPr>
          <w:sz w:val="24"/>
          <w:szCs w:val="24"/>
        </w:rPr>
      </w:pPr>
      <w:r>
        <w:rPr>
          <w:rFonts w:ascii="SimSun" w:eastAsia="SimSun" w:hAnsi="SimSun" w:cs="SimSun"/>
          <w:color w:val="000000"/>
          <w:spacing w:val="0"/>
          <w:w w:val="100"/>
          <w:position w:val="0"/>
          <w:sz w:val="24"/>
          <w:szCs w:val="24"/>
        </w:rPr>
        <w:t>满座网业务</w:t>
        <w:tab/>
      </w:r>
      <w:r>
        <w:rPr>
          <w:color w:val="000000"/>
          <w:spacing w:val="0"/>
          <w:w w:val="100"/>
          <w:position w:val="0"/>
          <w:sz w:val="24"/>
          <w:szCs w:val="24"/>
        </w:rPr>
        <w:t>33,372</w:t>
        <w:tab/>
        <w:t>33,372</w:t>
      </w:r>
    </w:p>
    <w:p>
      <w:pPr>
        <w:pStyle w:val="Style53"/>
        <w:keepNext w:val="0"/>
        <w:keepLines w:val="0"/>
        <w:widowControl w:val="0"/>
        <w:shd w:val="clear" w:color="auto" w:fill="auto"/>
        <w:tabs>
          <w:tab w:pos="6605" w:val="right"/>
          <w:tab w:pos="9369" w:val="right"/>
        </w:tabs>
        <w:bidi w:val="0"/>
        <w:spacing w:before="0" w:after="0" w:line="240" w:lineRule="auto"/>
        <w:ind w:left="0" w:right="0" w:firstLine="700"/>
        <w:jc w:val="left"/>
        <w:rPr>
          <w:sz w:val="24"/>
          <w:szCs w:val="24"/>
        </w:rPr>
      </w:pPr>
      <w:r>
        <w:rPr>
          <w:rFonts w:ascii="SimSun" w:eastAsia="SimSun" w:hAnsi="SimSun" w:cs="SimSun"/>
          <w:color w:val="000000"/>
          <w:spacing w:val="0"/>
          <w:w w:val="100"/>
          <w:position w:val="0"/>
          <w:sz w:val="24"/>
          <w:szCs w:val="24"/>
        </w:rPr>
        <w:t>好耶广告技术板块业务</w:t>
        <w:tab/>
        <w:t xml:space="preserve"> </w:t>
      </w:r>
      <w:r>
        <w:rPr>
          <w:color w:val="000000"/>
          <w:spacing w:val="0"/>
          <w:w w:val="100"/>
          <w:position w:val="0"/>
          <w:sz w:val="24"/>
          <w:szCs w:val="24"/>
          <w:u w:val="single"/>
        </w:rPr>
        <w:t>25,109</w:t>
      </w:r>
      <w:r>
        <w:rPr>
          <w:color w:val="000000"/>
          <w:spacing w:val="0"/>
          <w:w w:val="100"/>
          <w:position w:val="0"/>
          <w:sz w:val="24"/>
          <w:szCs w:val="24"/>
        </w:rPr>
        <w:tab/>
        <w:t xml:space="preserve"> </w:t>
      </w:r>
      <w:r>
        <w:rPr>
          <w:color w:val="000000"/>
          <w:spacing w:val="0"/>
          <w:w w:val="100"/>
          <w:position w:val="0"/>
          <w:sz w:val="24"/>
          <w:szCs w:val="24"/>
          <w:u w:val="single"/>
        </w:rPr>
        <w:t>25,109</w:t>
      </w:r>
    </w:p>
    <w:p>
      <w:pPr>
        <w:pStyle w:val="Style53"/>
        <w:keepNext w:val="0"/>
        <w:keepLines w:val="0"/>
        <w:widowControl w:val="0"/>
        <w:shd w:val="clear" w:color="auto" w:fill="auto"/>
        <w:tabs>
          <w:tab w:pos="2789" w:val="left"/>
        </w:tabs>
        <w:bidi w:val="0"/>
        <w:spacing w:before="0" w:after="220" w:line="233" w:lineRule="auto"/>
        <w:ind w:left="0" w:right="0" w:firstLine="0"/>
        <w:jc w:val="right"/>
        <w:rPr>
          <w:sz w:val="24"/>
          <w:szCs w:val="24"/>
        </w:rPr>
      </w:pPr>
      <w:r>
        <w:rPr>
          <w:color w:val="000000"/>
          <w:spacing w:val="0"/>
          <w:w w:val="100"/>
          <w:position w:val="0"/>
          <w:sz w:val="24"/>
          <w:szCs w:val="24"/>
        </w:rPr>
        <w:t>517,817</w:t>
        <w:tab/>
        <w:t>499,834 -</w:t>
      </w:r>
    </w:p>
    <w:p>
      <w:pPr>
        <w:pStyle w:val="Style32"/>
        <w:keepNext w:val="0"/>
        <w:keepLines w:val="0"/>
        <w:widowControl w:val="0"/>
        <w:shd w:val="clear" w:color="auto" w:fill="auto"/>
        <w:bidi w:val="0"/>
        <w:spacing w:before="0" w:after="220" w:line="312" w:lineRule="exact"/>
        <w:ind w:left="700" w:right="0" w:firstLine="20"/>
        <w:jc w:val="left"/>
        <w:rPr>
          <w:sz w:val="24"/>
          <w:szCs w:val="24"/>
        </w:rPr>
      </w:pPr>
      <w:r>
        <w:rPr>
          <w:color w:val="000000"/>
          <w:spacing w:val="0"/>
          <w:w w:val="100"/>
          <w:position w:val="0"/>
          <w:sz w:val="24"/>
          <w:szCs w:val="24"/>
        </w:rPr>
        <w:t>资产组和资产组组合的可收回金额是依据管理层制定的五年期预算，采用现金流量 预测方法计算。超过该五年期的现金流量采用以下所述的估计增长率作出推算。</w:t>
      </w:r>
      <w:r>
        <w:br w:type="page"/>
      </w:r>
    </w:p>
    <w:p>
      <w:pPr>
        <w:pStyle w:val="Style32"/>
        <w:keepNext w:val="0"/>
        <w:keepLines w:val="0"/>
        <w:widowControl w:val="0"/>
        <w:shd w:val="clear" w:color="auto" w:fill="auto"/>
        <w:bidi w:val="0"/>
        <w:spacing w:before="0" w:after="0" w:line="240" w:lineRule="auto"/>
        <w:ind w:left="0" w:right="0" w:firstLine="720"/>
        <w:jc w:val="left"/>
        <w:rPr>
          <w:sz w:val="24"/>
          <w:szCs w:val="24"/>
        </w:rPr>
      </w:pPr>
      <w:r>
        <w:rPr>
          <w:b/>
          <w:bCs/>
          <w:color w:val="000000"/>
          <w:spacing w:val="0"/>
          <w:w w:val="100"/>
          <w:position w:val="0"/>
          <w:sz w:val="24"/>
          <w:szCs w:val="24"/>
        </w:rPr>
        <w:t>财务报表附注</w:t>
      </w:r>
    </w:p>
    <w:p>
      <w:pPr>
        <w:pStyle w:val="Style88"/>
        <w:keepNext/>
        <w:keepLines/>
        <w:widowControl w:val="0"/>
        <w:shd w:val="clear" w:color="auto" w:fill="auto"/>
        <w:bidi w:val="0"/>
        <w:spacing w:before="0" w:after="0" w:line="240" w:lineRule="auto"/>
        <w:ind w:left="0" w:right="0" w:firstLine="720"/>
        <w:jc w:val="left"/>
      </w:pPr>
      <w:bookmarkStart w:id="911" w:name="bookmark911"/>
      <w:bookmarkStart w:id="912" w:name="bookmark912"/>
      <w:bookmarkStart w:id="913" w:name="bookmark913"/>
      <w:r>
        <w:rPr>
          <w:color w:val="000000"/>
          <w:spacing w:val="0"/>
          <w:w w:val="100"/>
          <w:position w:val="0"/>
          <w:sz w:val="24"/>
          <w:szCs w:val="24"/>
        </w:rPr>
        <w:t>2016</w:t>
      </w:r>
      <w:r>
        <w:rPr>
          <w:rFonts w:ascii="SimSun" w:eastAsia="SimSun" w:hAnsi="SimSun" w:cs="SimSun"/>
          <w:b/>
          <w:bCs/>
          <w:color w:val="000000"/>
          <w:spacing w:val="0"/>
          <w:w w:val="100"/>
          <w:position w:val="0"/>
          <w:sz w:val="24"/>
          <w:szCs w:val="24"/>
        </w:rPr>
        <w:t>年度</w:t>
      </w:r>
      <w:bookmarkEnd w:id="911"/>
      <w:bookmarkEnd w:id="912"/>
      <w:bookmarkEnd w:id="913"/>
    </w:p>
    <w:p>
      <w:pPr>
        <w:pStyle w:val="Style32"/>
        <w:keepNext w:val="0"/>
        <w:keepLines w:val="0"/>
        <w:widowControl w:val="0"/>
        <w:shd w:val="clear" w:color="auto" w:fill="auto"/>
        <w:bidi w:val="0"/>
        <w:spacing w:before="0" w:after="200" w:line="240" w:lineRule="auto"/>
        <w:ind w:left="0" w:right="0" w:firstLine="720"/>
        <w:jc w:val="left"/>
        <w:rPr>
          <w:sz w:val="24"/>
          <w:szCs w:val="24"/>
        </w:rPr>
      </w:pPr>
      <w:r>
        <w:rPr>
          <w:rFonts w:ascii="Arial" w:eastAsia="Arial" w:hAnsi="Arial" w:cs="Arial"/>
          <w:color w:val="000000"/>
          <w:spacing w:val="0"/>
          <w:w w:val="100"/>
          <w:position w:val="0"/>
          <w:sz w:val="20"/>
          <w:szCs w:val="20"/>
        </w:rPr>
        <w:t>（</w:t>
      </w:r>
      <w:r>
        <w:rPr>
          <w:color w:val="000000"/>
          <w:spacing w:val="0"/>
          <w:w w:val="100"/>
          <w:position w:val="0"/>
          <w:sz w:val="20"/>
          <w:szCs w:val="20"/>
        </w:rPr>
        <w:t>除特别注明外，金额单位为人民币千元</w:t>
      </w:r>
      <w:r>
        <w:rPr>
          <w:color w:val="000000"/>
          <w:spacing w:val="0"/>
          <w:w w:val="100"/>
          <w:position w:val="0"/>
          <w:sz w:val="24"/>
          <w:szCs w:val="24"/>
        </w:rPr>
        <w:t>）</w:t>
      </w:r>
    </w:p>
    <w:p>
      <w:pPr>
        <w:pStyle w:val="Style32"/>
        <w:keepNext w:val="0"/>
        <w:keepLines w:val="0"/>
        <w:widowControl w:val="0"/>
        <w:shd w:val="clear" w:color="auto" w:fill="auto"/>
        <w:tabs>
          <w:tab w:pos="665" w:val="left"/>
        </w:tabs>
        <w:bidi w:val="0"/>
        <w:spacing w:before="0" w:after="200" w:line="240" w:lineRule="auto"/>
        <w:ind w:left="0" w:right="0" w:firstLine="0"/>
        <w:jc w:val="left"/>
        <w:rPr>
          <w:sz w:val="24"/>
          <w:szCs w:val="24"/>
        </w:rPr>
      </w:pPr>
      <w:r>
        <w:rPr>
          <w:b/>
          <w:bCs/>
          <w:color w:val="000000"/>
          <w:spacing w:val="0"/>
          <w:w w:val="100"/>
          <w:position w:val="0"/>
          <w:sz w:val="24"/>
          <w:szCs w:val="24"/>
        </w:rPr>
        <w:t>四</w:t>
        <w:tab/>
        <w:t>合并财务报表项目附注</w:t>
      </w:r>
      <w:r>
        <w:rPr>
          <w:rFonts w:ascii="Times New Roman" w:eastAsia="Times New Roman" w:hAnsi="Times New Roman" w:cs="Times New Roman"/>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4"/>
          <w:szCs w:val="24"/>
        </w:rPr>
        <w:t>）</w:t>
      </w:r>
    </w:p>
    <w:p>
      <w:pPr>
        <w:pStyle w:val="Style53"/>
        <w:keepNext w:val="0"/>
        <w:keepLines w:val="0"/>
        <w:widowControl w:val="0"/>
        <w:shd w:val="clear" w:color="auto" w:fill="auto"/>
        <w:bidi w:val="0"/>
        <w:spacing w:before="0" w:line="240" w:lineRule="auto"/>
        <w:ind w:left="0" w:right="0" w:firstLine="0"/>
        <w:jc w:val="left"/>
        <w:rPr>
          <w:sz w:val="24"/>
          <w:szCs w:val="24"/>
        </w:rPr>
      </w:pPr>
      <w:r>
        <w:rPr>
          <w:color w:val="000000"/>
          <w:spacing w:val="0"/>
          <w:w w:val="100"/>
          <w:position w:val="0"/>
          <w:sz w:val="24"/>
          <w:szCs w:val="24"/>
        </w:rPr>
        <w:t>（17）</w:t>
      </w:r>
      <w:r>
        <w:rPr>
          <w:rFonts w:ascii="SimSun" w:eastAsia="SimSun" w:hAnsi="SimSun" w:cs="SimSun"/>
          <w:b/>
          <w:bCs/>
          <w:color w:val="000000"/>
          <w:spacing w:val="0"/>
          <w:w w:val="100"/>
          <w:position w:val="0"/>
          <w:sz w:val="24"/>
          <w:szCs w:val="24"/>
        </w:rPr>
        <w:t>商誉</w:t>
      </w:r>
      <w:r>
        <w:rPr>
          <w:color w:val="000000"/>
          <w:spacing w:val="0"/>
          <w:w w:val="100"/>
          <w:position w:val="0"/>
          <w:sz w:val="24"/>
          <w:szCs w:val="24"/>
        </w:rPr>
        <w:t>（</w:t>
      </w:r>
      <w:r>
        <w:rPr>
          <w:rFonts w:ascii="SimSun" w:eastAsia="SimSun" w:hAnsi="SimSun" w:cs="SimSun"/>
          <w:b/>
          <w:bCs/>
          <w:color w:val="000000"/>
          <w:spacing w:val="0"/>
          <w:w w:val="100"/>
          <w:position w:val="0"/>
          <w:sz w:val="24"/>
          <w:szCs w:val="24"/>
        </w:rPr>
        <w:t>续</w:t>
      </w:r>
      <w:r>
        <w:rPr>
          <w:rFonts w:ascii="SimSun" w:eastAsia="SimSun" w:hAnsi="SimSun" w:cs="SimSun"/>
          <w:color w:val="000000"/>
          <w:spacing w:val="0"/>
          <w:w w:val="100"/>
          <w:position w:val="0"/>
          <w:sz w:val="24"/>
          <w:szCs w:val="24"/>
        </w:rPr>
        <w:t>）</w:t>
      </w:r>
    </w:p>
    <w:p>
      <w:pPr>
        <w:pStyle w:val="Style53"/>
        <w:keepNext w:val="0"/>
        <w:keepLines w:val="0"/>
        <w:widowControl w:val="0"/>
        <w:shd w:val="clear" w:color="auto" w:fill="auto"/>
        <w:tabs>
          <w:tab w:pos="665" w:val="left"/>
        </w:tabs>
        <w:bidi w:val="0"/>
        <w:spacing w:before="0" w:line="240" w:lineRule="auto"/>
        <w:ind w:left="0" w:right="0" w:firstLine="0"/>
        <w:jc w:val="left"/>
        <w:rPr>
          <w:sz w:val="24"/>
          <w:szCs w:val="24"/>
        </w:rPr>
      </w:pPr>
      <w:r>
        <w:rPr>
          <w:color w:val="000000"/>
          <w:spacing w:val="0"/>
          <w:w w:val="100"/>
          <w:position w:val="0"/>
          <w:sz w:val="24"/>
          <w:szCs w:val="24"/>
        </w:rPr>
        <w:t>（a）</w:t>
        <w:tab/>
      </w:r>
      <w:r>
        <w:rPr>
          <w:rFonts w:ascii="SimSun" w:eastAsia="SimSun" w:hAnsi="SimSun" w:cs="SimSun"/>
          <w:color w:val="000000"/>
          <w:spacing w:val="0"/>
          <w:w w:val="100"/>
          <w:position w:val="0"/>
          <w:sz w:val="24"/>
          <w:szCs w:val="24"/>
        </w:rPr>
        <w:t>减值</w:t>
      </w:r>
      <w:r>
        <w:rPr>
          <w:color w:val="000000"/>
          <w:spacing w:val="0"/>
          <w:w w:val="100"/>
          <w:position w:val="0"/>
          <w:sz w:val="24"/>
          <w:szCs w:val="24"/>
        </w:rPr>
        <w:t>（</w:t>
      </w:r>
      <w:r>
        <w:rPr>
          <w:rFonts w:ascii="SimSun" w:eastAsia="SimSun" w:hAnsi="SimSun" w:cs="SimSun"/>
          <w:color w:val="000000"/>
          <w:spacing w:val="0"/>
          <w:w w:val="100"/>
          <w:position w:val="0"/>
          <w:sz w:val="24"/>
          <w:szCs w:val="24"/>
        </w:rPr>
        <w:t>续</w:t>
      </w:r>
      <w:r>
        <w:rPr>
          <w:rFonts w:ascii="SimSun" w:eastAsia="SimSun" w:hAnsi="SimSun" w:cs="SimSun"/>
          <w:color w:val="000000"/>
          <w:spacing w:val="0"/>
          <w:w w:val="100"/>
          <w:position w:val="0"/>
          <w:sz w:val="24"/>
          <w:szCs w:val="24"/>
        </w:rPr>
        <w:t>）</w:t>
      </w:r>
    </w:p>
    <w:p>
      <w:pPr>
        <w:pStyle w:val="Style32"/>
        <w:keepNext w:val="0"/>
        <w:keepLines w:val="0"/>
        <w:widowControl w:val="0"/>
        <w:shd w:val="clear" w:color="auto" w:fill="auto"/>
        <w:bidi w:val="0"/>
        <w:spacing w:before="0" w:after="0" w:line="240" w:lineRule="auto"/>
        <w:ind w:left="0" w:right="0" w:firstLine="720"/>
        <w:jc w:val="left"/>
        <w:rPr>
          <w:sz w:val="24"/>
          <w:szCs w:val="24"/>
        </w:rPr>
      </w:pPr>
      <w:r>
        <w:rPr>
          <w:color w:val="000000"/>
          <w:spacing w:val="0"/>
          <w:w w:val="100"/>
          <w:position w:val="0"/>
          <w:sz w:val="24"/>
          <w:szCs w:val="24"/>
        </w:rPr>
        <w:t>采用未来现金流量折现方法的主要假设:</w:t>
      </w:r>
    </w:p>
    <w:p>
      <w:pPr>
        <w:widowControl w:val="0"/>
        <w:spacing w:line="1" w:lineRule="exact"/>
      </w:pPr>
      <w:r>
        <mc:AlternateContent>
          <mc:Choice Requires="wps">
            <w:drawing>
              <wp:anchor distT="242570" distB="2724785" distL="0" distR="0" simplePos="0" relativeHeight="125829412" behindDoc="0" locked="0" layoutInCell="1" allowOverlap="1">
                <wp:simplePos x="0" y="0"/>
                <wp:positionH relativeFrom="page">
                  <wp:posOffset>1625600</wp:posOffset>
                </wp:positionH>
                <wp:positionV relativeFrom="paragraph">
                  <wp:posOffset>242570</wp:posOffset>
                </wp:positionV>
                <wp:extent cx="1243330" cy="597535"/>
                <wp:wrapTopAndBottom/>
                <wp:docPr id="300" name="Shape 300"/>
                <a:graphic xmlns:a="http://schemas.openxmlformats.org/drawingml/2006/main">
                  <a:graphicData uri="http://schemas.microsoft.com/office/word/2010/wordprocessingShape">
                    <wps:wsp>
                      <wps:cNvSpPr txBox="1"/>
                      <wps:spPr>
                        <a:xfrm>
                          <a:ext cx="1243330" cy="597535"/>
                        </a:xfrm>
                        <a:prstGeom prst="rect"/>
                        <a:noFill/>
                      </wps:spPr>
                      <wps:txbx>
                        <w:txbxContent>
                          <w:p>
                            <w:pPr>
                              <w:pStyle w:val="Style32"/>
                              <w:keepNext w:val="0"/>
                              <w:keepLines w:val="0"/>
                              <w:widowControl w:val="0"/>
                              <w:shd w:val="clear" w:color="auto" w:fill="auto"/>
                              <w:bidi w:val="0"/>
                              <w:spacing w:before="0" w:after="60" w:line="240" w:lineRule="auto"/>
                              <w:ind w:left="0" w:right="0" w:firstLine="0"/>
                              <w:jc w:val="left"/>
                              <w:rPr>
                                <w:sz w:val="24"/>
                                <w:szCs w:val="24"/>
                              </w:rPr>
                            </w:pPr>
                            <w:r>
                              <w:rPr>
                                <w:color w:val="000000"/>
                                <w:spacing w:val="0"/>
                                <w:w w:val="100"/>
                                <w:position w:val="0"/>
                                <w:sz w:val="24"/>
                                <w:szCs w:val="24"/>
                              </w:rPr>
                              <w:t>永续增长率</w:t>
                            </w:r>
                          </w:p>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稳定阶段的毛利率</w:t>
                            </w:r>
                          </w:p>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税前折现率</w:t>
                            </w:r>
                          </w:p>
                        </w:txbxContent>
                      </wps:txbx>
                      <wps:bodyPr lIns="0" tIns="0" rIns="0" bIns="0">
                        <a:noAutoFit/>
                      </wps:bodyPr>
                    </wps:wsp>
                  </a:graphicData>
                </a:graphic>
              </wp:anchor>
            </w:drawing>
          </mc:Choice>
          <mc:Fallback>
            <w:pict>
              <v:shape id="_x0000_s1326" type="#_x0000_t202" style="position:absolute;margin-left:128.pt;margin-top:19.100000000000001pt;width:97.900000000000006pt;height:47.050000000000004pt;z-index:-125829341;mso-wrap-distance-left:0;mso-wrap-distance-top:19.100000000000001pt;mso-wrap-distance-right:0;mso-wrap-distance-bottom:214.55000000000001pt;mso-position-horizontal-relative:page" filled="f" stroked="f">
                <v:textbox inset="0,0,0,0">
                  <w:txbxContent>
                    <w:p>
                      <w:pPr>
                        <w:pStyle w:val="Style32"/>
                        <w:keepNext w:val="0"/>
                        <w:keepLines w:val="0"/>
                        <w:widowControl w:val="0"/>
                        <w:shd w:val="clear" w:color="auto" w:fill="auto"/>
                        <w:bidi w:val="0"/>
                        <w:spacing w:before="0" w:after="60" w:line="240" w:lineRule="auto"/>
                        <w:ind w:left="0" w:right="0" w:firstLine="0"/>
                        <w:jc w:val="left"/>
                        <w:rPr>
                          <w:sz w:val="24"/>
                          <w:szCs w:val="24"/>
                        </w:rPr>
                      </w:pPr>
                      <w:r>
                        <w:rPr>
                          <w:color w:val="000000"/>
                          <w:spacing w:val="0"/>
                          <w:w w:val="100"/>
                          <w:position w:val="0"/>
                          <w:sz w:val="24"/>
                          <w:szCs w:val="24"/>
                        </w:rPr>
                        <w:t>永续增长率</w:t>
                      </w:r>
                    </w:p>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稳定阶段的毛利率</w:t>
                      </w:r>
                    </w:p>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税前折现率</w:t>
                      </w:r>
                    </w:p>
                  </w:txbxContent>
                </v:textbox>
                <w10:wrap type="topAndBottom" anchorx="page"/>
              </v:shape>
            </w:pict>
          </mc:Fallback>
        </mc:AlternateContent>
      </w:r>
      <w:r>
        <mc:AlternateContent>
          <mc:Choice Requires="wps">
            <w:drawing>
              <wp:anchor distT="1181735" distB="1785620" distL="0" distR="0" simplePos="0" relativeHeight="125829414" behindDoc="0" locked="0" layoutInCell="1" allowOverlap="1">
                <wp:simplePos x="0" y="0"/>
                <wp:positionH relativeFrom="page">
                  <wp:posOffset>1625600</wp:posOffset>
                </wp:positionH>
                <wp:positionV relativeFrom="paragraph">
                  <wp:posOffset>1181735</wp:posOffset>
                </wp:positionV>
                <wp:extent cx="1243330" cy="597535"/>
                <wp:wrapTopAndBottom/>
                <wp:docPr id="302" name="Shape 302"/>
                <a:graphic xmlns:a="http://schemas.openxmlformats.org/drawingml/2006/main">
                  <a:graphicData uri="http://schemas.microsoft.com/office/word/2010/wordprocessingShape">
                    <wps:wsp>
                      <wps:cNvSpPr txBox="1"/>
                      <wps:spPr>
                        <a:xfrm>
                          <a:ext cx="1243330" cy="597535"/>
                        </a:xfrm>
                        <a:prstGeom prst="rect"/>
                        <a:noFill/>
                      </wps:spPr>
                      <wps:txbx>
                        <w:txbxContent>
                          <w:p>
                            <w:pPr>
                              <w:pStyle w:val="Style32"/>
                              <w:keepNext w:val="0"/>
                              <w:keepLines w:val="0"/>
                              <w:widowControl w:val="0"/>
                              <w:shd w:val="clear" w:color="auto" w:fill="auto"/>
                              <w:bidi w:val="0"/>
                              <w:spacing w:before="0" w:after="60" w:line="240" w:lineRule="auto"/>
                              <w:ind w:left="0" w:right="0" w:firstLine="0"/>
                              <w:jc w:val="left"/>
                              <w:rPr>
                                <w:sz w:val="24"/>
                                <w:szCs w:val="24"/>
                              </w:rPr>
                            </w:pPr>
                            <w:r>
                              <w:rPr>
                                <w:color w:val="000000"/>
                                <w:spacing w:val="0"/>
                                <w:w w:val="100"/>
                                <w:position w:val="0"/>
                                <w:sz w:val="24"/>
                                <w:szCs w:val="24"/>
                              </w:rPr>
                              <w:t>永续增长率</w:t>
                            </w:r>
                          </w:p>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稳定阶段的毛利率</w:t>
                            </w:r>
                          </w:p>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税前折现率</w:t>
                            </w:r>
                          </w:p>
                        </w:txbxContent>
                      </wps:txbx>
                      <wps:bodyPr lIns="0" tIns="0" rIns="0" bIns="0">
                        <a:noAutoFit/>
                      </wps:bodyPr>
                    </wps:wsp>
                  </a:graphicData>
                </a:graphic>
              </wp:anchor>
            </w:drawing>
          </mc:Choice>
          <mc:Fallback>
            <w:pict>
              <v:shape id="_x0000_s1328" type="#_x0000_t202" style="position:absolute;margin-left:128.pt;margin-top:93.049999999999997pt;width:97.900000000000006pt;height:47.050000000000004pt;z-index:-125829339;mso-wrap-distance-left:0;mso-wrap-distance-top:93.049999999999997pt;mso-wrap-distance-right:0;mso-wrap-distance-bottom:140.59999999999999pt;mso-position-horizontal-relative:page" filled="f" stroked="f">
                <v:textbox inset="0,0,0,0">
                  <w:txbxContent>
                    <w:p>
                      <w:pPr>
                        <w:pStyle w:val="Style32"/>
                        <w:keepNext w:val="0"/>
                        <w:keepLines w:val="0"/>
                        <w:widowControl w:val="0"/>
                        <w:shd w:val="clear" w:color="auto" w:fill="auto"/>
                        <w:bidi w:val="0"/>
                        <w:spacing w:before="0" w:after="60" w:line="240" w:lineRule="auto"/>
                        <w:ind w:left="0" w:right="0" w:firstLine="0"/>
                        <w:jc w:val="left"/>
                        <w:rPr>
                          <w:sz w:val="24"/>
                          <w:szCs w:val="24"/>
                        </w:rPr>
                      </w:pPr>
                      <w:r>
                        <w:rPr>
                          <w:color w:val="000000"/>
                          <w:spacing w:val="0"/>
                          <w:w w:val="100"/>
                          <w:position w:val="0"/>
                          <w:sz w:val="24"/>
                          <w:szCs w:val="24"/>
                        </w:rPr>
                        <w:t>永续增长率</w:t>
                      </w:r>
                    </w:p>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稳定阶段的毛利率</w:t>
                      </w:r>
                    </w:p>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税前折现率</w:t>
                      </w:r>
                    </w:p>
                  </w:txbxContent>
                </v:textbox>
                <w10:wrap type="topAndBottom" anchorx="page"/>
              </v:shape>
            </w:pict>
          </mc:Fallback>
        </mc:AlternateContent>
      </w:r>
      <w:r>
        <mc:AlternateContent>
          <mc:Choice Requires="wps">
            <w:drawing>
              <wp:anchor distT="2141855" distB="859155" distL="0" distR="0" simplePos="0" relativeHeight="125829416" behindDoc="0" locked="0" layoutInCell="1" allowOverlap="1">
                <wp:simplePos x="0" y="0"/>
                <wp:positionH relativeFrom="page">
                  <wp:posOffset>1625600</wp:posOffset>
                </wp:positionH>
                <wp:positionV relativeFrom="paragraph">
                  <wp:posOffset>2141855</wp:posOffset>
                </wp:positionV>
                <wp:extent cx="1243330" cy="563880"/>
                <wp:wrapTopAndBottom/>
                <wp:docPr id="304" name="Shape 304"/>
                <a:graphic xmlns:a="http://schemas.openxmlformats.org/drawingml/2006/main">
                  <a:graphicData uri="http://schemas.microsoft.com/office/word/2010/wordprocessingShape">
                    <wps:wsp>
                      <wps:cNvSpPr txBox="1"/>
                      <wps:spPr>
                        <a:xfrm>
                          <a:ext cx="1243330" cy="563880"/>
                        </a:xfrm>
                        <a:prstGeom prst="rect"/>
                        <a:noFill/>
                      </wps:spPr>
                      <wps:txbx>
                        <w:txbxContent>
                          <w:p>
                            <w:pPr>
                              <w:pStyle w:val="Style32"/>
                              <w:keepNext w:val="0"/>
                              <w:keepLines w:val="0"/>
                              <w:widowControl w:val="0"/>
                              <w:shd w:val="clear" w:color="auto" w:fill="auto"/>
                              <w:bidi w:val="0"/>
                              <w:spacing w:before="0" w:after="0" w:line="281" w:lineRule="exact"/>
                              <w:ind w:left="0" w:right="0" w:firstLine="0"/>
                              <w:jc w:val="left"/>
                              <w:rPr>
                                <w:sz w:val="24"/>
                                <w:szCs w:val="24"/>
                              </w:rPr>
                            </w:pPr>
                            <w:r>
                              <w:rPr>
                                <w:color w:val="000000"/>
                                <w:spacing w:val="0"/>
                                <w:w w:val="100"/>
                                <w:position w:val="0"/>
                                <w:sz w:val="24"/>
                                <w:szCs w:val="24"/>
                              </w:rPr>
                              <w:t>永续增长率 稳定阶段的毛利率 税前折现率</w:t>
                            </w:r>
                          </w:p>
                        </w:txbxContent>
                      </wps:txbx>
                      <wps:bodyPr lIns="0" tIns="0" rIns="0" bIns="0">
                        <a:noAutoFit/>
                      </wps:bodyPr>
                    </wps:wsp>
                  </a:graphicData>
                </a:graphic>
              </wp:anchor>
            </w:drawing>
          </mc:Choice>
          <mc:Fallback>
            <w:pict>
              <v:shape id="_x0000_s1330" type="#_x0000_t202" style="position:absolute;margin-left:128.pt;margin-top:168.65000000000001pt;width:97.900000000000006pt;height:44.399999999999999pt;z-index:-125829337;mso-wrap-distance-left:0;mso-wrap-distance-top:168.65000000000001pt;mso-wrap-distance-right:0;mso-wrap-distance-bottom:67.650000000000006pt;mso-position-horizontal-relative:page" filled="f" stroked="f">
                <v:textbox inset="0,0,0,0">
                  <w:txbxContent>
                    <w:p>
                      <w:pPr>
                        <w:pStyle w:val="Style32"/>
                        <w:keepNext w:val="0"/>
                        <w:keepLines w:val="0"/>
                        <w:widowControl w:val="0"/>
                        <w:shd w:val="clear" w:color="auto" w:fill="auto"/>
                        <w:bidi w:val="0"/>
                        <w:spacing w:before="0" w:after="0" w:line="281" w:lineRule="exact"/>
                        <w:ind w:left="0" w:right="0" w:firstLine="0"/>
                        <w:jc w:val="left"/>
                        <w:rPr>
                          <w:sz w:val="24"/>
                          <w:szCs w:val="24"/>
                        </w:rPr>
                      </w:pPr>
                      <w:r>
                        <w:rPr>
                          <w:color w:val="000000"/>
                          <w:spacing w:val="0"/>
                          <w:w w:val="100"/>
                          <w:position w:val="0"/>
                          <w:sz w:val="24"/>
                          <w:szCs w:val="24"/>
                        </w:rPr>
                        <w:t>永续增长率 稳定阶段的毛利率 税前折现率</w:t>
                      </w:r>
                    </w:p>
                  </w:txbxContent>
                </v:textbox>
                <w10:wrap type="topAndBottom" anchorx="page"/>
              </v:shape>
            </w:pict>
          </mc:Fallback>
        </mc:AlternateContent>
      </w:r>
      <w:r>
        <mc:AlternateContent>
          <mc:Choice Requires="wps">
            <w:drawing>
              <wp:anchor distT="3031490" distB="27305" distL="0" distR="0" simplePos="0" relativeHeight="125829418" behindDoc="0" locked="0" layoutInCell="1" allowOverlap="1">
                <wp:simplePos x="0" y="0"/>
                <wp:positionH relativeFrom="page">
                  <wp:posOffset>1625600</wp:posOffset>
                </wp:positionH>
                <wp:positionV relativeFrom="paragraph">
                  <wp:posOffset>3031490</wp:posOffset>
                </wp:positionV>
                <wp:extent cx="1243330" cy="506095"/>
                <wp:wrapTopAndBottom/>
                <wp:docPr id="306" name="Shape 306"/>
                <a:graphic xmlns:a="http://schemas.openxmlformats.org/drawingml/2006/main">
                  <a:graphicData uri="http://schemas.microsoft.com/office/word/2010/wordprocessingShape">
                    <wps:wsp>
                      <wps:cNvSpPr txBox="1"/>
                      <wps:spPr>
                        <a:xfrm>
                          <a:ext cx="1243330" cy="506095"/>
                        </a:xfrm>
                        <a:prstGeom prst="rect"/>
                        <a:noFill/>
                      </wps:spPr>
                      <wps:txbx>
                        <w:txbxContent>
                          <w:p>
                            <w:pPr>
                              <w:pStyle w:val="Style32"/>
                              <w:keepNext w:val="0"/>
                              <w:keepLines w:val="0"/>
                              <w:widowControl w:val="0"/>
                              <w:shd w:val="clear" w:color="auto" w:fill="auto"/>
                              <w:bidi w:val="0"/>
                              <w:spacing w:before="0" w:after="0" w:line="247" w:lineRule="exact"/>
                              <w:ind w:left="0" w:right="0" w:firstLine="0"/>
                              <w:jc w:val="left"/>
                              <w:rPr>
                                <w:sz w:val="24"/>
                                <w:szCs w:val="24"/>
                              </w:rPr>
                            </w:pPr>
                            <w:r>
                              <w:rPr>
                                <w:color w:val="000000"/>
                                <w:spacing w:val="0"/>
                                <w:w w:val="100"/>
                                <w:position w:val="0"/>
                                <w:sz w:val="24"/>
                                <w:szCs w:val="24"/>
                              </w:rPr>
                              <w:t>永续增长率 稳定阶段的毛利率 税前折现率</w:t>
                            </w:r>
                          </w:p>
                        </w:txbxContent>
                      </wps:txbx>
                      <wps:bodyPr lIns="0" tIns="0" rIns="0" bIns="0">
                        <a:noAutoFit/>
                      </wps:bodyPr>
                    </wps:wsp>
                  </a:graphicData>
                </a:graphic>
              </wp:anchor>
            </w:drawing>
          </mc:Choice>
          <mc:Fallback>
            <w:pict>
              <v:shape id="_x0000_s1332" type="#_x0000_t202" style="position:absolute;margin-left:128.pt;margin-top:238.70000000000002pt;width:97.900000000000006pt;height:39.850000000000001pt;z-index:-125829335;mso-wrap-distance-left:0;mso-wrap-distance-top:238.70000000000002pt;mso-wrap-distance-right:0;mso-wrap-distance-bottom:2.1499999999999999pt;mso-position-horizontal-relative:page" filled="f" stroked="f">
                <v:textbox inset="0,0,0,0">
                  <w:txbxContent>
                    <w:p>
                      <w:pPr>
                        <w:pStyle w:val="Style32"/>
                        <w:keepNext w:val="0"/>
                        <w:keepLines w:val="0"/>
                        <w:widowControl w:val="0"/>
                        <w:shd w:val="clear" w:color="auto" w:fill="auto"/>
                        <w:bidi w:val="0"/>
                        <w:spacing w:before="0" w:after="0" w:line="247" w:lineRule="exact"/>
                        <w:ind w:left="0" w:right="0" w:firstLine="0"/>
                        <w:jc w:val="left"/>
                        <w:rPr>
                          <w:sz w:val="24"/>
                          <w:szCs w:val="24"/>
                        </w:rPr>
                      </w:pPr>
                      <w:r>
                        <w:rPr>
                          <w:color w:val="000000"/>
                          <w:spacing w:val="0"/>
                          <w:w w:val="100"/>
                          <w:position w:val="0"/>
                          <w:sz w:val="24"/>
                          <w:szCs w:val="24"/>
                        </w:rPr>
                        <w:t>永续增长率 稳定阶段的毛利率 税前折现率</w:t>
                      </w:r>
                    </w:p>
                  </w:txbxContent>
                </v:textbox>
                <w10:wrap type="topAndBottom" anchorx="page"/>
              </v:shape>
            </w:pict>
          </mc:Fallback>
        </mc:AlternateContent>
      </w:r>
      <w:r>
        <mc:AlternateContent>
          <mc:Choice Requires="wps">
            <w:drawing>
              <wp:anchor distT="50800" distB="0" distL="0" distR="0" simplePos="0" relativeHeight="125829420" behindDoc="0" locked="0" layoutInCell="1" allowOverlap="1">
                <wp:simplePos x="0" y="0"/>
                <wp:positionH relativeFrom="page">
                  <wp:posOffset>4758690</wp:posOffset>
                </wp:positionH>
                <wp:positionV relativeFrom="paragraph">
                  <wp:posOffset>50800</wp:posOffset>
                </wp:positionV>
                <wp:extent cx="2164080" cy="3514090"/>
                <wp:wrapTopAndBottom/>
                <wp:docPr id="308" name="Shape 308"/>
                <a:graphic xmlns:a="http://schemas.openxmlformats.org/drawingml/2006/main">
                  <a:graphicData uri="http://schemas.microsoft.com/office/word/2010/wordprocessingShape">
                    <wps:wsp>
                      <wps:cNvSpPr txBox="1"/>
                      <wps:spPr>
                        <a:xfrm>
                          <a:ext cx="2164080" cy="3514090"/>
                        </a:xfrm>
                        <a:prstGeom prst="rect"/>
                        <a:noFill/>
                      </wps:spPr>
                      <wps:txbx>
                        <w:txbxContent>
                          <w:p>
                            <w:pPr>
                              <w:pStyle w:val="Style53"/>
                              <w:keepNext w:val="0"/>
                              <w:keepLines w:val="0"/>
                              <w:widowControl w:val="0"/>
                              <w:pBdr>
                                <w:bottom w:val="single" w:sz="4" w:space="0" w:color="auto"/>
                              </w:pBdr>
                              <w:shd w:val="clear" w:color="auto" w:fill="auto"/>
                              <w:bidi w:val="0"/>
                              <w:spacing w:before="0" w:after="60" w:line="312" w:lineRule="exact"/>
                              <w:ind w:left="0" w:right="0" w:firstLine="0"/>
                              <w:jc w:val="right"/>
                              <w:rPr>
                                <w:sz w:val="24"/>
                                <w:szCs w:val="24"/>
                              </w:rPr>
                            </w:pPr>
                            <w:r>
                              <w:rPr>
                                <w:rFonts w:ascii="SimSun" w:eastAsia="SimSun" w:hAnsi="SimSun" w:cs="SimSun"/>
                                <w:color w:val="000000"/>
                                <w:spacing w:val="0"/>
                                <w:w w:val="100"/>
                                <w:position w:val="0"/>
                                <w:sz w:val="24"/>
                                <w:szCs w:val="24"/>
                              </w:rPr>
                              <w:t>日本</w:t>
                            </w:r>
                            <w:r>
                              <w:rPr>
                                <w:color w:val="000000"/>
                                <w:spacing w:val="0"/>
                                <w:w w:val="100"/>
                                <w:position w:val="0"/>
                                <w:sz w:val="24"/>
                                <w:szCs w:val="24"/>
                              </w:rPr>
                              <w:t>LAOX</w:t>
                            </w:r>
                          </w:p>
                          <w:p>
                            <w:pPr>
                              <w:pStyle w:val="Style53"/>
                              <w:keepNext w:val="0"/>
                              <w:keepLines w:val="0"/>
                              <w:widowControl w:val="0"/>
                              <w:shd w:val="clear" w:color="auto" w:fill="auto"/>
                              <w:bidi w:val="0"/>
                              <w:spacing w:before="0" w:after="0" w:line="271" w:lineRule="auto"/>
                              <w:ind w:left="2520" w:right="0" w:firstLine="0"/>
                              <w:jc w:val="right"/>
                              <w:rPr>
                                <w:sz w:val="24"/>
                                <w:szCs w:val="24"/>
                              </w:rPr>
                            </w:pPr>
                            <w:r>
                              <w:rPr>
                                <w:color w:val="000000"/>
                                <w:spacing w:val="0"/>
                                <w:w w:val="100"/>
                                <w:position w:val="0"/>
                                <w:sz w:val="24"/>
                                <w:szCs w:val="24"/>
                              </w:rPr>
                              <w:t>0.80% 38.95%</w:t>
                            </w:r>
                          </w:p>
                          <w:p>
                            <w:pPr>
                              <w:pStyle w:val="Style53"/>
                              <w:keepNext w:val="0"/>
                              <w:keepLines w:val="0"/>
                              <w:widowControl w:val="0"/>
                              <w:shd w:val="clear" w:color="auto" w:fill="auto"/>
                              <w:bidi w:val="0"/>
                              <w:spacing w:before="0" w:after="180" w:line="271" w:lineRule="auto"/>
                              <w:ind w:left="0" w:right="0" w:firstLine="0"/>
                              <w:jc w:val="right"/>
                              <w:rPr>
                                <w:sz w:val="24"/>
                                <w:szCs w:val="24"/>
                              </w:rPr>
                            </w:pPr>
                            <w:r>
                              <w:rPr>
                                <w:color w:val="000000"/>
                                <w:spacing w:val="0"/>
                                <w:w w:val="100"/>
                                <w:position w:val="0"/>
                                <w:sz w:val="24"/>
                                <w:szCs w:val="24"/>
                              </w:rPr>
                              <w:t>8.49%</w:t>
                            </w:r>
                          </w:p>
                          <w:p>
                            <w:pPr>
                              <w:pStyle w:val="Style32"/>
                              <w:keepNext w:val="0"/>
                              <w:keepLines w:val="0"/>
                              <w:widowControl w:val="0"/>
                              <w:pBdr>
                                <w:bottom w:val="single" w:sz="4" w:space="0" w:color="auto"/>
                              </w:pBdr>
                              <w:shd w:val="clear" w:color="auto" w:fill="auto"/>
                              <w:bidi w:val="0"/>
                              <w:spacing w:before="0" w:after="0" w:line="310" w:lineRule="exact"/>
                              <w:ind w:left="0" w:right="0" w:firstLine="0"/>
                              <w:jc w:val="right"/>
                              <w:rPr>
                                <w:sz w:val="24"/>
                                <w:szCs w:val="24"/>
                              </w:rPr>
                            </w:pPr>
                            <w:r>
                              <w:rPr>
                                <w:color w:val="000000"/>
                                <w:spacing w:val="0"/>
                                <w:w w:val="100"/>
                                <w:position w:val="0"/>
                                <w:sz w:val="24"/>
                                <w:szCs w:val="24"/>
                              </w:rPr>
                              <w:t>红孩子母婴及美妆业务</w:t>
                            </w:r>
                          </w:p>
                          <w:p>
                            <w:pPr>
                              <w:pStyle w:val="Style53"/>
                              <w:keepNext w:val="0"/>
                              <w:keepLines w:val="0"/>
                              <w:widowControl w:val="0"/>
                              <w:shd w:val="clear" w:color="auto" w:fill="auto"/>
                              <w:bidi w:val="0"/>
                              <w:spacing w:before="0" w:after="260" w:line="269" w:lineRule="auto"/>
                              <w:ind w:left="2520" w:right="0" w:firstLine="0"/>
                              <w:jc w:val="right"/>
                              <w:rPr>
                                <w:sz w:val="24"/>
                                <w:szCs w:val="24"/>
                              </w:rPr>
                            </w:pPr>
                            <w:r>
                              <w:rPr>
                                <w:color w:val="000000"/>
                                <w:spacing w:val="0"/>
                                <w:w w:val="100"/>
                                <w:position w:val="0"/>
                                <w:sz w:val="24"/>
                                <w:szCs w:val="24"/>
                              </w:rPr>
                              <w:t>3.00% 14.00% 17.33%</w:t>
                            </w:r>
                          </w:p>
                          <w:p>
                            <w:pPr>
                              <w:pStyle w:val="Style32"/>
                              <w:keepNext w:val="0"/>
                              <w:keepLines w:val="0"/>
                              <w:widowControl w:val="0"/>
                              <w:pBdr>
                                <w:bottom w:val="single" w:sz="4" w:space="0" w:color="auto"/>
                              </w:pBdr>
                              <w:shd w:val="clear" w:color="auto" w:fill="auto"/>
                              <w:bidi w:val="0"/>
                              <w:spacing w:before="0" w:after="60" w:line="312" w:lineRule="exact"/>
                              <w:ind w:left="0" w:right="0" w:firstLine="0"/>
                              <w:jc w:val="right"/>
                              <w:rPr>
                                <w:sz w:val="24"/>
                                <w:szCs w:val="24"/>
                              </w:rPr>
                            </w:pPr>
                            <w:r>
                              <w:rPr>
                                <w:color w:val="000000"/>
                                <w:spacing w:val="0"/>
                                <w:w w:val="100"/>
                                <w:position w:val="0"/>
                                <w:sz w:val="24"/>
                                <w:szCs w:val="24"/>
                              </w:rPr>
                              <w:t>满座网业务</w:t>
                            </w:r>
                          </w:p>
                          <w:p>
                            <w:pPr>
                              <w:pStyle w:val="Style53"/>
                              <w:keepNext w:val="0"/>
                              <w:keepLines w:val="0"/>
                              <w:widowControl w:val="0"/>
                              <w:shd w:val="clear" w:color="auto" w:fill="auto"/>
                              <w:bidi w:val="0"/>
                              <w:spacing w:before="0" w:after="0" w:line="271" w:lineRule="auto"/>
                              <w:ind w:left="2520" w:right="0" w:firstLine="0"/>
                              <w:jc w:val="right"/>
                              <w:rPr>
                                <w:sz w:val="24"/>
                                <w:szCs w:val="24"/>
                              </w:rPr>
                            </w:pPr>
                            <w:r>
                              <w:rPr>
                                <w:color w:val="000000"/>
                                <w:spacing w:val="0"/>
                                <w:w w:val="100"/>
                                <w:position w:val="0"/>
                                <w:sz w:val="24"/>
                                <w:szCs w:val="24"/>
                              </w:rPr>
                              <w:t>3.00% 25.31%</w:t>
                            </w:r>
                          </w:p>
                          <w:p>
                            <w:pPr>
                              <w:pStyle w:val="Style53"/>
                              <w:keepNext w:val="0"/>
                              <w:keepLines w:val="0"/>
                              <w:widowControl w:val="0"/>
                              <w:shd w:val="clear" w:color="auto" w:fill="auto"/>
                              <w:bidi w:val="0"/>
                              <w:spacing w:before="0" w:after="260" w:line="223" w:lineRule="auto"/>
                              <w:ind w:left="0" w:right="420" w:firstLine="0"/>
                              <w:jc w:val="right"/>
                              <w:rPr>
                                <w:sz w:val="24"/>
                                <w:szCs w:val="24"/>
                              </w:rPr>
                            </w:pPr>
                            <w:r>
                              <w:rPr>
                                <w:color w:val="000000"/>
                                <w:spacing w:val="0"/>
                                <w:w w:val="100"/>
                                <w:position w:val="0"/>
                                <w:sz w:val="24"/>
                                <w:szCs w:val="24"/>
                              </w:rPr>
                              <w:t>22.67%</w:t>
                            </w:r>
                          </w:p>
                          <w:p>
                            <w:pPr>
                              <w:pStyle w:val="Style32"/>
                              <w:keepNext w:val="0"/>
                              <w:keepLines w:val="0"/>
                              <w:widowControl w:val="0"/>
                              <w:pBdr>
                                <w:bottom w:val="single" w:sz="4" w:space="0" w:color="auto"/>
                              </w:pBdr>
                              <w:shd w:val="clear" w:color="auto" w:fill="auto"/>
                              <w:bidi w:val="0"/>
                              <w:spacing w:before="0" w:after="0" w:line="259" w:lineRule="exact"/>
                              <w:ind w:left="0" w:right="0" w:firstLine="0"/>
                              <w:jc w:val="right"/>
                              <w:rPr>
                                <w:sz w:val="24"/>
                                <w:szCs w:val="24"/>
                              </w:rPr>
                            </w:pPr>
                            <w:r>
                              <w:rPr>
                                <w:color w:val="000000"/>
                                <w:spacing w:val="0"/>
                                <w:w w:val="100"/>
                                <w:position w:val="0"/>
                                <w:sz w:val="24"/>
                                <w:szCs w:val="24"/>
                                <w:u w:val="single"/>
                              </w:rPr>
                              <w:t>好耶广告技术板块业务</w:t>
                            </w:r>
                          </w:p>
                          <w:p>
                            <w:pPr>
                              <w:pStyle w:val="Style53"/>
                              <w:keepNext w:val="0"/>
                              <w:keepLines w:val="0"/>
                              <w:widowControl w:val="0"/>
                              <w:shd w:val="clear" w:color="auto" w:fill="auto"/>
                              <w:bidi w:val="0"/>
                              <w:spacing w:before="0" w:after="120" w:line="226" w:lineRule="auto"/>
                              <w:ind w:left="2520" w:right="0" w:firstLine="0"/>
                              <w:jc w:val="right"/>
                              <w:rPr>
                                <w:sz w:val="24"/>
                                <w:szCs w:val="24"/>
                              </w:rPr>
                            </w:pPr>
                            <w:r>
                              <w:rPr>
                                <w:color w:val="000000"/>
                                <w:spacing w:val="0"/>
                                <w:w w:val="100"/>
                                <w:position w:val="0"/>
                                <w:sz w:val="24"/>
                                <w:szCs w:val="24"/>
                              </w:rPr>
                              <w:t>3.00% 86.34% 22.67%</w:t>
                            </w:r>
                          </w:p>
                        </w:txbxContent>
                      </wps:txbx>
                      <wps:bodyPr lIns="0" tIns="0" rIns="0" bIns="0">
                        <a:noAutoFit/>
                      </wps:bodyPr>
                    </wps:wsp>
                  </a:graphicData>
                </a:graphic>
              </wp:anchor>
            </w:drawing>
          </mc:Choice>
          <mc:Fallback>
            <w:pict>
              <v:shape id="_x0000_s1334" type="#_x0000_t202" style="position:absolute;margin-left:374.69999999999999pt;margin-top:4.pt;width:170.40000000000001pt;height:276.69999999999999pt;z-index:-125829333;mso-wrap-distance-left:0;mso-wrap-distance-top:4.pt;mso-wrap-distance-right:0;mso-position-horizontal-relative:page" filled="f" stroked="f">
                <v:textbox inset="0,0,0,0">
                  <w:txbxContent>
                    <w:p>
                      <w:pPr>
                        <w:pStyle w:val="Style53"/>
                        <w:keepNext w:val="0"/>
                        <w:keepLines w:val="0"/>
                        <w:widowControl w:val="0"/>
                        <w:pBdr>
                          <w:bottom w:val="single" w:sz="4" w:space="0" w:color="auto"/>
                        </w:pBdr>
                        <w:shd w:val="clear" w:color="auto" w:fill="auto"/>
                        <w:bidi w:val="0"/>
                        <w:spacing w:before="0" w:after="60" w:line="312" w:lineRule="exact"/>
                        <w:ind w:left="0" w:right="0" w:firstLine="0"/>
                        <w:jc w:val="right"/>
                        <w:rPr>
                          <w:sz w:val="24"/>
                          <w:szCs w:val="24"/>
                        </w:rPr>
                      </w:pPr>
                      <w:r>
                        <w:rPr>
                          <w:rFonts w:ascii="SimSun" w:eastAsia="SimSun" w:hAnsi="SimSun" w:cs="SimSun"/>
                          <w:color w:val="000000"/>
                          <w:spacing w:val="0"/>
                          <w:w w:val="100"/>
                          <w:position w:val="0"/>
                          <w:sz w:val="24"/>
                          <w:szCs w:val="24"/>
                        </w:rPr>
                        <w:t>日本</w:t>
                      </w:r>
                      <w:r>
                        <w:rPr>
                          <w:color w:val="000000"/>
                          <w:spacing w:val="0"/>
                          <w:w w:val="100"/>
                          <w:position w:val="0"/>
                          <w:sz w:val="24"/>
                          <w:szCs w:val="24"/>
                        </w:rPr>
                        <w:t>LAOX</w:t>
                      </w:r>
                    </w:p>
                    <w:p>
                      <w:pPr>
                        <w:pStyle w:val="Style53"/>
                        <w:keepNext w:val="0"/>
                        <w:keepLines w:val="0"/>
                        <w:widowControl w:val="0"/>
                        <w:shd w:val="clear" w:color="auto" w:fill="auto"/>
                        <w:bidi w:val="0"/>
                        <w:spacing w:before="0" w:after="0" w:line="271" w:lineRule="auto"/>
                        <w:ind w:left="2520" w:right="0" w:firstLine="0"/>
                        <w:jc w:val="right"/>
                        <w:rPr>
                          <w:sz w:val="24"/>
                          <w:szCs w:val="24"/>
                        </w:rPr>
                      </w:pPr>
                      <w:r>
                        <w:rPr>
                          <w:color w:val="000000"/>
                          <w:spacing w:val="0"/>
                          <w:w w:val="100"/>
                          <w:position w:val="0"/>
                          <w:sz w:val="24"/>
                          <w:szCs w:val="24"/>
                        </w:rPr>
                        <w:t>0.80% 38.95%</w:t>
                      </w:r>
                    </w:p>
                    <w:p>
                      <w:pPr>
                        <w:pStyle w:val="Style53"/>
                        <w:keepNext w:val="0"/>
                        <w:keepLines w:val="0"/>
                        <w:widowControl w:val="0"/>
                        <w:shd w:val="clear" w:color="auto" w:fill="auto"/>
                        <w:bidi w:val="0"/>
                        <w:spacing w:before="0" w:after="180" w:line="271" w:lineRule="auto"/>
                        <w:ind w:left="0" w:right="0" w:firstLine="0"/>
                        <w:jc w:val="right"/>
                        <w:rPr>
                          <w:sz w:val="24"/>
                          <w:szCs w:val="24"/>
                        </w:rPr>
                      </w:pPr>
                      <w:r>
                        <w:rPr>
                          <w:color w:val="000000"/>
                          <w:spacing w:val="0"/>
                          <w:w w:val="100"/>
                          <w:position w:val="0"/>
                          <w:sz w:val="24"/>
                          <w:szCs w:val="24"/>
                        </w:rPr>
                        <w:t>8.49%</w:t>
                      </w:r>
                    </w:p>
                    <w:p>
                      <w:pPr>
                        <w:pStyle w:val="Style32"/>
                        <w:keepNext w:val="0"/>
                        <w:keepLines w:val="0"/>
                        <w:widowControl w:val="0"/>
                        <w:pBdr>
                          <w:bottom w:val="single" w:sz="4" w:space="0" w:color="auto"/>
                        </w:pBdr>
                        <w:shd w:val="clear" w:color="auto" w:fill="auto"/>
                        <w:bidi w:val="0"/>
                        <w:spacing w:before="0" w:after="0" w:line="310" w:lineRule="exact"/>
                        <w:ind w:left="0" w:right="0" w:firstLine="0"/>
                        <w:jc w:val="right"/>
                        <w:rPr>
                          <w:sz w:val="24"/>
                          <w:szCs w:val="24"/>
                        </w:rPr>
                      </w:pPr>
                      <w:r>
                        <w:rPr>
                          <w:color w:val="000000"/>
                          <w:spacing w:val="0"/>
                          <w:w w:val="100"/>
                          <w:position w:val="0"/>
                          <w:sz w:val="24"/>
                          <w:szCs w:val="24"/>
                        </w:rPr>
                        <w:t>红孩子母婴及美妆业务</w:t>
                      </w:r>
                    </w:p>
                    <w:p>
                      <w:pPr>
                        <w:pStyle w:val="Style53"/>
                        <w:keepNext w:val="0"/>
                        <w:keepLines w:val="0"/>
                        <w:widowControl w:val="0"/>
                        <w:shd w:val="clear" w:color="auto" w:fill="auto"/>
                        <w:bidi w:val="0"/>
                        <w:spacing w:before="0" w:after="260" w:line="269" w:lineRule="auto"/>
                        <w:ind w:left="2520" w:right="0" w:firstLine="0"/>
                        <w:jc w:val="right"/>
                        <w:rPr>
                          <w:sz w:val="24"/>
                          <w:szCs w:val="24"/>
                        </w:rPr>
                      </w:pPr>
                      <w:r>
                        <w:rPr>
                          <w:color w:val="000000"/>
                          <w:spacing w:val="0"/>
                          <w:w w:val="100"/>
                          <w:position w:val="0"/>
                          <w:sz w:val="24"/>
                          <w:szCs w:val="24"/>
                        </w:rPr>
                        <w:t>3.00% 14.00% 17.33%</w:t>
                      </w:r>
                    </w:p>
                    <w:p>
                      <w:pPr>
                        <w:pStyle w:val="Style32"/>
                        <w:keepNext w:val="0"/>
                        <w:keepLines w:val="0"/>
                        <w:widowControl w:val="0"/>
                        <w:pBdr>
                          <w:bottom w:val="single" w:sz="4" w:space="0" w:color="auto"/>
                        </w:pBdr>
                        <w:shd w:val="clear" w:color="auto" w:fill="auto"/>
                        <w:bidi w:val="0"/>
                        <w:spacing w:before="0" w:after="60" w:line="312" w:lineRule="exact"/>
                        <w:ind w:left="0" w:right="0" w:firstLine="0"/>
                        <w:jc w:val="right"/>
                        <w:rPr>
                          <w:sz w:val="24"/>
                          <w:szCs w:val="24"/>
                        </w:rPr>
                      </w:pPr>
                      <w:r>
                        <w:rPr>
                          <w:color w:val="000000"/>
                          <w:spacing w:val="0"/>
                          <w:w w:val="100"/>
                          <w:position w:val="0"/>
                          <w:sz w:val="24"/>
                          <w:szCs w:val="24"/>
                        </w:rPr>
                        <w:t>满座网业务</w:t>
                      </w:r>
                    </w:p>
                    <w:p>
                      <w:pPr>
                        <w:pStyle w:val="Style53"/>
                        <w:keepNext w:val="0"/>
                        <w:keepLines w:val="0"/>
                        <w:widowControl w:val="0"/>
                        <w:shd w:val="clear" w:color="auto" w:fill="auto"/>
                        <w:bidi w:val="0"/>
                        <w:spacing w:before="0" w:after="0" w:line="271" w:lineRule="auto"/>
                        <w:ind w:left="2520" w:right="0" w:firstLine="0"/>
                        <w:jc w:val="right"/>
                        <w:rPr>
                          <w:sz w:val="24"/>
                          <w:szCs w:val="24"/>
                        </w:rPr>
                      </w:pPr>
                      <w:r>
                        <w:rPr>
                          <w:color w:val="000000"/>
                          <w:spacing w:val="0"/>
                          <w:w w:val="100"/>
                          <w:position w:val="0"/>
                          <w:sz w:val="24"/>
                          <w:szCs w:val="24"/>
                        </w:rPr>
                        <w:t>3.00% 25.31%</w:t>
                      </w:r>
                    </w:p>
                    <w:p>
                      <w:pPr>
                        <w:pStyle w:val="Style53"/>
                        <w:keepNext w:val="0"/>
                        <w:keepLines w:val="0"/>
                        <w:widowControl w:val="0"/>
                        <w:shd w:val="clear" w:color="auto" w:fill="auto"/>
                        <w:bidi w:val="0"/>
                        <w:spacing w:before="0" w:after="260" w:line="223" w:lineRule="auto"/>
                        <w:ind w:left="0" w:right="420" w:firstLine="0"/>
                        <w:jc w:val="right"/>
                        <w:rPr>
                          <w:sz w:val="24"/>
                          <w:szCs w:val="24"/>
                        </w:rPr>
                      </w:pPr>
                      <w:r>
                        <w:rPr>
                          <w:color w:val="000000"/>
                          <w:spacing w:val="0"/>
                          <w:w w:val="100"/>
                          <w:position w:val="0"/>
                          <w:sz w:val="24"/>
                          <w:szCs w:val="24"/>
                        </w:rPr>
                        <w:t>22.67%</w:t>
                      </w:r>
                    </w:p>
                    <w:p>
                      <w:pPr>
                        <w:pStyle w:val="Style32"/>
                        <w:keepNext w:val="0"/>
                        <w:keepLines w:val="0"/>
                        <w:widowControl w:val="0"/>
                        <w:pBdr>
                          <w:bottom w:val="single" w:sz="4" w:space="0" w:color="auto"/>
                        </w:pBdr>
                        <w:shd w:val="clear" w:color="auto" w:fill="auto"/>
                        <w:bidi w:val="0"/>
                        <w:spacing w:before="0" w:after="0" w:line="259" w:lineRule="exact"/>
                        <w:ind w:left="0" w:right="0" w:firstLine="0"/>
                        <w:jc w:val="right"/>
                        <w:rPr>
                          <w:sz w:val="24"/>
                          <w:szCs w:val="24"/>
                        </w:rPr>
                      </w:pPr>
                      <w:r>
                        <w:rPr>
                          <w:color w:val="000000"/>
                          <w:spacing w:val="0"/>
                          <w:w w:val="100"/>
                          <w:position w:val="0"/>
                          <w:sz w:val="24"/>
                          <w:szCs w:val="24"/>
                          <w:u w:val="single"/>
                        </w:rPr>
                        <w:t>好耶广告技术板块业务</w:t>
                      </w:r>
                    </w:p>
                    <w:p>
                      <w:pPr>
                        <w:pStyle w:val="Style53"/>
                        <w:keepNext w:val="0"/>
                        <w:keepLines w:val="0"/>
                        <w:widowControl w:val="0"/>
                        <w:shd w:val="clear" w:color="auto" w:fill="auto"/>
                        <w:bidi w:val="0"/>
                        <w:spacing w:before="0" w:after="120" w:line="226" w:lineRule="auto"/>
                        <w:ind w:left="2520" w:right="0" w:firstLine="0"/>
                        <w:jc w:val="right"/>
                        <w:rPr>
                          <w:sz w:val="24"/>
                          <w:szCs w:val="24"/>
                        </w:rPr>
                      </w:pPr>
                      <w:r>
                        <w:rPr>
                          <w:color w:val="000000"/>
                          <w:spacing w:val="0"/>
                          <w:w w:val="100"/>
                          <w:position w:val="0"/>
                          <w:sz w:val="24"/>
                          <w:szCs w:val="24"/>
                        </w:rPr>
                        <w:t>3.00% 86.34% 22.67%</w:t>
                      </w:r>
                    </w:p>
                  </w:txbxContent>
                </v:textbox>
                <w10:wrap type="topAndBottom" anchorx="page"/>
              </v:shape>
            </w:pict>
          </mc:Fallback>
        </mc:AlternateContent>
      </w:r>
    </w:p>
    <w:p>
      <w:pPr>
        <w:pStyle w:val="Style32"/>
        <w:keepNext w:val="0"/>
        <w:keepLines w:val="0"/>
        <w:widowControl w:val="0"/>
        <w:shd w:val="clear" w:color="auto" w:fill="auto"/>
        <w:bidi w:val="0"/>
        <w:spacing w:before="0" w:after="200" w:line="312" w:lineRule="exact"/>
        <w:ind w:left="700" w:right="0" w:firstLine="20"/>
        <w:jc w:val="both"/>
        <w:rPr>
          <w:sz w:val="24"/>
          <w:szCs w:val="24"/>
        </w:rPr>
      </w:pPr>
      <w:r>
        <w:rPr>
          <w:color w:val="000000"/>
          <w:spacing w:val="0"/>
          <w:w w:val="100"/>
          <w:position w:val="0"/>
          <w:sz w:val="24"/>
          <w:szCs w:val="24"/>
        </w:rPr>
        <w:t>管理层所采用的永续增长率与行业报告所载的预测数据一致，不超过各业务的 长期平均增长率。管理层根据历史经验及对市场发展的预测确定预算毛利率， 并采用能够反映相关资产组和资产组组合的特定风险的税后折现率。上述假设 用以分析该业务内各资产组和资产组组合的可收回金额。</w:t>
      </w:r>
    </w:p>
    <w:p>
      <w:pPr>
        <w:pStyle w:val="Style32"/>
        <w:keepNext w:val="0"/>
        <w:keepLines w:val="0"/>
        <w:widowControl w:val="0"/>
        <w:shd w:val="clear" w:color="auto" w:fill="auto"/>
        <w:bidi w:val="0"/>
        <w:spacing w:before="0" w:after="26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（18）</w:t>
      </w:r>
      <w:r>
        <w:rPr>
          <w:b/>
          <w:bCs/>
          <w:color w:val="000000"/>
          <w:spacing w:val="0"/>
          <w:w w:val="100"/>
          <w:position w:val="0"/>
          <w:sz w:val="24"/>
          <w:szCs w:val="24"/>
        </w:rPr>
        <w:t>长期待摊费用</w:t>
      </w:r>
    </w:p>
    <w:tbl>
      <w:tblPr>
        <w:tblOverlap w:val="never"/>
        <w:jc w:val="right"/>
        <w:tblLayout w:type="fixed"/>
      </w:tblPr>
      <w:tblGrid>
        <w:gridCol w:w="1622"/>
        <w:gridCol w:w="1114"/>
        <w:gridCol w:w="1018"/>
        <w:gridCol w:w="1094"/>
        <w:gridCol w:w="941"/>
        <w:gridCol w:w="1445"/>
        <w:gridCol w:w="1118"/>
      </w:tblGrid>
      <w:tr>
        <w:trPr>
          <w:trHeight w:val="643"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 xml:space="preserve">2015 </w:t>
            </w:r>
            <w:r>
              <w:rPr>
                <w:color w:val="000000"/>
                <w:spacing w:val="0"/>
                <w:w w:val="100"/>
                <w:position w:val="0"/>
                <w:sz w:val="20"/>
                <w:szCs w:val="20"/>
              </w:rPr>
              <w:t>年</w:t>
            </w:r>
          </w:p>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本年增加</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本年摊销</w:t>
            </w:r>
          </w:p>
        </w:tc>
        <w:tc>
          <w:tcPr>
            <w:tcBorders/>
            <w:shd w:val="clear" w:color="auto" w:fill="FFFFFF"/>
            <w:vAlign w:val="top"/>
          </w:tcPr>
          <w:p>
            <w:pPr>
              <w:pStyle w:val="Style28"/>
              <w:keepNext w:val="0"/>
              <w:keepLines w:val="0"/>
              <w:widowControl w:val="0"/>
              <w:shd w:val="clear" w:color="auto" w:fill="auto"/>
              <w:bidi w:val="0"/>
              <w:spacing w:before="0" w:after="0" w:line="264" w:lineRule="exact"/>
              <w:ind w:left="0" w:right="0" w:firstLine="0"/>
              <w:jc w:val="center"/>
              <w:rPr>
                <w:sz w:val="20"/>
                <w:szCs w:val="20"/>
              </w:rPr>
            </w:pPr>
            <w:r>
              <w:rPr>
                <w:color w:val="000000"/>
                <w:spacing w:val="0"/>
                <w:w w:val="100"/>
                <w:position w:val="0"/>
                <w:sz w:val="20"/>
                <w:szCs w:val="20"/>
              </w:rPr>
              <w:t>减值准 备转销</w:t>
            </w:r>
          </w:p>
        </w:tc>
        <w:tc>
          <w:tcPr>
            <w:tcBorders/>
            <w:shd w:val="clear" w:color="auto" w:fill="FFFFFF"/>
            <w:vAlign w:val="top"/>
          </w:tcPr>
          <w:p>
            <w:pPr>
              <w:pStyle w:val="Style28"/>
              <w:keepNext w:val="0"/>
              <w:keepLines w:val="0"/>
              <w:widowControl w:val="0"/>
              <w:shd w:val="clear" w:color="auto" w:fill="auto"/>
              <w:bidi w:val="0"/>
              <w:spacing w:before="0" w:after="0" w:line="269" w:lineRule="exact"/>
              <w:ind w:left="0" w:right="140" w:firstLine="0"/>
              <w:jc w:val="right"/>
              <w:rPr>
                <w:sz w:val="20"/>
                <w:szCs w:val="20"/>
              </w:rPr>
            </w:pPr>
            <w:r>
              <w:rPr>
                <w:color w:val="000000"/>
                <w:spacing w:val="0"/>
                <w:w w:val="100"/>
                <w:position w:val="0"/>
                <w:sz w:val="20"/>
                <w:szCs w:val="20"/>
              </w:rPr>
              <w:t>本年转出至 其他流动资产</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 xml:space="preserve">2016 </w:t>
            </w:r>
            <w:r>
              <w:rPr>
                <w:color w:val="000000"/>
                <w:spacing w:val="0"/>
                <w:w w:val="100"/>
                <w:position w:val="0"/>
                <w:sz w:val="20"/>
                <w:szCs w:val="20"/>
              </w:rPr>
              <w:t>年</w:t>
            </w:r>
          </w:p>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w:t>
            </w:r>
          </w:p>
        </w:tc>
      </w:tr>
      <w:tr>
        <w:trPr>
          <w:trHeight w:val="403"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经营租入固定资</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54"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产改良</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797,929</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200,476</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(445,536)</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7,267</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08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80"/>
              <w:jc w:val="both"/>
              <w:rPr>
                <w:sz w:val="20"/>
                <w:szCs w:val="20"/>
              </w:rPr>
            </w:pPr>
            <w:r>
              <w:rPr>
                <w:rFonts w:ascii="Times New Roman" w:eastAsia="Times New Roman" w:hAnsi="Times New Roman" w:cs="Times New Roman"/>
                <w:color w:val="000000"/>
                <w:spacing w:val="0"/>
                <w:w w:val="100"/>
                <w:position w:val="0"/>
                <w:sz w:val="20"/>
                <w:szCs w:val="20"/>
              </w:rPr>
              <w:t>560,136</w:t>
            </w:r>
          </w:p>
        </w:tc>
      </w:tr>
      <w:tr>
        <w:trPr>
          <w:trHeight w:val="264"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递延延保业务费</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59"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用</w:t>
            </w:r>
            <w:r>
              <w:rPr>
                <w:rFonts w:ascii="Times New Roman" w:eastAsia="Times New Roman" w:hAnsi="Times New Roman" w:cs="Times New Roman"/>
                <w:color w:val="000000"/>
                <w:spacing w:val="0"/>
                <w:w w:val="100"/>
                <w:position w:val="0"/>
                <w:sz w:val="20"/>
                <w:szCs w:val="20"/>
              </w:rPr>
              <w:t>(a)</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349,407</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214,012</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(126,569)</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6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08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80"/>
              <w:jc w:val="both"/>
              <w:rPr>
                <w:sz w:val="20"/>
                <w:szCs w:val="20"/>
              </w:rPr>
            </w:pPr>
            <w:r>
              <w:rPr>
                <w:rFonts w:ascii="Times New Roman" w:eastAsia="Times New Roman" w:hAnsi="Times New Roman" w:cs="Times New Roman"/>
                <w:color w:val="000000"/>
                <w:spacing w:val="0"/>
                <w:w w:val="100"/>
                <w:position w:val="0"/>
                <w:sz w:val="20"/>
                <w:szCs w:val="20"/>
              </w:rPr>
              <w:t>436,850</w:t>
            </w:r>
          </w:p>
        </w:tc>
      </w:tr>
      <w:tr>
        <w:trPr>
          <w:trHeight w:val="264"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预付长期房屋租</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54"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赁费</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117,404</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31,819</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6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left"/>
              <w:rPr>
                <w:sz w:val="20"/>
                <w:szCs w:val="20"/>
              </w:rPr>
            </w:pPr>
            <w:r>
              <w:rPr>
                <w:rFonts w:ascii="Times New Roman" w:eastAsia="Times New Roman" w:hAnsi="Times New Roman" w:cs="Times New Roman"/>
                <w:color w:val="000000"/>
                <w:spacing w:val="0"/>
                <w:w w:val="100"/>
                <w:position w:val="0"/>
                <w:sz w:val="20"/>
                <w:szCs w:val="20"/>
              </w:rPr>
              <w:t>(65,375)</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83,848</w:t>
            </w:r>
          </w:p>
        </w:tc>
      </w:tr>
      <w:tr>
        <w:trPr>
          <w:trHeight w:val="250"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水电设施使用费</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1,272</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(1,019)</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6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08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253</w:t>
            </w:r>
          </w:p>
        </w:tc>
      </w:tr>
      <w:tr>
        <w:trPr>
          <w:trHeight w:val="322" w:hRule="exact"/>
        </w:trPr>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1,266,012</w:t>
            </w:r>
          </w:p>
        </w:tc>
        <w:tc>
          <w:tcPr>
            <w:tcBorders>
              <w:top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446,307</w:t>
            </w:r>
          </w:p>
        </w:tc>
        <w:tc>
          <w:tcPr>
            <w:tcBorders>
              <w:top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(573,124)</w:t>
            </w:r>
          </w:p>
        </w:tc>
        <w:tc>
          <w:tcPr>
            <w:tcBorders>
              <w:top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7,267</w:t>
            </w:r>
          </w:p>
        </w:tc>
        <w:tc>
          <w:tcPr>
            <w:tcBorders>
              <w:top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left"/>
              <w:rPr>
                <w:sz w:val="20"/>
                <w:szCs w:val="20"/>
              </w:rPr>
            </w:pPr>
            <w:r>
              <w:rPr>
                <w:rFonts w:ascii="Times New Roman" w:eastAsia="Times New Roman" w:hAnsi="Times New Roman" w:cs="Times New Roman"/>
                <w:color w:val="000000"/>
                <w:spacing w:val="0"/>
                <w:w w:val="100"/>
                <w:position w:val="0"/>
                <w:sz w:val="20"/>
                <w:szCs w:val="20"/>
              </w:rPr>
              <w:t>(65,375)</w:t>
            </w:r>
          </w:p>
        </w:tc>
        <w:tc>
          <w:tcPr>
            <w:tcBorders>
              <w:top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1,081,087</w:t>
            </w:r>
          </w:p>
        </w:tc>
      </w:tr>
    </w:tbl>
    <w:p>
      <w:pPr>
        <w:pStyle w:val="Style32"/>
        <w:keepNext w:val="0"/>
        <w:keepLines w:val="0"/>
        <w:widowControl w:val="0"/>
        <w:shd w:val="clear" w:color="auto" w:fill="auto"/>
        <w:bidi w:val="0"/>
        <w:spacing w:before="0" w:after="0" w:line="240" w:lineRule="auto"/>
        <w:ind w:left="0" w:right="0" w:firstLine="740"/>
        <w:jc w:val="both"/>
        <w:rPr>
          <w:sz w:val="24"/>
          <w:szCs w:val="24"/>
        </w:rPr>
      </w:pPr>
      <w:r>
        <w:rPr>
          <w:b/>
          <w:bCs/>
          <w:color w:val="000000"/>
          <w:spacing w:val="0"/>
          <w:w w:val="100"/>
          <w:position w:val="0"/>
          <w:sz w:val="24"/>
          <w:szCs w:val="24"/>
        </w:rPr>
        <w:t>财务报表附注</w:t>
      </w:r>
    </w:p>
    <w:p>
      <w:pPr>
        <w:pStyle w:val="Style88"/>
        <w:keepNext/>
        <w:keepLines/>
        <w:widowControl w:val="0"/>
        <w:shd w:val="clear" w:color="auto" w:fill="auto"/>
        <w:bidi w:val="0"/>
        <w:spacing w:before="0" w:after="0" w:line="240" w:lineRule="auto"/>
        <w:ind w:left="0" w:right="0" w:firstLine="740"/>
        <w:jc w:val="both"/>
      </w:pPr>
      <w:bookmarkStart w:id="914" w:name="bookmark914"/>
      <w:bookmarkStart w:id="915" w:name="bookmark915"/>
      <w:bookmarkStart w:id="916" w:name="bookmark916"/>
      <w:r>
        <w:rPr>
          <w:color w:val="000000"/>
          <w:spacing w:val="0"/>
          <w:w w:val="100"/>
          <w:position w:val="0"/>
          <w:sz w:val="24"/>
          <w:szCs w:val="24"/>
        </w:rPr>
        <w:t>2016</w:t>
      </w:r>
      <w:r>
        <w:rPr>
          <w:rFonts w:ascii="SimSun" w:eastAsia="SimSun" w:hAnsi="SimSun" w:cs="SimSun"/>
          <w:b/>
          <w:bCs/>
          <w:color w:val="000000"/>
          <w:spacing w:val="0"/>
          <w:w w:val="100"/>
          <w:position w:val="0"/>
          <w:sz w:val="24"/>
          <w:szCs w:val="24"/>
        </w:rPr>
        <w:t>年度</w:t>
      </w:r>
      <w:bookmarkEnd w:id="914"/>
      <w:bookmarkEnd w:id="915"/>
      <w:bookmarkEnd w:id="916"/>
    </w:p>
    <w:p>
      <w:pPr>
        <w:pStyle w:val="Style32"/>
        <w:keepNext w:val="0"/>
        <w:keepLines w:val="0"/>
        <w:widowControl w:val="0"/>
        <w:shd w:val="clear" w:color="auto" w:fill="auto"/>
        <w:bidi w:val="0"/>
        <w:spacing w:before="0" w:after="260" w:line="240" w:lineRule="auto"/>
        <w:ind w:left="0" w:right="0" w:firstLine="740"/>
        <w:jc w:val="both"/>
        <w:rPr>
          <w:sz w:val="24"/>
          <w:szCs w:val="24"/>
        </w:rPr>
      </w:pPr>
      <w:r>
        <w:rPr>
          <w:rFonts w:ascii="Arial" w:eastAsia="Arial" w:hAnsi="Arial" w:cs="Arial"/>
          <w:color w:val="000000"/>
          <w:spacing w:val="0"/>
          <w:w w:val="100"/>
          <w:position w:val="0"/>
          <w:sz w:val="20"/>
          <w:szCs w:val="20"/>
        </w:rPr>
        <w:t>(</w:t>
      </w:r>
      <w:r>
        <w:rPr>
          <w:color w:val="000000"/>
          <w:spacing w:val="0"/>
          <w:w w:val="100"/>
          <w:position w:val="0"/>
          <w:sz w:val="20"/>
          <w:szCs w:val="20"/>
        </w:rPr>
        <w:t>除特别注明外，金额单位为人民币千元</w:t>
      </w:r>
      <w:r>
        <w:rPr>
          <w:color w:val="000000"/>
          <w:spacing w:val="0"/>
          <w:w w:val="100"/>
          <w:position w:val="0"/>
          <w:sz w:val="24"/>
          <w:szCs w:val="24"/>
        </w:rPr>
        <w:t>)</w:t>
      </w:r>
    </w:p>
    <w:p>
      <w:pPr>
        <w:pStyle w:val="Style32"/>
        <w:keepNext w:val="0"/>
        <w:keepLines w:val="0"/>
        <w:widowControl w:val="0"/>
        <w:shd w:val="clear" w:color="auto" w:fill="auto"/>
        <w:tabs>
          <w:tab w:pos="683" w:val="left"/>
        </w:tabs>
        <w:bidi w:val="0"/>
        <w:spacing w:before="0" w:after="260" w:line="240" w:lineRule="auto"/>
        <w:ind w:left="0" w:right="0" w:firstLine="0"/>
        <w:jc w:val="left"/>
        <w:rPr>
          <w:sz w:val="24"/>
          <w:szCs w:val="24"/>
        </w:rPr>
      </w:pPr>
      <w:r>
        <w:rPr>
          <w:b/>
          <w:bCs/>
          <w:color w:val="000000"/>
          <w:spacing w:val="0"/>
          <w:w w:val="100"/>
          <w:position w:val="0"/>
          <w:sz w:val="24"/>
          <w:szCs w:val="24"/>
        </w:rPr>
        <w:t>四</w:t>
        <w:tab/>
        <w:t>合并财务报表项目附注</w:t>
      </w:r>
      <w:r>
        <w:rPr>
          <w:rFonts w:ascii="Times New Roman" w:eastAsia="Times New Roman" w:hAnsi="Times New Roman" w:cs="Times New Roman"/>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4"/>
          <w:szCs w:val="24"/>
        </w:rPr>
        <w:t>)</w:t>
      </w:r>
    </w:p>
    <w:p>
      <w:pPr>
        <w:pStyle w:val="Style32"/>
        <w:keepNext w:val="0"/>
        <w:keepLines w:val="0"/>
        <w:widowControl w:val="0"/>
        <w:shd w:val="clear" w:color="auto" w:fill="auto"/>
        <w:tabs>
          <w:tab w:pos="683" w:val="left"/>
        </w:tabs>
        <w:bidi w:val="0"/>
        <w:spacing w:before="0" w:after="260" w:line="307" w:lineRule="exact"/>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(18)</w:t>
        <w:tab/>
      </w:r>
      <w:r>
        <w:rPr>
          <w:b/>
          <w:bCs/>
          <w:color w:val="000000"/>
          <w:spacing w:val="0"/>
          <w:w w:val="100"/>
          <w:position w:val="0"/>
          <w:sz w:val="24"/>
          <w:szCs w:val="24"/>
        </w:rPr>
        <w:t>长期待摊费用</w:t>
      </w:r>
      <w:r>
        <w:rPr>
          <w:rFonts w:ascii="Times New Roman" w:eastAsia="Times New Roman" w:hAnsi="Times New Roman" w:cs="Times New Roman"/>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4"/>
          <w:szCs w:val="24"/>
        </w:rPr>
        <w:t>)</w:t>
      </w:r>
    </w:p>
    <w:p>
      <w:pPr>
        <w:pStyle w:val="Style32"/>
        <w:keepNext w:val="0"/>
        <w:keepLines w:val="0"/>
        <w:widowControl w:val="0"/>
        <w:shd w:val="clear" w:color="auto" w:fill="auto"/>
        <w:tabs>
          <w:tab w:pos="683" w:val="left"/>
        </w:tabs>
        <w:bidi w:val="0"/>
        <w:spacing w:before="0" w:after="0" w:line="307" w:lineRule="exact"/>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(a)</w:t>
        <w:tab/>
      </w:r>
      <w:r>
        <w:rPr>
          <w:color w:val="000000"/>
          <w:spacing w:val="0"/>
          <w:w w:val="100"/>
          <w:position w:val="0"/>
          <w:sz w:val="24"/>
          <w:szCs w:val="24"/>
        </w:rPr>
        <w:t>本集团向顾客提供电器延长保修业务，并就提供的延长保修业务与第三方保险</w:t>
      </w:r>
    </w:p>
    <w:p>
      <w:pPr>
        <w:pStyle w:val="Style32"/>
        <w:keepNext w:val="0"/>
        <w:keepLines w:val="0"/>
        <w:widowControl w:val="0"/>
        <w:shd w:val="clear" w:color="auto" w:fill="auto"/>
        <w:bidi w:val="0"/>
        <w:spacing w:before="0" w:after="260" w:line="307" w:lineRule="exact"/>
        <w:ind w:left="740" w:right="0" w:firstLine="20"/>
        <w:jc w:val="both"/>
        <w:rPr>
          <w:sz w:val="24"/>
          <w:szCs w:val="24"/>
        </w:rPr>
      </w:pPr>
      <w:r>
        <w:rPr>
          <w:color w:val="000000"/>
          <w:spacing w:val="0"/>
          <w:w w:val="100"/>
          <w:position w:val="0"/>
          <w:sz w:val="24"/>
          <w:szCs w:val="24"/>
        </w:rPr>
        <w:t>公司签订保险服务协议书，支付相应保险费用以确保在日后提供延长保修期服 务时可按合同规定向保险公司收取相关赔偿。于</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 xml:space="preserve">日，本集团收到 的递延延保业务收入和支付的递延保险费用累计未摊销余额分别约人民币约 </w:t>
      </w:r>
      <w:r>
        <w:rPr>
          <w:rFonts w:ascii="Times New Roman" w:eastAsia="Times New Roman" w:hAnsi="Times New Roman" w:cs="Times New Roman"/>
          <w:color w:val="000000"/>
          <w:spacing w:val="0"/>
          <w:w w:val="100"/>
          <w:position w:val="0"/>
          <w:sz w:val="24"/>
          <w:szCs w:val="24"/>
        </w:rPr>
        <w:t>13.33</w:t>
      </w:r>
      <w:r>
        <w:rPr>
          <w:color w:val="000000"/>
          <w:spacing w:val="0"/>
          <w:w w:val="100"/>
          <w:position w:val="0"/>
          <w:sz w:val="24"/>
          <w:szCs w:val="24"/>
        </w:rPr>
        <w:t>亿元</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日：约人民币</w:t>
      </w:r>
      <w:r>
        <w:rPr>
          <w:rFonts w:ascii="Times New Roman" w:eastAsia="Times New Roman" w:hAnsi="Times New Roman" w:cs="Times New Roman"/>
          <w:color w:val="000000"/>
          <w:spacing w:val="0"/>
          <w:w w:val="100"/>
          <w:position w:val="0"/>
          <w:sz w:val="24"/>
          <w:szCs w:val="24"/>
        </w:rPr>
        <w:t>12.15</w:t>
      </w:r>
      <w:r>
        <w:rPr>
          <w:color w:val="000000"/>
          <w:spacing w:val="0"/>
          <w:w w:val="100"/>
          <w:position w:val="0"/>
          <w:sz w:val="24"/>
          <w:szCs w:val="24"/>
        </w:rPr>
        <w:t>亿元</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附注四</w:t>
      </w:r>
      <w:r>
        <w:rPr>
          <w:rFonts w:ascii="Times New Roman" w:eastAsia="Times New Roman" w:hAnsi="Times New Roman" w:cs="Times New Roman"/>
          <w:color w:val="000000"/>
          <w:spacing w:val="0"/>
          <w:w w:val="100"/>
          <w:position w:val="0"/>
          <w:sz w:val="24"/>
          <w:szCs w:val="24"/>
        </w:rPr>
        <w:t>(36))</w:t>
      </w:r>
      <w:r>
        <w:rPr>
          <w:color w:val="000000"/>
          <w:spacing w:val="0"/>
          <w:w w:val="100"/>
          <w:position w:val="0"/>
          <w:sz w:val="24"/>
          <w:szCs w:val="24"/>
        </w:rPr>
        <w:t>和约人民币</w:t>
      </w:r>
      <w:r>
        <w:rPr>
          <w:i/>
          <w:iCs/>
          <w:color w:val="000000"/>
          <w:spacing w:val="0"/>
          <w:w w:val="100"/>
          <w:position w:val="0"/>
          <w:sz w:val="24"/>
          <w:szCs w:val="24"/>
        </w:rPr>
        <w:t>4.4</w:t>
      </w:r>
      <w:r>
        <w:rPr>
          <w:color w:val="000000"/>
          <w:spacing w:val="0"/>
          <w:w w:val="100"/>
          <w:position w:val="0"/>
          <w:sz w:val="24"/>
          <w:szCs w:val="24"/>
        </w:rPr>
        <w:t>亿 元</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日：约人民币</w:t>
      </w:r>
      <w:r>
        <w:rPr>
          <w:rFonts w:ascii="Times New Roman" w:eastAsia="Times New Roman" w:hAnsi="Times New Roman" w:cs="Times New Roman"/>
          <w:color w:val="000000"/>
          <w:spacing w:val="0"/>
          <w:w w:val="100"/>
          <w:position w:val="0"/>
          <w:sz w:val="24"/>
          <w:szCs w:val="24"/>
        </w:rPr>
        <w:t>3.5</w:t>
      </w:r>
      <w:r>
        <w:rPr>
          <w:color w:val="000000"/>
          <w:spacing w:val="0"/>
          <w:w w:val="100"/>
          <w:position w:val="0"/>
          <w:sz w:val="24"/>
          <w:szCs w:val="24"/>
        </w:rPr>
        <w:t>亿元</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w:t>
      </w:r>
    </w:p>
    <w:tbl>
      <w:tblPr>
        <w:tblOverlap w:val="never"/>
        <w:jc w:val="center"/>
        <w:tblLayout w:type="fixed"/>
      </w:tblPr>
      <w:tblGrid>
        <w:gridCol w:w="3562"/>
        <w:gridCol w:w="3154"/>
        <w:gridCol w:w="2232"/>
      </w:tblGrid>
      <w:tr>
        <w:trPr>
          <w:trHeight w:val="418" w:hRule="exact"/>
        </w:trPr>
        <w:tc>
          <w:tcPr>
            <w:tcBorders/>
            <w:shd w:val="clear" w:color="auto" w:fill="FFFFFF"/>
            <w:vAlign w:val="top"/>
          </w:tcPr>
          <w:p>
            <w:pPr>
              <w:pStyle w:val="Style28"/>
              <w:keepNext w:val="0"/>
              <w:keepLines w:val="0"/>
              <w:widowControl w:val="0"/>
              <w:shd w:val="clear" w:color="auto" w:fill="auto"/>
              <w:tabs>
                <w:tab w:pos="686" w:val="left"/>
              </w:tabs>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(19)</w:t>
              <w:tab/>
            </w:r>
            <w:r>
              <w:rPr>
                <w:b/>
                <w:bCs/>
                <w:color w:val="000000"/>
                <w:spacing w:val="0"/>
                <w:w w:val="100"/>
                <w:position w:val="0"/>
                <w:sz w:val="24"/>
                <w:szCs w:val="24"/>
              </w:rPr>
              <w:t>其他非流动资产</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557"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280" w:firstLine="0"/>
              <w:jc w:val="right"/>
              <w:rPr>
                <w:sz w:val="24"/>
                <w:szCs w:val="24"/>
              </w:rPr>
            </w:pP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2015</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w:t>
            </w:r>
          </w:p>
        </w:tc>
      </w:tr>
      <w:tr>
        <w:trPr>
          <w:trHeight w:val="418"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left"/>
              <w:rPr>
                <w:sz w:val="24"/>
                <w:szCs w:val="24"/>
              </w:rPr>
            </w:pPr>
            <w:r>
              <w:rPr>
                <w:color w:val="000000"/>
                <w:spacing w:val="0"/>
                <w:w w:val="100"/>
                <w:position w:val="0"/>
                <w:sz w:val="24"/>
                <w:szCs w:val="24"/>
              </w:rPr>
              <w:t>预付土地及购房款</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2060" w:right="0" w:firstLine="0"/>
              <w:jc w:val="left"/>
              <w:rPr>
                <w:sz w:val="24"/>
                <w:szCs w:val="24"/>
              </w:rPr>
            </w:pPr>
            <w:r>
              <w:rPr>
                <w:rFonts w:ascii="Times New Roman" w:eastAsia="Times New Roman" w:hAnsi="Times New Roman" w:cs="Times New Roman"/>
                <w:color w:val="000000"/>
                <w:spacing w:val="0"/>
                <w:w w:val="100"/>
                <w:position w:val="0"/>
                <w:sz w:val="24"/>
                <w:szCs w:val="24"/>
              </w:rPr>
              <w:t>378,583</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420" w:right="0" w:firstLine="0"/>
              <w:jc w:val="left"/>
              <w:rPr>
                <w:sz w:val="24"/>
                <w:szCs w:val="24"/>
              </w:rPr>
            </w:pPr>
            <w:r>
              <w:rPr>
                <w:rFonts w:ascii="Times New Roman" w:eastAsia="Times New Roman" w:hAnsi="Times New Roman" w:cs="Times New Roman"/>
                <w:color w:val="000000"/>
                <w:spacing w:val="0"/>
                <w:w w:val="100"/>
                <w:position w:val="0"/>
                <w:sz w:val="24"/>
                <w:szCs w:val="24"/>
              </w:rPr>
              <w:t>372,945</w:t>
            </w:r>
          </w:p>
        </w:tc>
      </w:tr>
      <w:tr>
        <w:trPr>
          <w:trHeight w:val="283"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left"/>
              <w:rPr>
                <w:sz w:val="24"/>
                <w:szCs w:val="24"/>
              </w:rPr>
            </w:pPr>
            <w:r>
              <w:rPr>
                <w:color w:val="000000"/>
                <w:spacing w:val="0"/>
                <w:w w:val="100"/>
                <w:position w:val="0"/>
                <w:sz w:val="24"/>
                <w:szCs w:val="24"/>
              </w:rPr>
              <w:t>预付工程设备款</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2060" w:right="0" w:firstLine="0"/>
              <w:jc w:val="left"/>
              <w:rPr>
                <w:sz w:val="24"/>
                <w:szCs w:val="24"/>
              </w:rPr>
            </w:pPr>
            <w:r>
              <w:rPr>
                <w:rFonts w:ascii="Times New Roman" w:eastAsia="Times New Roman" w:hAnsi="Times New Roman" w:cs="Times New Roman"/>
                <w:color w:val="000000"/>
                <w:spacing w:val="0"/>
                <w:w w:val="100"/>
                <w:position w:val="0"/>
                <w:sz w:val="24"/>
                <w:szCs w:val="24"/>
              </w:rPr>
              <w:t>567,921</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420" w:right="0" w:firstLine="0"/>
              <w:jc w:val="left"/>
              <w:rPr>
                <w:sz w:val="24"/>
                <w:szCs w:val="24"/>
              </w:rPr>
            </w:pPr>
            <w:r>
              <w:rPr>
                <w:rFonts w:ascii="Times New Roman" w:eastAsia="Times New Roman" w:hAnsi="Times New Roman" w:cs="Times New Roman"/>
                <w:color w:val="000000"/>
                <w:spacing w:val="0"/>
                <w:w w:val="100"/>
                <w:position w:val="0"/>
                <w:sz w:val="24"/>
                <w:szCs w:val="24"/>
              </w:rPr>
              <w:t>389,816</w:t>
            </w:r>
          </w:p>
        </w:tc>
      </w:tr>
      <w:tr>
        <w:trPr>
          <w:trHeight w:val="293" w:hRule="exact"/>
        </w:trPr>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2060" w:right="0" w:firstLine="0"/>
              <w:jc w:val="left"/>
              <w:rPr>
                <w:sz w:val="24"/>
                <w:szCs w:val="24"/>
              </w:rPr>
            </w:pPr>
            <w:r>
              <w:rPr>
                <w:rFonts w:ascii="Times New Roman" w:eastAsia="Times New Roman" w:hAnsi="Times New Roman" w:cs="Times New Roman"/>
                <w:color w:val="000000"/>
                <w:spacing w:val="0"/>
                <w:w w:val="100"/>
                <w:position w:val="0"/>
                <w:sz w:val="24"/>
                <w:szCs w:val="24"/>
              </w:rPr>
              <w:t>946,504</w:t>
            </w:r>
          </w:p>
        </w:tc>
        <w:tc>
          <w:tcPr>
            <w:tcBorders>
              <w:top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420" w:right="0" w:firstLine="0"/>
              <w:jc w:val="left"/>
              <w:rPr>
                <w:sz w:val="24"/>
                <w:szCs w:val="24"/>
              </w:rPr>
            </w:pPr>
            <w:r>
              <w:rPr>
                <w:rFonts w:ascii="Times New Roman" w:eastAsia="Times New Roman" w:hAnsi="Times New Roman" w:cs="Times New Roman"/>
                <w:color w:val="000000"/>
                <w:spacing w:val="0"/>
                <w:w w:val="100"/>
                <w:position w:val="0"/>
                <w:sz w:val="24"/>
                <w:szCs w:val="24"/>
              </w:rPr>
              <w:t>762,761</w:t>
            </w:r>
          </w:p>
        </w:tc>
      </w:tr>
    </w:tbl>
    <w:p>
      <w:pPr>
        <w:widowControl w:val="0"/>
        <w:spacing w:after="319" w:line="1" w:lineRule="exact"/>
      </w:pPr>
    </w:p>
    <w:p>
      <w:pPr>
        <w:pStyle w:val="Style32"/>
        <w:keepNext w:val="0"/>
        <w:keepLines w:val="0"/>
        <w:widowControl w:val="0"/>
        <w:shd w:val="clear" w:color="auto" w:fill="auto"/>
        <w:tabs>
          <w:tab w:pos="683" w:val="left"/>
        </w:tabs>
        <w:bidi w:val="0"/>
        <w:spacing w:before="0" w:after="26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(20)</w:t>
        <w:tab/>
      </w:r>
      <w:r>
        <w:rPr>
          <w:b/>
          <w:bCs/>
          <w:color w:val="000000"/>
          <w:spacing w:val="0"/>
          <w:w w:val="100"/>
          <w:position w:val="0"/>
          <w:sz w:val="24"/>
          <w:szCs w:val="24"/>
        </w:rPr>
        <w:t>递延所得税资产和递延所得税负债</w:t>
      </w:r>
    </w:p>
    <w:p>
      <w:pPr>
        <w:pStyle w:val="Style32"/>
        <w:keepNext w:val="0"/>
        <w:keepLines w:val="0"/>
        <w:widowControl w:val="0"/>
        <w:shd w:val="clear" w:color="auto" w:fill="auto"/>
        <w:tabs>
          <w:tab w:pos="683" w:val="left"/>
        </w:tabs>
        <w:bidi w:val="0"/>
        <w:spacing w:before="0" w:after="32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(a)</w:t>
        <w:tab/>
      </w:r>
      <w:r>
        <w:rPr>
          <w:color w:val="000000"/>
          <w:spacing w:val="0"/>
          <w:w w:val="100"/>
          <w:position w:val="0"/>
          <w:sz w:val="24"/>
          <w:szCs w:val="24"/>
        </w:rPr>
        <w:t>未经抵销的递延所得税资产</w:t>
      </w:r>
    </w:p>
    <w:p>
      <w:pPr>
        <w:pStyle w:val="Style25"/>
        <w:keepNext w:val="0"/>
        <w:keepLines w:val="0"/>
        <w:widowControl w:val="0"/>
        <w:shd w:val="clear" w:color="auto" w:fill="auto"/>
        <w:tabs>
          <w:tab w:pos="5976" w:val="left"/>
        </w:tabs>
        <w:bidi w:val="0"/>
        <w:spacing w:before="0" w:after="0" w:line="240" w:lineRule="auto"/>
        <w:ind w:left="2674" w:right="0" w:firstLine="0"/>
        <w:jc w:val="left"/>
        <w:rPr>
          <w:sz w:val="20"/>
          <w:szCs w:val="20"/>
        </w:rPr>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w:t>
        <w:tab/>
      </w:r>
      <w:r>
        <w:rPr>
          <w:rFonts w:ascii="Times New Roman" w:eastAsia="Times New Roman" w:hAnsi="Times New Roman" w:cs="Times New Roman"/>
          <w:color w:val="000000"/>
          <w:spacing w:val="0"/>
          <w:w w:val="100"/>
          <w:position w:val="0"/>
          <w:sz w:val="20"/>
          <w:szCs w:val="20"/>
        </w:rPr>
        <w:t>2015</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w:t>
      </w:r>
    </w:p>
    <w:tbl>
      <w:tblPr>
        <w:tblOverlap w:val="never"/>
        <w:jc w:val="right"/>
        <w:tblLayout w:type="fixed"/>
      </w:tblPr>
      <w:tblGrid>
        <w:gridCol w:w="1934"/>
        <w:gridCol w:w="1810"/>
        <w:gridCol w:w="1498"/>
        <w:gridCol w:w="1805"/>
        <w:gridCol w:w="1262"/>
      </w:tblGrid>
      <w:tr>
        <w:trPr>
          <w:trHeight w:val="648" w:hRule="exact"/>
        </w:trPr>
        <w:tc>
          <w:tcPr>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59" w:lineRule="exact"/>
              <w:ind w:left="0" w:right="280" w:firstLine="0"/>
              <w:jc w:val="right"/>
              <w:rPr>
                <w:sz w:val="20"/>
                <w:szCs w:val="20"/>
              </w:rPr>
            </w:pPr>
            <w:r>
              <w:rPr>
                <w:color w:val="000000"/>
                <w:spacing w:val="0"/>
                <w:w w:val="100"/>
                <w:position w:val="0"/>
                <w:sz w:val="20"/>
                <w:szCs w:val="20"/>
              </w:rPr>
              <w:t>可抵扣暂时性差 异及可抵扣亏损</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递延所得税</w:t>
            </w:r>
          </w:p>
          <w:p>
            <w:pPr>
              <w:pStyle w:val="Style28"/>
              <w:keepNext w:val="0"/>
              <w:keepLines w:val="0"/>
              <w:widowControl w:val="0"/>
              <w:shd w:val="clear" w:color="auto" w:fill="auto"/>
              <w:bidi w:val="0"/>
              <w:spacing w:before="0" w:after="0" w:line="240" w:lineRule="auto"/>
              <w:ind w:left="0" w:right="0" w:firstLine="820"/>
              <w:jc w:val="left"/>
              <w:rPr>
                <w:sz w:val="20"/>
                <w:szCs w:val="20"/>
              </w:rPr>
            </w:pPr>
            <w:r>
              <w:rPr>
                <w:color w:val="000000"/>
                <w:spacing w:val="0"/>
                <w:w w:val="100"/>
                <w:position w:val="0"/>
                <w:sz w:val="20"/>
                <w:szCs w:val="20"/>
              </w:rPr>
              <w:t>资产</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59" w:lineRule="exact"/>
              <w:ind w:left="0" w:right="0" w:firstLine="0"/>
              <w:jc w:val="center"/>
              <w:rPr>
                <w:sz w:val="20"/>
                <w:szCs w:val="20"/>
              </w:rPr>
            </w:pPr>
            <w:r>
              <w:rPr>
                <w:color w:val="000000"/>
                <w:spacing w:val="0"/>
                <w:w w:val="100"/>
                <w:position w:val="0"/>
                <w:sz w:val="20"/>
                <w:szCs w:val="20"/>
              </w:rPr>
              <w:t>可抵扣暂时性差 异及可抵扣亏损</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递延所得税</w:t>
            </w:r>
          </w:p>
          <w:p>
            <w:pPr>
              <w:pStyle w:val="Style2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资产</w:t>
            </w:r>
          </w:p>
        </w:tc>
      </w:tr>
      <w:tr>
        <w:trPr>
          <w:trHeight w:val="384"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长期待摊费用摊销</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60"/>
              <w:jc w:val="both"/>
              <w:rPr>
                <w:sz w:val="20"/>
                <w:szCs w:val="20"/>
              </w:rPr>
            </w:pPr>
            <w:r>
              <w:rPr>
                <w:rFonts w:ascii="Times New Roman" w:eastAsia="Times New Roman" w:hAnsi="Times New Roman" w:cs="Times New Roman"/>
                <w:color w:val="000000"/>
                <w:spacing w:val="0"/>
                <w:w w:val="100"/>
                <w:position w:val="0"/>
                <w:sz w:val="20"/>
                <w:szCs w:val="20"/>
              </w:rPr>
              <w:t>28,446</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20"/>
              <w:jc w:val="left"/>
              <w:rPr>
                <w:sz w:val="20"/>
                <w:szCs w:val="20"/>
              </w:rPr>
            </w:pPr>
            <w:r>
              <w:rPr>
                <w:rFonts w:ascii="Times New Roman" w:eastAsia="Times New Roman" w:hAnsi="Times New Roman" w:cs="Times New Roman"/>
                <w:color w:val="000000"/>
                <w:spacing w:val="0"/>
                <w:w w:val="100"/>
                <w:position w:val="0"/>
                <w:sz w:val="20"/>
                <w:szCs w:val="20"/>
              </w:rPr>
              <w:t>6,604</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160" w:right="0" w:firstLine="0"/>
              <w:jc w:val="both"/>
              <w:rPr>
                <w:sz w:val="20"/>
                <w:szCs w:val="20"/>
              </w:rPr>
            </w:pPr>
            <w:r>
              <w:rPr>
                <w:rFonts w:ascii="Times New Roman" w:eastAsia="Times New Roman" w:hAnsi="Times New Roman" w:cs="Times New Roman"/>
                <w:color w:val="000000"/>
                <w:spacing w:val="0"/>
                <w:w w:val="100"/>
                <w:position w:val="0"/>
                <w:sz w:val="20"/>
                <w:szCs w:val="20"/>
              </w:rPr>
              <w:t>7,524</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1,788</w:t>
            </w:r>
          </w:p>
        </w:tc>
      </w:tr>
      <w:tr>
        <w:trPr>
          <w:trHeight w:val="269"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尚未支付的广告费</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1,665,110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20"/>
              <w:jc w:val="both"/>
              <w:rPr>
                <w:sz w:val="20"/>
                <w:szCs w:val="20"/>
              </w:rPr>
            </w:pPr>
            <w:r>
              <w:rPr>
                <w:rFonts w:ascii="Times New Roman" w:eastAsia="Times New Roman" w:hAnsi="Times New Roman" w:cs="Times New Roman"/>
                <w:color w:val="000000"/>
                <w:spacing w:val="0"/>
                <w:w w:val="100"/>
                <w:position w:val="0"/>
                <w:sz w:val="20"/>
                <w:szCs w:val="20"/>
              </w:rPr>
              <w:t>410,568</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00"/>
              <w:jc w:val="left"/>
              <w:rPr>
                <w:sz w:val="20"/>
                <w:szCs w:val="20"/>
              </w:rPr>
            </w:pPr>
            <w:r>
              <w:rPr>
                <w:rFonts w:ascii="Times New Roman" w:eastAsia="Times New Roman" w:hAnsi="Times New Roman" w:cs="Times New Roman"/>
                <w:color w:val="000000"/>
                <w:spacing w:val="0"/>
                <w:w w:val="100"/>
                <w:position w:val="0"/>
                <w:sz w:val="20"/>
                <w:szCs w:val="20"/>
              </w:rPr>
              <w:t>1,132,983</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277,611</w:t>
            </w:r>
          </w:p>
        </w:tc>
      </w:tr>
      <w:tr>
        <w:trPr>
          <w:trHeight w:val="274"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预提租赁费</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40"/>
              <w:jc w:val="both"/>
              <w:rPr>
                <w:sz w:val="20"/>
                <w:szCs w:val="20"/>
              </w:rPr>
            </w:pPr>
            <w:r>
              <w:rPr>
                <w:rFonts w:ascii="Times New Roman" w:eastAsia="Times New Roman" w:hAnsi="Times New Roman" w:cs="Times New Roman"/>
                <w:color w:val="000000"/>
                <w:spacing w:val="0"/>
                <w:w w:val="100"/>
                <w:position w:val="0"/>
                <w:sz w:val="20"/>
                <w:szCs w:val="20"/>
              </w:rPr>
              <w:t>549,629</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20"/>
              <w:jc w:val="both"/>
              <w:rPr>
                <w:sz w:val="20"/>
                <w:szCs w:val="20"/>
              </w:rPr>
            </w:pPr>
            <w:r>
              <w:rPr>
                <w:rFonts w:ascii="Times New Roman" w:eastAsia="Times New Roman" w:hAnsi="Times New Roman" w:cs="Times New Roman"/>
                <w:color w:val="000000"/>
                <w:spacing w:val="0"/>
                <w:w w:val="100"/>
                <w:position w:val="0"/>
                <w:sz w:val="20"/>
                <w:szCs w:val="20"/>
              </w:rPr>
              <w:t>137,407</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60"/>
              <w:jc w:val="both"/>
              <w:rPr>
                <w:sz w:val="20"/>
                <w:szCs w:val="20"/>
              </w:rPr>
            </w:pPr>
            <w:r>
              <w:rPr>
                <w:rFonts w:ascii="Times New Roman" w:eastAsia="Times New Roman" w:hAnsi="Times New Roman" w:cs="Times New Roman"/>
                <w:color w:val="000000"/>
                <w:spacing w:val="0"/>
                <w:w w:val="100"/>
                <w:position w:val="0"/>
                <w:sz w:val="20"/>
                <w:szCs w:val="20"/>
              </w:rPr>
              <w:t>430,245</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107,561</w:t>
            </w:r>
          </w:p>
        </w:tc>
      </w:tr>
      <w:tr>
        <w:trPr>
          <w:trHeight w:val="269"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可抵扣亏损</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5,749,346</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1,417,933</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00"/>
              <w:jc w:val="left"/>
              <w:rPr>
                <w:sz w:val="20"/>
                <w:szCs w:val="20"/>
              </w:rPr>
            </w:pPr>
            <w:r>
              <w:rPr>
                <w:rFonts w:ascii="Times New Roman" w:eastAsia="Times New Roman" w:hAnsi="Times New Roman" w:cs="Times New Roman"/>
                <w:color w:val="000000"/>
                <w:spacing w:val="0"/>
                <w:w w:val="100"/>
                <w:position w:val="0"/>
                <w:sz w:val="20"/>
                <w:szCs w:val="20"/>
              </w:rPr>
              <w:t>6,110,772</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1,506,539</w:t>
            </w:r>
          </w:p>
        </w:tc>
      </w:tr>
      <w:tr>
        <w:trPr>
          <w:trHeight w:val="269"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资产减值准备</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40"/>
              <w:jc w:val="both"/>
              <w:rPr>
                <w:sz w:val="20"/>
                <w:szCs w:val="20"/>
              </w:rPr>
            </w:pPr>
            <w:r>
              <w:rPr>
                <w:rFonts w:ascii="Times New Roman" w:eastAsia="Times New Roman" w:hAnsi="Times New Roman" w:cs="Times New Roman"/>
                <w:color w:val="000000"/>
                <w:spacing w:val="0"/>
                <w:w w:val="100"/>
                <w:position w:val="0"/>
                <w:sz w:val="20"/>
                <w:szCs w:val="20"/>
              </w:rPr>
              <w:t>432,124</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20"/>
              <w:jc w:val="both"/>
              <w:rPr>
                <w:sz w:val="20"/>
                <w:szCs w:val="20"/>
              </w:rPr>
            </w:pPr>
            <w:r>
              <w:rPr>
                <w:rFonts w:ascii="Times New Roman" w:eastAsia="Times New Roman" w:hAnsi="Times New Roman" w:cs="Times New Roman"/>
                <w:color w:val="000000"/>
                <w:spacing w:val="0"/>
                <w:w w:val="100"/>
                <w:position w:val="0"/>
                <w:sz w:val="20"/>
                <w:szCs w:val="20"/>
              </w:rPr>
              <w:t>107,148</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60"/>
              <w:jc w:val="both"/>
              <w:rPr>
                <w:sz w:val="20"/>
                <w:szCs w:val="20"/>
              </w:rPr>
            </w:pPr>
            <w:r>
              <w:rPr>
                <w:rFonts w:ascii="Times New Roman" w:eastAsia="Times New Roman" w:hAnsi="Times New Roman" w:cs="Times New Roman"/>
                <w:color w:val="000000"/>
                <w:spacing w:val="0"/>
                <w:w w:val="100"/>
                <w:position w:val="0"/>
                <w:sz w:val="20"/>
                <w:szCs w:val="20"/>
              </w:rPr>
              <w:t>409,718</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97,557</w:t>
            </w:r>
          </w:p>
        </w:tc>
      </w:tr>
      <w:tr>
        <w:trPr>
          <w:trHeight w:val="278"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抵销内部未实现利润</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60"/>
              <w:jc w:val="both"/>
              <w:rPr>
                <w:sz w:val="20"/>
                <w:szCs w:val="20"/>
              </w:rPr>
            </w:pPr>
            <w:r>
              <w:rPr>
                <w:rFonts w:ascii="Times New Roman" w:eastAsia="Times New Roman" w:hAnsi="Times New Roman" w:cs="Times New Roman"/>
                <w:color w:val="000000"/>
                <w:spacing w:val="0"/>
                <w:w w:val="100"/>
                <w:position w:val="0"/>
                <w:sz w:val="20"/>
                <w:szCs w:val="20"/>
              </w:rPr>
              <w:t>25,783</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20"/>
              <w:jc w:val="left"/>
              <w:rPr>
                <w:sz w:val="20"/>
                <w:szCs w:val="20"/>
              </w:rPr>
            </w:pPr>
            <w:r>
              <w:rPr>
                <w:rFonts w:ascii="Times New Roman" w:eastAsia="Times New Roman" w:hAnsi="Times New Roman" w:cs="Times New Roman"/>
                <w:color w:val="000000"/>
                <w:spacing w:val="0"/>
                <w:w w:val="100"/>
                <w:position w:val="0"/>
                <w:sz w:val="20"/>
                <w:szCs w:val="20"/>
              </w:rPr>
              <w:t>6,446</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060" w:right="0" w:firstLine="0"/>
              <w:jc w:val="both"/>
              <w:rPr>
                <w:sz w:val="20"/>
                <w:szCs w:val="20"/>
              </w:rPr>
            </w:pPr>
            <w:r>
              <w:rPr>
                <w:rFonts w:ascii="Times New Roman" w:eastAsia="Times New Roman" w:hAnsi="Times New Roman" w:cs="Times New Roman"/>
                <w:color w:val="000000"/>
                <w:spacing w:val="0"/>
                <w:w w:val="100"/>
                <w:position w:val="0"/>
                <w:sz w:val="20"/>
                <w:szCs w:val="20"/>
              </w:rPr>
              <w:t>14,648</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3,662</w:t>
            </w:r>
          </w:p>
        </w:tc>
      </w:tr>
      <w:tr>
        <w:trPr>
          <w:trHeight w:val="259"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资产性政府补助</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40"/>
              <w:jc w:val="both"/>
              <w:rPr>
                <w:sz w:val="20"/>
                <w:szCs w:val="20"/>
              </w:rPr>
            </w:pPr>
            <w:r>
              <w:rPr>
                <w:rFonts w:ascii="Times New Roman" w:eastAsia="Times New Roman" w:hAnsi="Times New Roman" w:cs="Times New Roman"/>
                <w:color w:val="000000"/>
                <w:spacing w:val="0"/>
                <w:w w:val="100"/>
                <w:position w:val="0"/>
                <w:sz w:val="20"/>
                <w:szCs w:val="20"/>
              </w:rPr>
              <w:t>625,305</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20"/>
              <w:jc w:val="both"/>
              <w:rPr>
                <w:sz w:val="20"/>
                <w:szCs w:val="20"/>
              </w:rPr>
            </w:pPr>
            <w:r>
              <w:rPr>
                <w:rFonts w:ascii="Times New Roman" w:eastAsia="Times New Roman" w:hAnsi="Times New Roman" w:cs="Times New Roman"/>
                <w:color w:val="000000"/>
                <w:spacing w:val="0"/>
                <w:w w:val="100"/>
                <w:position w:val="0"/>
                <w:sz w:val="20"/>
                <w:szCs w:val="20"/>
              </w:rPr>
              <w:t>155,274</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60"/>
              <w:jc w:val="both"/>
              <w:rPr>
                <w:sz w:val="20"/>
                <w:szCs w:val="20"/>
              </w:rPr>
            </w:pPr>
            <w:r>
              <w:rPr>
                <w:rFonts w:ascii="Times New Roman" w:eastAsia="Times New Roman" w:hAnsi="Times New Roman" w:cs="Times New Roman"/>
                <w:color w:val="000000"/>
                <w:spacing w:val="0"/>
                <w:w w:val="100"/>
                <w:position w:val="0"/>
                <w:sz w:val="20"/>
                <w:szCs w:val="20"/>
              </w:rPr>
              <w:t>591,024</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146,325</w:t>
            </w:r>
          </w:p>
        </w:tc>
      </w:tr>
      <w:tr>
        <w:trPr>
          <w:trHeight w:val="250"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以公允价值计量且其</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69"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变动计入当期损益</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64"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的金融负债</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60"/>
              <w:jc w:val="both"/>
              <w:rPr>
                <w:sz w:val="20"/>
                <w:szCs w:val="20"/>
              </w:rPr>
            </w:pPr>
            <w:r>
              <w:rPr>
                <w:rFonts w:ascii="Times New Roman" w:eastAsia="Times New Roman" w:hAnsi="Times New Roman" w:cs="Times New Roman"/>
                <w:color w:val="000000"/>
                <w:spacing w:val="0"/>
                <w:w w:val="100"/>
                <w:position w:val="0"/>
                <w:sz w:val="20"/>
                <w:szCs w:val="20"/>
              </w:rPr>
              <w:t>38,650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20"/>
              <w:jc w:val="left"/>
              <w:rPr>
                <w:sz w:val="20"/>
                <w:szCs w:val="20"/>
              </w:rPr>
            </w:pPr>
            <w:r>
              <w:rPr>
                <w:rFonts w:ascii="Times New Roman" w:eastAsia="Times New Roman" w:hAnsi="Times New Roman" w:cs="Times New Roman"/>
                <w:color w:val="000000"/>
                <w:spacing w:val="0"/>
                <w:w w:val="100"/>
                <w:position w:val="0"/>
                <w:sz w:val="20"/>
                <w:szCs w:val="20"/>
              </w:rPr>
              <w:t>9,663</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060" w:right="0" w:firstLine="0"/>
              <w:jc w:val="both"/>
              <w:rPr>
                <w:sz w:val="20"/>
                <w:szCs w:val="20"/>
              </w:rPr>
            </w:pPr>
            <w:r>
              <w:rPr>
                <w:rFonts w:ascii="Times New Roman" w:eastAsia="Times New Roman" w:hAnsi="Times New Roman" w:cs="Times New Roman"/>
                <w:color w:val="000000"/>
                <w:spacing w:val="0"/>
                <w:w w:val="100"/>
                <w:position w:val="0"/>
                <w:sz w:val="20"/>
                <w:szCs w:val="20"/>
              </w:rPr>
              <w:t>14,910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3,728</w:t>
            </w:r>
          </w:p>
        </w:tc>
      </w:tr>
      <w:tr>
        <w:trPr>
          <w:trHeight w:val="250"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广告费和业务宣传费</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74"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超过当年营业收入</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64"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15%</w:t>
            </w:r>
            <w:r>
              <w:rPr>
                <w:color w:val="000000"/>
                <w:spacing w:val="0"/>
                <w:w w:val="100"/>
                <w:position w:val="0"/>
                <w:sz w:val="20"/>
                <w:szCs w:val="20"/>
              </w:rPr>
              <w:t>部分</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1,101,376</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20"/>
              <w:jc w:val="both"/>
              <w:rPr>
                <w:sz w:val="20"/>
                <w:szCs w:val="20"/>
              </w:rPr>
            </w:pPr>
            <w:r>
              <w:rPr>
                <w:rFonts w:ascii="Times New Roman" w:eastAsia="Times New Roman" w:hAnsi="Times New Roman" w:cs="Times New Roman"/>
                <w:color w:val="000000"/>
                <w:spacing w:val="0"/>
                <w:w w:val="100"/>
                <w:position w:val="0"/>
                <w:sz w:val="20"/>
                <w:szCs w:val="20"/>
              </w:rPr>
              <w:t>275,344</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60"/>
              <w:jc w:val="both"/>
              <w:rPr>
                <w:sz w:val="20"/>
                <w:szCs w:val="20"/>
              </w:rPr>
            </w:pPr>
            <w:r>
              <w:rPr>
                <w:rFonts w:ascii="Times New Roman" w:eastAsia="Times New Roman" w:hAnsi="Times New Roman" w:cs="Times New Roman"/>
                <w:color w:val="000000"/>
                <w:spacing w:val="0"/>
                <w:w w:val="100"/>
                <w:position w:val="0"/>
                <w:sz w:val="20"/>
                <w:szCs w:val="20"/>
              </w:rPr>
              <w:t>572,506</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143,129</w:t>
            </w:r>
          </w:p>
        </w:tc>
      </w:tr>
      <w:tr>
        <w:trPr>
          <w:trHeight w:val="288"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房地产企业预计利润</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60"/>
              <w:jc w:val="both"/>
              <w:rPr>
                <w:sz w:val="20"/>
                <w:szCs w:val="20"/>
              </w:rPr>
            </w:pPr>
            <w:r>
              <w:rPr>
                <w:rFonts w:ascii="Times New Roman" w:eastAsia="Times New Roman" w:hAnsi="Times New Roman" w:cs="Times New Roman"/>
                <w:color w:val="000000"/>
                <w:spacing w:val="0"/>
                <w:w w:val="100"/>
                <w:position w:val="0"/>
                <w:sz w:val="20"/>
                <w:szCs w:val="20"/>
              </w:rPr>
              <w:t>37,443</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20"/>
              <w:jc w:val="left"/>
              <w:rPr>
                <w:sz w:val="20"/>
                <w:szCs w:val="20"/>
              </w:rPr>
            </w:pPr>
            <w:r>
              <w:rPr>
                <w:rFonts w:ascii="Times New Roman" w:eastAsia="Times New Roman" w:hAnsi="Times New Roman" w:cs="Times New Roman"/>
                <w:color w:val="000000"/>
                <w:spacing w:val="0"/>
                <w:w w:val="100"/>
                <w:position w:val="0"/>
                <w:sz w:val="20"/>
                <w:szCs w:val="20"/>
              </w:rPr>
              <w:t>9,361</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160" w:right="0" w:firstLine="0"/>
              <w:jc w:val="both"/>
              <w:rPr>
                <w:sz w:val="20"/>
                <w:szCs w:val="20"/>
              </w:rPr>
            </w:pPr>
            <w:r>
              <w:rPr>
                <w:rFonts w:ascii="Times New Roman" w:eastAsia="Times New Roman" w:hAnsi="Times New Roman" w:cs="Times New Roman"/>
                <w:color w:val="000000"/>
                <w:spacing w:val="0"/>
                <w:w w:val="100"/>
                <w:position w:val="0"/>
                <w:sz w:val="20"/>
                <w:szCs w:val="20"/>
              </w:rPr>
              <w:t>5,615</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1,404</w:t>
            </w:r>
          </w:p>
        </w:tc>
      </w:tr>
      <w:tr>
        <w:trPr>
          <w:trHeight w:val="250"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40"/>
              <w:jc w:val="both"/>
              <w:rPr>
                <w:sz w:val="20"/>
                <w:szCs w:val="20"/>
              </w:rPr>
            </w:pPr>
            <w:r>
              <w:rPr>
                <w:rFonts w:ascii="Times New Roman" w:eastAsia="Times New Roman" w:hAnsi="Times New Roman" w:cs="Times New Roman"/>
                <w:color w:val="000000"/>
                <w:spacing w:val="0"/>
                <w:w w:val="100"/>
                <w:position w:val="0"/>
                <w:sz w:val="20"/>
                <w:szCs w:val="20"/>
              </w:rPr>
              <w:t>115,650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28,912</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060" w:right="0" w:firstLine="0"/>
              <w:jc w:val="both"/>
              <w:rPr>
                <w:sz w:val="20"/>
                <w:szCs w:val="20"/>
              </w:rPr>
            </w:pPr>
            <w:r>
              <w:rPr>
                <w:rFonts w:ascii="Times New Roman" w:eastAsia="Times New Roman" w:hAnsi="Times New Roman" w:cs="Times New Roman"/>
                <w:color w:val="000000"/>
                <w:spacing w:val="0"/>
                <w:w w:val="100"/>
                <w:position w:val="0"/>
                <w:sz w:val="20"/>
                <w:szCs w:val="20"/>
              </w:rPr>
              <w:t>58,406</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14,601</w:t>
            </w:r>
          </w:p>
        </w:tc>
      </w:tr>
      <w:tr>
        <w:trPr>
          <w:trHeight w:val="336" w:hRule="exact"/>
        </w:trPr>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10,368,862</w:t>
            </w:r>
          </w:p>
        </w:tc>
        <w:tc>
          <w:tcPr>
            <w:tcBorders>
              <w:top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2,564,660</w:t>
            </w:r>
          </w:p>
        </w:tc>
        <w:tc>
          <w:tcPr>
            <w:tcBorders>
              <w:top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00"/>
              <w:jc w:val="left"/>
              <w:rPr>
                <w:sz w:val="20"/>
                <w:szCs w:val="20"/>
              </w:rPr>
            </w:pPr>
            <w:r>
              <w:rPr>
                <w:rFonts w:ascii="Times New Roman" w:eastAsia="Times New Roman" w:hAnsi="Times New Roman" w:cs="Times New Roman"/>
                <w:color w:val="000000"/>
                <w:spacing w:val="0"/>
                <w:w w:val="100"/>
                <w:position w:val="0"/>
                <w:sz w:val="20"/>
                <w:szCs w:val="20"/>
              </w:rPr>
              <w:t>9,348,351</w:t>
            </w:r>
          </w:p>
        </w:tc>
        <w:tc>
          <w:tcPr>
            <w:tcBorders>
              <w:top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2,303,905</w:t>
            </w:r>
          </w:p>
        </w:tc>
      </w:tr>
    </w:tbl>
    <w:p>
      <w:pPr>
        <w:pStyle w:val="Style32"/>
        <w:keepNext w:val="0"/>
        <w:keepLines w:val="0"/>
        <w:widowControl w:val="0"/>
        <w:shd w:val="clear" w:color="auto" w:fill="auto"/>
        <w:bidi w:val="0"/>
        <w:spacing w:before="0" w:after="0" w:line="240" w:lineRule="auto"/>
        <w:ind w:left="0" w:right="0" w:firstLine="720"/>
        <w:jc w:val="both"/>
        <w:rPr>
          <w:sz w:val="24"/>
          <w:szCs w:val="24"/>
        </w:rPr>
      </w:pPr>
      <w:r>
        <w:rPr>
          <w:b/>
          <w:bCs/>
          <w:color w:val="000000"/>
          <w:spacing w:val="0"/>
          <w:w w:val="100"/>
          <w:position w:val="0"/>
          <w:sz w:val="24"/>
          <w:szCs w:val="24"/>
        </w:rPr>
        <w:t>财务报表附注</w:t>
      </w:r>
    </w:p>
    <w:p>
      <w:pPr>
        <w:pStyle w:val="Style88"/>
        <w:keepNext/>
        <w:keepLines/>
        <w:widowControl w:val="0"/>
        <w:shd w:val="clear" w:color="auto" w:fill="auto"/>
        <w:bidi w:val="0"/>
        <w:spacing w:before="0" w:after="0" w:line="240" w:lineRule="auto"/>
        <w:ind w:left="0" w:right="0" w:firstLine="720"/>
        <w:jc w:val="both"/>
      </w:pPr>
      <w:bookmarkStart w:id="917" w:name="bookmark917"/>
      <w:bookmarkStart w:id="918" w:name="bookmark918"/>
      <w:bookmarkStart w:id="919" w:name="bookmark919"/>
      <w:r>
        <w:rPr>
          <w:color w:val="000000"/>
          <w:spacing w:val="0"/>
          <w:w w:val="100"/>
          <w:position w:val="0"/>
          <w:sz w:val="24"/>
          <w:szCs w:val="24"/>
        </w:rPr>
        <w:t>2016</w:t>
      </w:r>
      <w:r>
        <w:rPr>
          <w:rFonts w:ascii="SimSun" w:eastAsia="SimSun" w:hAnsi="SimSun" w:cs="SimSun"/>
          <w:b/>
          <w:bCs/>
          <w:color w:val="000000"/>
          <w:spacing w:val="0"/>
          <w:w w:val="100"/>
          <w:position w:val="0"/>
          <w:sz w:val="24"/>
          <w:szCs w:val="24"/>
        </w:rPr>
        <w:t>年度</w:t>
      </w:r>
      <w:bookmarkEnd w:id="917"/>
      <w:bookmarkEnd w:id="918"/>
      <w:bookmarkEnd w:id="919"/>
    </w:p>
    <w:p>
      <w:pPr>
        <w:pStyle w:val="Style32"/>
        <w:keepNext w:val="0"/>
        <w:keepLines w:val="0"/>
        <w:widowControl w:val="0"/>
        <w:shd w:val="clear" w:color="auto" w:fill="auto"/>
        <w:bidi w:val="0"/>
        <w:spacing w:before="0" w:after="240" w:line="240" w:lineRule="auto"/>
        <w:ind w:left="0" w:right="0" w:firstLine="720"/>
        <w:jc w:val="both"/>
        <w:rPr>
          <w:sz w:val="24"/>
          <w:szCs w:val="24"/>
        </w:rPr>
      </w:pPr>
      <w:r>
        <w:rPr>
          <w:rFonts w:ascii="Arial" w:eastAsia="Arial" w:hAnsi="Arial" w:cs="Arial"/>
          <w:color w:val="000000"/>
          <w:spacing w:val="0"/>
          <w:w w:val="100"/>
          <w:position w:val="0"/>
          <w:sz w:val="20"/>
          <w:szCs w:val="20"/>
        </w:rPr>
        <w:t>（</w:t>
      </w:r>
      <w:r>
        <w:rPr>
          <w:color w:val="000000"/>
          <w:spacing w:val="0"/>
          <w:w w:val="100"/>
          <w:position w:val="0"/>
          <w:sz w:val="20"/>
          <w:szCs w:val="20"/>
        </w:rPr>
        <w:t>除特别注明外，金额单位为人民币千元</w:t>
      </w:r>
      <w:r>
        <w:rPr>
          <w:color w:val="000000"/>
          <w:spacing w:val="0"/>
          <w:w w:val="100"/>
          <w:position w:val="0"/>
          <w:sz w:val="24"/>
          <w:szCs w:val="24"/>
        </w:rPr>
        <w:t>）</w:t>
      </w:r>
    </w:p>
    <w:p>
      <w:pPr>
        <w:pStyle w:val="Style32"/>
        <w:keepNext w:val="0"/>
        <w:keepLines w:val="0"/>
        <w:widowControl w:val="0"/>
        <w:shd w:val="clear" w:color="auto" w:fill="auto"/>
        <w:tabs>
          <w:tab w:pos="667" w:val="left"/>
        </w:tabs>
        <w:bidi w:val="0"/>
        <w:spacing w:before="0" w:after="240" w:line="240" w:lineRule="auto"/>
        <w:ind w:left="0" w:right="0" w:firstLine="0"/>
        <w:jc w:val="both"/>
        <w:rPr>
          <w:sz w:val="24"/>
          <w:szCs w:val="24"/>
        </w:rPr>
      </w:pPr>
      <w:r>
        <w:rPr>
          <w:b/>
          <w:bCs/>
          <w:color w:val="000000"/>
          <w:spacing w:val="0"/>
          <w:w w:val="100"/>
          <w:position w:val="0"/>
          <w:sz w:val="24"/>
          <w:szCs w:val="24"/>
        </w:rPr>
        <w:t>四</w:t>
        <w:tab/>
        <w:t>合并财务报表项目附注</w:t>
      </w:r>
      <w:r>
        <w:rPr>
          <w:rFonts w:ascii="Times New Roman" w:eastAsia="Times New Roman" w:hAnsi="Times New Roman" w:cs="Times New Roman"/>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4"/>
          <w:szCs w:val="24"/>
        </w:rPr>
        <w:t>）</w:t>
      </w:r>
    </w:p>
    <w:p>
      <w:pPr>
        <w:pStyle w:val="Style32"/>
        <w:keepNext w:val="0"/>
        <w:keepLines w:val="0"/>
        <w:widowControl w:val="0"/>
        <w:shd w:val="clear" w:color="auto" w:fill="auto"/>
        <w:tabs>
          <w:tab w:pos="667" w:val="left"/>
        </w:tabs>
        <w:bidi w:val="0"/>
        <w:spacing w:before="0" w:after="240" w:line="240" w:lineRule="auto"/>
        <w:ind w:left="0" w:right="0" w:firstLine="0"/>
        <w:jc w:val="both"/>
        <w:rPr>
          <w:sz w:val="24"/>
          <w:szCs w:val="24"/>
        </w:rPr>
      </w:pPr>
      <w:r>
        <w:rPr>
          <w:rFonts w:ascii="Times New Roman" w:eastAsia="Times New Roman" w:hAnsi="Times New Roman" w:cs="Times New Roman"/>
          <w:color w:val="000000"/>
          <w:spacing w:val="0"/>
          <w:w w:val="100"/>
          <w:position w:val="0"/>
          <w:sz w:val="24"/>
          <w:szCs w:val="24"/>
        </w:rPr>
        <w:t>（20）</w:t>
        <w:tab/>
      </w:r>
      <w:r>
        <w:rPr>
          <w:b/>
          <w:bCs/>
          <w:color w:val="000000"/>
          <w:spacing w:val="0"/>
          <w:w w:val="100"/>
          <w:position w:val="0"/>
          <w:sz w:val="24"/>
          <w:szCs w:val="24"/>
        </w:rPr>
        <w:t>递延所得税资产和递延所得税负债</w:t>
      </w:r>
      <w:r>
        <w:rPr>
          <w:rFonts w:ascii="Times New Roman" w:eastAsia="Times New Roman" w:hAnsi="Times New Roman" w:cs="Times New Roman"/>
          <w:color w:val="000000"/>
          <w:spacing w:val="0"/>
          <w:w w:val="100"/>
          <w:position w:val="0"/>
          <w:sz w:val="24"/>
          <w:szCs w:val="24"/>
        </w:rPr>
        <w:t>（</w:t>
      </w:r>
      <w:r>
        <w:rPr>
          <w:b/>
          <w:bCs/>
          <w:color w:val="000000"/>
          <w:spacing w:val="0"/>
          <w:w w:val="100"/>
          <w:position w:val="0"/>
          <w:sz w:val="24"/>
          <w:szCs w:val="24"/>
        </w:rPr>
        <w:t>续</w:t>
      </w:r>
      <w:r>
        <w:rPr>
          <w:rFonts w:ascii="Times New Roman" w:eastAsia="Times New Roman" w:hAnsi="Times New Roman" w:cs="Times New Roman"/>
          <w:color w:val="000000"/>
          <w:spacing w:val="0"/>
          <w:w w:val="100"/>
          <w:position w:val="0"/>
          <w:sz w:val="24"/>
          <w:szCs w:val="24"/>
        </w:rPr>
        <w:t>）</w:t>
      </w:r>
    </w:p>
    <w:p>
      <w:pPr>
        <w:pStyle w:val="Style32"/>
        <w:keepNext w:val="0"/>
        <w:keepLines w:val="0"/>
        <w:widowControl w:val="0"/>
        <w:shd w:val="clear" w:color="auto" w:fill="auto"/>
        <w:tabs>
          <w:tab w:pos="667" w:val="left"/>
        </w:tabs>
        <w:bidi w:val="0"/>
        <w:spacing w:before="0" w:after="300" w:line="240" w:lineRule="auto"/>
        <w:ind w:left="0" w:right="0" w:firstLine="0"/>
        <w:jc w:val="both"/>
        <w:rPr>
          <w:sz w:val="24"/>
          <w:szCs w:val="24"/>
        </w:rPr>
      </w:pPr>
      <w:r>
        <w:rPr>
          <w:rFonts w:ascii="Times New Roman" w:eastAsia="Times New Roman" w:hAnsi="Times New Roman" w:cs="Times New Roman"/>
          <w:color w:val="000000"/>
          <w:spacing w:val="0"/>
          <w:w w:val="100"/>
          <w:position w:val="0"/>
          <w:sz w:val="24"/>
          <w:szCs w:val="24"/>
        </w:rPr>
        <w:t>（a）</w:t>
        <w:tab/>
      </w:r>
      <w:r>
        <w:rPr>
          <w:color w:val="000000"/>
          <w:spacing w:val="0"/>
          <w:w w:val="100"/>
          <w:position w:val="0"/>
          <w:sz w:val="24"/>
          <w:szCs w:val="24"/>
        </w:rPr>
        <w:t>未经抵销的递延所得税资产</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续</w:t>
      </w:r>
      <w:r>
        <w:rPr>
          <w:rFonts w:ascii="Times New Roman" w:eastAsia="Times New Roman" w:hAnsi="Times New Roman" w:cs="Times New Roman"/>
          <w:color w:val="000000"/>
          <w:spacing w:val="0"/>
          <w:w w:val="100"/>
          <w:position w:val="0"/>
          <w:sz w:val="24"/>
          <w:szCs w:val="24"/>
        </w:rPr>
        <w:t>）</w:t>
      </w:r>
    </w:p>
    <w:tbl>
      <w:tblPr>
        <w:tblOverlap w:val="never"/>
        <w:jc w:val="center"/>
        <w:tblLayout w:type="fixed"/>
      </w:tblPr>
      <w:tblGrid>
        <w:gridCol w:w="3667"/>
        <w:gridCol w:w="2789"/>
        <w:gridCol w:w="2530"/>
      </w:tblGrid>
      <w:tr>
        <w:trPr>
          <w:trHeight w:val="245"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320" w:firstLine="0"/>
              <w:jc w:val="right"/>
              <w:rPr>
                <w:sz w:val="20"/>
                <w:szCs w:val="20"/>
              </w:rPr>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2015</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w:t>
            </w:r>
          </w:p>
        </w:tc>
      </w:tr>
      <w:tr>
        <w:trPr>
          <w:trHeight w:val="259"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其中：</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69"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预计于</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年内</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含</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转回的金额</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320" w:firstLine="0"/>
              <w:jc w:val="right"/>
              <w:rPr>
                <w:sz w:val="20"/>
                <w:szCs w:val="20"/>
              </w:rPr>
            </w:pPr>
            <w:r>
              <w:rPr>
                <w:rFonts w:ascii="Times New Roman" w:eastAsia="Times New Roman" w:hAnsi="Times New Roman" w:cs="Times New Roman"/>
                <w:color w:val="000000"/>
                <w:spacing w:val="0"/>
                <w:w w:val="100"/>
                <w:position w:val="0"/>
                <w:sz w:val="20"/>
                <w:szCs w:val="20"/>
              </w:rPr>
              <w:t>749,255</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454,334</w:t>
            </w:r>
          </w:p>
        </w:tc>
      </w:tr>
      <w:tr>
        <w:trPr>
          <w:trHeight w:val="274"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预计于</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年后转回的金额</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640" w:right="0" w:firstLine="0"/>
              <w:jc w:val="left"/>
              <w:rPr>
                <w:sz w:val="20"/>
                <w:szCs w:val="20"/>
              </w:rPr>
            </w:pPr>
            <w:r>
              <w:rPr>
                <w:rFonts w:ascii="Times New Roman" w:eastAsia="Times New Roman" w:hAnsi="Times New Roman" w:cs="Times New Roman"/>
                <w:color w:val="000000"/>
                <w:spacing w:val="0"/>
                <w:w w:val="100"/>
                <w:position w:val="0"/>
                <w:sz w:val="20"/>
                <w:szCs w:val="20"/>
              </w:rPr>
              <w:t>1,815,405</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1,849,571</w:t>
            </w:r>
          </w:p>
        </w:tc>
      </w:tr>
      <w:tr>
        <w:trPr>
          <w:trHeight w:val="293" w:hRule="exact"/>
        </w:trPr>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640" w:right="0" w:firstLine="0"/>
              <w:jc w:val="left"/>
              <w:rPr>
                <w:sz w:val="20"/>
                <w:szCs w:val="20"/>
              </w:rPr>
            </w:pPr>
            <w:r>
              <w:rPr>
                <w:rFonts w:ascii="Times New Roman" w:eastAsia="Times New Roman" w:hAnsi="Times New Roman" w:cs="Times New Roman"/>
                <w:color w:val="000000"/>
                <w:spacing w:val="0"/>
                <w:w w:val="100"/>
                <w:position w:val="0"/>
                <w:sz w:val="20"/>
                <w:szCs w:val="20"/>
              </w:rPr>
              <w:t>2,564,660</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2,303,905</w:t>
            </w:r>
          </w:p>
        </w:tc>
      </w:tr>
      <w:tr>
        <w:trPr>
          <w:trHeight w:val="720" w:hRule="exact"/>
        </w:trPr>
        <w:tc>
          <w:tcPr>
            <w:tcBorders/>
            <w:shd w:val="clear" w:color="auto" w:fill="FFFFFF"/>
            <w:vAlign w:val="center"/>
          </w:tcPr>
          <w:p>
            <w:pPr>
              <w:pStyle w:val="Style28"/>
              <w:keepNext w:val="0"/>
              <w:keepLines w:val="0"/>
              <w:widowControl w:val="0"/>
              <w:shd w:val="clear" w:color="auto" w:fill="auto"/>
              <w:tabs>
                <w:tab w:pos="691" w:val="left"/>
              </w:tabs>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（b）</w:t>
              <w:tab/>
            </w:r>
            <w:r>
              <w:rPr>
                <w:color w:val="000000"/>
                <w:spacing w:val="0"/>
                <w:w w:val="100"/>
                <w:position w:val="0"/>
                <w:sz w:val="24"/>
                <w:szCs w:val="24"/>
              </w:rPr>
              <w:t>未经抵销的递延所得税负债</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65" w:hRule="exact"/>
        </w:trPr>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w:t>
            </w:r>
          </w:p>
        </w:tc>
        <w:tc>
          <w:tcPr>
            <w:tcBorders>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2015</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w:t>
            </w:r>
          </w:p>
        </w:tc>
      </w:tr>
    </w:tbl>
    <w:p>
      <w:pPr>
        <w:widowControl w:val="0"/>
        <w:spacing w:line="1" w:lineRule="exact"/>
      </w:pPr>
    </w:p>
    <w:tbl>
      <w:tblPr>
        <w:tblOverlap w:val="never"/>
        <w:jc w:val="right"/>
        <w:tblLayout w:type="fixed"/>
      </w:tblPr>
      <w:tblGrid>
        <w:gridCol w:w="2371"/>
        <w:gridCol w:w="1627"/>
        <w:gridCol w:w="1445"/>
        <w:gridCol w:w="1603"/>
        <w:gridCol w:w="1267"/>
      </w:tblGrid>
      <w:tr>
        <w:trPr>
          <w:trHeight w:val="269"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应纳税暂时性</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递延所得税</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应纳税暂时性</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递延所得税</w:t>
            </w:r>
          </w:p>
        </w:tc>
      </w:tr>
      <w:tr>
        <w:trPr>
          <w:trHeight w:val="408"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40"/>
              <w:jc w:val="left"/>
              <w:rPr>
                <w:sz w:val="20"/>
                <w:szCs w:val="20"/>
              </w:rPr>
            </w:pPr>
            <w:r>
              <w:rPr>
                <w:color w:val="000000"/>
                <w:spacing w:val="0"/>
                <w:w w:val="100"/>
                <w:position w:val="0"/>
                <w:sz w:val="20"/>
                <w:szCs w:val="20"/>
              </w:rPr>
              <w:t>差异</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60"/>
              <w:jc w:val="both"/>
              <w:rPr>
                <w:sz w:val="20"/>
                <w:szCs w:val="20"/>
              </w:rPr>
            </w:pPr>
            <w:r>
              <w:rPr>
                <w:color w:val="000000"/>
                <w:spacing w:val="0"/>
                <w:w w:val="100"/>
                <w:position w:val="0"/>
                <w:sz w:val="20"/>
                <w:szCs w:val="20"/>
              </w:rPr>
              <w:t>负债</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220" w:firstLine="0"/>
              <w:jc w:val="right"/>
              <w:rPr>
                <w:sz w:val="20"/>
                <w:szCs w:val="20"/>
              </w:rPr>
            </w:pPr>
            <w:r>
              <w:rPr>
                <w:color w:val="000000"/>
                <w:spacing w:val="0"/>
                <w:w w:val="100"/>
                <w:position w:val="0"/>
                <w:sz w:val="20"/>
                <w:szCs w:val="20"/>
              </w:rPr>
              <w:t>差异</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负债</w:t>
            </w:r>
          </w:p>
        </w:tc>
      </w:tr>
      <w:tr>
        <w:trPr>
          <w:trHeight w:val="427"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未实现公允价值变动</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left"/>
              <w:rPr>
                <w:sz w:val="20"/>
                <w:szCs w:val="20"/>
              </w:rPr>
            </w:pPr>
            <w:r>
              <w:rPr>
                <w:rFonts w:ascii="Times New Roman" w:eastAsia="Times New Roman" w:hAnsi="Times New Roman" w:cs="Times New Roman"/>
                <w:color w:val="000000"/>
                <w:spacing w:val="0"/>
                <w:w w:val="100"/>
                <w:position w:val="0"/>
                <w:sz w:val="20"/>
                <w:szCs w:val="20"/>
              </w:rPr>
              <w:t>1,172,561</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293,225</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00"/>
              <w:jc w:val="left"/>
              <w:rPr>
                <w:sz w:val="20"/>
                <w:szCs w:val="20"/>
              </w:rPr>
            </w:pPr>
            <w:r>
              <w:rPr>
                <w:rFonts w:ascii="Times New Roman" w:eastAsia="Times New Roman" w:hAnsi="Times New Roman" w:cs="Times New Roman"/>
                <w:color w:val="000000"/>
                <w:spacing w:val="0"/>
                <w:w w:val="100"/>
                <w:position w:val="0"/>
                <w:sz w:val="20"/>
                <w:szCs w:val="20"/>
              </w:rPr>
              <w:t>369,247</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20"/>
              <w:jc w:val="both"/>
              <w:rPr>
                <w:sz w:val="20"/>
                <w:szCs w:val="20"/>
              </w:rPr>
            </w:pPr>
            <w:r>
              <w:rPr>
                <w:rFonts w:ascii="Times New Roman" w:eastAsia="Times New Roman" w:hAnsi="Times New Roman" w:cs="Times New Roman"/>
                <w:color w:val="000000"/>
                <w:spacing w:val="0"/>
                <w:w w:val="100"/>
                <w:position w:val="0"/>
                <w:sz w:val="20"/>
                <w:szCs w:val="20"/>
              </w:rPr>
              <w:t>91,502</w:t>
            </w:r>
          </w:p>
        </w:tc>
      </w:tr>
      <w:tr>
        <w:trPr>
          <w:trHeight w:val="278"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利息资本化</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60"/>
              <w:jc w:val="left"/>
              <w:rPr>
                <w:sz w:val="20"/>
                <w:szCs w:val="20"/>
              </w:rPr>
            </w:pPr>
            <w:r>
              <w:rPr>
                <w:rFonts w:ascii="Times New Roman" w:eastAsia="Times New Roman" w:hAnsi="Times New Roman" w:cs="Times New Roman"/>
                <w:color w:val="000000"/>
                <w:spacing w:val="0"/>
                <w:w w:val="100"/>
                <w:position w:val="0"/>
                <w:sz w:val="20"/>
                <w:szCs w:val="20"/>
              </w:rPr>
              <w:t>374,291</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93,573</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00"/>
              <w:jc w:val="left"/>
              <w:rPr>
                <w:sz w:val="20"/>
                <w:szCs w:val="20"/>
              </w:rPr>
            </w:pPr>
            <w:r>
              <w:rPr>
                <w:rFonts w:ascii="Times New Roman" w:eastAsia="Times New Roman" w:hAnsi="Times New Roman" w:cs="Times New Roman"/>
                <w:color w:val="000000"/>
                <w:spacing w:val="0"/>
                <w:w w:val="100"/>
                <w:position w:val="0"/>
                <w:sz w:val="20"/>
                <w:szCs w:val="20"/>
              </w:rPr>
              <w:t>280,383</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20"/>
              <w:jc w:val="both"/>
              <w:rPr>
                <w:sz w:val="20"/>
                <w:szCs w:val="20"/>
              </w:rPr>
            </w:pPr>
            <w:r>
              <w:rPr>
                <w:rFonts w:ascii="Times New Roman" w:eastAsia="Times New Roman" w:hAnsi="Times New Roman" w:cs="Times New Roman"/>
                <w:color w:val="000000"/>
                <w:spacing w:val="0"/>
                <w:w w:val="100"/>
                <w:position w:val="0"/>
                <w:sz w:val="20"/>
                <w:szCs w:val="20"/>
              </w:rPr>
              <w:t>70,096</w:t>
            </w:r>
          </w:p>
        </w:tc>
      </w:tr>
      <w:tr>
        <w:trPr>
          <w:trHeight w:val="283"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非同一控制下企业合并</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60"/>
              <w:jc w:val="left"/>
              <w:rPr>
                <w:sz w:val="20"/>
                <w:szCs w:val="20"/>
              </w:rPr>
            </w:pPr>
            <w:r>
              <w:rPr>
                <w:rFonts w:ascii="Times New Roman" w:eastAsia="Times New Roman" w:hAnsi="Times New Roman" w:cs="Times New Roman"/>
                <w:color w:val="000000"/>
                <w:spacing w:val="0"/>
                <w:w w:val="100"/>
                <w:position w:val="0"/>
                <w:sz w:val="20"/>
                <w:szCs w:val="20"/>
              </w:rPr>
              <w:t>360,511</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116,491</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00"/>
              <w:jc w:val="left"/>
              <w:rPr>
                <w:sz w:val="20"/>
                <w:szCs w:val="20"/>
              </w:rPr>
            </w:pPr>
            <w:r>
              <w:rPr>
                <w:rFonts w:ascii="Times New Roman" w:eastAsia="Times New Roman" w:hAnsi="Times New Roman" w:cs="Times New Roman"/>
                <w:color w:val="000000"/>
                <w:spacing w:val="0"/>
                <w:w w:val="100"/>
                <w:position w:val="0"/>
                <w:sz w:val="20"/>
                <w:szCs w:val="20"/>
              </w:rPr>
              <w:t>410,949</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132,603</w:t>
            </w:r>
          </w:p>
        </w:tc>
      </w:tr>
      <w:tr>
        <w:trPr>
          <w:trHeight w:val="245"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60"/>
              <w:jc w:val="left"/>
              <w:rPr>
                <w:sz w:val="20"/>
                <w:szCs w:val="20"/>
              </w:rPr>
            </w:pPr>
            <w:r>
              <w:rPr>
                <w:rFonts w:ascii="Times New Roman" w:eastAsia="Times New Roman" w:hAnsi="Times New Roman" w:cs="Times New Roman"/>
                <w:color w:val="000000"/>
                <w:spacing w:val="0"/>
                <w:w w:val="100"/>
                <w:position w:val="0"/>
                <w:sz w:val="20"/>
                <w:szCs w:val="20"/>
              </w:rPr>
              <w:t>61,959</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19,986</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00"/>
              <w:jc w:val="left"/>
              <w:rPr>
                <w:sz w:val="20"/>
                <w:szCs w:val="20"/>
              </w:rPr>
            </w:pPr>
            <w:r>
              <w:rPr>
                <w:rFonts w:ascii="Times New Roman" w:eastAsia="Times New Roman" w:hAnsi="Times New Roman" w:cs="Times New Roman"/>
                <w:color w:val="000000"/>
                <w:spacing w:val="0"/>
                <w:w w:val="100"/>
                <w:position w:val="0"/>
                <w:sz w:val="20"/>
                <w:szCs w:val="20"/>
              </w:rPr>
              <w:t>30,913</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7,728</w:t>
            </w:r>
          </w:p>
        </w:tc>
      </w:tr>
      <w:tr>
        <w:trPr>
          <w:trHeight w:val="422"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left"/>
              <w:rPr>
                <w:sz w:val="20"/>
                <w:szCs w:val="20"/>
              </w:rPr>
            </w:pPr>
            <w:r>
              <w:rPr>
                <w:rFonts w:ascii="Times New Roman" w:eastAsia="Times New Roman" w:hAnsi="Times New Roman" w:cs="Times New Roman"/>
                <w:color w:val="000000"/>
                <w:spacing w:val="0"/>
                <w:w w:val="100"/>
                <w:position w:val="0"/>
                <w:sz w:val="20"/>
                <w:szCs w:val="20"/>
              </w:rPr>
              <w:t>1,969,322</w:t>
            </w:r>
          </w:p>
        </w:tc>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523,275</w:t>
            </w:r>
          </w:p>
        </w:tc>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left"/>
              <w:rPr>
                <w:sz w:val="20"/>
                <w:szCs w:val="20"/>
              </w:rPr>
            </w:pPr>
            <w:r>
              <w:rPr>
                <w:rFonts w:ascii="Times New Roman" w:eastAsia="Times New Roman" w:hAnsi="Times New Roman" w:cs="Times New Roman"/>
                <w:color w:val="000000"/>
                <w:spacing w:val="0"/>
                <w:w w:val="100"/>
                <w:position w:val="0"/>
                <w:sz w:val="20"/>
                <w:szCs w:val="20"/>
              </w:rPr>
              <w:t>1,091,492</w:t>
            </w:r>
          </w:p>
        </w:tc>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301,929</w:t>
            </w:r>
          </w:p>
        </w:tc>
      </w:tr>
      <w:tr>
        <w:trPr>
          <w:trHeight w:val="379"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69" w:hRule="exact"/>
        </w:trPr>
        <w:tc>
          <w:tcPr>
            <w:gridSpan w:val="2"/>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预计于</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年内</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含</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转回的金额</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68,199</w:t>
            </w:r>
          </w:p>
        </w:tc>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20"/>
              <w:jc w:val="both"/>
              <w:rPr>
                <w:sz w:val="20"/>
                <w:szCs w:val="20"/>
              </w:rPr>
            </w:pPr>
            <w:r>
              <w:rPr>
                <w:rFonts w:ascii="Times New Roman" w:eastAsia="Times New Roman" w:hAnsi="Times New Roman" w:cs="Times New Roman"/>
                <w:color w:val="000000"/>
                <w:spacing w:val="0"/>
                <w:w w:val="100"/>
                <w:position w:val="0"/>
                <w:sz w:val="20"/>
                <w:szCs w:val="20"/>
              </w:rPr>
              <w:t>16,538</w:t>
            </w:r>
          </w:p>
        </w:tc>
      </w:tr>
      <w:tr>
        <w:trPr>
          <w:trHeight w:val="264"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预计于</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年后转回的金额</w:t>
            </w:r>
          </w:p>
        </w:tc>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80"/>
              <w:jc w:val="left"/>
              <w:rPr>
                <w:sz w:val="20"/>
                <w:szCs w:val="20"/>
              </w:rPr>
            </w:pPr>
            <w:r>
              <w:rPr>
                <w:rFonts w:ascii="Times New Roman" w:eastAsia="Times New Roman" w:hAnsi="Times New Roman" w:cs="Times New Roman"/>
                <w:color w:val="000000"/>
                <w:spacing w:val="0"/>
                <w:w w:val="100"/>
                <w:position w:val="0"/>
                <w:sz w:val="20"/>
                <w:szCs w:val="20"/>
              </w:rPr>
              <w:t>455,076</w:t>
            </w:r>
          </w:p>
        </w:tc>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285,391</w:t>
            </w:r>
          </w:p>
        </w:tc>
      </w:tr>
      <w:tr>
        <w:trPr>
          <w:trHeight w:val="283" w:hRule="exact"/>
        </w:trPr>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80"/>
              <w:jc w:val="left"/>
              <w:rPr>
                <w:sz w:val="20"/>
                <w:szCs w:val="20"/>
              </w:rPr>
            </w:pPr>
            <w:r>
              <w:rPr>
                <w:rFonts w:ascii="Times New Roman" w:eastAsia="Times New Roman" w:hAnsi="Times New Roman" w:cs="Times New Roman"/>
                <w:color w:val="000000"/>
                <w:spacing w:val="0"/>
                <w:w w:val="100"/>
                <w:position w:val="0"/>
                <w:sz w:val="20"/>
                <w:szCs w:val="20"/>
              </w:rPr>
              <w:t>523,275</w:t>
            </w:r>
          </w:p>
        </w:tc>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301,929</w:t>
            </w:r>
          </w:p>
        </w:tc>
      </w:tr>
    </w:tbl>
    <w:p>
      <w:pPr>
        <w:widowControl w:val="0"/>
        <w:spacing w:after="239" w:line="1" w:lineRule="exact"/>
      </w:pPr>
    </w:p>
    <w:p>
      <w:pPr>
        <w:pStyle w:val="Style32"/>
        <w:keepNext w:val="0"/>
        <w:keepLines w:val="0"/>
        <w:widowControl w:val="0"/>
        <w:shd w:val="clear" w:color="auto" w:fill="auto"/>
        <w:tabs>
          <w:tab w:pos="667" w:val="left"/>
        </w:tabs>
        <w:bidi w:val="0"/>
        <w:spacing w:before="0" w:after="240" w:line="312" w:lineRule="exact"/>
        <w:ind w:left="0" w:right="0" w:firstLine="0"/>
        <w:jc w:val="both"/>
        <w:rPr>
          <w:sz w:val="24"/>
          <w:szCs w:val="24"/>
        </w:rPr>
      </w:pPr>
      <w:bookmarkStart w:id="920" w:name="bookmark920"/>
      <w:r>
        <w:rPr>
          <w:rFonts w:ascii="Times New Roman" w:eastAsia="Times New Roman" w:hAnsi="Times New Roman" w:cs="Times New Roman"/>
          <w:color w:val="000000"/>
          <w:spacing w:val="0"/>
          <w:w w:val="100"/>
          <w:position w:val="0"/>
          <w:sz w:val="24"/>
          <w:szCs w:val="24"/>
        </w:rPr>
        <w:t>（</w:t>
      </w:r>
      <w:bookmarkEnd w:id="920"/>
      <w:r>
        <w:rPr>
          <w:rFonts w:ascii="Times New Roman" w:eastAsia="Times New Roman" w:hAnsi="Times New Roman" w:cs="Times New Roman"/>
          <w:color w:val="000000"/>
          <w:spacing w:val="0"/>
          <w:w w:val="100"/>
          <w:position w:val="0"/>
          <w:sz w:val="24"/>
          <w:szCs w:val="24"/>
        </w:rPr>
        <w:t>c）</w:t>
        <w:tab/>
      </w:r>
      <w:r>
        <w:rPr>
          <w:color w:val="000000"/>
          <w:spacing w:val="0"/>
          <w:w w:val="100"/>
          <w:position w:val="0"/>
          <w:sz w:val="24"/>
          <w:szCs w:val="24"/>
        </w:rPr>
        <w:t>本集团未确认递延所得税资产的可抵扣暂时性差异及可抵扣亏损分析如下：</w:t>
      </w:r>
    </w:p>
    <w:p>
      <w:pPr>
        <w:pStyle w:val="Style53"/>
        <w:keepNext w:val="0"/>
        <w:keepLines w:val="0"/>
        <w:widowControl w:val="0"/>
        <w:shd w:val="clear" w:color="auto" w:fill="auto"/>
        <w:tabs>
          <w:tab w:pos="2887" w:val="left"/>
        </w:tabs>
        <w:bidi w:val="0"/>
        <w:spacing w:before="0" w:after="240" w:line="312" w:lineRule="exact"/>
        <w:ind w:left="0" w:right="0" w:firstLine="0"/>
        <w:jc w:val="right"/>
        <w:rPr>
          <w:sz w:val="24"/>
          <w:szCs w:val="24"/>
        </w:rPr>
      </w:pPr>
      <w:r>
        <w:rPr>
          <w:color w:val="000000"/>
          <w:spacing w:val="0"/>
          <w:w w:val="100"/>
          <w:position w:val="0"/>
          <w:sz w:val="24"/>
          <w:szCs w:val="24"/>
        </w:rPr>
        <w:t>2016</w:t>
      </w:r>
      <w:r>
        <w:rPr>
          <w:rFonts w:ascii="SimSun" w:eastAsia="SimSun" w:hAnsi="SimSun" w:cs="SimSun"/>
          <w:color w:val="000000"/>
          <w:spacing w:val="0"/>
          <w:w w:val="100"/>
          <w:position w:val="0"/>
          <w:sz w:val="24"/>
          <w:szCs w:val="24"/>
        </w:rPr>
        <w:t>年</w:t>
      </w:r>
      <w:r>
        <w:rPr>
          <w:color w:val="000000"/>
          <w:spacing w:val="0"/>
          <w:w w:val="100"/>
          <w:position w:val="0"/>
          <w:sz w:val="24"/>
          <w:szCs w:val="24"/>
        </w:rPr>
        <w:t>12</w:t>
      </w:r>
      <w:r>
        <w:rPr>
          <w:rFonts w:ascii="SimSun" w:eastAsia="SimSun" w:hAnsi="SimSun" w:cs="SimSun"/>
          <w:color w:val="000000"/>
          <w:spacing w:val="0"/>
          <w:w w:val="100"/>
          <w:position w:val="0"/>
          <w:sz w:val="24"/>
          <w:szCs w:val="24"/>
        </w:rPr>
        <w:t>月</w:t>
      </w:r>
      <w:r>
        <w:rPr>
          <w:color w:val="000000"/>
          <w:spacing w:val="0"/>
          <w:w w:val="100"/>
          <w:position w:val="0"/>
          <w:sz w:val="24"/>
          <w:szCs w:val="24"/>
        </w:rPr>
        <w:t>31</w:t>
      </w:r>
      <w:r>
        <w:rPr>
          <w:rFonts w:ascii="SimSun" w:eastAsia="SimSun" w:hAnsi="SimSun" w:cs="SimSun"/>
          <w:color w:val="000000"/>
          <w:spacing w:val="0"/>
          <w:w w:val="100"/>
          <w:position w:val="0"/>
          <w:sz w:val="24"/>
          <w:szCs w:val="24"/>
        </w:rPr>
        <w:t>日</w:t>
        <w:tab/>
      </w:r>
      <w:r>
        <w:rPr>
          <w:color w:val="000000"/>
          <w:spacing w:val="0"/>
          <w:w w:val="100"/>
          <w:position w:val="0"/>
          <w:sz w:val="24"/>
          <w:szCs w:val="24"/>
        </w:rPr>
        <w:t>2015</w:t>
      </w:r>
      <w:r>
        <w:rPr>
          <w:rFonts w:ascii="SimSun" w:eastAsia="SimSun" w:hAnsi="SimSun" w:cs="SimSun"/>
          <w:color w:val="000000"/>
          <w:spacing w:val="0"/>
          <w:w w:val="100"/>
          <w:position w:val="0"/>
          <w:sz w:val="24"/>
          <w:szCs w:val="24"/>
        </w:rPr>
        <w:t>年</w:t>
      </w:r>
      <w:r>
        <w:rPr>
          <w:color w:val="000000"/>
          <w:spacing w:val="0"/>
          <w:w w:val="100"/>
          <w:position w:val="0"/>
          <w:sz w:val="24"/>
          <w:szCs w:val="24"/>
        </w:rPr>
        <w:t>12</w:t>
      </w:r>
      <w:r>
        <w:rPr>
          <w:rFonts w:ascii="SimSun" w:eastAsia="SimSun" w:hAnsi="SimSun" w:cs="SimSun"/>
          <w:color w:val="000000"/>
          <w:spacing w:val="0"/>
          <w:w w:val="100"/>
          <w:position w:val="0"/>
          <w:sz w:val="24"/>
          <w:szCs w:val="24"/>
        </w:rPr>
        <w:t>月</w:t>
      </w:r>
      <w:r>
        <w:rPr>
          <w:color w:val="000000"/>
          <w:spacing w:val="0"/>
          <w:w w:val="100"/>
          <w:position w:val="0"/>
          <w:sz w:val="24"/>
          <w:szCs w:val="24"/>
        </w:rPr>
        <w:t>31</w:t>
      </w:r>
      <w:r>
        <w:rPr>
          <w:rFonts w:ascii="SimSun" w:eastAsia="SimSun" w:hAnsi="SimSun" w:cs="SimSun"/>
          <w:color w:val="000000"/>
          <w:spacing w:val="0"/>
          <w:w w:val="100"/>
          <w:position w:val="0"/>
          <w:sz w:val="24"/>
          <w:szCs w:val="24"/>
        </w:rPr>
        <w:t>日</w:t>
      </w:r>
    </w:p>
    <w:p>
      <w:pPr>
        <w:pStyle w:val="Style53"/>
        <w:keepNext w:val="0"/>
        <w:keepLines w:val="0"/>
        <w:widowControl w:val="0"/>
        <w:shd w:val="clear" w:color="auto" w:fill="auto"/>
        <w:tabs>
          <w:tab w:pos="5230" w:val="left"/>
          <w:tab w:pos="8242" w:val="left"/>
        </w:tabs>
        <w:bidi w:val="0"/>
        <w:spacing w:before="0" w:after="0" w:line="312" w:lineRule="exact"/>
        <w:ind w:left="0" w:right="0" w:firstLine="720"/>
        <w:jc w:val="both"/>
        <w:rPr>
          <w:sz w:val="24"/>
          <w:szCs w:val="24"/>
        </w:rPr>
      </w:pPr>
      <w:r>
        <w:rPr>
          <w:rFonts w:ascii="SimSun" w:eastAsia="SimSun" w:hAnsi="SimSun" w:cs="SimSun"/>
          <w:color w:val="000000"/>
          <w:spacing w:val="0"/>
          <w:w w:val="100"/>
          <w:position w:val="0"/>
          <w:sz w:val="24"/>
          <w:szCs w:val="24"/>
        </w:rPr>
        <w:t>可抵扣暂时性差异</w:t>
      </w:r>
      <w:r>
        <w:rPr>
          <w:color w:val="000000"/>
          <w:spacing w:val="0"/>
          <w:w w:val="100"/>
          <w:position w:val="0"/>
          <w:sz w:val="24"/>
          <w:szCs w:val="24"/>
        </w:rPr>
        <w:t>（i）</w:t>
        <w:tab/>
      </w:r>
      <w:r>
        <w:rPr>
          <w:color w:val="000000"/>
          <w:spacing w:val="0"/>
          <w:w w:val="100"/>
          <w:position w:val="0"/>
          <w:sz w:val="24"/>
          <w:szCs w:val="24"/>
        </w:rPr>
        <w:t>224,917</w:t>
        <w:tab/>
        <w:t>160,428</w:t>
      </w:r>
    </w:p>
    <w:p>
      <w:pPr>
        <w:pStyle w:val="Style53"/>
        <w:keepNext w:val="0"/>
        <w:keepLines w:val="0"/>
        <w:widowControl w:val="0"/>
        <w:shd w:val="clear" w:color="auto" w:fill="auto"/>
        <w:tabs>
          <w:tab w:pos="3533" w:val="left"/>
          <w:tab w:leader="underscore" w:pos="5230" w:val="left"/>
          <w:tab w:leader="underscore" w:pos="7973" w:val="left"/>
        </w:tabs>
        <w:bidi w:val="0"/>
        <w:spacing w:before="0" w:after="0" w:line="312" w:lineRule="exact"/>
        <w:ind w:left="0" w:right="0" w:firstLine="720"/>
        <w:jc w:val="both"/>
        <w:rPr>
          <w:sz w:val="24"/>
          <w:szCs w:val="24"/>
        </w:rPr>
      </w:pPr>
      <w:r>
        <w:rPr>
          <w:rFonts w:ascii="SimSun" w:eastAsia="SimSun" w:hAnsi="SimSun" w:cs="SimSun"/>
          <w:color w:val="000000"/>
          <w:spacing w:val="0"/>
          <w:w w:val="100"/>
          <w:position w:val="0"/>
          <w:sz w:val="24"/>
          <w:szCs w:val="24"/>
        </w:rPr>
        <w:t>可抵扣亏损</w:t>
      </w:r>
      <w:r>
        <w:rPr>
          <w:color w:val="000000"/>
          <w:spacing w:val="0"/>
          <w:w w:val="100"/>
          <w:position w:val="0"/>
          <w:sz w:val="24"/>
          <w:szCs w:val="24"/>
        </w:rPr>
        <w:t>（ii）</w:t>
        <w:tab/>
      </w:r>
      <w:r>
        <w:rPr>
          <w:color w:val="000000"/>
          <w:spacing w:val="0"/>
          <w:w w:val="100"/>
          <w:position w:val="0"/>
          <w:sz w:val="24"/>
          <w:szCs w:val="24"/>
        </w:rPr>
        <w:tab/>
      </w:r>
      <w:r>
        <w:rPr>
          <w:color w:val="000000"/>
          <w:spacing w:val="0"/>
          <w:w w:val="100"/>
          <w:position w:val="0"/>
          <w:sz w:val="24"/>
          <w:szCs w:val="24"/>
          <w:u w:val="single"/>
        </w:rPr>
        <w:t>2,548,080</w:t>
      </w:r>
      <w:r>
        <w:rPr>
          <w:color w:val="000000"/>
          <w:spacing w:val="0"/>
          <w:w w:val="100"/>
          <w:position w:val="0"/>
          <w:sz w:val="24"/>
          <w:szCs w:val="24"/>
        </w:rPr>
        <w:t xml:space="preserve"> </w:t>
        <w:tab/>
      </w:r>
      <w:r>
        <w:rPr>
          <w:color w:val="000000"/>
          <w:spacing w:val="0"/>
          <w:w w:val="100"/>
          <w:position w:val="0"/>
          <w:sz w:val="24"/>
          <w:szCs w:val="24"/>
          <w:u w:val="single"/>
        </w:rPr>
        <w:t>2,242,269</w:t>
      </w:r>
    </w:p>
    <w:p>
      <w:pPr>
        <w:pStyle w:val="Style53"/>
        <w:keepNext w:val="0"/>
        <w:keepLines w:val="0"/>
        <w:widowControl w:val="0"/>
        <w:shd w:val="clear" w:color="auto" w:fill="auto"/>
        <w:tabs>
          <w:tab w:pos="2887" w:val="left"/>
        </w:tabs>
        <w:bidi w:val="0"/>
        <w:spacing w:before="0" w:after="240" w:line="271" w:lineRule="auto"/>
        <w:ind w:left="0" w:right="0" w:firstLine="0"/>
        <w:jc w:val="right"/>
        <w:rPr>
          <w:sz w:val="24"/>
          <w:szCs w:val="24"/>
        </w:rPr>
      </w:pPr>
      <w:r>
        <w:rPr>
          <w:color w:val="000000"/>
          <w:spacing w:val="0"/>
          <w:w w:val="100"/>
          <w:position w:val="0"/>
          <w:sz w:val="24"/>
          <w:szCs w:val="24"/>
          <w:u w:val="single"/>
        </w:rPr>
        <w:t>2,772,997-</w:t>
        <w:tab/>
        <w:t>2,402,697</w:t>
      </w:r>
    </w:p>
    <w:p>
      <w:pPr>
        <w:pStyle w:val="Style32"/>
        <w:keepNext w:val="0"/>
        <w:keepLines w:val="0"/>
        <w:widowControl w:val="0"/>
        <w:shd w:val="clear" w:color="auto" w:fill="auto"/>
        <w:bidi w:val="0"/>
        <w:spacing w:before="0" w:after="240" w:line="312" w:lineRule="exact"/>
        <w:ind w:left="720" w:right="0" w:firstLine="20"/>
        <w:jc w:val="both"/>
        <w:rPr>
          <w:sz w:val="24"/>
          <w:szCs w:val="24"/>
        </w:rPr>
      </w:pPr>
      <w:r>
        <w:rPr>
          <w:color w:val="000000"/>
          <w:spacing w:val="0"/>
          <w:w w:val="100"/>
          <w:position w:val="0"/>
          <w:sz w:val="24"/>
          <w:szCs w:val="24"/>
        </w:rPr>
        <w:t>递延所得税资产的确认以很可能取得用来抵扣可抵扣暂时性差异、可抵扣亏损 和税款抵减的应纳税所得额为限。</w:t>
      </w:r>
    </w:p>
    <w:p>
      <w:pPr>
        <w:pStyle w:val="Style32"/>
        <w:keepNext w:val="0"/>
        <w:keepLines w:val="0"/>
        <w:widowControl w:val="0"/>
        <w:shd w:val="clear" w:color="auto" w:fill="auto"/>
        <w:bidi w:val="0"/>
        <w:spacing w:before="0" w:after="240" w:line="312" w:lineRule="exact"/>
        <w:ind w:left="720" w:right="0" w:firstLine="20"/>
        <w:jc w:val="both"/>
        <w:rPr>
          <w:sz w:val="24"/>
          <w:szCs w:val="24"/>
        </w:rPr>
      </w:pPr>
      <w:r>
        <w:rPr>
          <w:rFonts w:ascii="Times New Roman" w:eastAsia="Times New Roman" w:hAnsi="Times New Roman" w:cs="Times New Roman"/>
          <w:color w:val="000000"/>
          <w:spacing w:val="0"/>
          <w:w w:val="100"/>
          <w:position w:val="0"/>
          <w:sz w:val="24"/>
          <w:szCs w:val="24"/>
        </w:rPr>
        <w:t>（i）</w:t>
      </w:r>
      <w:r>
        <w:rPr>
          <w:color w:val="000000"/>
          <w:spacing w:val="0"/>
          <w:w w:val="100"/>
          <w:position w:val="0"/>
          <w:sz w:val="24"/>
          <w:szCs w:val="24"/>
        </w:rPr>
        <w:t>于</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日，本集团并未就可抵扣暂时性差异约人民币</w:t>
      </w:r>
      <w:r>
        <w:rPr>
          <w:rFonts w:ascii="Times New Roman" w:eastAsia="Times New Roman" w:hAnsi="Times New Roman" w:cs="Times New Roman"/>
          <w:color w:val="000000"/>
          <w:spacing w:val="0"/>
          <w:w w:val="100"/>
          <w:position w:val="0"/>
          <w:sz w:val="24"/>
          <w:szCs w:val="24"/>
        </w:rPr>
        <w:t>2.25</w:t>
      </w:r>
      <w:r>
        <w:rPr>
          <w:color w:val="000000"/>
          <w:spacing w:val="0"/>
          <w:w w:val="100"/>
          <w:position w:val="0"/>
          <w:sz w:val="24"/>
          <w:szCs w:val="24"/>
        </w:rPr>
        <w:t xml:space="preserve">亿元 </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sz w:val="24"/>
          <w:szCs w:val="24"/>
        </w:rPr>
        <w:t>年：约人民币</w:t>
      </w:r>
      <w:r>
        <w:rPr>
          <w:rFonts w:ascii="Times New Roman" w:eastAsia="Times New Roman" w:hAnsi="Times New Roman" w:cs="Times New Roman"/>
          <w:color w:val="000000"/>
          <w:spacing w:val="0"/>
          <w:w w:val="100"/>
          <w:position w:val="0"/>
          <w:sz w:val="24"/>
          <w:szCs w:val="24"/>
        </w:rPr>
        <w:t>1.6</w:t>
      </w:r>
      <w:r>
        <w:rPr>
          <w:color w:val="000000"/>
          <w:spacing w:val="0"/>
          <w:w w:val="100"/>
          <w:position w:val="0"/>
          <w:sz w:val="24"/>
          <w:szCs w:val="24"/>
        </w:rPr>
        <w:t>亿元</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确认递延所得税资产约人民币</w:t>
      </w:r>
      <w:r>
        <w:rPr>
          <w:rFonts w:ascii="Times New Roman" w:eastAsia="Times New Roman" w:hAnsi="Times New Roman" w:cs="Times New Roman"/>
          <w:color w:val="000000"/>
          <w:spacing w:val="0"/>
          <w:w w:val="100"/>
          <w:position w:val="0"/>
          <w:sz w:val="24"/>
          <w:szCs w:val="24"/>
        </w:rPr>
        <w:t>7,790</w:t>
      </w:r>
      <w:r>
        <w:rPr>
          <w:color w:val="000000"/>
          <w:spacing w:val="0"/>
          <w:w w:val="100"/>
          <w:position w:val="0"/>
          <w:sz w:val="24"/>
          <w:szCs w:val="24"/>
        </w:rPr>
        <w:t>万元</w:t>
      </w:r>
      <w:r>
        <w:rPr>
          <w:rFonts w:ascii="Times New Roman" w:eastAsia="Times New Roman" w:hAnsi="Times New Roman" w:cs="Times New Roman"/>
          <w:color w:val="000000"/>
          <w:spacing w:val="0"/>
          <w:w w:val="100"/>
          <w:position w:val="0"/>
          <w:sz w:val="24"/>
          <w:szCs w:val="24"/>
        </w:rPr>
        <w:t xml:space="preserve">（2015 </w:t>
      </w:r>
      <w:r>
        <w:rPr>
          <w:color w:val="000000"/>
          <w:spacing w:val="0"/>
          <w:w w:val="100"/>
          <w:position w:val="0"/>
          <w:sz w:val="24"/>
          <w:szCs w:val="24"/>
        </w:rPr>
        <w:t>年：约人民币</w:t>
      </w:r>
      <w:r>
        <w:rPr>
          <w:rFonts w:ascii="Times New Roman" w:eastAsia="Times New Roman" w:hAnsi="Times New Roman" w:cs="Times New Roman"/>
          <w:color w:val="000000"/>
          <w:spacing w:val="0"/>
          <w:w w:val="100"/>
          <w:position w:val="0"/>
          <w:sz w:val="24"/>
          <w:szCs w:val="24"/>
        </w:rPr>
        <w:t>5,621</w:t>
      </w:r>
      <w:r>
        <w:rPr>
          <w:color w:val="000000"/>
          <w:spacing w:val="0"/>
          <w:w w:val="100"/>
          <w:position w:val="0"/>
          <w:sz w:val="24"/>
          <w:szCs w:val="24"/>
        </w:rPr>
        <w:t>万元</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w:t>
      </w:r>
    </w:p>
    <w:p>
      <w:pPr>
        <w:pStyle w:val="Style32"/>
        <w:keepNext w:val="0"/>
        <w:keepLines w:val="0"/>
        <w:widowControl w:val="0"/>
        <w:shd w:val="clear" w:color="auto" w:fill="auto"/>
        <w:bidi w:val="0"/>
        <w:spacing w:before="0" w:after="0" w:line="240" w:lineRule="auto"/>
        <w:ind w:left="0" w:right="0" w:firstLine="600"/>
        <w:jc w:val="left"/>
        <w:rPr>
          <w:sz w:val="24"/>
          <w:szCs w:val="24"/>
        </w:rPr>
      </w:pPr>
      <w:r>
        <w:rPr>
          <w:b/>
          <w:bCs/>
          <w:color w:val="000000"/>
          <w:spacing w:val="0"/>
          <w:w w:val="100"/>
          <w:position w:val="0"/>
          <w:sz w:val="24"/>
          <w:szCs w:val="24"/>
        </w:rPr>
        <w:t>财务报表附注</w:t>
      </w:r>
    </w:p>
    <w:p>
      <w:pPr>
        <w:pStyle w:val="Style88"/>
        <w:keepNext/>
        <w:keepLines/>
        <w:widowControl w:val="0"/>
        <w:shd w:val="clear" w:color="auto" w:fill="auto"/>
        <w:bidi w:val="0"/>
        <w:spacing w:before="0" w:after="0" w:line="240" w:lineRule="auto"/>
        <w:ind w:left="0" w:right="0" w:firstLine="600"/>
        <w:jc w:val="left"/>
      </w:pPr>
      <w:bookmarkStart w:id="921" w:name="bookmark921"/>
      <w:bookmarkStart w:id="922" w:name="bookmark922"/>
      <w:bookmarkStart w:id="923" w:name="bookmark923"/>
      <w:r>
        <w:rPr>
          <w:color w:val="000000"/>
          <w:spacing w:val="0"/>
          <w:w w:val="100"/>
          <w:position w:val="0"/>
          <w:sz w:val="24"/>
          <w:szCs w:val="24"/>
        </w:rPr>
        <w:t>2016</w:t>
      </w:r>
      <w:r>
        <w:rPr>
          <w:rFonts w:ascii="SimSun" w:eastAsia="SimSun" w:hAnsi="SimSun" w:cs="SimSun"/>
          <w:b/>
          <w:bCs/>
          <w:color w:val="000000"/>
          <w:spacing w:val="0"/>
          <w:w w:val="100"/>
          <w:position w:val="0"/>
          <w:sz w:val="24"/>
          <w:szCs w:val="24"/>
        </w:rPr>
        <w:t>年度</w:t>
      </w:r>
      <w:bookmarkEnd w:id="921"/>
      <w:bookmarkEnd w:id="922"/>
      <w:bookmarkEnd w:id="923"/>
    </w:p>
    <w:p>
      <w:pPr>
        <w:pStyle w:val="Style32"/>
        <w:keepNext w:val="0"/>
        <w:keepLines w:val="0"/>
        <w:widowControl w:val="0"/>
        <w:shd w:val="clear" w:color="auto" w:fill="auto"/>
        <w:bidi w:val="0"/>
        <w:spacing w:before="0" w:after="440" w:line="240" w:lineRule="auto"/>
        <w:ind w:left="0" w:right="0" w:firstLine="600"/>
        <w:jc w:val="left"/>
        <w:rPr>
          <w:sz w:val="20"/>
          <w:szCs w:val="20"/>
        </w:rPr>
      </w:pPr>
      <w:r>
        <w:rPr>
          <w:rFonts w:ascii="Arial" w:eastAsia="Arial" w:hAnsi="Arial" w:cs="Arial"/>
          <w:color w:val="000000"/>
          <w:spacing w:val="0"/>
          <w:w w:val="100"/>
          <w:position w:val="0"/>
          <w:sz w:val="20"/>
          <w:szCs w:val="20"/>
        </w:rPr>
        <w:t>（</w:t>
      </w:r>
      <w:r>
        <w:rPr>
          <w:color w:val="000000"/>
          <w:spacing w:val="0"/>
          <w:w w:val="100"/>
          <w:position w:val="0"/>
          <w:sz w:val="20"/>
          <w:szCs w:val="20"/>
        </w:rPr>
        <w:t>除特别注明外，金额单位为人民币千元</w:t>
      </w:r>
      <w:r>
        <w:rPr>
          <w:rFonts w:ascii="Arial" w:eastAsia="Arial" w:hAnsi="Arial" w:cs="Arial"/>
          <w:color w:val="000000"/>
          <w:spacing w:val="0"/>
          <w:w w:val="100"/>
          <w:position w:val="0"/>
          <w:sz w:val="20"/>
          <w:szCs w:val="20"/>
        </w:rPr>
        <w:t>）</w:t>
      </w:r>
    </w:p>
    <w:p>
      <w:pPr>
        <w:pStyle w:val="Style32"/>
        <w:keepNext w:val="0"/>
        <w:keepLines w:val="0"/>
        <w:widowControl w:val="0"/>
        <w:shd w:val="clear" w:color="auto" w:fill="auto"/>
        <w:tabs>
          <w:tab w:pos="607" w:val="left"/>
        </w:tabs>
        <w:bidi w:val="0"/>
        <w:spacing w:before="0" w:after="200" w:line="240" w:lineRule="auto"/>
        <w:ind w:left="0" w:right="0" w:firstLine="0"/>
        <w:jc w:val="left"/>
        <w:rPr>
          <w:sz w:val="24"/>
          <w:szCs w:val="24"/>
        </w:rPr>
      </w:pPr>
      <w:r>
        <w:rPr>
          <w:b/>
          <w:bCs/>
          <w:color w:val="000000"/>
          <w:spacing w:val="0"/>
          <w:w w:val="100"/>
          <w:position w:val="0"/>
          <w:sz w:val="24"/>
          <w:szCs w:val="24"/>
        </w:rPr>
        <w:t>四</w:t>
        <w:tab/>
        <w:t>合并财务报表项目附注</w:t>
      </w:r>
      <w:r>
        <w:rPr>
          <w:rFonts w:ascii="Times New Roman" w:eastAsia="Times New Roman" w:hAnsi="Times New Roman" w:cs="Times New Roman"/>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4"/>
          <w:szCs w:val="24"/>
        </w:rPr>
        <w:t>）</w:t>
      </w:r>
    </w:p>
    <w:p>
      <w:pPr>
        <w:pStyle w:val="Style32"/>
        <w:keepNext w:val="0"/>
        <w:keepLines w:val="0"/>
        <w:widowControl w:val="0"/>
        <w:shd w:val="clear" w:color="auto" w:fill="auto"/>
        <w:bidi w:val="0"/>
        <w:spacing w:before="0" w:after="20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（20）</w:t>
      </w:r>
      <w:r>
        <w:rPr>
          <w:b/>
          <w:bCs/>
          <w:color w:val="000000"/>
          <w:spacing w:val="0"/>
          <w:w w:val="100"/>
          <w:position w:val="0"/>
          <w:sz w:val="24"/>
          <w:szCs w:val="24"/>
        </w:rPr>
        <w:t>递延所得税资产和递延所得税负债</w:t>
      </w:r>
      <w:r>
        <w:rPr>
          <w:rFonts w:ascii="Times New Roman" w:eastAsia="Times New Roman" w:hAnsi="Times New Roman" w:cs="Times New Roman"/>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4"/>
          <w:szCs w:val="24"/>
        </w:rPr>
        <w:t>）</w:t>
      </w:r>
    </w:p>
    <w:p>
      <w:pPr>
        <w:pStyle w:val="Style32"/>
        <w:keepNext w:val="0"/>
        <w:keepLines w:val="0"/>
        <w:widowControl w:val="0"/>
        <w:shd w:val="clear" w:color="auto" w:fill="auto"/>
        <w:tabs>
          <w:tab w:pos="607" w:val="left"/>
        </w:tabs>
        <w:bidi w:val="0"/>
        <w:spacing w:before="0" w:after="200" w:line="310" w:lineRule="exact"/>
        <w:ind w:left="0" w:right="0" w:firstLine="0"/>
        <w:jc w:val="left"/>
        <w:rPr>
          <w:sz w:val="24"/>
          <w:szCs w:val="24"/>
        </w:rPr>
      </w:pPr>
      <w:bookmarkStart w:id="924" w:name="bookmark924"/>
      <w:r>
        <w:rPr>
          <w:rFonts w:ascii="Times New Roman" w:eastAsia="Times New Roman" w:hAnsi="Times New Roman" w:cs="Times New Roman"/>
          <w:color w:val="000000"/>
          <w:spacing w:val="0"/>
          <w:w w:val="100"/>
          <w:position w:val="0"/>
          <w:sz w:val="24"/>
          <w:szCs w:val="24"/>
        </w:rPr>
        <w:t>（</w:t>
      </w:r>
      <w:bookmarkEnd w:id="924"/>
      <w:r>
        <w:rPr>
          <w:rFonts w:ascii="Times New Roman" w:eastAsia="Times New Roman" w:hAnsi="Times New Roman" w:cs="Times New Roman"/>
          <w:color w:val="000000"/>
          <w:spacing w:val="0"/>
          <w:w w:val="100"/>
          <w:position w:val="0"/>
          <w:sz w:val="24"/>
          <w:szCs w:val="24"/>
        </w:rPr>
        <w:t>c）</w:t>
        <w:tab/>
      </w:r>
      <w:r>
        <w:rPr>
          <w:color w:val="000000"/>
          <w:spacing w:val="0"/>
          <w:w w:val="100"/>
          <w:position w:val="0"/>
          <w:sz w:val="24"/>
          <w:szCs w:val="24"/>
        </w:rPr>
        <w:t>本集团未确认递延所得税资产的可抵扣暂时性差异及可抵扣亏损分析如下</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续</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w:t>
      </w:r>
    </w:p>
    <w:p>
      <w:pPr>
        <w:pStyle w:val="Style32"/>
        <w:keepNext w:val="0"/>
        <w:keepLines w:val="0"/>
        <w:widowControl w:val="0"/>
        <w:shd w:val="clear" w:color="auto" w:fill="auto"/>
        <w:bidi w:val="0"/>
        <w:spacing w:before="0" w:after="200" w:line="310" w:lineRule="exact"/>
        <w:ind w:left="600" w:right="0" w:firstLine="60"/>
        <w:jc w:val="both"/>
        <w:rPr>
          <w:sz w:val="24"/>
          <w:szCs w:val="24"/>
        </w:rPr>
      </w:pPr>
      <w:r>
        <w:rPr>
          <w:rFonts w:ascii="Times New Roman" w:eastAsia="Times New Roman" w:hAnsi="Times New Roman" w:cs="Times New Roman"/>
          <w:color w:val="000000"/>
          <w:spacing w:val="0"/>
          <w:w w:val="100"/>
          <w:position w:val="0"/>
          <w:sz w:val="24"/>
          <w:szCs w:val="24"/>
        </w:rPr>
        <w:t>（ii）</w:t>
      </w:r>
      <w:r>
        <w:rPr>
          <w:color w:val="000000"/>
          <w:spacing w:val="0"/>
          <w:w w:val="100"/>
          <w:position w:val="0"/>
          <w:sz w:val="24"/>
          <w:szCs w:val="24"/>
        </w:rPr>
        <w:t>于</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日，本集团并未就可抵扣亏损约人民币</w:t>
      </w:r>
      <w:r>
        <w:rPr>
          <w:rFonts w:ascii="Times New Roman" w:eastAsia="Times New Roman" w:hAnsi="Times New Roman" w:cs="Times New Roman"/>
          <w:color w:val="000000"/>
          <w:spacing w:val="0"/>
          <w:w w:val="100"/>
          <w:position w:val="0"/>
          <w:sz w:val="24"/>
          <w:szCs w:val="24"/>
        </w:rPr>
        <w:t>25.5</w:t>
      </w:r>
      <w:r>
        <w:rPr>
          <w:color w:val="000000"/>
          <w:spacing w:val="0"/>
          <w:w w:val="100"/>
          <w:position w:val="0"/>
          <w:sz w:val="24"/>
          <w:szCs w:val="24"/>
        </w:rPr>
        <w:t>亿元</w:t>
      </w:r>
      <w:r>
        <w:rPr>
          <w:rFonts w:ascii="Times New Roman" w:eastAsia="Times New Roman" w:hAnsi="Times New Roman" w:cs="Times New Roman"/>
          <w:color w:val="000000"/>
          <w:spacing w:val="0"/>
          <w:w w:val="100"/>
          <w:position w:val="0"/>
          <w:sz w:val="24"/>
          <w:szCs w:val="24"/>
        </w:rPr>
        <w:t xml:space="preserve">（2015 </w:t>
      </w:r>
      <w:r>
        <w:rPr>
          <w:color w:val="000000"/>
          <w:spacing w:val="0"/>
          <w:w w:val="100"/>
          <w:position w:val="0"/>
          <w:sz w:val="24"/>
          <w:szCs w:val="24"/>
        </w:rPr>
        <w:t>年：约人民</w:t>
      </w:r>
      <w:r>
        <w:rPr>
          <w:rFonts w:ascii="Times New Roman" w:eastAsia="Times New Roman" w:hAnsi="Times New Roman" w:cs="Times New Roman"/>
          <w:color w:val="000000"/>
          <w:spacing w:val="0"/>
          <w:w w:val="100"/>
          <w:position w:val="0"/>
          <w:sz w:val="24"/>
          <w:szCs w:val="24"/>
        </w:rPr>
        <w:t>22.4</w:t>
      </w:r>
      <w:r>
        <w:rPr>
          <w:color w:val="000000"/>
          <w:spacing w:val="0"/>
          <w:w w:val="100"/>
          <w:position w:val="0"/>
          <w:sz w:val="24"/>
          <w:szCs w:val="24"/>
        </w:rPr>
        <w:t>亿元</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确认递延所得税资产约人民币</w:t>
      </w:r>
      <w:r>
        <w:rPr>
          <w:rFonts w:ascii="Times New Roman" w:eastAsia="Times New Roman" w:hAnsi="Times New Roman" w:cs="Times New Roman"/>
          <w:color w:val="000000"/>
          <w:spacing w:val="0"/>
          <w:w w:val="100"/>
          <w:position w:val="0"/>
          <w:sz w:val="24"/>
          <w:szCs w:val="24"/>
        </w:rPr>
        <w:t>7.4</w:t>
      </w:r>
      <w:r>
        <w:rPr>
          <w:color w:val="000000"/>
          <w:spacing w:val="0"/>
          <w:w w:val="100"/>
          <w:position w:val="0"/>
          <w:sz w:val="24"/>
          <w:szCs w:val="24"/>
        </w:rPr>
        <w:t>亿元</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sz w:val="24"/>
          <w:szCs w:val="24"/>
        </w:rPr>
        <w:t xml:space="preserve">年：约人民币 </w:t>
      </w:r>
      <w:r>
        <w:rPr>
          <w:rFonts w:ascii="Times New Roman" w:eastAsia="Times New Roman" w:hAnsi="Times New Roman" w:cs="Times New Roman"/>
          <w:color w:val="000000"/>
          <w:spacing w:val="0"/>
          <w:w w:val="100"/>
          <w:position w:val="0"/>
          <w:sz w:val="24"/>
          <w:szCs w:val="24"/>
        </w:rPr>
        <w:t>5.1</w:t>
      </w:r>
      <w:r>
        <w:rPr>
          <w:color w:val="000000"/>
          <w:spacing w:val="0"/>
          <w:w w:val="100"/>
          <w:position w:val="0"/>
          <w:sz w:val="24"/>
          <w:szCs w:val="24"/>
        </w:rPr>
        <w:t>亿元</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w:t>
      </w:r>
    </w:p>
    <w:p>
      <w:pPr>
        <w:pStyle w:val="Style32"/>
        <w:keepNext w:val="0"/>
        <w:keepLines w:val="0"/>
        <w:widowControl w:val="0"/>
        <w:shd w:val="clear" w:color="auto" w:fill="auto"/>
        <w:tabs>
          <w:tab w:pos="607" w:val="left"/>
        </w:tabs>
        <w:bidi w:val="0"/>
        <w:spacing w:before="0" w:after="240" w:line="310" w:lineRule="exact"/>
        <w:ind w:left="0" w:right="0" w:firstLine="0"/>
        <w:jc w:val="left"/>
        <w:rPr>
          <w:sz w:val="24"/>
          <w:szCs w:val="24"/>
        </w:rPr>
      </w:pPr>
      <w:bookmarkStart w:id="925" w:name="bookmark925"/>
      <w:r>
        <w:rPr>
          <w:rFonts w:ascii="Times New Roman" w:eastAsia="Times New Roman" w:hAnsi="Times New Roman" w:cs="Times New Roman"/>
          <w:color w:val="000000"/>
          <w:spacing w:val="0"/>
          <w:w w:val="100"/>
          <w:position w:val="0"/>
          <w:sz w:val="24"/>
          <w:szCs w:val="24"/>
        </w:rPr>
        <w:t>（</w:t>
      </w:r>
      <w:bookmarkEnd w:id="925"/>
      <w:r>
        <w:rPr>
          <w:rFonts w:ascii="Times New Roman" w:eastAsia="Times New Roman" w:hAnsi="Times New Roman" w:cs="Times New Roman"/>
          <w:color w:val="000000"/>
          <w:spacing w:val="0"/>
          <w:w w:val="100"/>
          <w:position w:val="0"/>
          <w:sz w:val="24"/>
          <w:szCs w:val="24"/>
        </w:rPr>
        <w:t>d）</w:t>
        <w:tab/>
      </w:r>
      <w:r>
        <w:rPr>
          <w:color w:val="000000"/>
          <w:spacing w:val="0"/>
          <w:w w:val="100"/>
          <w:position w:val="0"/>
          <w:sz w:val="24"/>
          <w:szCs w:val="24"/>
        </w:rPr>
        <w:t>未确认递延所得税资产的可抵扣亏损将于以下年度到期：</w:t>
      </w:r>
    </w:p>
    <w:tbl>
      <w:tblPr>
        <w:tblOverlap w:val="never"/>
        <w:jc w:val="right"/>
        <w:tblLayout w:type="fixed"/>
      </w:tblPr>
      <w:tblGrid>
        <w:gridCol w:w="2323"/>
        <w:gridCol w:w="3773"/>
        <w:gridCol w:w="2467"/>
      </w:tblGrid>
      <w:tr>
        <w:trPr>
          <w:trHeight w:val="408"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440" w:firstLine="0"/>
              <w:jc w:val="right"/>
              <w:rPr>
                <w:sz w:val="24"/>
                <w:szCs w:val="24"/>
              </w:rPr>
            </w:pP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2015</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w:t>
            </w:r>
          </w:p>
        </w:tc>
      </w:tr>
      <w:tr>
        <w:trPr>
          <w:trHeight w:val="437"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 xml:space="preserve">2016 </w:t>
            </w:r>
            <w:r>
              <w:rPr>
                <w:color w:val="000000"/>
                <w:spacing w:val="0"/>
                <w:w w:val="100"/>
                <w:position w:val="0"/>
                <w:sz w:val="24"/>
                <w:szCs w:val="24"/>
              </w:rPr>
              <w:t>年</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440" w:firstLine="0"/>
              <w:jc w:val="right"/>
              <w:rPr>
                <w:sz w:val="24"/>
                <w:szCs w:val="24"/>
              </w:rPr>
            </w:pPr>
            <w:r>
              <w:rPr>
                <w:color w:val="000000"/>
                <w:spacing w:val="0"/>
                <w:w w:val="100"/>
                <w:position w:val="0"/>
                <w:sz w:val="24"/>
                <w:szCs w:val="24"/>
              </w:rPr>
              <w:t>不适用</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1,316</w:t>
            </w:r>
          </w:p>
        </w:tc>
      </w:tr>
      <w:tr>
        <w:trPr>
          <w:trHeight w:val="317"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 xml:space="preserve">2017 </w:t>
            </w:r>
            <w:r>
              <w:rPr>
                <w:color w:val="000000"/>
                <w:spacing w:val="0"/>
                <w:w w:val="100"/>
                <w:position w:val="0"/>
                <w:sz w:val="24"/>
                <w:szCs w:val="24"/>
              </w:rPr>
              <w:t>年</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2540" w:right="0" w:firstLine="0"/>
              <w:jc w:val="both"/>
              <w:rPr>
                <w:sz w:val="24"/>
                <w:szCs w:val="24"/>
              </w:rPr>
            </w:pPr>
            <w:r>
              <w:rPr>
                <w:rFonts w:ascii="Times New Roman" w:eastAsia="Times New Roman" w:hAnsi="Times New Roman" w:cs="Times New Roman"/>
                <w:color w:val="000000"/>
                <w:spacing w:val="0"/>
                <w:w w:val="100"/>
                <w:position w:val="0"/>
                <w:sz w:val="24"/>
                <w:szCs w:val="24"/>
              </w:rPr>
              <w:t>584,727</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562,545</w:t>
            </w:r>
          </w:p>
        </w:tc>
      </w:tr>
      <w:tr>
        <w:trPr>
          <w:trHeight w:val="312"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 xml:space="preserve">2018 </w:t>
            </w:r>
            <w:r>
              <w:rPr>
                <w:color w:val="000000"/>
                <w:spacing w:val="0"/>
                <w:w w:val="100"/>
                <w:position w:val="0"/>
                <w:sz w:val="24"/>
                <w:szCs w:val="24"/>
              </w:rPr>
              <w:t>年</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2540" w:right="0" w:firstLine="0"/>
              <w:jc w:val="both"/>
              <w:rPr>
                <w:sz w:val="24"/>
                <w:szCs w:val="24"/>
              </w:rPr>
            </w:pPr>
            <w:r>
              <w:rPr>
                <w:rFonts w:ascii="Times New Roman" w:eastAsia="Times New Roman" w:hAnsi="Times New Roman" w:cs="Times New Roman"/>
                <w:color w:val="000000"/>
                <w:spacing w:val="0"/>
                <w:w w:val="100"/>
                <w:position w:val="0"/>
                <w:sz w:val="24"/>
                <w:szCs w:val="24"/>
              </w:rPr>
              <w:t>873,039</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862,926</w:t>
            </w:r>
          </w:p>
        </w:tc>
      </w:tr>
      <w:tr>
        <w:trPr>
          <w:trHeight w:val="317"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 xml:space="preserve">2019 </w:t>
            </w:r>
            <w:r>
              <w:rPr>
                <w:color w:val="000000"/>
                <w:spacing w:val="0"/>
                <w:w w:val="100"/>
                <w:position w:val="0"/>
                <w:sz w:val="24"/>
                <w:szCs w:val="24"/>
              </w:rPr>
              <w:t>年</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2540" w:right="0" w:firstLine="0"/>
              <w:jc w:val="both"/>
              <w:rPr>
                <w:sz w:val="24"/>
                <w:szCs w:val="24"/>
              </w:rPr>
            </w:pPr>
            <w:r>
              <w:rPr>
                <w:rFonts w:ascii="Times New Roman" w:eastAsia="Times New Roman" w:hAnsi="Times New Roman" w:cs="Times New Roman"/>
                <w:color w:val="000000"/>
                <w:spacing w:val="0"/>
                <w:w w:val="100"/>
                <w:position w:val="0"/>
                <w:sz w:val="24"/>
                <w:szCs w:val="24"/>
              </w:rPr>
              <w:t>345,483</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345,197</w:t>
            </w:r>
          </w:p>
        </w:tc>
      </w:tr>
      <w:tr>
        <w:trPr>
          <w:trHeight w:val="336"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 xml:space="preserve">2020 </w:t>
            </w:r>
            <w:r>
              <w:rPr>
                <w:color w:val="000000"/>
                <w:spacing w:val="0"/>
                <w:w w:val="100"/>
                <w:position w:val="0"/>
                <w:sz w:val="24"/>
                <w:szCs w:val="24"/>
              </w:rPr>
              <w:t>年</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2540" w:right="0" w:firstLine="0"/>
              <w:jc w:val="both"/>
              <w:rPr>
                <w:sz w:val="24"/>
                <w:szCs w:val="24"/>
              </w:rPr>
            </w:pPr>
            <w:r>
              <w:rPr>
                <w:rFonts w:ascii="Times New Roman" w:eastAsia="Times New Roman" w:hAnsi="Times New Roman" w:cs="Times New Roman"/>
                <w:color w:val="000000"/>
                <w:spacing w:val="0"/>
                <w:w w:val="100"/>
                <w:position w:val="0"/>
                <w:sz w:val="24"/>
                <w:szCs w:val="24"/>
              </w:rPr>
              <w:t>216,065</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223,417</w:t>
            </w:r>
          </w:p>
        </w:tc>
      </w:tr>
      <w:tr>
        <w:trPr>
          <w:trHeight w:val="302"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 xml:space="preserve">2021 </w:t>
            </w:r>
            <w:r>
              <w:rPr>
                <w:color w:val="000000"/>
                <w:spacing w:val="0"/>
                <w:w w:val="100"/>
                <w:position w:val="0"/>
                <w:sz w:val="24"/>
                <w:szCs w:val="24"/>
              </w:rPr>
              <w:t>年</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2540" w:right="0" w:firstLine="0"/>
              <w:jc w:val="both"/>
              <w:rPr>
                <w:sz w:val="24"/>
                <w:szCs w:val="24"/>
              </w:rPr>
            </w:pPr>
            <w:r>
              <w:rPr>
                <w:rFonts w:ascii="Times New Roman" w:eastAsia="Times New Roman" w:hAnsi="Times New Roman" w:cs="Times New Roman"/>
                <w:color w:val="000000"/>
                <w:spacing w:val="0"/>
                <w:w w:val="100"/>
                <w:position w:val="0"/>
                <w:sz w:val="24"/>
                <w:szCs w:val="24"/>
              </w:rPr>
              <w:t>184,511</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94,906</w:t>
            </w:r>
          </w:p>
        </w:tc>
      </w:tr>
      <w:tr>
        <w:trPr>
          <w:trHeight w:val="322"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 xml:space="preserve">2022 </w:t>
            </w:r>
            <w:r>
              <w:rPr>
                <w:color w:val="000000"/>
                <w:spacing w:val="0"/>
                <w:w w:val="100"/>
                <w:position w:val="0"/>
                <w:sz w:val="24"/>
                <w:szCs w:val="24"/>
              </w:rPr>
              <w:t>年</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2660" w:right="0" w:firstLine="0"/>
              <w:jc w:val="both"/>
              <w:rPr>
                <w:sz w:val="24"/>
                <w:szCs w:val="24"/>
              </w:rPr>
            </w:pPr>
            <w:r>
              <w:rPr>
                <w:rFonts w:ascii="Times New Roman" w:eastAsia="Times New Roman" w:hAnsi="Times New Roman" w:cs="Times New Roman"/>
                <w:color w:val="000000"/>
                <w:spacing w:val="0"/>
                <w:w w:val="100"/>
                <w:position w:val="0"/>
                <w:sz w:val="24"/>
                <w:szCs w:val="24"/>
              </w:rPr>
              <w:t>34,247</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34,247</w:t>
            </w:r>
          </w:p>
        </w:tc>
      </w:tr>
      <w:tr>
        <w:trPr>
          <w:trHeight w:val="278"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 xml:space="preserve">2023 </w:t>
            </w:r>
            <w:r>
              <w:rPr>
                <w:color w:val="000000"/>
                <w:spacing w:val="0"/>
                <w:w w:val="100"/>
                <w:position w:val="0"/>
                <w:sz w:val="24"/>
                <w:szCs w:val="24"/>
              </w:rPr>
              <w:t>年</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440" w:firstLine="0"/>
              <w:jc w:val="right"/>
              <w:rPr>
                <w:sz w:val="24"/>
                <w:szCs w:val="24"/>
              </w:rPr>
            </w:pPr>
            <w:r>
              <w:rPr>
                <w:rFonts w:ascii="Times New Roman" w:eastAsia="Times New Roman" w:hAnsi="Times New Roman" w:cs="Times New Roman"/>
                <w:color w:val="000000"/>
                <w:spacing w:val="0"/>
                <w:w w:val="100"/>
                <w:position w:val="0"/>
                <w:sz w:val="24"/>
                <w:szCs w:val="24"/>
              </w:rPr>
              <w:t>121</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121</w:t>
            </w:r>
          </w:p>
        </w:tc>
      </w:tr>
      <w:tr>
        <w:trPr>
          <w:trHeight w:val="317"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 xml:space="preserve">2024 </w:t>
            </w:r>
            <w:r>
              <w:rPr>
                <w:color w:val="000000"/>
                <w:spacing w:val="0"/>
                <w:w w:val="100"/>
                <w:position w:val="0"/>
                <w:sz w:val="24"/>
                <w:szCs w:val="24"/>
              </w:rPr>
              <w:t>年</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2780" w:right="0" w:firstLine="0"/>
              <w:jc w:val="both"/>
              <w:rPr>
                <w:sz w:val="24"/>
                <w:szCs w:val="24"/>
              </w:rPr>
            </w:pPr>
            <w:r>
              <w:rPr>
                <w:rFonts w:ascii="Times New Roman" w:eastAsia="Times New Roman" w:hAnsi="Times New Roman" w:cs="Times New Roman"/>
                <w:color w:val="000000"/>
                <w:spacing w:val="0"/>
                <w:w w:val="100"/>
                <w:position w:val="0"/>
                <w:sz w:val="24"/>
                <w:szCs w:val="24"/>
              </w:rPr>
              <w:t>2,572</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2,572</w:t>
            </w:r>
          </w:p>
        </w:tc>
      </w:tr>
      <w:tr>
        <w:trPr>
          <w:trHeight w:val="322"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 xml:space="preserve">2025 </w:t>
            </w:r>
            <w:r>
              <w:rPr>
                <w:color w:val="000000"/>
                <w:spacing w:val="0"/>
                <w:w w:val="100"/>
                <w:position w:val="0"/>
                <w:sz w:val="24"/>
                <w:szCs w:val="24"/>
              </w:rPr>
              <w:t>年</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2660" w:right="0" w:firstLine="0"/>
              <w:jc w:val="both"/>
              <w:rPr>
                <w:sz w:val="24"/>
                <w:szCs w:val="24"/>
              </w:rPr>
            </w:pPr>
            <w:r>
              <w:rPr>
                <w:rFonts w:ascii="Times New Roman" w:eastAsia="Times New Roman" w:hAnsi="Times New Roman" w:cs="Times New Roman"/>
                <w:color w:val="000000"/>
                <w:spacing w:val="0"/>
                <w:w w:val="100"/>
                <w:position w:val="0"/>
                <w:sz w:val="24"/>
                <w:szCs w:val="24"/>
              </w:rPr>
              <w:t>25,436</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w:t>
            </w:r>
          </w:p>
        </w:tc>
      </w:tr>
      <w:tr>
        <w:trPr>
          <w:trHeight w:val="317"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 xml:space="preserve">2033 </w:t>
            </w:r>
            <w:r>
              <w:rPr>
                <w:color w:val="000000"/>
                <w:spacing w:val="0"/>
                <w:w w:val="100"/>
                <w:position w:val="0"/>
                <w:sz w:val="24"/>
                <w:szCs w:val="24"/>
              </w:rPr>
              <w:t>年</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2780" w:right="0" w:firstLine="0"/>
              <w:jc w:val="both"/>
              <w:rPr>
                <w:sz w:val="24"/>
                <w:szCs w:val="24"/>
              </w:rPr>
            </w:pPr>
            <w:r>
              <w:rPr>
                <w:rFonts w:ascii="Times New Roman" w:eastAsia="Times New Roman" w:hAnsi="Times New Roman" w:cs="Times New Roman"/>
                <w:color w:val="000000"/>
                <w:spacing w:val="0"/>
                <w:w w:val="100"/>
                <w:position w:val="0"/>
                <w:sz w:val="24"/>
                <w:szCs w:val="24"/>
              </w:rPr>
              <w:t>5,518</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5,518</w:t>
            </w:r>
          </w:p>
        </w:tc>
      </w:tr>
      <w:tr>
        <w:trPr>
          <w:trHeight w:val="307"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 xml:space="preserve">2034 </w:t>
            </w:r>
            <w:r>
              <w:rPr>
                <w:color w:val="000000"/>
                <w:spacing w:val="0"/>
                <w:w w:val="100"/>
                <w:position w:val="0"/>
                <w:sz w:val="24"/>
                <w:szCs w:val="24"/>
              </w:rPr>
              <w:t>年</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2660" w:right="0" w:firstLine="0"/>
              <w:jc w:val="both"/>
              <w:rPr>
                <w:sz w:val="24"/>
                <w:szCs w:val="24"/>
              </w:rPr>
            </w:pPr>
            <w:r>
              <w:rPr>
                <w:rFonts w:ascii="Times New Roman" w:eastAsia="Times New Roman" w:hAnsi="Times New Roman" w:cs="Times New Roman"/>
                <w:color w:val="000000"/>
                <w:spacing w:val="0"/>
                <w:w w:val="100"/>
                <w:position w:val="0"/>
                <w:sz w:val="24"/>
                <w:szCs w:val="24"/>
              </w:rPr>
              <w:t>34,757</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34,757</w:t>
            </w:r>
          </w:p>
        </w:tc>
      </w:tr>
      <w:tr>
        <w:trPr>
          <w:trHeight w:val="302"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 xml:space="preserve">2035 </w:t>
            </w:r>
            <w:r>
              <w:rPr>
                <w:color w:val="000000"/>
                <w:spacing w:val="0"/>
                <w:w w:val="100"/>
                <w:position w:val="0"/>
                <w:sz w:val="24"/>
                <w:szCs w:val="24"/>
              </w:rPr>
              <w:t>年</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2780" w:right="0" w:firstLine="0"/>
              <w:jc w:val="both"/>
              <w:rPr>
                <w:sz w:val="24"/>
                <w:szCs w:val="24"/>
              </w:rPr>
            </w:pPr>
            <w:r>
              <w:rPr>
                <w:rFonts w:ascii="Times New Roman" w:eastAsia="Times New Roman" w:hAnsi="Times New Roman" w:cs="Times New Roman"/>
                <w:color w:val="000000"/>
                <w:spacing w:val="0"/>
                <w:w w:val="100"/>
                <w:position w:val="0"/>
                <w:sz w:val="24"/>
                <w:szCs w:val="24"/>
              </w:rPr>
              <w:t>7,289</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12,132</w:t>
            </w:r>
          </w:p>
        </w:tc>
      </w:tr>
      <w:tr>
        <w:trPr>
          <w:trHeight w:val="312"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 xml:space="preserve">2036 </w:t>
            </w:r>
            <w:r>
              <w:rPr>
                <w:color w:val="000000"/>
                <w:spacing w:val="0"/>
                <w:w w:val="100"/>
                <w:position w:val="0"/>
                <w:sz w:val="24"/>
                <w:szCs w:val="24"/>
              </w:rPr>
              <w:t>年</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2780" w:right="0" w:firstLine="0"/>
              <w:jc w:val="both"/>
              <w:rPr>
                <w:sz w:val="24"/>
                <w:szCs w:val="24"/>
              </w:rPr>
            </w:pPr>
            <w:r>
              <w:rPr>
                <w:rFonts w:ascii="Times New Roman" w:eastAsia="Times New Roman" w:hAnsi="Times New Roman" w:cs="Times New Roman"/>
                <w:color w:val="000000"/>
                <w:spacing w:val="0"/>
                <w:w w:val="100"/>
                <w:position w:val="0"/>
                <w:sz w:val="24"/>
                <w:szCs w:val="24"/>
              </w:rPr>
              <w:t>8,100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w:t>
            </w:r>
          </w:p>
        </w:tc>
      </w:tr>
      <w:tr>
        <w:trPr>
          <w:trHeight w:val="307"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无到期日</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2540" w:right="0" w:firstLine="0"/>
              <w:jc w:val="both"/>
              <w:rPr>
                <w:sz w:val="24"/>
                <w:szCs w:val="24"/>
              </w:rPr>
            </w:pPr>
            <w:r>
              <w:rPr>
                <w:rFonts w:ascii="Times New Roman" w:eastAsia="Times New Roman" w:hAnsi="Times New Roman" w:cs="Times New Roman"/>
                <w:color w:val="000000"/>
                <w:spacing w:val="0"/>
                <w:w w:val="100"/>
                <w:position w:val="0"/>
                <w:sz w:val="24"/>
                <w:szCs w:val="24"/>
              </w:rPr>
              <w:t>226,215</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62,615</w:t>
            </w:r>
          </w:p>
        </w:tc>
      </w:tr>
      <w:tr>
        <w:trPr>
          <w:trHeight w:val="312" w:hRule="exact"/>
        </w:trPr>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440" w:firstLine="0"/>
              <w:jc w:val="right"/>
              <w:rPr>
                <w:sz w:val="24"/>
                <w:szCs w:val="24"/>
              </w:rPr>
            </w:pPr>
            <w:r>
              <w:rPr>
                <w:rFonts w:ascii="Times New Roman" w:eastAsia="Times New Roman" w:hAnsi="Times New Roman" w:cs="Times New Roman"/>
                <w:color w:val="000000"/>
                <w:spacing w:val="0"/>
                <w:w w:val="100"/>
                <w:position w:val="0"/>
                <w:sz w:val="24"/>
                <w:szCs w:val="24"/>
              </w:rPr>
              <w:t>2,548,080</w:t>
            </w:r>
          </w:p>
        </w:tc>
        <w:tc>
          <w:tcPr>
            <w:tcBorders>
              <w:top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2,242,269</w:t>
            </w:r>
          </w:p>
        </w:tc>
      </w:tr>
    </w:tbl>
    <w:p>
      <w:pPr>
        <w:widowControl w:val="0"/>
        <w:spacing w:after="199" w:line="1" w:lineRule="exact"/>
      </w:pPr>
    </w:p>
    <w:p>
      <w:pPr>
        <w:pStyle w:val="Style32"/>
        <w:keepNext w:val="0"/>
        <w:keepLines w:val="0"/>
        <w:widowControl w:val="0"/>
        <w:shd w:val="clear" w:color="auto" w:fill="auto"/>
        <w:tabs>
          <w:tab w:pos="607" w:val="left"/>
        </w:tabs>
        <w:bidi w:val="0"/>
        <w:spacing w:before="0" w:after="240" w:line="240" w:lineRule="auto"/>
        <w:ind w:left="0" w:right="0" w:firstLine="0"/>
        <w:jc w:val="left"/>
        <w:rPr>
          <w:sz w:val="24"/>
          <w:szCs w:val="24"/>
        </w:rPr>
      </w:pPr>
      <w:bookmarkStart w:id="926" w:name="bookmark926"/>
      <w:r>
        <w:rPr>
          <w:rFonts w:ascii="Times New Roman" w:eastAsia="Times New Roman" w:hAnsi="Times New Roman" w:cs="Times New Roman"/>
          <w:color w:val="000000"/>
          <w:spacing w:val="0"/>
          <w:w w:val="100"/>
          <w:position w:val="0"/>
          <w:sz w:val="24"/>
          <w:szCs w:val="24"/>
        </w:rPr>
        <w:t>（</w:t>
      </w:r>
      <w:bookmarkEnd w:id="926"/>
      <w:r>
        <w:rPr>
          <w:rFonts w:ascii="Times New Roman" w:eastAsia="Times New Roman" w:hAnsi="Times New Roman" w:cs="Times New Roman"/>
          <w:color w:val="000000"/>
          <w:spacing w:val="0"/>
          <w:w w:val="100"/>
          <w:position w:val="0"/>
          <w:sz w:val="24"/>
          <w:szCs w:val="24"/>
        </w:rPr>
        <w:t>e）</w:t>
        <w:tab/>
      </w:r>
      <w:r>
        <w:rPr>
          <w:color w:val="000000"/>
          <w:spacing w:val="0"/>
          <w:w w:val="100"/>
          <w:position w:val="0"/>
          <w:sz w:val="24"/>
          <w:szCs w:val="24"/>
        </w:rPr>
        <w:t>抵销后的递延所得税资产和递延所得税负债净额列示如下:</w:t>
      </w:r>
    </w:p>
    <w:p>
      <w:pPr>
        <w:pStyle w:val="Style25"/>
        <w:keepNext w:val="0"/>
        <w:keepLines w:val="0"/>
        <w:widowControl w:val="0"/>
        <w:shd w:val="clear" w:color="auto" w:fill="auto"/>
        <w:tabs>
          <w:tab w:pos="6067" w:val="left"/>
        </w:tabs>
        <w:bidi w:val="0"/>
        <w:spacing w:before="0" w:after="0" w:line="240" w:lineRule="auto"/>
        <w:ind w:left="2707" w:right="0" w:firstLine="0"/>
        <w:jc w:val="left"/>
        <w:rPr>
          <w:sz w:val="20"/>
          <w:szCs w:val="20"/>
        </w:rPr>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w:t>
        <w:tab/>
      </w:r>
      <w:r>
        <w:rPr>
          <w:rFonts w:ascii="Times New Roman" w:eastAsia="Times New Roman" w:hAnsi="Times New Roman" w:cs="Times New Roman"/>
          <w:color w:val="000000"/>
          <w:spacing w:val="0"/>
          <w:w w:val="100"/>
          <w:position w:val="0"/>
          <w:sz w:val="20"/>
          <w:szCs w:val="20"/>
        </w:rPr>
        <w:t>2015</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w:t>
      </w:r>
    </w:p>
    <w:tbl>
      <w:tblPr>
        <w:tblOverlap w:val="never"/>
        <w:jc w:val="center"/>
        <w:tblLayout w:type="fixed"/>
      </w:tblPr>
      <w:tblGrid>
        <w:gridCol w:w="2054"/>
        <w:gridCol w:w="1733"/>
        <w:gridCol w:w="1800"/>
        <w:gridCol w:w="1637"/>
        <w:gridCol w:w="1310"/>
      </w:tblGrid>
      <w:tr>
        <w:trPr>
          <w:trHeight w:val="413" w:hRule="exact"/>
        </w:trPr>
        <w:tc>
          <w:tcPr>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20"/>
              <w:jc w:val="left"/>
              <w:rPr>
                <w:sz w:val="20"/>
                <w:szCs w:val="20"/>
              </w:rPr>
            </w:pPr>
            <w:r>
              <w:rPr>
                <w:color w:val="000000"/>
                <w:spacing w:val="0"/>
                <w:w w:val="100"/>
                <w:position w:val="0"/>
                <w:sz w:val="20"/>
                <w:szCs w:val="20"/>
              </w:rPr>
              <w:t>互抵金额</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240" w:right="0" w:firstLine="0"/>
              <w:jc w:val="center"/>
              <w:rPr>
                <w:sz w:val="20"/>
                <w:szCs w:val="20"/>
              </w:rPr>
            </w:pPr>
            <w:r>
              <w:rPr>
                <w:color w:val="000000"/>
                <w:spacing w:val="0"/>
                <w:w w:val="100"/>
                <w:position w:val="0"/>
                <w:sz w:val="20"/>
                <w:szCs w:val="20"/>
              </w:rPr>
              <w:t>抵销后余额</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互抵金额</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抵销后余额</w:t>
            </w:r>
          </w:p>
        </w:tc>
      </w:tr>
      <w:tr>
        <w:trPr>
          <w:trHeight w:val="408"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递延所得税资产</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20"/>
              <w:jc w:val="left"/>
              <w:rPr>
                <w:sz w:val="20"/>
                <w:szCs w:val="20"/>
              </w:rPr>
            </w:pPr>
            <w:r>
              <w:rPr>
                <w:rFonts w:ascii="Times New Roman" w:eastAsia="Times New Roman" w:hAnsi="Times New Roman" w:cs="Times New Roman"/>
                <w:color w:val="000000"/>
                <w:spacing w:val="0"/>
                <w:w w:val="100"/>
                <w:position w:val="0"/>
                <w:sz w:val="20"/>
                <w:szCs w:val="20"/>
              </w:rPr>
              <w:t>(305,971)</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2,258,689</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(110,446)</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2,193,459</w:t>
            </w:r>
          </w:p>
        </w:tc>
      </w:tr>
      <w:tr>
        <w:trPr>
          <w:trHeight w:val="274"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递延所得税负债</w:t>
            </w:r>
          </w:p>
        </w:tc>
        <w:tc>
          <w:tcPr>
            <w:tcBorders>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20"/>
              <w:jc w:val="left"/>
              <w:rPr>
                <w:sz w:val="20"/>
                <w:szCs w:val="20"/>
              </w:rPr>
            </w:pPr>
            <w:r>
              <w:rPr>
                <w:rFonts w:ascii="Times New Roman" w:eastAsia="Times New Roman" w:hAnsi="Times New Roman" w:cs="Times New Roman"/>
                <w:color w:val="000000"/>
                <w:spacing w:val="0"/>
                <w:w w:val="100"/>
                <w:position w:val="0"/>
                <w:sz w:val="20"/>
                <w:szCs w:val="20"/>
              </w:rPr>
              <w:t>(305,971)</w:t>
            </w:r>
          </w:p>
        </w:tc>
        <w:tc>
          <w:tcPr>
            <w:tcBorders>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217,304</w:t>
            </w:r>
          </w:p>
        </w:tc>
        <w:tc>
          <w:tcPr>
            <w:tcBorders>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(110,446)</w:t>
            </w:r>
          </w:p>
        </w:tc>
        <w:tc>
          <w:tcPr>
            <w:tcBorders>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191,483</w:t>
            </w:r>
          </w:p>
        </w:tc>
      </w:tr>
    </w:tbl>
    <w:p>
      <w:pPr>
        <w:spacing w:lineRule="exact" w:line="1"/>
        <w:rPr>
          <w:sz w:val="2"/>
          <w:szCs w:val="2"/>
        </w:rPr>
      </w:pPr>
      <w:r>
        <w:br w:type="page"/>
      </w:r>
    </w:p>
    <w:p>
      <w:pPr>
        <w:pStyle w:val="Style32"/>
        <w:keepNext w:val="0"/>
        <w:keepLines w:val="0"/>
        <w:widowControl w:val="0"/>
        <w:shd w:val="clear" w:color="auto" w:fill="auto"/>
        <w:bidi w:val="0"/>
        <w:spacing w:before="0" w:after="0" w:line="240" w:lineRule="auto"/>
        <w:ind w:left="0" w:right="0" w:firstLine="740"/>
        <w:jc w:val="left"/>
        <w:rPr>
          <w:sz w:val="24"/>
          <w:szCs w:val="24"/>
        </w:rPr>
      </w:pPr>
      <w:r>
        <w:rPr>
          <w:b/>
          <w:bCs/>
          <w:color w:val="000000"/>
          <w:spacing w:val="0"/>
          <w:w w:val="100"/>
          <w:position w:val="0"/>
          <w:sz w:val="24"/>
          <w:szCs w:val="24"/>
        </w:rPr>
        <w:t>财务报表附注</w:t>
      </w:r>
    </w:p>
    <w:p>
      <w:pPr>
        <w:pStyle w:val="Style88"/>
        <w:keepNext/>
        <w:keepLines/>
        <w:widowControl w:val="0"/>
        <w:shd w:val="clear" w:color="auto" w:fill="auto"/>
        <w:bidi w:val="0"/>
        <w:spacing w:before="0" w:after="0" w:line="240" w:lineRule="auto"/>
        <w:ind w:left="0" w:right="0" w:firstLine="740"/>
        <w:jc w:val="left"/>
      </w:pPr>
      <w:bookmarkStart w:id="927" w:name="bookmark927"/>
      <w:bookmarkStart w:id="928" w:name="bookmark928"/>
      <w:bookmarkStart w:id="929" w:name="bookmark929"/>
      <w:r>
        <w:rPr>
          <w:color w:val="000000"/>
          <w:spacing w:val="0"/>
          <w:w w:val="100"/>
          <w:position w:val="0"/>
          <w:sz w:val="24"/>
          <w:szCs w:val="24"/>
        </w:rPr>
        <w:t>2016</w:t>
      </w:r>
      <w:r>
        <w:rPr>
          <w:rFonts w:ascii="SimSun" w:eastAsia="SimSun" w:hAnsi="SimSun" w:cs="SimSun"/>
          <w:b/>
          <w:bCs/>
          <w:color w:val="000000"/>
          <w:spacing w:val="0"/>
          <w:w w:val="100"/>
          <w:position w:val="0"/>
          <w:sz w:val="24"/>
          <w:szCs w:val="24"/>
        </w:rPr>
        <w:t>年度</w:t>
      </w:r>
      <w:bookmarkEnd w:id="927"/>
      <w:bookmarkEnd w:id="928"/>
      <w:bookmarkEnd w:id="929"/>
    </w:p>
    <w:p>
      <w:pPr>
        <w:pStyle w:val="Style32"/>
        <w:keepNext w:val="0"/>
        <w:keepLines w:val="0"/>
        <w:widowControl w:val="0"/>
        <w:shd w:val="clear" w:color="auto" w:fill="auto"/>
        <w:bidi w:val="0"/>
        <w:spacing w:before="0" w:after="0" w:line="240" w:lineRule="auto"/>
        <w:ind w:left="0" w:right="0" w:firstLine="740"/>
        <w:jc w:val="left"/>
        <w:rPr>
          <w:sz w:val="20"/>
          <w:szCs w:val="20"/>
        </w:rPr>
      </w:pPr>
      <w:r>
        <w:rPr>
          <w:rFonts w:ascii="Arial" w:eastAsia="Arial" w:hAnsi="Arial" w:cs="Arial"/>
          <w:color w:val="000000"/>
          <w:spacing w:val="0"/>
          <w:w w:val="100"/>
          <w:position w:val="0"/>
          <w:sz w:val="20"/>
          <w:szCs w:val="20"/>
        </w:rPr>
        <w:t>（</w:t>
      </w:r>
      <w:r>
        <w:rPr>
          <w:color w:val="000000"/>
          <w:spacing w:val="0"/>
          <w:w w:val="100"/>
          <w:position w:val="0"/>
          <w:sz w:val="20"/>
          <w:szCs w:val="20"/>
        </w:rPr>
        <w:t>除特别注明外，金额单位为人民币千元</w:t>
      </w:r>
      <w:r>
        <w:rPr>
          <w:rFonts w:ascii="Arial" w:eastAsia="Arial" w:hAnsi="Arial" w:cs="Arial"/>
          <w:color w:val="000000"/>
          <w:spacing w:val="0"/>
          <w:w w:val="100"/>
          <w:position w:val="0"/>
          <w:sz w:val="20"/>
          <w:szCs w:val="20"/>
        </w:rPr>
        <w:t>）</w:t>
      </w:r>
    </w:p>
    <w:p>
      <w:pPr>
        <w:widowControl w:val="0"/>
        <w:spacing w:line="1" w:lineRule="exact"/>
      </w:pPr>
      <w:r>
        <mc:AlternateContent>
          <mc:Choice Requires="wps">
            <w:drawing>
              <wp:anchor distT="227965" distB="0" distL="0" distR="0" simplePos="0" relativeHeight="125829422" behindDoc="0" locked="0" layoutInCell="1" allowOverlap="1">
                <wp:simplePos x="0" y="0"/>
                <wp:positionH relativeFrom="page">
                  <wp:posOffset>1066165</wp:posOffset>
                </wp:positionH>
                <wp:positionV relativeFrom="paragraph">
                  <wp:posOffset>227965</wp:posOffset>
                </wp:positionV>
                <wp:extent cx="280670" cy="570230"/>
                <wp:wrapTopAndBottom/>
                <wp:docPr id="310" name="Shape 310"/>
                <a:graphic xmlns:a="http://schemas.openxmlformats.org/drawingml/2006/main">
                  <a:graphicData uri="http://schemas.microsoft.com/office/word/2010/wordprocessingShape">
                    <wps:wsp>
                      <wps:cNvSpPr txBox="1"/>
                      <wps:spPr>
                        <a:xfrm>
                          <a:ext cx="280670" cy="570230"/>
                        </a:xfrm>
                        <a:prstGeom prst="rect"/>
                        <a:noFill/>
                      </wps:spPr>
                      <wps:txbx>
                        <w:txbxContent>
                          <w:p>
                            <w:pPr>
                              <w:pStyle w:val="Style32"/>
                              <w:keepNext w:val="0"/>
                              <w:keepLines w:val="0"/>
                              <w:widowControl w:val="0"/>
                              <w:shd w:val="clear" w:color="auto" w:fill="auto"/>
                              <w:bidi w:val="0"/>
                              <w:spacing w:before="0" w:after="260" w:line="240" w:lineRule="auto"/>
                              <w:ind w:left="0" w:right="0" w:firstLine="0"/>
                              <w:jc w:val="left"/>
                              <w:rPr>
                                <w:sz w:val="24"/>
                                <w:szCs w:val="24"/>
                              </w:rPr>
                            </w:pPr>
                            <w:r>
                              <w:rPr>
                                <w:b/>
                                <w:bCs/>
                                <w:color w:val="000000"/>
                                <w:spacing w:val="0"/>
                                <w:w w:val="100"/>
                                <w:position w:val="0"/>
                                <w:sz w:val="24"/>
                                <w:szCs w:val="24"/>
                              </w:rPr>
                              <w:t>四</w:t>
                            </w:r>
                          </w:p>
                          <w:p>
                            <w:pPr>
                              <w:pStyle w:val="Style5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(21)</w:t>
                            </w:r>
                          </w:p>
                        </w:txbxContent>
                      </wps:txbx>
                      <wps:bodyPr lIns="0" tIns="0" rIns="0" bIns="0">
                        <a:noAutoFit/>
                      </wps:bodyPr>
                    </wps:wsp>
                  </a:graphicData>
                </a:graphic>
              </wp:anchor>
            </w:drawing>
          </mc:Choice>
          <mc:Fallback>
            <w:pict>
              <v:shape id="_x0000_s1336" type="#_x0000_t202" style="position:absolute;margin-left:83.950000000000003pt;margin-top:17.949999999999999pt;width:22.100000000000001pt;height:44.899999999999999pt;z-index:-125829331;mso-wrap-distance-left:0;mso-wrap-distance-top:17.949999999999999pt;mso-wrap-distance-right:0;mso-position-horizontal-relative:page" filled="f" stroked="f">
                <v:textbox inset="0,0,0,0">
                  <w:txbxContent>
                    <w:p>
                      <w:pPr>
                        <w:pStyle w:val="Style32"/>
                        <w:keepNext w:val="0"/>
                        <w:keepLines w:val="0"/>
                        <w:widowControl w:val="0"/>
                        <w:shd w:val="clear" w:color="auto" w:fill="auto"/>
                        <w:bidi w:val="0"/>
                        <w:spacing w:before="0" w:after="260" w:line="240" w:lineRule="auto"/>
                        <w:ind w:left="0" w:right="0" w:firstLine="0"/>
                        <w:jc w:val="left"/>
                        <w:rPr>
                          <w:sz w:val="24"/>
                          <w:szCs w:val="24"/>
                        </w:rPr>
                      </w:pPr>
                      <w:r>
                        <w:rPr>
                          <w:b/>
                          <w:bCs/>
                          <w:color w:val="000000"/>
                          <w:spacing w:val="0"/>
                          <w:w w:val="100"/>
                          <w:position w:val="0"/>
                          <w:sz w:val="24"/>
                          <w:szCs w:val="24"/>
                        </w:rPr>
                        <w:t>四</w:t>
                      </w:r>
                    </w:p>
                    <w:p>
                      <w:pPr>
                        <w:pStyle w:val="Style5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(21)</w:t>
                      </w:r>
                    </w:p>
                  </w:txbxContent>
                </v:textbox>
                <w10:wrap type="topAndBottom" anchorx="page"/>
              </v:shape>
            </w:pict>
          </mc:Fallback>
        </mc:AlternateContent>
      </w:r>
      <w:r>
        <mc:AlternateContent>
          <mc:Choice Requires="wps">
            <w:drawing>
              <wp:anchor distT="215900" distB="368935" distL="0" distR="0" simplePos="0" relativeHeight="125829424" behindDoc="0" locked="0" layoutInCell="1" allowOverlap="1">
                <wp:simplePos x="0" y="0"/>
                <wp:positionH relativeFrom="page">
                  <wp:posOffset>1523365</wp:posOffset>
                </wp:positionH>
                <wp:positionV relativeFrom="paragraph">
                  <wp:posOffset>215900</wp:posOffset>
                </wp:positionV>
                <wp:extent cx="1798320" cy="213360"/>
                <wp:wrapTopAndBottom/>
                <wp:docPr id="312" name="Shape 312"/>
                <a:graphic xmlns:a="http://schemas.openxmlformats.org/drawingml/2006/main">
                  <a:graphicData uri="http://schemas.microsoft.com/office/word/2010/wordprocessingShape">
                    <wps:wsp>
                      <wps:cNvSpPr txBox="1"/>
                      <wps:spPr>
                        <a:xfrm>
                          <a:ext cx="1798320" cy="213360"/>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合并财务报表项目附注</w:t>
                            </w:r>
                            <w:r>
                              <w:rPr>
                                <w:rFonts w:ascii="Times New Roman" w:eastAsia="Times New Roman" w:hAnsi="Times New Roman" w:cs="Times New Roman"/>
                                <w:color w:val="000000"/>
                                <w:spacing w:val="0"/>
                                <w:w w:val="100"/>
                                <w:position w:val="0"/>
                                <w:sz w:val="24"/>
                                <w:szCs w:val="24"/>
                              </w:rPr>
                              <w:t>（</w:t>
                            </w:r>
                            <w:r>
                              <w:rPr>
                                <w:b/>
                                <w:bCs/>
                                <w:color w:val="000000"/>
                                <w:spacing w:val="0"/>
                                <w:w w:val="100"/>
                                <w:position w:val="0"/>
                                <w:sz w:val="24"/>
                                <w:szCs w:val="24"/>
                              </w:rPr>
                              <w:t>续</w:t>
                            </w:r>
                            <w:r>
                              <w:rPr>
                                <w:rFonts w:ascii="Times New Roman" w:eastAsia="Times New Roman" w:hAnsi="Times New Roman" w:cs="Times New Roman"/>
                                <w:color w:val="000000"/>
                                <w:spacing w:val="0"/>
                                <w:w w:val="100"/>
                                <w:position w:val="0"/>
                                <w:sz w:val="24"/>
                                <w:szCs w:val="24"/>
                              </w:rPr>
                              <w:t>）</w:t>
                            </w:r>
                          </w:p>
                        </w:txbxContent>
                      </wps:txbx>
                      <wps:bodyPr wrap="none" lIns="0" tIns="0" rIns="0" bIns="0">
                        <a:noAutoFit/>
                      </wps:bodyPr>
                    </wps:wsp>
                  </a:graphicData>
                </a:graphic>
              </wp:anchor>
            </w:drawing>
          </mc:Choice>
          <mc:Fallback>
            <w:pict>
              <v:shape id="_x0000_s1338" type="#_x0000_t202" style="position:absolute;margin-left:119.95pt;margin-top:17.pt;width:141.59999999999999pt;height:16.800000000000001pt;z-index:-125829329;mso-wrap-distance-left:0;mso-wrap-distance-top:17.pt;mso-wrap-distance-right:0;mso-wrap-distance-bottom:29.050000000000001pt;mso-position-horizontal-relative:page" filled="f" stroked="f">
                <v:textbox inset="0,0,0,0">
                  <w:txbxContent>
                    <w:p>
                      <w:pPr>
                        <w:pStyle w:val="Style32"/>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合并财务报表项目附注</w:t>
                      </w:r>
                      <w:r>
                        <w:rPr>
                          <w:rFonts w:ascii="Times New Roman" w:eastAsia="Times New Roman" w:hAnsi="Times New Roman" w:cs="Times New Roman"/>
                          <w:color w:val="000000"/>
                          <w:spacing w:val="0"/>
                          <w:w w:val="100"/>
                          <w:position w:val="0"/>
                          <w:sz w:val="24"/>
                          <w:szCs w:val="24"/>
                        </w:rPr>
                        <w:t>（</w:t>
                      </w:r>
                      <w:r>
                        <w:rPr>
                          <w:b/>
                          <w:bCs/>
                          <w:color w:val="000000"/>
                          <w:spacing w:val="0"/>
                          <w:w w:val="100"/>
                          <w:position w:val="0"/>
                          <w:sz w:val="24"/>
                          <w:szCs w:val="24"/>
                        </w:rPr>
                        <w:t>续</w:t>
                      </w:r>
                      <w:r>
                        <w:rPr>
                          <w:rFonts w:ascii="Times New Roman" w:eastAsia="Times New Roman" w:hAnsi="Times New Roman" w:cs="Times New Roman"/>
                          <w:color w:val="000000"/>
                          <w:spacing w:val="0"/>
                          <w:w w:val="100"/>
                          <w:position w:val="0"/>
                          <w:sz w:val="24"/>
                          <w:szCs w:val="24"/>
                        </w:rPr>
                        <w:t>）</w:t>
                      </w:r>
                    </w:p>
                  </w:txbxContent>
                </v:textbox>
                <w10:wrap type="topAndBottom" anchorx="page"/>
              </v:shape>
            </w:pict>
          </mc:Fallback>
        </mc:AlternateContent>
      </w:r>
      <w:r>
        <mc:AlternateContent>
          <mc:Choice Requires="wps">
            <w:drawing>
              <wp:anchor distT="596900" distB="15240" distL="0" distR="0" simplePos="0" relativeHeight="125829426" behindDoc="0" locked="0" layoutInCell="1" allowOverlap="1">
                <wp:simplePos x="0" y="0"/>
                <wp:positionH relativeFrom="page">
                  <wp:posOffset>1526540</wp:posOffset>
                </wp:positionH>
                <wp:positionV relativeFrom="paragraph">
                  <wp:posOffset>596900</wp:posOffset>
                </wp:positionV>
                <wp:extent cx="932815" cy="186055"/>
                <wp:wrapTopAndBottom/>
                <wp:docPr id="314" name="Shape 314"/>
                <a:graphic xmlns:a="http://schemas.openxmlformats.org/drawingml/2006/main">
                  <a:graphicData uri="http://schemas.microsoft.com/office/word/2010/wordprocessingShape">
                    <wps:wsp>
                      <wps:cNvSpPr txBox="1"/>
                      <wps:spPr>
                        <a:xfrm>
                          <a:ext cx="932815" cy="186055"/>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center"/>
                              <w:rPr>
                                <w:sz w:val="24"/>
                                <w:szCs w:val="24"/>
                              </w:rPr>
                            </w:pPr>
                            <w:r>
                              <w:rPr>
                                <w:b/>
                                <w:bCs/>
                                <w:color w:val="000000"/>
                                <w:spacing w:val="0"/>
                                <w:w w:val="100"/>
                                <w:position w:val="0"/>
                                <w:sz w:val="24"/>
                                <w:szCs w:val="24"/>
                              </w:rPr>
                              <w:t>资产减值准备</w:t>
                            </w:r>
                          </w:p>
                        </w:txbxContent>
                      </wps:txbx>
                      <wps:bodyPr wrap="none" lIns="0" tIns="0" rIns="0" bIns="0">
                        <a:noAutoFit/>
                      </wps:bodyPr>
                    </wps:wsp>
                  </a:graphicData>
                </a:graphic>
              </wp:anchor>
            </w:drawing>
          </mc:Choice>
          <mc:Fallback>
            <w:pict>
              <v:shape id="_x0000_s1340" type="#_x0000_t202" style="position:absolute;margin-left:120.2pt;margin-top:47.pt;width:73.450000000000003pt;height:14.65pt;z-index:-125829327;mso-wrap-distance-left:0;mso-wrap-distance-top:47.pt;mso-wrap-distance-right:0;mso-wrap-distance-bottom:1.2pt;mso-position-horizontal-relative:page" filled="f" stroked="f">
                <v:textbox inset="0,0,0,0">
                  <w:txbxContent>
                    <w:p>
                      <w:pPr>
                        <w:pStyle w:val="Style32"/>
                        <w:keepNext w:val="0"/>
                        <w:keepLines w:val="0"/>
                        <w:widowControl w:val="0"/>
                        <w:shd w:val="clear" w:color="auto" w:fill="auto"/>
                        <w:bidi w:val="0"/>
                        <w:spacing w:before="0" w:after="0" w:line="240" w:lineRule="auto"/>
                        <w:ind w:left="0" w:right="0" w:firstLine="0"/>
                        <w:jc w:val="center"/>
                        <w:rPr>
                          <w:sz w:val="24"/>
                          <w:szCs w:val="24"/>
                        </w:rPr>
                      </w:pPr>
                      <w:r>
                        <w:rPr>
                          <w:b/>
                          <w:bCs/>
                          <w:color w:val="000000"/>
                          <w:spacing w:val="0"/>
                          <w:w w:val="100"/>
                          <w:position w:val="0"/>
                          <w:sz w:val="24"/>
                          <w:szCs w:val="24"/>
                        </w:rPr>
                        <w:t>资产减值准备</w:t>
                      </w:r>
                    </w:p>
                  </w:txbxContent>
                </v:textbox>
                <w10:wrap type="topAndBottom" anchorx="page"/>
              </v:shape>
            </w:pict>
          </mc:Fallback>
        </mc:AlternateContent>
      </w:r>
    </w:p>
    <w:tbl>
      <w:tblPr>
        <w:tblOverlap w:val="never"/>
        <w:jc w:val="left"/>
        <w:tblLayout w:type="fixed"/>
      </w:tblPr>
      <w:tblGrid>
        <w:gridCol w:w="2554"/>
        <w:gridCol w:w="1109"/>
        <w:gridCol w:w="1042"/>
        <w:gridCol w:w="1315"/>
        <w:gridCol w:w="1229"/>
        <w:gridCol w:w="1325"/>
      </w:tblGrid>
      <w:tr>
        <w:trPr>
          <w:trHeight w:val="638" w:hRule="exact"/>
        </w:trPr>
        <w:tc>
          <w:tcPr>
            <w:tcBorders/>
            <w:shd w:val="clear" w:color="auto" w:fill="FFFFFF"/>
            <w:vAlign w:val="top"/>
          </w:tcPr>
          <w:p>
            <w:pPr>
              <w:framePr w:w="8573" w:h="6144" w:hSpace="677" w:wrap="notBeside" w:vAnchor="text" w:hAnchor="text" w:x="824" w:y="1"/>
              <w:widowControl w:val="0"/>
              <w:rPr>
                <w:sz w:val="10"/>
                <w:szCs w:val="10"/>
              </w:rPr>
            </w:pPr>
          </w:p>
        </w:tc>
        <w:tc>
          <w:tcPr>
            <w:tcBorders/>
            <w:shd w:val="clear" w:color="auto" w:fill="FFFFFF"/>
            <w:vAlign w:val="top"/>
          </w:tcPr>
          <w:p>
            <w:pPr>
              <w:pStyle w:val="Style28"/>
              <w:keepNext w:val="0"/>
              <w:keepLines w:val="0"/>
              <w:framePr w:w="8573" w:h="6144" w:hSpace="677" w:wrap="notBeside" w:vAnchor="text" w:hAnchor="text" w:x="824" w:y="1"/>
              <w:widowControl w:val="0"/>
              <w:shd w:val="clear" w:color="auto" w:fill="auto"/>
              <w:bidi w:val="0"/>
              <w:spacing w:before="0" w:after="0" w:line="240" w:lineRule="auto"/>
              <w:ind w:left="0" w:right="0" w:firstLine="380"/>
              <w:jc w:val="both"/>
              <w:rPr>
                <w:sz w:val="20"/>
                <w:szCs w:val="20"/>
              </w:rPr>
            </w:pPr>
            <w:r>
              <w:rPr>
                <w:rFonts w:ascii="Times New Roman" w:eastAsia="Times New Roman" w:hAnsi="Times New Roman" w:cs="Times New Roman"/>
                <w:color w:val="000000"/>
                <w:spacing w:val="0"/>
                <w:w w:val="100"/>
                <w:position w:val="0"/>
                <w:sz w:val="20"/>
                <w:szCs w:val="20"/>
              </w:rPr>
              <w:t xml:space="preserve">2015 </w:t>
            </w:r>
            <w:r>
              <w:rPr>
                <w:color w:val="000000"/>
                <w:spacing w:val="0"/>
                <w:w w:val="100"/>
                <w:position w:val="0"/>
                <w:sz w:val="20"/>
                <w:szCs w:val="20"/>
              </w:rPr>
              <w:t>年</w:t>
            </w:r>
          </w:p>
          <w:p>
            <w:pPr>
              <w:pStyle w:val="Style28"/>
              <w:keepNext w:val="0"/>
              <w:keepLines w:val="0"/>
              <w:framePr w:w="8573" w:h="6144" w:hSpace="677" w:wrap="notBeside" w:vAnchor="text" w:hAnchor="text" w:x="824" w:y="1"/>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w:t>
            </w:r>
          </w:p>
        </w:tc>
        <w:tc>
          <w:tcPr>
            <w:tcBorders/>
            <w:shd w:val="clear" w:color="auto" w:fill="FFFFFF"/>
            <w:vAlign w:val="center"/>
          </w:tcPr>
          <w:p>
            <w:pPr>
              <w:pStyle w:val="Style28"/>
              <w:keepNext w:val="0"/>
              <w:keepLines w:val="0"/>
              <w:framePr w:w="8573" w:h="6144" w:hSpace="677" w:wrap="notBeside" w:vAnchor="text" w:hAnchor="text" w:x="824" w:y="1"/>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本年计提</w:t>
            </w:r>
          </w:p>
        </w:tc>
        <w:tc>
          <w:tcPr>
            <w:tcBorders/>
            <w:shd w:val="clear" w:color="auto" w:fill="FFFFFF"/>
            <w:vAlign w:val="top"/>
          </w:tcPr>
          <w:p>
            <w:pPr>
              <w:pStyle w:val="Style28"/>
              <w:keepNext w:val="0"/>
              <w:keepLines w:val="0"/>
              <w:framePr w:w="8573" w:h="6144" w:hSpace="677" w:wrap="notBeside" w:vAnchor="text" w:hAnchor="text" w:x="824" w:y="1"/>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本年核销</w:t>
            </w:r>
          </w:p>
          <w:p>
            <w:pPr>
              <w:pStyle w:val="Style28"/>
              <w:keepNext w:val="0"/>
              <w:keepLines w:val="0"/>
              <w:framePr w:w="8573" w:h="6144" w:hSpace="677" w:wrap="notBeside" w:vAnchor="text" w:hAnchor="text" w:x="824" w:y="1"/>
              <w:widowControl w:val="0"/>
              <w:shd w:val="clear" w:color="auto" w:fill="auto"/>
              <w:bidi w:val="0"/>
              <w:spacing w:before="0" w:after="0" w:line="240" w:lineRule="auto"/>
              <w:ind w:left="0" w:right="180" w:firstLine="0"/>
              <w:jc w:val="right"/>
              <w:rPr>
                <w:sz w:val="20"/>
                <w:szCs w:val="20"/>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转销</w:t>
            </w:r>
          </w:p>
        </w:tc>
        <w:tc>
          <w:tcPr>
            <w:tcBorders/>
            <w:shd w:val="clear" w:color="auto" w:fill="FFFFFF"/>
            <w:vAlign w:val="top"/>
          </w:tcPr>
          <w:p>
            <w:pPr>
              <w:pStyle w:val="Style28"/>
              <w:keepNext w:val="0"/>
              <w:keepLines w:val="0"/>
              <w:framePr w:w="8573" w:h="6144" w:hSpace="677" w:wrap="notBeside" w:vAnchor="text" w:hAnchor="text" w:x="824" w:y="1"/>
              <w:widowControl w:val="0"/>
              <w:shd w:val="clear" w:color="auto" w:fill="auto"/>
              <w:bidi w:val="0"/>
              <w:spacing w:before="0" w:after="0" w:line="278" w:lineRule="exact"/>
              <w:ind w:left="0" w:right="240" w:firstLine="0"/>
              <w:jc w:val="right"/>
              <w:rPr>
                <w:sz w:val="20"/>
                <w:szCs w:val="20"/>
              </w:rPr>
            </w:pPr>
            <w:r>
              <w:rPr>
                <w:color w:val="000000"/>
                <w:spacing w:val="0"/>
                <w:w w:val="100"/>
                <w:position w:val="0"/>
                <w:sz w:val="20"/>
                <w:szCs w:val="20"/>
              </w:rPr>
              <w:t>外币 报表折算</w:t>
            </w:r>
          </w:p>
        </w:tc>
        <w:tc>
          <w:tcPr>
            <w:tcBorders/>
            <w:shd w:val="clear" w:color="auto" w:fill="FFFFFF"/>
            <w:vAlign w:val="top"/>
          </w:tcPr>
          <w:p>
            <w:pPr>
              <w:pStyle w:val="Style28"/>
              <w:keepNext w:val="0"/>
              <w:keepLines w:val="0"/>
              <w:framePr w:w="8573" w:h="6144" w:hSpace="677" w:wrap="notBeside" w:vAnchor="text" w:hAnchor="text" w:x="824" w:y="1"/>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 xml:space="preserve">2016 </w:t>
            </w:r>
            <w:r>
              <w:rPr>
                <w:color w:val="000000"/>
                <w:spacing w:val="0"/>
                <w:w w:val="100"/>
                <w:position w:val="0"/>
                <w:sz w:val="20"/>
                <w:szCs w:val="20"/>
              </w:rPr>
              <w:t>年</w:t>
            </w:r>
          </w:p>
          <w:p>
            <w:pPr>
              <w:pStyle w:val="Style28"/>
              <w:keepNext w:val="0"/>
              <w:keepLines w:val="0"/>
              <w:framePr w:w="8573" w:h="6144" w:hSpace="677" w:wrap="notBeside" w:vAnchor="text" w:hAnchor="text" w:x="824" w:y="1"/>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w:t>
            </w:r>
          </w:p>
        </w:tc>
      </w:tr>
      <w:tr>
        <w:trPr>
          <w:trHeight w:val="365" w:hRule="exact"/>
        </w:trPr>
        <w:tc>
          <w:tcPr>
            <w:tcBorders/>
            <w:shd w:val="clear" w:color="auto" w:fill="FFFFFF"/>
            <w:vAlign w:val="bottom"/>
          </w:tcPr>
          <w:p>
            <w:pPr>
              <w:pStyle w:val="Style28"/>
              <w:keepNext w:val="0"/>
              <w:keepLines w:val="0"/>
              <w:framePr w:w="8573" w:h="6144" w:hSpace="677" w:wrap="notBeside" w:vAnchor="text" w:hAnchor="text" w:x="824" w:y="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坏账准备</w:t>
            </w:r>
          </w:p>
        </w:tc>
        <w:tc>
          <w:tcPr>
            <w:tcBorders/>
            <w:shd w:val="clear" w:color="auto" w:fill="FFFFFF"/>
            <w:vAlign w:val="bottom"/>
          </w:tcPr>
          <w:p>
            <w:pPr>
              <w:pStyle w:val="Style28"/>
              <w:keepNext w:val="0"/>
              <w:keepLines w:val="0"/>
              <w:framePr w:w="8573" w:h="6144" w:hSpace="677" w:wrap="notBeside" w:vAnchor="text" w:hAnchor="text" w:x="824" w:y="1"/>
              <w:widowControl w:val="0"/>
              <w:shd w:val="clear" w:color="auto" w:fill="auto"/>
              <w:bidi w:val="0"/>
              <w:spacing w:before="0" w:after="0" w:line="240" w:lineRule="auto"/>
              <w:ind w:left="0" w:right="0" w:firstLine="380"/>
              <w:jc w:val="both"/>
              <w:rPr>
                <w:sz w:val="20"/>
                <w:szCs w:val="20"/>
              </w:rPr>
            </w:pPr>
            <w:r>
              <w:rPr>
                <w:rFonts w:ascii="Times New Roman" w:eastAsia="Times New Roman" w:hAnsi="Times New Roman" w:cs="Times New Roman"/>
                <w:color w:val="000000"/>
                <w:spacing w:val="0"/>
                <w:w w:val="100"/>
                <w:position w:val="0"/>
                <w:sz w:val="20"/>
                <w:szCs w:val="20"/>
              </w:rPr>
              <w:t>100,637</w:t>
            </w:r>
          </w:p>
        </w:tc>
        <w:tc>
          <w:tcPr>
            <w:tcBorders/>
            <w:shd w:val="clear" w:color="auto" w:fill="FFFFFF"/>
            <w:vAlign w:val="bottom"/>
          </w:tcPr>
          <w:p>
            <w:pPr>
              <w:pStyle w:val="Style28"/>
              <w:keepNext w:val="0"/>
              <w:keepLines w:val="0"/>
              <w:framePr w:w="8573" w:h="6144" w:hSpace="677" w:wrap="notBeside" w:vAnchor="text" w:hAnchor="text" w:x="824" w:y="1"/>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16,188</w:t>
            </w:r>
          </w:p>
        </w:tc>
        <w:tc>
          <w:tcPr>
            <w:tcBorders/>
            <w:shd w:val="clear" w:color="auto" w:fill="FFFFFF"/>
            <w:vAlign w:val="bottom"/>
          </w:tcPr>
          <w:p>
            <w:pPr>
              <w:pStyle w:val="Style28"/>
              <w:keepNext w:val="0"/>
              <w:keepLines w:val="0"/>
              <w:framePr w:w="8573" w:h="6144" w:hSpace="677" w:wrap="notBeside" w:vAnchor="text" w:hAnchor="text" w:x="824" w:y="1"/>
              <w:widowControl w:val="0"/>
              <w:shd w:val="clear" w:color="auto" w:fill="auto"/>
              <w:bidi w:val="0"/>
              <w:spacing w:before="0" w:after="0" w:line="240" w:lineRule="auto"/>
              <w:ind w:left="0" w:right="0" w:firstLine="520"/>
              <w:jc w:val="left"/>
              <w:rPr>
                <w:sz w:val="20"/>
                <w:szCs w:val="20"/>
              </w:rPr>
            </w:pPr>
            <w:r>
              <w:rPr>
                <w:rFonts w:ascii="Times New Roman" w:eastAsia="Times New Roman" w:hAnsi="Times New Roman" w:cs="Times New Roman"/>
                <w:color w:val="000000"/>
                <w:spacing w:val="0"/>
                <w:w w:val="100"/>
                <w:position w:val="0"/>
                <w:sz w:val="20"/>
                <w:szCs w:val="20"/>
              </w:rPr>
              <w:t>(7,084)</w:t>
            </w:r>
          </w:p>
        </w:tc>
        <w:tc>
          <w:tcPr>
            <w:tcBorders/>
            <w:shd w:val="clear" w:color="auto" w:fill="FFFFFF"/>
            <w:vAlign w:val="bottom"/>
          </w:tcPr>
          <w:p>
            <w:pPr>
              <w:pStyle w:val="Style28"/>
              <w:keepNext w:val="0"/>
              <w:keepLines w:val="0"/>
              <w:framePr w:w="8573" w:h="6144" w:hSpace="677" w:wrap="notBeside" w:vAnchor="text" w:hAnchor="text" w:x="824" w:y="1"/>
              <w:widowControl w:val="0"/>
              <w:shd w:val="clear" w:color="auto" w:fill="auto"/>
              <w:bidi w:val="0"/>
              <w:spacing w:before="0" w:after="0" w:line="240" w:lineRule="auto"/>
              <w:ind w:left="0" w:right="0" w:firstLine="80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bottom"/>
          </w:tcPr>
          <w:p>
            <w:pPr>
              <w:pStyle w:val="Style28"/>
              <w:keepNext w:val="0"/>
              <w:keepLines w:val="0"/>
              <w:framePr w:w="8573" w:h="6144" w:hSpace="677" w:wrap="notBeside" w:vAnchor="text" w:hAnchor="text" w:x="824" w:y="1"/>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109,741</w:t>
            </w:r>
          </w:p>
        </w:tc>
      </w:tr>
      <w:tr>
        <w:trPr>
          <w:trHeight w:val="278" w:hRule="exact"/>
        </w:trPr>
        <w:tc>
          <w:tcPr>
            <w:tcBorders>
              <w:top w:val="single" w:sz="4"/>
              <w:left w:val="single" w:sz="4"/>
            </w:tcBorders>
            <w:shd w:val="clear" w:color="auto" w:fill="FFFFFF"/>
            <w:vAlign w:val="bottom"/>
          </w:tcPr>
          <w:p>
            <w:pPr>
              <w:pStyle w:val="Style28"/>
              <w:keepNext w:val="0"/>
              <w:keepLines w:val="0"/>
              <w:framePr w:w="8573" w:h="6144" w:hSpace="677" w:wrap="notBeside" w:vAnchor="text" w:hAnchor="text" w:x="824" w:y="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其中：应收账款坏账准备</w:t>
            </w:r>
          </w:p>
        </w:tc>
        <w:tc>
          <w:tcPr>
            <w:tcBorders>
              <w:top w:val="single" w:sz="4"/>
            </w:tcBorders>
            <w:shd w:val="clear" w:color="auto" w:fill="FFFFFF"/>
            <w:vAlign w:val="bottom"/>
          </w:tcPr>
          <w:p>
            <w:pPr>
              <w:pStyle w:val="Style28"/>
              <w:keepNext w:val="0"/>
              <w:keepLines w:val="0"/>
              <w:framePr w:w="8573" w:h="6144" w:hSpace="677" w:wrap="notBeside" w:vAnchor="text" w:hAnchor="text" w:x="824" w:y="1"/>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69,424</w:t>
            </w:r>
          </w:p>
        </w:tc>
        <w:tc>
          <w:tcPr>
            <w:tcBorders>
              <w:top w:val="single" w:sz="4"/>
            </w:tcBorders>
            <w:shd w:val="clear" w:color="auto" w:fill="FFFFFF"/>
            <w:vAlign w:val="bottom"/>
          </w:tcPr>
          <w:p>
            <w:pPr>
              <w:pStyle w:val="Style28"/>
              <w:keepNext w:val="0"/>
              <w:keepLines w:val="0"/>
              <w:framePr w:w="8573" w:h="6144" w:hSpace="677" w:wrap="notBeside" w:vAnchor="text" w:hAnchor="text" w:x="824" w:y="1"/>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1,633</w:t>
            </w:r>
          </w:p>
        </w:tc>
        <w:tc>
          <w:tcPr>
            <w:tcBorders>
              <w:top w:val="single" w:sz="4"/>
            </w:tcBorders>
            <w:shd w:val="clear" w:color="auto" w:fill="FFFFFF"/>
            <w:vAlign w:val="bottom"/>
          </w:tcPr>
          <w:p>
            <w:pPr>
              <w:pStyle w:val="Style28"/>
              <w:keepNext w:val="0"/>
              <w:keepLines w:val="0"/>
              <w:framePr w:w="8573" w:h="6144" w:hSpace="677" w:wrap="notBeside" w:vAnchor="text" w:hAnchor="text" w:x="824" w:y="1"/>
              <w:widowControl w:val="0"/>
              <w:shd w:val="clear" w:color="auto" w:fill="auto"/>
              <w:bidi w:val="0"/>
              <w:spacing w:before="0" w:after="0" w:line="240" w:lineRule="auto"/>
              <w:ind w:left="0" w:right="0" w:firstLine="520"/>
              <w:jc w:val="left"/>
              <w:rPr>
                <w:sz w:val="20"/>
                <w:szCs w:val="20"/>
              </w:rPr>
            </w:pPr>
            <w:r>
              <w:rPr>
                <w:rFonts w:ascii="Times New Roman" w:eastAsia="Times New Roman" w:hAnsi="Times New Roman" w:cs="Times New Roman"/>
                <w:color w:val="000000"/>
                <w:spacing w:val="0"/>
                <w:w w:val="100"/>
                <w:position w:val="0"/>
                <w:sz w:val="20"/>
                <w:szCs w:val="20"/>
              </w:rPr>
              <w:t>(1,067)</w:t>
            </w:r>
          </w:p>
        </w:tc>
        <w:tc>
          <w:tcPr>
            <w:tcBorders>
              <w:top w:val="single" w:sz="4"/>
            </w:tcBorders>
            <w:shd w:val="clear" w:color="auto" w:fill="FFFFFF"/>
            <w:vAlign w:val="bottom"/>
          </w:tcPr>
          <w:p>
            <w:pPr>
              <w:pStyle w:val="Style28"/>
              <w:keepNext w:val="0"/>
              <w:keepLines w:val="0"/>
              <w:framePr w:w="8573" w:h="6144" w:hSpace="677" w:wrap="notBeside" w:vAnchor="text" w:hAnchor="text" w:x="824" w:y="1"/>
              <w:widowControl w:val="0"/>
              <w:shd w:val="clear" w:color="auto" w:fill="auto"/>
              <w:bidi w:val="0"/>
              <w:spacing w:before="0" w:after="0" w:line="240" w:lineRule="auto"/>
              <w:ind w:left="0" w:right="0" w:firstLine="80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right w:val="single" w:sz="4"/>
            </w:tcBorders>
            <w:shd w:val="clear" w:color="auto" w:fill="FFFFFF"/>
            <w:vAlign w:val="bottom"/>
          </w:tcPr>
          <w:p>
            <w:pPr>
              <w:pStyle w:val="Style28"/>
              <w:keepNext w:val="0"/>
              <w:keepLines w:val="0"/>
              <w:framePr w:w="8573" w:h="6144" w:hSpace="677" w:wrap="notBeside" w:vAnchor="text" w:hAnchor="text" w:x="824" w:y="1"/>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69,990</w:t>
            </w:r>
          </w:p>
        </w:tc>
      </w:tr>
      <w:tr>
        <w:trPr>
          <w:trHeight w:val="250" w:hRule="exact"/>
        </w:trPr>
        <w:tc>
          <w:tcPr>
            <w:tcBorders>
              <w:left w:val="single" w:sz="4"/>
            </w:tcBorders>
            <w:shd w:val="clear" w:color="auto" w:fill="FFFFFF"/>
            <w:vAlign w:val="bottom"/>
          </w:tcPr>
          <w:p>
            <w:pPr>
              <w:pStyle w:val="Style28"/>
              <w:keepNext w:val="0"/>
              <w:keepLines w:val="0"/>
              <w:framePr w:w="8573" w:h="6144" w:hSpace="677" w:wrap="notBeside" w:vAnchor="text" w:hAnchor="text" w:x="824" w:y="1"/>
              <w:widowControl w:val="0"/>
              <w:shd w:val="clear" w:color="auto" w:fill="auto"/>
              <w:bidi w:val="0"/>
              <w:spacing w:before="0" w:after="0" w:line="240" w:lineRule="auto"/>
              <w:ind w:left="0" w:right="0" w:firstLine="620"/>
              <w:jc w:val="left"/>
              <w:rPr>
                <w:sz w:val="20"/>
                <w:szCs w:val="20"/>
              </w:rPr>
            </w:pPr>
            <w:r>
              <w:rPr>
                <w:color w:val="000000"/>
                <w:spacing w:val="0"/>
                <w:w w:val="100"/>
                <w:position w:val="0"/>
                <w:sz w:val="20"/>
                <w:szCs w:val="20"/>
              </w:rPr>
              <w:t>其他应收款坏账准备</w:t>
            </w:r>
          </w:p>
        </w:tc>
        <w:tc>
          <w:tcPr>
            <w:tcBorders/>
            <w:shd w:val="clear" w:color="auto" w:fill="FFFFFF"/>
            <w:vAlign w:val="bottom"/>
          </w:tcPr>
          <w:p>
            <w:pPr>
              <w:pStyle w:val="Style28"/>
              <w:keepNext w:val="0"/>
              <w:keepLines w:val="0"/>
              <w:framePr w:w="8573" w:h="6144" w:hSpace="677" w:wrap="notBeside" w:vAnchor="text" w:hAnchor="text" w:x="824" w:y="1"/>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31,213</w:t>
            </w:r>
          </w:p>
        </w:tc>
        <w:tc>
          <w:tcPr>
            <w:tcBorders/>
            <w:shd w:val="clear" w:color="auto" w:fill="FFFFFF"/>
            <w:vAlign w:val="bottom"/>
          </w:tcPr>
          <w:p>
            <w:pPr>
              <w:pStyle w:val="Style28"/>
              <w:keepNext w:val="0"/>
              <w:keepLines w:val="0"/>
              <w:framePr w:w="8573" w:h="6144" w:hSpace="677" w:wrap="notBeside" w:vAnchor="text" w:hAnchor="text" w:x="824" w:y="1"/>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14,555</w:t>
            </w:r>
          </w:p>
        </w:tc>
        <w:tc>
          <w:tcPr>
            <w:tcBorders/>
            <w:shd w:val="clear" w:color="auto" w:fill="FFFFFF"/>
            <w:vAlign w:val="bottom"/>
          </w:tcPr>
          <w:p>
            <w:pPr>
              <w:pStyle w:val="Style28"/>
              <w:keepNext w:val="0"/>
              <w:keepLines w:val="0"/>
              <w:framePr w:w="8573" w:h="6144" w:hSpace="677" w:wrap="notBeside" w:vAnchor="text" w:hAnchor="text" w:x="824" w:y="1"/>
              <w:widowControl w:val="0"/>
              <w:shd w:val="clear" w:color="auto" w:fill="auto"/>
              <w:bidi w:val="0"/>
              <w:spacing w:before="0" w:after="0" w:line="240" w:lineRule="auto"/>
              <w:ind w:left="0" w:right="0" w:firstLine="520"/>
              <w:jc w:val="left"/>
              <w:rPr>
                <w:sz w:val="20"/>
                <w:szCs w:val="20"/>
              </w:rPr>
            </w:pPr>
            <w:r>
              <w:rPr>
                <w:rFonts w:ascii="Times New Roman" w:eastAsia="Times New Roman" w:hAnsi="Times New Roman" w:cs="Times New Roman"/>
                <w:color w:val="000000"/>
                <w:spacing w:val="0"/>
                <w:w w:val="100"/>
                <w:position w:val="0"/>
                <w:sz w:val="20"/>
                <w:szCs w:val="20"/>
              </w:rPr>
              <w:t>(6,017)</w:t>
            </w:r>
          </w:p>
        </w:tc>
        <w:tc>
          <w:tcPr>
            <w:tcBorders/>
            <w:shd w:val="clear" w:color="auto" w:fill="FFFFFF"/>
            <w:vAlign w:val="bottom"/>
          </w:tcPr>
          <w:p>
            <w:pPr>
              <w:pStyle w:val="Style28"/>
              <w:keepNext w:val="0"/>
              <w:keepLines w:val="0"/>
              <w:framePr w:w="8573" w:h="6144" w:hSpace="677" w:wrap="notBeside" w:vAnchor="text" w:hAnchor="text" w:x="824" w:y="1"/>
              <w:widowControl w:val="0"/>
              <w:shd w:val="clear" w:color="auto" w:fill="auto"/>
              <w:bidi w:val="0"/>
              <w:spacing w:before="0" w:after="0" w:line="240" w:lineRule="auto"/>
              <w:ind w:left="0" w:right="0" w:firstLine="80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right w:val="single" w:sz="4"/>
            </w:tcBorders>
            <w:shd w:val="clear" w:color="auto" w:fill="FFFFFF"/>
            <w:vAlign w:val="bottom"/>
          </w:tcPr>
          <w:p>
            <w:pPr>
              <w:pStyle w:val="Style28"/>
              <w:keepNext w:val="0"/>
              <w:keepLines w:val="0"/>
              <w:framePr w:w="8573" w:h="6144" w:hSpace="677" w:wrap="notBeside" w:vAnchor="text" w:hAnchor="text" w:x="824" w:y="1"/>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39,751</w:t>
            </w:r>
          </w:p>
        </w:tc>
      </w:tr>
      <w:tr>
        <w:trPr>
          <w:trHeight w:val="278" w:hRule="exact"/>
        </w:trPr>
        <w:tc>
          <w:tcPr>
            <w:tcBorders>
              <w:top w:val="single" w:sz="4"/>
            </w:tcBorders>
            <w:shd w:val="clear" w:color="auto" w:fill="FFFFFF"/>
            <w:vAlign w:val="bottom"/>
          </w:tcPr>
          <w:p>
            <w:pPr>
              <w:pStyle w:val="Style28"/>
              <w:keepNext w:val="0"/>
              <w:keepLines w:val="0"/>
              <w:framePr w:w="8573" w:h="6144" w:hSpace="677" w:wrap="notBeside" w:vAnchor="text" w:hAnchor="text" w:x="824" w:y="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发放贷款及垫款减值准备</w:t>
            </w:r>
          </w:p>
        </w:tc>
        <w:tc>
          <w:tcPr>
            <w:tcBorders>
              <w:top w:val="single" w:sz="4"/>
            </w:tcBorders>
            <w:shd w:val="clear" w:color="auto" w:fill="FFFFFF"/>
            <w:vAlign w:val="bottom"/>
          </w:tcPr>
          <w:p>
            <w:pPr>
              <w:pStyle w:val="Style28"/>
              <w:keepNext w:val="0"/>
              <w:keepLines w:val="0"/>
              <w:framePr w:w="8573" w:h="6144" w:hSpace="677" w:wrap="notBeside" w:vAnchor="text" w:hAnchor="text" w:x="824" w:y="1"/>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1,510</w:t>
            </w:r>
          </w:p>
        </w:tc>
        <w:tc>
          <w:tcPr>
            <w:tcBorders>
              <w:top w:val="single" w:sz="4"/>
            </w:tcBorders>
            <w:shd w:val="clear" w:color="auto" w:fill="FFFFFF"/>
            <w:vAlign w:val="bottom"/>
          </w:tcPr>
          <w:p>
            <w:pPr>
              <w:pStyle w:val="Style28"/>
              <w:keepNext w:val="0"/>
              <w:keepLines w:val="0"/>
              <w:framePr w:w="8573" w:h="6144" w:hSpace="677" w:wrap="notBeside" w:vAnchor="text" w:hAnchor="text" w:x="824" w:y="1"/>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2,033</w:t>
            </w:r>
          </w:p>
        </w:tc>
        <w:tc>
          <w:tcPr>
            <w:tcBorders>
              <w:top w:val="single" w:sz="4"/>
            </w:tcBorders>
            <w:shd w:val="clear" w:color="auto" w:fill="FFFFFF"/>
            <w:vAlign w:val="bottom"/>
          </w:tcPr>
          <w:p>
            <w:pPr>
              <w:pStyle w:val="Style28"/>
              <w:keepNext w:val="0"/>
              <w:keepLines w:val="0"/>
              <w:framePr w:w="8573" w:h="6144" w:hSpace="677" w:wrap="notBeside" w:vAnchor="text" w:hAnchor="text" w:x="824" w:y="1"/>
              <w:widowControl w:val="0"/>
              <w:shd w:val="clear" w:color="auto" w:fill="auto"/>
              <w:bidi w:val="0"/>
              <w:spacing w:before="0" w:after="0" w:line="240" w:lineRule="auto"/>
              <w:ind w:left="0" w:right="0" w:firstLine="96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tcBorders>
            <w:shd w:val="clear" w:color="auto" w:fill="FFFFFF"/>
            <w:vAlign w:val="bottom"/>
          </w:tcPr>
          <w:p>
            <w:pPr>
              <w:pStyle w:val="Style28"/>
              <w:keepNext w:val="0"/>
              <w:keepLines w:val="0"/>
              <w:framePr w:w="8573" w:h="6144" w:hSpace="677" w:wrap="notBeside" w:vAnchor="text" w:hAnchor="text" w:x="824" w:y="1"/>
              <w:widowControl w:val="0"/>
              <w:shd w:val="clear" w:color="auto" w:fill="auto"/>
              <w:bidi w:val="0"/>
              <w:spacing w:before="0" w:after="0" w:line="240" w:lineRule="auto"/>
              <w:ind w:left="0" w:right="0" w:firstLine="80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tcBorders>
            <w:shd w:val="clear" w:color="auto" w:fill="FFFFFF"/>
            <w:vAlign w:val="bottom"/>
          </w:tcPr>
          <w:p>
            <w:pPr>
              <w:pStyle w:val="Style28"/>
              <w:keepNext w:val="0"/>
              <w:keepLines w:val="0"/>
              <w:framePr w:w="8573" w:h="6144" w:hSpace="677" w:wrap="notBeside" w:vAnchor="text" w:hAnchor="text" w:x="824" w:y="1"/>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3,543</w:t>
            </w:r>
          </w:p>
        </w:tc>
      </w:tr>
      <w:tr>
        <w:trPr>
          <w:trHeight w:val="274" w:hRule="exact"/>
        </w:trPr>
        <w:tc>
          <w:tcPr>
            <w:tcBorders/>
            <w:shd w:val="clear" w:color="auto" w:fill="FFFFFF"/>
            <w:vAlign w:val="bottom"/>
          </w:tcPr>
          <w:p>
            <w:pPr>
              <w:pStyle w:val="Style28"/>
              <w:keepNext w:val="0"/>
              <w:keepLines w:val="0"/>
              <w:framePr w:w="8573" w:h="6144" w:hSpace="677" w:wrap="notBeside" w:vAnchor="text" w:hAnchor="text" w:x="824" w:y="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存货跌价准备</w:t>
            </w:r>
          </w:p>
        </w:tc>
        <w:tc>
          <w:tcPr>
            <w:tcBorders/>
            <w:shd w:val="clear" w:color="auto" w:fill="FFFFFF"/>
            <w:vAlign w:val="bottom"/>
          </w:tcPr>
          <w:p>
            <w:pPr>
              <w:pStyle w:val="Style28"/>
              <w:keepNext w:val="0"/>
              <w:keepLines w:val="0"/>
              <w:framePr w:w="8573" w:h="6144" w:hSpace="677" w:wrap="notBeside" w:vAnchor="text" w:hAnchor="text" w:x="824" w:y="1"/>
              <w:widowControl w:val="0"/>
              <w:shd w:val="clear" w:color="auto" w:fill="auto"/>
              <w:bidi w:val="0"/>
              <w:spacing w:before="0" w:after="0" w:line="240" w:lineRule="auto"/>
              <w:ind w:left="0" w:right="0" w:firstLine="380"/>
              <w:jc w:val="both"/>
              <w:rPr>
                <w:sz w:val="20"/>
                <w:szCs w:val="20"/>
              </w:rPr>
            </w:pPr>
            <w:r>
              <w:rPr>
                <w:rFonts w:ascii="Times New Roman" w:eastAsia="Times New Roman" w:hAnsi="Times New Roman" w:cs="Times New Roman"/>
                <w:color w:val="000000"/>
                <w:spacing w:val="0"/>
                <w:w w:val="100"/>
                <w:position w:val="0"/>
                <w:sz w:val="20"/>
                <w:szCs w:val="20"/>
              </w:rPr>
              <w:t>300,304</w:t>
            </w:r>
          </w:p>
        </w:tc>
        <w:tc>
          <w:tcPr>
            <w:tcBorders/>
            <w:shd w:val="clear" w:color="auto" w:fill="FFFFFF"/>
            <w:vAlign w:val="bottom"/>
          </w:tcPr>
          <w:p>
            <w:pPr>
              <w:pStyle w:val="Style28"/>
              <w:keepNext w:val="0"/>
              <w:keepLines w:val="0"/>
              <w:framePr w:w="8573" w:h="6144" w:hSpace="677" w:wrap="notBeside" w:vAnchor="text" w:hAnchor="text" w:x="824" w:y="1"/>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265,382</w:t>
            </w:r>
          </w:p>
        </w:tc>
        <w:tc>
          <w:tcPr>
            <w:tcBorders/>
            <w:shd w:val="clear" w:color="auto" w:fill="FFFFFF"/>
            <w:vAlign w:val="bottom"/>
          </w:tcPr>
          <w:p>
            <w:pPr>
              <w:pStyle w:val="Style28"/>
              <w:keepNext w:val="0"/>
              <w:keepLines w:val="0"/>
              <w:framePr w:w="8573" w:h="6144" w:hSpace="677" w:wrap="notBeside" w:vAnchor="text" w:hAnchor="text" w:x="824" w:y="1"/>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(155,030)</w:t>
            </w:r>
          </w:p>
        </w:tc>
        <w:tc>
          <w:tcPr>
            <w:tcBorders/>
            <w:shd w:val="clear" w:color="auto" w:fill="FFFFFF"/>
            <w:vAlign w:val="bottom"/>
          </w:tcPr>
          <w:p>
            <w:pPr>
              <w:pStyle w:val="Style28"/>
              <w:keepNext w:val="0"/>
              <w:keepLines w:val="0"/>
              <w:framePr w:w="8573" w:h="6144" w:hSpace="677" w:wrap="notBeside" w:vAnchor="text" w:hAnchor="text" w:x="824" w:y="1"/>
              <w:widowControl w:val="0"/>
              <w:shd w:val="clear" w:color="auto" w:fill="auto"/>
              <w:bidi w:val="0"/>
              <w:spacing w:before="0" w:after="0" w:line="240" w:lineRule="auto"/>
              <w:ind w:left="0" w:right="30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bottom"/>
          </w:tcPr>
          <w:p>
            <w:pPr>
              <w:pStyle w:val="Style28"/>
              <w:keepNext w:val="0"/>
              <w:keepLines w:val="0"/>
              <w:framePr w:w="8573" w:h="6144" w:hSpace="677" w:wrap="notBeside" w:vAnchor="text" w:hAnchor="text" w:x="824" w:y="1"/>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410,656</w:t>
            </w:r>
          </w:p>
        </w:tc>
      </w:tr>
      <w:tr>
        <w:trPr>
          <w:trHeight w:val="274" w:hRule="exact"/>
        </w:trPr>
        <w:tc>
          <w:tcPr>
            <w:tcBorders/>
            <w:shd w:val="clear" w:color="auto" w:fill="FFFFFF"/>
            <w:vAlign w:val="bottom"/>
          </w:tcPr>
          <w:p>
            <w:pPr>
              <w:pStyle w:val="Style28"/>
              <w:keepNext w:val="0"/>
              <w:keepLines w:val="0"/>
              <w:framePr w:w="8573" w:h="6144" w:hSpace="677" w:wrap="notBeside" w:vAnchor="text" w:hAnchor="text" w:x="824" w:y="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固定资产减值准备</w:t>
            </w:r>
          </w:p>
        </w:tc>
        <w:tc>
          <w:tcPr>
            <w:tcBorders/>
            <w:shd w:val="clear" w:color="auto" w:fill="FFFFFF"/>
            <w:vAlign w:val="bottom"/>
          </w:tcPr>
          <w:p>
            <w:pPr>
              <w:pStyle w:val="Style28"/>
              <w:keepNext w:val="0"/>
              <w:keepLines w:val="0"/>
              <w:framePr w:w="8573" w:h="6144" w:hSpace="677" w:wrap="notBeside" w:vAnchor="text" w:hAnchor="text" w:x="824" w:y="1"/>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42,987</w:t>
            </w:r>
          </w:p>
        </w:tc>
        <w:tc>
          <w:tcPr>
            <w:tcBorders/>
            <w:shd w:val="clear" w:color="auto" w:fill="FFFFFF"/>
            <w:vAlign w:val="bottom"/>
          </w:tcPr>
          <w:p>
            <w:pPr>
              <w:pStyle w:val="Style28"/>
              <w:keepNext w:val="0"/>
              <w:keepLines w:val="0"/>
              <w:framePr w:w="8573" w:h="6144" w:hSpace="677" w:wrap="notBeside" w:vAnchor="text" w:hAnchor="text" w:x="824" w:y="1"/>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9,953</w:t>
            </w:r>
          </w:p>
        </w:tc>
        <w:tc>
          <w:tcPr>
            <w:tcBorders/>
            <w:shd w:val="clear" w:color="auto" w:fill="FFFFFF"/>
            <w:vAlign w:val="bottom"/>
          </w:tcPr>
          <w:p>
            <w:pPr>
              <w:pStyle w:val="Style28"/>
              <w:keepNext w:val="0"/>
              <w:keepLines w:val="0"/>
              <w:framePr w:w="8573" w:h="6144" w:hSpace="677" w:wrap="notBeside" w:vAnchor="text" w:hAnchor="text" w:x="824" w:y="1"/>
              <w:widowControl w:val="0"/>
              <w:shd w:val="clear" w:color="auto" w:fill="auto"/>
              <w:bidi w:val="0"/>
              <w:spacing w:before="0" w:after="0" w:line="240" w:lineRule="auto"/>
              <w:ind w:left="0" w:right="0" w:firstLine="520"/>
              <w:jc w:val="left"/>
              <w:rPr>
                <w:sz w:val="20"/>
                <w:szCs w:val="20"/>
              </w:rPr>
            </w:pPr>
            <w:r>
              <w:rPr>
                <w:rFonts w:ascii="Times New Roman" w:eastAsia="Times New Roman" w:hAnsi="Times New Roman" w:cs="Times New Roman"/>
                <w:color w:val="000000"/>
                <w:spacing w:val="0"/>
                <w:w w:val="100"/>
                <w:position w:val="0"/>
                <w:sz w:val="20"/>
                <w:szCs w:val="20"/>
              </w:rPr>
              <w:t>(3,231)</w:t>
            </w:r>
          </w:p>
        </w:tc>
        <w:tc>
          <w:tcPr>
            <w:tcBorders/>
            <w:shd w:val="clear" w:color="auto" w:fill="FFFFFF"/>
            <w:vAlign w:val="bottom"/>
          </w:tcPr>
          <w:p>
            <w:pPr>
              <w:pStyle w:val="Style28"/>
              <w:keepNext w:val="0"/>
              <w:keepLines w:val="0"/>
              <w:framePr w:w="8573" w:h="6144" w:hSpace="677" w:wrap="notBeside" w:vAnchor="text" w:hAnchor="text" w:x="824" w:y="1"/>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5,063</w:t>
            </w:r>
          </w:p>
        </w:tc>
        <w:tc>
          <w:tcPr>
            <w:tcBorders/>
            <w:shd w:val="clear" w:color="auto" w:fill="FFFFFF"/>
            <w:vAlign w:val="bottom"/>
          </w:tcPr>
          <w:p>
            <w:pPr>
              <w:pStyle w:val="Style28"/>
              <w:keepNext w:val="0"/>
              <w:keepLines w:val="0"/>
              <w:framePr w:w="8573" w:h="6144" w:hSpace="677" w:wrap="notBeside" w:vAnchor="text" w:hAnchor="text" w:x="824" w:y="1"/>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54,772</w:t>
            </w:r>
          </w:p>
        </w:tc>
      </w:tr>
      <w:tr>
        <w:trPr>
          <w:trHeight w:val="274" w:hRule="exact"/>
        </w:trPr>
        <w:tc>
          <w:tcPr>
            <w:tcBorders/>
            <w:shd w:val="clear" w:color="auto" w:fill="FFFFFF"/>
            <w:vAlign w:val="top"/>
          </w:tcPr>
          <w:p>
            <w:pPr>
              <w:pStyle w:val="Style28"/>
              <w:keepNext w:val="0"/>
              <w:keepLines w:val="0"/>
              <w:framePr w:w="8573" w:h="6144" w:hSpace="677" w:wrap="notBeside" w:vAnchor="text" w:hAnchor="text" w:x="824" w:y="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长期待摊费用减值准备</w:t>
            </w:r>
          </w:p>
        </w:tc>
        <w:tc>
          <w:tcPr>
            <w:tcBorders/>
            <w:shd w:val="clear" w:color="auto" w:fill="FFFFFF"/>
            <w:vAlign w:val="bottom"/>
          </w:tcPr>
          <w:p>
            <w:pPr>
              <w:pStyle w:val="Style28"/>
              <w:keepNext w:val="0"/>
              <w:keepLines w:val="0"/>
              <w:framePr w:w="8573" w:h="6144" w:hSpace="677" w:wrap="notBeside" w:vAnchor="text" w:hAnchor="text" w:x="824" w:y="1"/>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7,267</w:t>
            </w:r>
          </w:p>
        </w:tc>
        <w:tc>
          <w:tcPr>
            <w:tcBorders/>
            <w:shd w:val="clear" w:color="auto" w:fill="FFFFFF"/>
            <w:vAlign w:val="bottom"/>
          </w:tcPr>
          <w:p>
            <w:pPr>
              <w:pStyle w:val="Style28"/>
              <w:keepNext w:val="0"/>
              <w:keepLines w:val="0"/>
              <w:framePr w:w="8573" w:h="6144" w:hSpace="677" w:wrap="notBeside" w:vAnchor="text" w:hAnchor="text" w:x="824" w:y="1"/>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bottom"/>
          </w:tcPr>
          <w:p>
            <w:pPr>
              <w:pStyle w:val="Style28"/>
              <w:keepNext w:val="0"/>
              <w:keepLines w:val="0"/>
              <w:framePr w:w="8573" w:h="6144" w:hSpace="677" w:wrap="notBeside" w:vAnchor="text" w:hAnchor="text" w:x="824" w:y="1"/>
              <w:widowControl w:val="0"/>
              <w:shd w:val="clear" w:color="auto" w:fill="auto"/>
              <w:bidi w:val="0"/>
              <w:spacing w:before="0" w:after="0" w:line="240" w:lineRule="auto"/>
              <w:ind w:left="0" w:right="0" w:firstLine="520"/>
              <w:jc w:val="left"/>
              <w:rPr>
                <w:sz w:val="20"/>
                <w:szCs w:val="20"/>
              </w:rPr>
            </w:pPr>
            <w:r>
              <w:rPr>
                <w:rFonts w:ascii="Times New Roman" w:eastAsia="Times New Roman" w:hAnsi="Times New Roman" w:cs="Times New Roman"/>
                <w:color w:val="000000"/>
                <w:spacing w:val="0"/>
                <w:w w:val="100"/>
                <w:position w:val="0"/>
                <w:sz w:val="20"/>
                <w:szCs w:val="20"/>
              </w:rPr>
              <w:t>(7,267)</w:t>
            </w:r>
          </w:p>
        </w:tc>
        <w:tc>
          <w:tcPr>
            <w:tcBorders/>
            <w:shd w:val="clear" w:color="auto" w:fill="FFFFFF"/>
            <w:vAlign w:val="bottom"/>
          </w:tcPr>
          <w:p>
            <w:pPr>
              <w:pStyle w:val="Style28"/>
              <w:keepNext w:val="0"/>
              <w:keepLines w:val="0"/>
              <w:framePr w:w="8573" w:h="6144" w:hSpace="677" w:wrap="notBeside" w:vAnchor="text" w:hAnchor="text" w:x="824" w:y="1"/>
              <w:widowControl w:val="0"/>
              <w:shd w:val="clear" w:color="auto" w:fill="auto"/>
              <w:bidi w:val="0"/>
              <w:spacing w:before="0" w:after="0" w:line="240" w:lineRule="auto"/>
              <w:ind w:left="0" w:right="0" w:firstLine="80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bottom"/>
          </w:tcPr>
          <w:p>
            <w:pPr>
              <w:pStyle w:val="Style28"/>
              <w:keepNext w:val="0"/>
              <w:keepLines w:val="0"/>
              <w:framePr w:w="8573" w:h="6144" w:hSpace="677" w:wrap="notBeside" w:vAnchor="text" w:hAnchor="text" w:x="824" w:y="1"/>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r>
      <w:tr>
        <w:trPr>
          <w:trHeight w:val="278" w:hRule="exact"/>
        </w:trPr>
        <w:tc>
          <w:tcPr>
            <w:tcBorders/>
            <w:shd w:val="clear" w:color="auto" w:fill="FFFFFF"/>
            <w:vAlign w:val="bottom"/>
          </w:tcPr>
          <w:p>
            <w:pPr>
              <w:pStyle w:val="Style28"/>
              <w:keepNext w:val="0"/>
              <w:keepLines w:val="0"/>
              <w:framePr w:w="8573" w:h="6144" w:hSpace="677" w:wrap="notBeside" w:vAnchor="text" w:hAnchor="text" w:x="824" w:y="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无形资产减值准备</w:t>
            </w:r>
          </w:p>
        </w:tc>
        <w:tc>
          <w:tcPr>
            <w:tcBorders/>
            <w:shd w:val="clear" w:color="auto" w:fill="FFFFFF"/>
            <w:vAlign w:val="bottom"/>
          </w:tcPr>
          <w:p>
            <w:pPr>
              <w:pStyle w:val="Style28"/>
              <w:keepNext w:val="0"/>
              <w:keepLines w:val="0"/>
              <w:framePr w:w="8573" w:h="6144" w:hSpace="677" w:wrap="notBeside" w:vAnchor="text" w:hAnchor="text" w:x="824" w:y="1"/>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6,753</w:t>
            </w:r>
          </w:p>
        </w:tc>
        <w:tc>
          <w:tcPr>
            <w:tcBorders/>
            <w:shd w:val="clear" w:color="auto" w:fill="FFFFFF"/>
            <w:vAlign w:val="bottom"/>
          </w:tcPr>
          <w:p>
            <w:pPr>
              <w:pStyle w:val="Style28"/>
              <w:keepNext w:val="0"/>
              <w:keepLines w:val="0"/>
              <w:framePr w:w="8573" w:h="6144" w:hSpace="677" w:wrap="notBeside" w:vAnchor="text" w:hAnchor="text" w:x="824" w:y="1"/>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749</w:t>
            </w:r>
          </w:p>
        </w:tc>
        <w:tc>
          <w:tcPr>
            <w:tcBorders/>
            <w:shd w:val="clear" w:color="auto" w:fill="FFFFFF"/>
            <w:vAlign w:val="bottom"/>
          </w:tcPr>
          <w:p>
            <w:pPr>
              <w:pStyle w:val="Style28"/>
              <w:keepNext w:val="0"/>
              <w:keepLines w:val="0"/>
              <w:framePr w:w="8573" w:h="6144" w:hSpace="677" w:wrap="notBeside" w:vAnchor="text" w:hAnchor="text" w:x="824" w:y="1"/>
              <w:widowControl w:val="0"/>
              <w:shd w:val="clear" w:color="auto" w:fill="auto"/>
              <w:bidi w:val="0"/>
              <w:spacing w:before="0" w:after="0" w:line="240" w:lineRule="auto"/>
              <w:ind w:left="0" w:right="0" w:firstLine="96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bottom"/>
          </w:tcPr>
          <w:p>
            <w:pPr>
              <w:pStyle w:val="Style28"/>
              <w:keepNext w:val="0"/>
              <w:keepLines w:val="0"/>
              <w:framePr w:w="8573" w:h="6144" w:hSpace="677" w:wrap="notBeside" w:vAnchor="text" w:hAnchor="text" w:x="824" w:y="1"/>
              <w:widowControl w:val="0"/>
              <w:shd w:val="clear" w:color="auto" w:fill="auto"/>
              <w:bidi w:val="0"/>
              <w:spacing w:before="0" w:after="0" w:line="240" w:lineRule="auto"/>
              <w:ind w:left="0" w:right="300" w:firstLine="0"/>
              <w:jc w:val="right"/>
              <w:rPr>
                <w:sz w:val="20"/>
                <w:szCs w:val="20"/>
              </w:rPr>
            </w:pPr>
            <w:r>
              <w:rPr>
                <w:rFonts w:ascii="Times New Roman" w:eastAsia="Times New Roman" w:hAnsi="Times New Roman" w:cs="Times New Roman"/>
                <w:color w:val="000000"/>
                <w:spacing w:val="0"/>
                <w:w w:val="100"/>
                <w:position w:val="0"/>
                <w:sz w:val="20"/>
                <w:szCs w:val="20"/>
              </w:rPr>
              <w:t>38</w:t>
            </w:r>
          </w:p>
        </w:tc>
        <w:tc>
          <w:tcPr>
            <w:tcBorders/>
            <w:shd w:val="clear" w:color="auto" w:fill="FFFFFF"/>
            <w:vAlign w:val="bottom"/>
          </w:tcPr>
          <w:p>
            <w:pPr>
              <w:pStyle w:val="Style28"/>
              <w:keepNext w:val="0"/>
              <w:keepLines w:val="0"/>
              <w:framePr w:w="8573" w:h="6144" w:hSpace="677" w:wrap="notBeside" w:vAnchor="text" w:hAnchor="text" w:x="824" w:y="1"/>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7,540</w:t>
            </w:r>
          </w:p>
        </w:tc>
      </w:tr>
      <w:tr>
        <w:trPr>
          <w:trHeight w:val="274" w:hRule="exact"/>
        </w:trPr>
        <w:tc>
          <w:tcPr>
            <w:tcBorders/>
            <w:shd w:val="clear" w:color="auto" w:fill="FFFFFF"/>
            <w:vAlign w:val="bottom"/>
          </w:tcPr>
          <w:p>
            <w:pPr>
              <w:pStyle w:val="Style28"/>
              <w:keepNext w:val="0"/>
              <w:keepLines w:val="0"/>
              <w:framePr w:w="8573" w:h="6144" w:hSpace="677" w:wrap="notBeside" w:vAnchor="text" w:hAnchor="text" w:x="824" w:y="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商誉减值准备</w:t>
            </w:r>
          </w:p>
        </w:tc>
        <w:tc>
          <w:tcPr>
            <w:tcBorders/>
            <w:shd w:val="clear" w:color="auto" w:fill="FFFFFF"/>
            <w:vAlign w:val="bottom"/>
          </w:tcPr>
          <w:p>
            <w:pPr>
              <w:pStyle w:val="Style28"/>
              <w:keepNext w:val="0"/>
              <w:keepLines w:val="0"/>
              <w:framePr w:w="8573" w:h="6144" w:hSpace="677" w:wrap="notBeside" w:vAnchor="text" w:hAnchor="text" w:x="824" w:y="1"/>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31,571</w:t>
            </w:r>
          </w:p>
        </w:tc>
        <w:tc>
          <w:tcPr>
            <w:tcBorders/>
            <w:shd w:val="clear" w:color="auto" w:fill="FFFFFF"/>
            <w:vAlign w:val="bottom"/>
          </w:tcPr>
          <w:p>
            <w:pPr>
              <w:pStyle w:val="Style28"/>
              <w:keepNext w:val="0"/>
              <w:keepLines w:val="0"/>
              <w:framePr w:w="8573" w:h="6144" w:hSpace="677" w:wrap="notBeside" w:vAnchor="text" w:hAnchor="text" w:x="824" w:y="1"/>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56,194</w:t>
            </w:r>
          </w:p>
        </w:tc>
        <w:tc>
          <w:tcPr>
            <w:tcBorders/>
            <w:shd w:val="clear" w:color="auto" w:fill="FFFFFF"/>
            <w:vAlign w:val="bottom"/>
          </w:tcPr>
          <w:p>
            <w:pPr>
              <w:pStyle w:val="Style28"/>
              <w:keepNext w:val="0"/>
              <w:keepLines w:val="0"/>
              <w:framePr w:w="8573" w:h="6144" w:hSpace="677" w:wrap="notBeside" w:vAnchor="text" w:hAnchor="text" w:x="824" w:y="1"/>
              <w:widowControl w:val="0"/>
              <w:shd w:val="clear" w:color="auto" w:fill="auto"/>
              <w:bidi w:val="0"/>
              <w:spacing w:before="0" w:after="0" w:line="240" w:lineRule="auto"/>
              <w:ind w:left="0" w:right="0" w:firstLine="96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bottom"/>
          </w:tcPr>
          <w:p>
            <w:pPr>
              <w:pStyle w:val="Style28"/>
              <w:keepNext w:val="0"/>
              <w:keepLines w:val="0"/>
              <w:framePr w:w="8573" w:h="6144" w:hSpace="677" w:wrap="notBeside" w:vAnchor="text" w:hAnchor="text" w:x="824" w:y="1"/>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3,350</w:t>
            </w:r>
          </w:p>
        </w:tc>
        <w:tc>
          <w:tcPr>
            <w:tcBorders/>
            <w:shd w:val="clear" w:color="auto" w:fill="FFFFFF"/>
            <w:vAlign w:val="bottom"/>
          </w:tcPr>
          <w:p>
            <w:pPr>
              <w:pStyle w:val="Style28"/>
              <w:keepNext w:val="0"/>
              <w:keepLines w:val="0"/>
              <w:framePr w:w="8573" w:h="6144" w:hSpace="677" w:wrap="notBeside" w:vAnchor="text" w:hAnchor="text" w:x="824" w:y="1"/>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91,115</w:t>
            </w:r>
          </w:p>
        </w:tc>
      </w:tr>
      <w:tr>
        <w:trPr>
          <w:trHeight w:val="427" w:hRule="exact"/>
        </w:trPr>
        <w:tc>
          <w:tcPr>
            <w:tcBorders/>
            <w:shd w:val="clear" w:color="auto" w:fill="FFFFFF"/>
            <w:vAlign w:val="top"/>
          </w:tcPr>
          <w:p>
            <w:pPr>
              <w:framePr w:w="8573" w:h="6144" w:hSpace="677" w:wrap="notBeside" w:vAnchor="text" w:hAnchor="text" w:x="824" w:y="1"/>
              <w:widowControl w:val="0"/>
              <w:rPr>
                <w:sz w:val="10"/>
                <w:szCs w:val="10"/>
              </w:rPr>
            </w:pPr>
          </w:p>
        </w:tc>
        <w:tc>
          <w:tcPr>
            <w:tcBorders>
              <w:top w:val="single" w:sz="4"/>
            </w:tcBorders>
            <w:shd w:val="clear" w:color="auto" w:fill="FFFFFF"/>
            <w:vAlign w:val="center"/>
          </w:tcPr>
          <w:p>
            <w:pPr>
              <w:pStyle w:val="Style28"/>
              <w:keepNext w:val="0"/>
              <w:keepLines w:val="0"/>
              <w:framePr w:w="8573" w:h="6144" w:hSpace="677" w:wrap="notBeside" w:vAnchor="text" w:hAnchor="text" w:x="824" w:y="1"/>
              <w:widowControl w:val="0"/>
              <w:shd w:val="clear" w:color="auto" w:fill="auto"/>
              <w:bidi w:val="0"/>
              <w:spacing w:before="0" w:after="0" w:line="240" w:lineRule="auto"/>
              <w:ind w:left="0" w:right="0" w:firstLine="380"/>
              <w:jc w:val="both"/>
              <w:rPr>
                <w:sz w:val="20"/>
                <w:szCs w:val="20"/>
              </w:rPr>
            </w:pPr>
            <w:r>
              <w:rPr>
                <w:rFonts w:ascii="Times New Roman" w:eastAsia="Times New Roman" w:hAnsi="Times New Roman" w:cs="Times New Roman"/>
                <w:color w:val="000000"/>
                <w:spacing w:val="0"/>
                <w:w w:val="100"/>
                <w:position w:val="0"/>
                <w:sz w:val="20"/>
                <w:szCs w:val="20"/>
              </w:rPr>
              <w:t>491,029</w:t>
            </w:r>
          </w:p>
        </w:tc>
        <w:tc>
          <w:tcPr>
            <w:tcBorders>
              <w:top w:val="single" w:sz="4"/>
            </w:tcBorders>
            <w:shd w:val="clear" w:color="auto" w:fill="FFFFFF"/>
            <w:vAlign w:val="center"/>
          </w:tcPr>
          <w:p>
            <w:pPr>
              <w:pStyle w:val="Style28"/>
              <w:keepNext w:val="0"/>
              <w:keepLines w:val="0"/>
              <w:framePr w:w="8573" w:h="6144" w:hSpace="677" w:wrap="notBeside" w:vAnchor="text" w:hAnchor="text" w:x="824" w:y="1"/>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350,499</w:t>
            </w:r>
          </w:p>
        </w:tc>
        <w:tc>
          <w:tcPr>
            <w:tcBorders>
              <w:top w:val="single" w:sz="4"/>
            </w:tcBorders>
            <w:shd w:val="clear" w:color="auto" w:fill="FFFFFF"/>
            <w:vAlign w:val="center"/>
          </w:tcPr>
          <w:p>
            <w:pPr>
              <w:pStyle w:val="Style28"/>
              <w:keepNext w:val="0"/>
              <w:keepLines w:val="0"/>
              <w:framePr w:w="8573" w:h="6144" w:hSpace="677" w:wrap="notBeside" w:vAnchor="text" w:hAnchor="text" w:x="824" w:y="1"/>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(172,612)</w:t>
            </w:r>
          </w:p>
        </w:tc>
        <w:tc>
          <w:tcPr>
            <w:tcBorders>
              <w:top w:val="single" w:sz="4"/>
            </w:tcBorders>
            <w:shd w:val="clear" w:color="auto" w:fill="FFFFFF"/>
            <w:vAlign w:val="center"/>
          </w:tcPr>
          <w:p>
            <w:pPr>
              <w:pStyle w:val="Style28"/>
              <w:keepNext w:val="0"/>
              <w:keepLines w:val="0"/>
              <w:framePr w:w="8573" w:h="6144" w:hSpace="677" w:wrap="notBeside" w:vAnchor="text" w:hAnchor="text" w:x="824" w:y="1"/>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8,451</w:t>
            </w:r>
          </w:p>
        </w:tc>
        <w:tc>
          <w:tcPr>
            <w:tcBorders>
              <w:top w:val="single" w:sz="4"/>
            </w:tcBorders>
            <w:shd w:val="clear" w:color="auto" w:fill="FFFFFF"/>
            <w:vAlign w:val="center"/>
          </w:tcPr>
          <w:p>
            <w:pPr>
              <w:pStyle w:val="Style28"/>
              <w:keepNext w:val="0"/>
              <w:keepLines w:val="0"/>
              <w:framePr w:w="8573" w:h="6144" w:hSpace="677" w:wrap="notBeside" w:vAnchor="text" w:hAnchor="text" w:x="824" w:y="1"/>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677,367</w:t>
            </w:r>
          </w:p>
        </w:tc>
      </w:tr>
      <w:tr>
        <w:trPr>
          <w:trHeight w:val="562" w:hRule="exact"/>
        </w:trPr>
        <w:tc>
          <w:tcPr>
            <w:tcBorders/>
            <w:shd w:val="clear" w:color="auto" w:fill="FFFFFF"/>
            <w:vAlign w:val="center"/>
          </w:tcPr>
          <w:p>
            <w:pPr>
              <w:pStyle w:val="Style28"/>
              <w:keepNext w:val="0"/>
              <w:keepLines w:val="0"/>
              <w:framePr w:w="8573" w:h="6144" w:hSpace="677" w:wrap="notBeside" w:vAnchor="text" w:hAnchor="text" w:x="824" w:y="1"/>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短期借款</w:t>
            </w:r>
          </w:p>
        </w:tc>
        <w:tc>
          <w:tcPr>
            <w:tcBorders/>
            <w:shd w:val="clear" w:color="auto" w:fill="FFFFFF"/>
            <w:vAlign w:val="top"/>
          </w:tcPr>
          <w:p>
            <w:pPr>
              <w:framePr w:w="8573" w:h="6144" w:hSpace="677" w:wrap="notBeside" w:vAnchor="text" w:hAnchor="text" w:x="824" w:y="1"/>
              <w:widowControl w:val="0"/>
              <w:rPr>
                <w:sz w:val="10"/>
                <w:szCs w:val="10"/>
              </w:rPr>
            </w:pPr>
          </w:p>
        </w:tc>
        <w:tc>
          <w:tcPr>
            <w:tcBorders/>
            <w:shd w:val="clear" w:color="auto" w:fill="FFFFFF"/>
            <w:vAlign w:val="top"/>
          </w:tcPr>
          <w:p>
            <w:pPr>
              <w:framePr w:w="8573" w:h="6144" w:hSpace="677" w:wrap="notBeside" w:vAnchor="text" w:hAnchor="text" w:x="824" w:y="1"/>
              <w:widowControl w:val="0"/>
              <w:rPr>
                <w:sz w:val="10"/>
                <w:szCs w:val="10"/>
              </w:rPr>
            </w:pPr>
          </w:p>
        </w:tc>
        <w:tc>
          <w:tcPr>
            <w:tcBorders/>
            <w:shd w:val="clear" w:color="auto" w:fill="FFFFFF"/>
            <w:vAlign w:val="top"/>
          </w:tcPr>
          <w:p>
            <w:pPr>
              <w:framePr w:w="8573" w:h="6144" w:hSpace="677" w:wrap="notBeside" w:vAnchor="text" w:hAnchor="text" w:x="824" w:y="1"/>
              <w:widowControl w:val="0"/>
              <w:rPr>
                <w:sz w:val="10"/>
                <w:szCs w:val="10"/>
              </w:rPr>
            </w:pPr>
          </w:p>
        </w:tc>
        <w:tc>
          <w:tcPr>
            <w:tcBorders/>
            <w:shd w:val="clear" w:color="auto" w:fill="FFFFFF"/>
            <w:vAlign w:val="top"/>
          </w:tcPr>
          <w:p>
            <w:pPr>
              <w:framePr w:w="8573" w:h="6144" w:hSpace="677" w:wrap="notBeside" w:vAnchor="text" w:hAnchor="text" w:x="824" w:y="1"/>
              <w:widowControl w:val="0"/>
              <w:rPr>
                <w:sz w:val="10"/>
                <w:szCs w:val="10"/>
              </w:rPr>
            </w:pPr>
          </w:p>
        </w:tc>
        <w:tc>
          <w:tcPr>
            <w:tcBorders/>
            <w:shd w:val="clear" w:color="auto" w:fill="FFFFFF"/>
            <w:vAlign w:val="top"/>
          </w:tcPr>
          <w:p>
            <w:pPr>
              <w:framePr w:w="8573" w:h="6144" w:hSpace="677" w:wrap="notBeside" w:vAnchor="text" w:hAnchor="text" w:x="824" w:y="1"/>
              <w:widowControl w:val="0"/>
              <w:rPr>
                <w:sz w:val="10"/>
                <w:szCs w:val="10"/>
              </w:rPr>
            </w:pPr>
          </w:p>
        </w:tc>
      </w:tr>
      <w:tr>
        <w:trPr>
          <w:trHeight w:val="590" w:hRule="exact"/>
        </w:trPr>
        <w:tc>
          <w:tcPr>
            <w:tcBorders/>
            <w:shd w:val="clear" w:color="auto" w:fill="FFFFFF"/>
            <w:vAlign w:val="top"/>
          </w:tcPr>
          <w:p>
            <w:pPr>
              <w:framePr w:w="8573" w:h="6144" w:hSpace="677" w:wrap="notBeside" w:vAnchor="text" w:hAnchor="text" w:x="824" w:y="1"/>
              <w:widowControl w:val="0"/>
              <w:rPr>
                <w:sz w:val="10"/>
                <w:szCs w:val="10"/>
              </w:rPr>
            </w:pPr>
          </w:p>
        </w:tc>
        <w:tc>
          <w:tcPr>
            <w:tcBorders/>
            <w:shd w:val="clear" w:color="auto" w:fill="FFFFFF"/>
            <w:vAlign w:val="top"/>
          </w:tcPr>
          <w:p>
            <w:pPr>
              <w:framePr w:w="8573" w:h="6144" w:hSpace="677" w:wrap="notBeside" w:vAnchor="text" w:hAnchor="text" w:x="824" w:y="1"/>
              <w:widowControl w:val="0"/>
              <w:rPr>
                <w:sz w:val="10"/>
                <w:szCs w:val="10"/>
              </w:rPr>
            </w:pPr>
          </w:p>
        </w:tc>
        <w:tc>
          <w:tcPr>
            <w:gridSpan w:val="2"/>
            <w:tcBorders/>
            <w:shd w:val="clear" w:color="auto" w:fill="FFFFFF"/>
            <w:vAlign w:val="center"/>
          </w:tcPr>
          <w:p>
            <w:pPr>
              <w:pStyle w:val="Style28"/>
              <w:keepNext w:val="0"/>
              <w:keepLines w:val="0"/>
              <w:framePr w:w="8573" w:h="6144" w:hSpace="677" w:wrap="notBeside" w:vAnchor="text" w:hAnchor="text" w:x="824" w:y="1"/>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w:t>
            </w:r>
          </w:p>
        </w:tc>
        <w:tc>
          <w:tcPr>
            <w:gridSpan w:val="2"/>
            <w:tcBorders/>
            <w:shd w:val="clear" w:color="auto" w:fill="FFFFFF"/>
            <w:vAlign w:val="center"/>
          </w:tcPr>
          <w:p>
            <w:pPr>
              <w:pStyle w:val="Style28"/>
              <w:keepNext w:val="0"/>
              <w:keepLines w:val="0"/>
              <w:framePr w:w="8573" w:h="6144" w:hSpace="677" w:wrap="notBeside" w:vAnchor="text" w:hAnchor="text" w:x="824" w:y="1"/>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2015</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w:t>
            </w:r>
          </w:p>
        </w:tc>
      </w:tr>
      <w:tr>
        <w:trPr>
          <w:trHeight w:val="451" w:hRule="exact"/>
        </w:trPr>
        <w:tc>
          <w:tcPr>
            <w:tcBorders/>
            <w:shd w:val="clear" w:color="auto" w:fill="FFFFFF"/>
            <w:vAlign w:val="bottom"/>
          </w:tcPr>
          <w:p>
            <w:pPr>
              <w:pStyle w:val="Style28"/>
              <w:keepNext w:val="0"/>
              <w:keepLines w:val="0"/>
              <w:framePr w:w="8573" w:h="6144" w:hSpace="677" w:wrap="notBeside" w:vAnchor="text" w:hAnchor="text" w:x="824" w:y="1"/>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质押借款</w:t>
            </w:r>
          </w:p>
        </w:tc>
        <w:tc>
          <w:tcPr>
            <w:tcBorders/>
            <w:shd w:val="clear" w:color="auto" w:fill="FFFFFF"/>
            <w:vAlign w:val="top"/>
          </w:tcPr>
          <w:p>
            <w:pPr>
              <w:framePr w:w="8573" w:h="6144" w:hSpace="677" w:wrap="notBeside" w:vAnchor="text" w:hAnchor="text" w:x="824" w:y="1"/>
              <w:widowControl w:val="0"/>
              <w:rPr>
                <w:sz w:val="10"/>
                <w:szCs w:val="10"/>
              </w:rPr>
            </w:pPr>
          </w:p>
        </w:tc>
        <w:tc>
          <w:tcPr>
            <w:gridSpan w:val="2"/>
            <w:tcBorders/>
            <w:shd w:val="clear" w:color="auto" w:fill="FFFFFF"/>
            <w:vAlign w:val="bottom"/>
          </w:tcPr>
          <w:p>
            <w:pPr>
              <w:pStyle w:val="Style28"/>
              <w:keepNext w:val="0"/>
              <w:keepLines w:val="0"/>
              <w:framePr w:w="8573" w:h="6144" w:hSpace="677" w:wrap="notBeside" w:vAnchor="text" w:hAnchor="text" w:x="824" w:y="1"/>
              <w:widowControl w:val="0"/>
              <w:shd w:val="clear" w:color="auto" w:fill="auto"/>
              <w:bidi w:val="0"/>
              <w:spacing w:before="0" w:after="0" w:line="240" w:lineRule="auto"/>
              <w:ind w:left="0" w:right="0" w:firstLine="980"/>
              <w:jc w:val="left"/>
              <w:rPr>
                <w:sz w:val="24"/>
                <w:szCs w:val="24"/>
              </w:rPr>
            </w:pPr>
            <w:r>
              <w:rPr>
                <w:rFonts w:ascii="Times New Roman" w:eastAsia="Times New Roman" w:hAnsi="Times New Roman" w:cs="Times New Roman"/>
                <w:color w:val="000000"/>
                <w:spacing w:val="0"/>
                <w:w w:val="100"/>
                <w:position w:val="0"/>
                <w:sz w:val="24"/>
                <w:szCs w:val="24"/>
              </w:rPr>
              <w:t>5,555,900</w:t>
            </w:r>
          </w:p>
        </w:tc>
        <w:tc>
          <w:tcPr>
            <w:tcBorders/>
            <w:shd w:val="clear" w:color="auto" w:fill="FFFFFF"/>
            <w:vAlign w:val="top"/>
          </w:tcPr>
          <w:p>
            <w:pPr>
              <w:framePr w:w="8573" w:h="6144" w:hSpace="677" w:wrap="notBeside" w:vAnchor="text" w:hAnchor="text" w:x="824" w:y="1"/>
              <w:widowControl w:val="0"/>
              <w:rPr>
                <w:sz w:val="10"/>
                <w:szCs w:val="10"/>
              </w:rPr>
            </w:pPr>
          </w:p>
        </w:tc>
        <w:tc>
          <w:tcPr>
            <w:tcBorders/>
            <w:shd w:val="clear" w:color="auto" w:fill="FFFFFF"/>
            <w:vAlign w:val="bottom"/>
          </w:tcPr>
          <w:p>
            <w:pPr>
              <w:pStyle w:val="Style28"/>
              <w:keepNext w:val="0"/>
              <w:keepLines w:val="0"/>
              <w:framePr w:w="8573" w:h="6144" w:hSpace="677" w:wrap="notBeside" w:vAnchor="text" w:hAnchor="text" w:x="824" w:y="1"/>
              <w:widowControl w:val="0"/>
              <w:shd w:val="clear" w:color="auto" w:fill="auto"/>
              <w:bidi w:val="0"/>
              <w:spacing w:before="0" w:after="0" w:line="240" w:lineRule="auto"/>
              <w:ind w:left="0" w:right="0" w:firstLine="240"/>
              <w:jc w:val="left"/>
              <w:rPr>
                <w:sz w:val="24"/>
                <w:szCs w:val="24"/>
              </w:rPr>
            </w:pPr>
            <w:r>
              <w:rPr>
                <w:rFonts w:ascii="Times New Roman" w:eastAsia="Times New Roman" w:hAnsi="Times New Roman" w:cs="Times New Roman"/>
                <w:color w:val="000000"/>
                <w:spacing w:val="0"/>
                <w:w w:val="100"/>
                <w:position w:val="0"/>
                <w:sz w:val="24"/>
                <w:szCs w:val="24"/>
              </w:rPr>
              <w:t>1,911,040</w:t>
            </w:r>
          </w:p>
        </w:tc>
      </w:tr>
      <w:tr>
        <w:trPr>
          <w:trHeight w:val="307" w:hRule="exact"/>
        </w:trPr>
        <w:tc>
          <w:tcPr>
            <w:tcBorders/>
            <w:shd w:val="clear" w:color="auto" w:fill="FFFFFF"/>
            <w:vAlign w:val="bottom"/>
          </w:tcPr>
          <w:p>
            <w:pPr>
              <w:pStyle w:val="Style28"/>
              <w:keepNext w:val="0"/>
              <w:keepLines w:val="0"/>
              <w:framePr w:w="8573" w:h="6144" w:hSpace="677" w:wrap="notBeside" w:vAnchor="text" w:hAnchor="text" w:x="824" w:y="1"/>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信用借款</w:t>
            </w:r>
          </w:p>
        </w:tc>
        <w:tc>
          <w:tcPr>
            <w:tcBorders/>
            <w:shd w:val="clear" w:color="auto" w:fill="FFFFFF"/>
            <w:vAlign w:val="top"/>
          </w:tcPr>
          <w:p>
            <w:pPr>
              <w:framePr w:w="8573" w:h="6144" w:hSpace="677" w:wrap="notBeside" w:vAnchor="text" w:hAnchor="text" w:x="824" w:y="1"/>
              <w:widowControl w:val="0"/>
              <w:rPr>
                <w:sz w:val="10"/>
                <w:szCs w:val="10"/>
              </w:rPr>
            </w:pPr>
          </w:p>
        </w:tc>
        <w:tc>
          <w:tcPr>
            <w:tcBorders/>
            <w:shd w:val="clear" w:color="auto" w:fill="FFFFFF"/>
            <w:vAlign w:val="top"/>
          </w:tcPr>
          <w:p>
            <w:pPr>
              <w:framePr w:w="8573" w:h="6144" w:hSpace="677" w:wrap="notBeside" w:vAnchor="text" w:hAnchor="text" w:x="824" w:y="1"/>
              <w:widowControl w:val="0"/>
              <w:rPr>
                <w:sz w:val="10"/>
                <w:szCs w:val="10"/>
              </w:rPr>
            </w:pPr>
          </w:p>
        </w:tc>
        <w:tc>
          <w:tcPr>
            <w:tcBorders/>
            <w:shd w:val="clear" w:color="auto" w:fill="FFFFFF"/>
            <w:vAlign w:val="bottom"/>
          </w:tcPr>
          <w:p>
            <w:pPr>
              <w:pStyle w:val="Style28"/>
              <w:keepNext w:val="0"/>
              <w:keepLines w:val="0"/>
              <w:framePr w:w="8573" w:h="6144" w:hSpace="677" w:wrap="notBeside" w:vAnchor="text" w:hAnchor="text" w:x="824" w:y="1"/>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603,617</w:t>
            </w:r>
          </w:p>
        </w:tc>
        <w:tc>
          <w:tcPr>
            <w:tcBorders/>
            <w:shd w:val="clear" w:color="auto" w:fill="FFFFFF"/>
            <w:vAlign w:val="top"/>
          </w:tcPr>
          <w:p>
            <w:pPr>
              <w:framePr w:w="8573" w:h="6144" w:hSpace="677" w:wrap="notBeside" w:vAnchor="text" w:hAnchor="text" w:x="824" w:y="1"/>
              <w:widowControl w:val="0"/>
              <w:rPr>
                <w:sz w:val="10"/>
                <w:szCs w:val="10"/>
              </w:rPr>
            </w:pPr>
          </w:p>
        </w:tc>
        <w:tc>
          <w:tcPr>
            <w:tcBorders/>
            <w:shd w:val="clear" w:color="auto" w:fill="FFFFFF"/>
            <w:vAlign w:val="bottom"/>
          </w:tcPr>
          <w:p>
            <w:pPr>
              <w:pStyle w:val="Style28"/>
              <w:keepNext w:val="0"/>
              <w:keepLines w:val="0"/>
              <w:framePr w:w="8573" w:h="6144" w:hSpace="677" w:wrap="notBeside" w:vAnchor="text" w:hAnchor="text" w:x="824" w:y="1"/>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714,592</w:t>
            </w:r>
          </w:p>
        </w:tc>
      </w:tr>
      <w:tr>
        <w:trPr>
          <w:trHeight w:val="312" w:hRule="exact"/>
        </w:trPr>
        <w:tc>
          <w:tcPr>
            <w:tcBorders/>
            <w:shd w:val="clear" w:color="auto" w:fill="FFFFFF"/>
            <w:vAlign w:val="center"/>
          </w:tcPr>
          <w:p>
            <w:pPr>
              <w:pStyle w:val="Style28"/>
              <w:keepNext w:val="0"/>
              <w:keepLines w:val="0"/>
              <w:framePr w:w="8573" w:h="6144" w:hSpace="677" w:wrap="notBeside" w:vAnchor="text" w:hAnchor="text" w:x="824" w:y="1"/>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抵押借款</w:t>
            </w:r>
          </w:p>
        </w:tc>
        <w:tc>
          <w:tcPr>
            <w:tcBorders/>
            <w:shd w:val="clear" w:color="auto" w:fill="FFFFFF"/>
            <w:vAlign w:val="top"/>
          </w:tcPr>
          <w:p>
            <w:pPr>
              <w:framePr w:w="8573" w:h="6144" w:hSpace="677" w:wrap="notBeside" w:vAnchor="text" w:hAnchor="text" w:x="824" w:y="1"/>
              <w:widowControl w:val="0"/>
              <w:rPr>
                <w:sz w:val="10"/>
                <w:szCs w:val="10"/>
              </w:rPr>
            </w:pPr>
          </w:p>
        </w:tc>
        <w:tc>
          <w:tcPr>
            <w:tcBorders/>
            <w:shd w:val="clear" w:color="auto" w:fill="FFFFFF"/>
            <w:vAlign w:val="top"/>
          </w:tcPr>
          <w:p>
            <w:pPr>
              <w:framePr w:w="8573" w:h="6144" w:hSpace="677" w:wrap="notBeside" w:vAnchor="text" w:hAnchor="text" w:x="824" w:y="1"/>
              <w:widowControl w:val="0"/>
              <w:rPr>
                <w:sz w:val="10"/>
                <w:szCs w:val="10"/>
              </w:rPr>
            </w:pPr>
          </w:p>
        </w:tc>
        <w:tc>
          <w:tcPr>
            <w:tcBorders/>
            <w:shd w:val="clear" w:color="auto" w:fill="FFFFFF"/>
            <w:vAlign w:val="center"/>
          </w:tcPr>
          <w:p>
            <w:pPr>
              <w:pStyle w:val="Style28"/>
              <w:keepNext w:val="0"/>
              <w:keepLines w:val="0"/>
              <w:framePr w:w="8573" w:h="6144" w:hSpace="677" w:wrap="notBeside" w:vAnchor="text" w:hAnchor="text" w:x="824" w:y="1"/>
              <w:widowControl w:val="0"/>
              <w:shd w:val="clear" w:color="auto" w:fill="auto"/>
              <w:bidi w:val="0"/>
              <w:spacing w:before="0" w:after="0" w:line="240" w:lineRule="auto"/>
              <w:ind w:left="0" w:right="38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top"/>
          </w:tcPr>
          <w:p>
            <w:pPr>
              <w:framePr w:w="8573" w:h="6144" w:hSpace="677" w:wrap="notBeside" w:vAnchor="text" w:hAnchor="text" w:x="824" w:y="1"/>
              <w:widowControl w:val="0"/>
              <w:rPr>
                <w:sz w:val="10"/>
                <w:szCs w:val="10"/>
              </w:rPr>
            </w:pPr>
          </w:p>
        </w:tc>
        <w:tc>
          <w:tcPr>
            <w:tcBorders/>
            <w:shd w:val="clear" w:color="auto" w:fill="FFFFFF"/>
            <w:vAlign w:val="bottom"/>
          </w:tcPr>
          <w:p>
            <w:pPr>
              <w:pStyle w:val="Style28"/>
              <w:keepNext w:val="0"/>
              <w:keepLines w:val="0"/>
              <w:framePr w:w="8573" w:h="6144" w:hSpace="677" w:wrap="notBeside" w:vAnchor="text" w:hAnchor="text" w:x="824" w:y="1"/>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600,009</w:t>
            </w:r>
          </w:p>
        </w:tc>
      </w:tr>
      <w:tr>
        <w:trPr>
          <w:trHeight w:val="312" w:hRule="exact"/>
        </w:trPr>
        <w:tc>
          <w:tcPr>
            <w:tcBorders/>
            <w:shd w:val="clear" w:color="auto" w:fill="FFFFFF"/>
            <w:vAlign w:val="top"/>
          </w:tcPr>
          <w:p>
            <w:pPr>
              <w:framePr w:w="8573" w:h="6144" w:hSpace="677" w:wrap="notBeside" w:vAnchor="text" w:hAnchor="text" w:x="824" w:y="1"/>
              <w:widowControl w:val="0"/>
              <w:rPr>
                <w:sz w:val="10"/>
                <w:szCs w:val="10"/>
              </w:rPr>
            </w:pPr>
          </w:p>
        </w:tc>
        <w:tc>
          <w:tcPr>
            <w:tcBorders>
              <w:top w:val="single" w:sz="4"/>
              <w:bottom w:val="single" w:sz="4"/>
            </w:tcBorders>
            <w:shd w:val="clear" w:color="auto" w:fill="FFFFFF"/>
            <w:vAlign w:val="top"/>
          </w:tcPr>
          <w:p>
            <w:pPr>
              <w:framePr w:w="8573" w:h="6144" w:hSpace="677" w:wrap="notBeside" w:vAnchor="text" w:hAnchor="text" w:x="824" w:y="1"/>
              <w:widowControl w:val="0"/>
              <w:rPr>
                <w:sz w:val="10"/>
                <w:szCs w:val="10"/>
              </w:rPr>
            </w:pPr>
          </w:p>
        </w:tc>
        <w:tc>
          <w:tcPr>
            <w:gridSpan w:val="2"/>
            <w:tcBorders>
              <w:top w:val="single" w:sz="4"/>
              <w:bottom w:val="single" w:sz="4"/>
            </w:tcBorders>
            <w:shd w:val="clear" w:color="auto" w:fill="FFFFFF"/>
            <w:vAlign w:val="bottom"/>
          </w:tcPr>
          <w:p>
            <w:pPr>
              <w:pStyle w:val="Style28"/>
              <w:keepNext w:val="0"/>
              <w:keepLines w:val="0"/>
              <w:framePr w:w="8573" w:h="6144" w:hSpace="677" w:wrap="notBeside" w:vAnchor="text" w:hAnchor="text" w:x="824" w:y="1"/>
              <w:widowControl w:val="0"/>
              <w:shd w:val="clear" w:color="auto" w:fill="auto"/>
              <w:bidi w:val="0"/>
              <w:spacing w:before="0" w:after="0" w:line="240" w:lineRule="auto"/>
              <w:ind w:left="0" w:right="0" w:firstLine="980"/>
              <w:jc w:val="left"/>
              <w:rPr>
                <w:sz w:val="24"/>
                <w:szCs w:val="24"/>
              </w:rPr>
            </w:pPr>
            <w:r>
              <w:rPr>
                <w:rFonts w:ascii="Times New Roman" w:eastAsia="Times New Roman" w:hAnsi="Times New Roman" w:cs="Times New Roman"/>
                <w:color w:val="000000"/>
                <w:spacing w:val="0"/>
                <w:w w:val="100"/>
                <w:position w:val="0"/>
                <w:sz w:val="24"/>
                <w:szCs w:val="24"/>
              </w:rPr>
              <w:t>6,159,517</w:t>
            </w:r>
          </w:p>
        </w:tc>
        <w:tc>
          <w:tcPr>
            <w:tcBorders>
              <w:top w:val="single" w:sz="4"/>
              <w:bottom w:val="single" w:sz="4"/>
            </w:tcBorders>
            <w:shd w:val="clear" w:color="auto" w:fill="FFFFFF"/>
            <w:vAlign w:val="top"/>
          </w:tcPr>
          <w:p>
            <w:pPr>
              <w:framePr w:w="8573" w:h="6144" w:hSpace="677" w:wrap="notBeside" w:vAnchor="text" w:hAnchor="text" w:x="824" w:y="1"/>
              <w:widowControl w:val="0"/>
              <w:rPr>
                <w:sz w:val="10"/>
                <w:szCs w:val="10"/>
              </w:rPr>
            </w:pPr>
          </w:p>
        </w:tc>
        <w:tc>
          <w:tcPr>
            <w:tcBorders>
              <w:top w:val="single" w:sz="4"/>
              <w:bottom w:val="single" w:sz="4"/>
            </w:tcBorders>
            <w:shd w:val="clear" w:color="auto" w:fill="FFFFFF"/>
            <w:vAlign w:val="bottom"/>
          </w:tcPr>
          <w:p>
            <w:pPr>
              <w:pStyle w:val="Style28"/>
              <w:keepNext w:val="0"/>
              <w:keepLines w:val="0"/>
              <w:framePr w:w="8573" w:h="6144" w:hSpace="677" w:wrap="notBeside" w:vAnchor="text" w:hAnchor="text" w:x="824" w:y="1"/>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3,225,641</w:t>
            </w:r>
          </w:p>
        </w:tc>
      </w:tr>
    </w:tbl>
    <w:p>
      <w:pPr>
        <w:pStyle w:val="Style25"/>
        <w:keepNext w:val="0"/>
        <w:keepLines w:val="0"/>
        <w:framePr w:w="437" w:h="336" w:hSpace="146" w:wrap="notBeside" w:vAnchor="text" w:hAnchor="text" w:x="147" w:y="3702"/>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(22)</w:t>
      </w:r>
    </w:p>
    <w:p>
      <w:pPr>
        <w:widowControl w:val="0"/>
        <w:spacing w:line="1" w:lineRule="exact"/>
      </w:pPr>
    </w:p>
    <w:p>
      <w:pPr>
        <w:pStyle w:val="Style32"/>
        <w:keepNext w:val="0"/>
        <w:keepLines w:val="0"/>
        <w:widowControl w:val="0"/>
        <w:shd w:val="clear" w:color="auto" w:fill="auto"/>
        <w:bidi w:val="0"/>
        <w:spacing w:before="0" w:after="240" w:line="314" w:lineRule="exact"/>
        <w:ind w:left="620" w:right="0" w:firstLine="0"/>
        <w:jc w:val="both"/>
        <w:rPr>
          <w:sz w:val="24"/>
          <w:szCs w:val="24"/>
        </w:rPr>
      </w:pPr>
      <w:r>
        <w:rPr>
          <w:color w:val="000000"/>
          <w:spacing w:val="0"/>
          <w:w w:val="100"/>
          <w:position w:val="0"/>
          <w:sz w:val="24"/>
          <w:szCs w:val="24"/>
        </w:rPr>
        <w:t>于</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日，美元质押借款约人民币</w:t>
      </w:r>
      <w:r>
        <w:rPr>
          <w:rFonts w:ascii="Times New Roman" w:eastAsia="Times New Roman" w:hAnsi="Times New Roman" w:cs="Times New Roman"/>
          <w:color w:val="000000"/>
          <w:spacing w:val="0"/>
          <w:w w:val="100"/>
          <w:position w:val="0"/>
          <w:sz w:val="24"/>
          <w:szCs w:val="24"/>
        </w:rPr>
        <w:t>48.56</w:t>
      </w:r>
      <w:r>
        <w:rPr>
          <w:color w:val="000000"/>
          <w:spacing w:val="0"/>
          <w:w w:val="100"/>
          <w:position w:val="0"/>
          <w:sz w:val="24"/>
          <w:szCs w:val="24"/>
        </w:rPr>
        <w:t>亿元系由本集团持有的阿里 巴巴约</w:t>
      </w:r>
      <w:r>
        <w:rPr>
          <w:rFonts w:ascii="Times New Roman" w:eastAsia="Times New Roman" w:hAnsi="Times New Roman" w:cs="Times New Roman"/>
          <w:color w:val="000000"/>
          <w:spacing w:val="0"/>
          <w:w w:val="100"/>
          <w:position w:val="0"/>
          <w:sz w:val="24"/>
          <w:szCs w:val="24"/>
        </w:rPr>
        <w:t>2,632</w:t>
      </w:r>
      <w:r>
        <w:rPr>
          <w:color w:val="000000"/>
          <w:spacing w:val="0"/>
          <w:w w:val="100"/>
          <w:position w:val="0"/>
          <w:sz w:val="24"/>
          <w:szCs w:val="24"/>
        </w:rPr>
        <w:t>万普通股股票</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附注四</w:t>
      </w:r>
      <w:r>
        <w:rPr>
          <w:rFonts w:ascii="Times New Roman" w:eastAsia="Times New Roman" w:hAnsi="Times New Roman" w:cs="Times New Roman"/>
          <w:color w:val="000000"/>
          <w:spacing w:val="0"/>
          <w:w w:val="100"/>
          <w:position w:val="0"/>
          <w:sz w:val="24"/>
          <w:szCs w:val="24"/>
        </w:rPr>
        <w:t>（11））</w:t>
      </w:r>
      <w:r>
        <w:rPr>
          <w:color w:val="000000"/>
          <w:spacing w:val="0"/>
          <w:w w:val="100"/>
          <w:position w:val="0"/>
          <w:sz w:val="24"/>
          <w:szCs w:val="24"/>
        </w:rPr>
        <w:t>作为质押</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日：港元银行质 押借款约人民币</w:t>
      </w:r>
      <w:r>
        <w:rPr>
          <w:rFonts w:ascii="Times New Roman" w:eastAsia="Times New Roman" w:hAnsi="Times New Roman" w:cs="Times New Roman"/>
          <w:color w:val="000000"/>
          <w:spacing w:val="0"/>
          <w:w w:val="100"/>
          <w:position w:val="0"/>
          <w:sz w:val="24"/>
          <w:szCs w:val="24"/>
        </w:rPr>
        <w:t>12.11</w:t>
      </w:r>
      <w:r>
        <w:rPr>
          <w:color w:val="000000"/>
          <w:spacing w:val="0"/>
          <w:w w:val="100"/>
          <w:position w:val="0"/>
          <w:sz w:val="24"/>
          <w:szCs w:val="24"/>
        </w:rPr>
        <w:t>亿元系由本集团存于银行的备用信用证保证金约人民币</w:t>
      </w:r>
      <w:r>
        <w:rPr>
          <w:rFonts w:ascii="Times New Roman" w:eastAsia="Times New Roman" w:hAnsi="Times New Roman" w:cs="Times New Roman"/>
          <w:color w:val="000000"/>
          <w:spacing w:val="0"/>
          <w:w w:val="100"/>
          <w:position w:val="0"/>
          <w:sz w:val="24"/>
          <w:szCs w:val="24"/>
        </w:rPr>
        <w:t xml:space="preserve">7.35 </w:t>
      </w:r>
      <w:r>
        <w:rPr>
          <w:color w:val="000000"/>
          <w:spacing w:val="0"/>
          <w:w w:val="100"/>
          <w:position w:val="0"/>
          <w:sz w:val="24"/>
          <w:szCs w:val="24"/>
        </w:rPr>
        <w:t>亿元</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附注四</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,和保本保收益理财产品约人民币</w:t>
      </w:r>
      <w:r>
        <w:rPr>
          <w:rFonts w:ascii="Times New Roman" w:eastAsia="Times New Roman" w:hAnsi="Times New Roman" w:cs="Times New Roman"/>
          <w:color w:val="000000"/>
          <w:spacing w:val="0"/>
          <w:w w:val="100"/>
          <w:position w:val="0"/>
          <w:sz w:val="24"/>
          <w:szCs w:val="24"/>
        </w:rPr>
        <w:t>7</w:t>
      </w:r>
      <w:r>
        <w:rPr>
          <w:color w:val="000000"/>
          <w:spacing w:val="0"/>
          <w:w w:val="100"/>
          <w:position w:val="0"/>
          <w:sz w:val="24"/>
          <w:szCs w:val="24"/>
        </w:rPr>
        <w:t>亿元</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附注四</w:t>
      </w:r>
      <w:r>
        <w:rPr>
          <w:rFonts w:ascii="Times New Roman" w:eastAsia="Times New Roman" w:hAnsi="Times New Roman" w:cs="Times New Roman"/>
          <w:color w:val="000000"/>
          <w:spacing w:val="0"/>
          <w:w w:val="100"/>
          <w:position w:val="0"/>
          <w:sz w:val="24"/>
          <w:szCs w:val="24"/>
        </w:rPr>
        <w:t>（8））</w:t>
      </w:r>
      <w:r>
        <w:rPr>
          <w:color w:val="000000"/>
          <w:spacing w:val="0"/>
          <w:w w:val="100"/>
          <w:position w:val="0"/>
          <w:sz w:val="24"/>
          <w:szCs w:val="24"/>
        </w:rPr>
        <w:t>作为质押</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w:t>
      </w:r>
    </w:p>
    <w:p>
      <w:pPr>
        <w:pStyle w:val="Style32"/>
        <w:keepNext w:val="0"/>
        <w:keepLines w:val="0"/>
        <w:widowControl w:val="0"/>
        <w:shd w:val="clear" w:color="auto" w:fill="auto"/>
        <w:bidi w:val="0"/>
        <w:spacing w:before="0" w:after="240" w:line="318" w:lineRule="exact"/>
        <w:ind w:left="620" w:right="0" w:firstLine="0"/>
        <w:jc w:val="both"/>
        <w:rPr>
          <w:sz w:val="24"/>
          <w:szCs w:val="24"/>
        </w:rPr>
      </w:pPr>
      <w:r>
        <w:rPr>
          <w:color w:val="000000"/>
          <w:spacing w:val="0"/>
          <w:w w:val="100"/>
          <w:position w:val="0"/>
          <w:sz w:val="24"/>
          <w:szCs w:val="24"/>
        </w:rPr>
        <w:t>于</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日，人民币银行质押借款约</w:t>
      </w:r>
      <w:r>
        <w:rPr>
          <w:rFonts w:ascii="Times New Roman" w:eastAsia="Times New Roman" w:hAnsi="Times New Roman" w:cs="Times New Roman"/>
          <w:color w:val="000000"/>
          <w:spacing w:val="0"/>
          <w:w w:val="100"/>
          <w:position w:val="0"/>
          <w:sz w:val="24"/>
          <w:szCs w:val="24"/>
        </w:rPr>
        <w:t>7</w:t>
      </w:r>
      <w:r>
        <w:rPr>
          <w:color w:val="000000"/>
          <w:spacing w:val="0"/>
          <w:w w:val="100"/>
          <w:position w:val="0"/>
          <w:sz w:val="24"/>
          <w:szCs w:val="24"/>
        </w:rPr>
        <w:t>亿元系由本集团应收账款约人民 币</w:t>
      </w:r>
      <w:r>
        <w:rPr>
          <w:rFonts w:ascii="Times New Roman" w:eastAsia="Times New Roman" w:hAnsi="Times New Roman" w:cs="Times New Roman"/>
          <w:color w:val="000000"/>
          <w:spacing w:val="0"/>
          <w:w w:val="100"/>
          <w:position w:val="0"/>
          <w:sz w:val="24"/>
          <w:szCs w:val="24"/>
        </w:rPr>
        <w:t>9.9</w:t>
      </w:r>
      <w:r>
        <w:rPr>
          <w:color w:val="000000"/>
          <w:spacing w:val="0"/>
          <w:w w:val="100"/>
          <w:position w:val="0"/>
          <w:sz w:val="24"/>
          <w:szCs w:val="24"/>
        </w:rPr>
        <w:t>亿元</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附注四</w:t>
      </w:r>
      <w:r>
        <w:rPr>
          <w:rFonts w:ascii="Times New Roman" w:eastAsia="Times New Roman" w:hAnsi="Times New Roman" w:cs="Times New Roman"/>
          <w:color w:val="000000"/>
          <w:spacing w:val="0"/>
          <w:w w:val="100"/>
          <w:position w:val="0"/>
          <w:sz w:val="24"/>
          <w:szCs w:val="24"/>
        </w:rPr>
        <w:t>（5））（2015</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日：约人民币</w:t>
      </w:r>
      <w:r>
        <w:rPr>
          <w:rFonts w:ascii="Times New Roman" w:eastAsia="Times New Roman" w:hAnsi="Times New Roman" w:cs="Times New Roman"/>
          <w:color w:val="000000"/>
          <w:spacing w:val="0"/>
          <w:w w:val="100"/>
          <w:position w:val="0"/>
          <w:sz w:val="24"/>
          <w:szCs w:val="24"/>
        </w:rPr>
        <w:t>7</w:t>
      </w:r>
      <w:r>
        <w:rPr>
          <w:color w:val="000000"/>
          <w:spacing w:val="0"/>
          <w:w w:val="100"/>
          <w:position w:val="0"/>
          <w:sz w:val="24"/>
          <w:szCs w:val="24"/>
        </w:rPr>
        <w:t>亿元系由本集团于银行的 备用信用证保证金约人民币</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亿元和银行承兑保证金约人民币</w:t>
      </w:r>
      <w:r>
        <w:rPr>
          <w:rFonts w:ascii="Times New Roman" w:eastAsia="Times New Roman" w:hAnsi="Times New Roman" w:cs="Times New Roman"/>
          <w:color w:val="000000"/>
          <w:spacing w:val="0"/>
          <w:w w:val="100"/>
          <w:position w:val="0"/>
          <w:sz w:val="24"/>
          <w:szCs w:val="24"/>
        </w:rPr>
        <w:t>6,000</w:t>
      </w:r>
      <w:r>
        <w:rPr>
          <w:color w:val="000000"/>
          <w:spacing w:val="0"/>
          <w:w w:val="100"/>
          <w:position w:val="0"/>
          <w:sz w:val="24"/>
          <w:szCs w:val="24"/>
        </w:rPr>
        <w:t>万元</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 xml:space="preserve">附注四 </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作为质押。</w:t>
      </w:r>
    </w:p>
    <w:p>
      <w:pPr>
        <w:pStyle w:val="Style32"/>
        <w:keepNext w:val="0"/>
        <w:keepLines w:val="0"/>
        <w:widowControl w:val="0"/>
        <w:shd w:val="clear" w:color="auto" w:fill="auto"/>
        <w:bidi w:val="0"/>
        <w:spacing w:before="0" w:after="240" w:line="314" w:lineRule="exact"/>
        <w:ind w:left="620" w:right="0" w:firstLine="0"/>
        <w:jc w:val="both"/>
        <w:rPr>
          <w:sz w:val="24"/>
          <w:szCs w:val="24"/>
        </w:rPr>
      </w:pPr>
      <w:r>
        <w:rPr>
          <w:color w:val="000000"/>
          <w:spacing w:val="0"/>
          <w:w w:val="100"/>
          <w:position w:val="0"/>
          <w:sz w:val="24"/>
          <w:szCs w:val="24"/>
        </w:rPr>
        <w:t>于</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日，本集团无抵押借款</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日：美元抵押借款约人 民币</w:t>
      </w:r>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4"/>
          <w:szCs w:val="24"/>
        </w:rPr>
        <w:t>亿元系由本集团账面价值约为人民币</w:t>
      </w:r>
      <w:r>
        <w:rPr>
          <w:rFonts w:ascii="Times New Roman" w:eastAsia="Times New Roman" w:hAnsi="Times New Roman" w:cs="Times New Roman"/>
          <w:color w:val="000000"/>
          <w:spacing w:val="0"/>
          <w:w w:val="100"/>
          <w:position w:val="0"/>
          <w:sz w:val="24"/>
          <w:szCs w:val="24"/>
        </w:rPr>
        <w:t>3.84</w:t>
      </w:r>
      <w:r>
        <w:rPr>
          <w:color w:val="000000"/>
          <w:spacing w:val="0"/>
          <w:w w:val="100"/>
          <w:position w:val="0"/>
          <w:sz w:val="24"/>
          <w:szCs w:val="24"/>
        </w:rPr>
        <w:t>亿元，原价约人民币</w:t>
      </w:r>
      <w:r>
        <w:rPr>
          <w:rFonts w:ascii="Times New Roman" w:eastAsia="Times New Roman" w:hAnsi="Times New Roman" w:cs="Times New Roman"/>
          <w:color w:val="000000"/>
          <w:spacing w:val="0"/>
          <w:w w:val="100"/>
          <w:position w:val="0"/>
          <w:sz w:val="24"/>
          <w:szCs w:val="24"/>
        </w:rPr>
        <w:t>4.61</w:t>
      </w:r>
      <w:r>
        <w:rPr>
          <w:color w:val="000000"/>
          <w:spacing w:val="0"/>
          <w:w w:val="100"/>
          <w:position w:val="0"/>
          <w:sz w:val="24"/>
          <w:szCs w:val="24"/>
        </w:rPr>
        <w:t>亿元</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附 注四</w:t>
      </w:r>
      <w:r>
        <w:rPr>
          <w:rFonts w:ascii="Times New Roman" w:eastAsia="Times New Roman" w:hAnsi="Times New Roman" w:cs="Times New Roman"/>
          <w:color w:val="000000"/>
          <w:spacing w:val="0"/>
          <w:w w:val="100"/>
          <w:position w:val="0"/>
          <w:sz w:val="24"/>
          <w:szCs w:val="24"/>
        </w:rPr>
        <w:t>（14））</w:t>
      </w:r>
      <w:r>
        <w:rPr>
          <w:color w:val="000000"/>
          <w:spacing w:val="0"/>
          <w:w w:val="100"/>
          <w:position w:val="0"/>
          <w:sz w:val="24"/>
          <w:szCs w:val="24"/>
        </w:rPr>
        <w:t>的房屋建筑物作为抵押</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w:t>
      </w:r>
    </w:p>
    <w:p>
      <w:pPr>
        <w:pStyle w:val="Style53"/>
        <w:keepNext w:val="0"/>
        <w:keepLines w:val="0"/>
        <w:widowControl w:val="0"/>
        <w:shd w:val="clear" w:color="auto" w:fill="auto"/>
        <w:bidi w:val="0"/>
        <w:spacing w:before="0" w:after="240" w:line="312" w:lineRule="exact"/>
        <w:ind w:left="620" w:right="0" w:firstLine="0"/>
        <w:jc w:val="both"/>
        <w:rPr>
          <w:sz w:val="24"/>
          <w:szCs w:val="24"/>
        </w:rPr>
      </w:pPr>
      <w:r>
        <w:rPr>
          <w:rFonts w:ascii="SimSun" w:eastAsia="SimSun" w:hAnsi="SimSun" w:cs="SimSun"/>
          <w:color w:val="000000"/>
          <w:spacing w:val="0"/>
          <w:w w:val="100"/>
          <w:position w:val="0"/>
          <w:sz w:val="24"/>
          <w:szCs w:val="24"/>
        </w:rPr>
        <w:t>于</w:t>
      </w:r>
      <w:r>
        <w:rPr>
          <w:color w:val="000000"/>
          <w:spacing w:val="0"/>
          <w:w w:val="100"/>
          <w:position w:val="0"/>
          <w:sz w:val="24"/>
          <w:szCs w:val="24"/>
        </w:rPr>
        <w:t>2016</w:t>
      </w:r>
      <w:r>
        <w:rPr>
          <w:rFonts w:ascii="SimSun" w:eastAsia="SimSun" w:hAnsi="SimSun" w:cs="SimSun"/>
          <w:color w:val="000000"/>
          <w:spacing w:val="0"/>
          <w:w w:val="100"/>
          <w:position w:val="0"/>
          <w:sz w:val="24"/>
          <w:szCs w:val="24"/>
        </w:rPr>
        <w:t>年</w:t>
      </w:r>
      <w:r>
        <w:rPr>
          <w:color w:val="000000"/>
          <w:spacing w:val="0"/>
          <w:w w:val="100"/>
          <w:position w:val="0"/>
          <w:sz w:val="24"/>
          <w:szCs w:val="24"/>
        </w:rPr>
        <w:t>12</w:t>
      </w:r>
      <w:r>
        <w:rPr>
          <w:rFonts w:ascii="SimSun" w:eastAsia="SimSun" w:hAnsi="SimSun" w:cs="SimSun"/>
          <w:color w:val="000000"/>
          <w:spacing w:val="0"/>
          <w:w w:val="100"/>
          <w:position w:val="0"/>
          <w:sz w:val="24"/>
          <w:szCs w:val="24"/>
        </w:rPr>
        <w:t>月</w:t>
      </w:r>
      <w:r>
        <w:rPr>
          <w:color w:val="000000"/>
          <w:spacing w:val="0"/>
          <w:w w:val="100"/>
          <w:position w:val="0"/>
          <w:sz w:val="24"/>
          <w:szCs w:val="24"/>
        </w:rPr>
        <w:t>31</w:t>
      </w:r>
      <w:r>
        <w:rPr>
          <w:rFonts w:ascii="SimSun" w:eastAsia="SimSun" w:hAnsi="SimSun" w:cs="SimSun"/>
          <w:color w:val="000000"/>
          <w:spacing w:val="0"/>
          <w:w w:val="100"/>
          <w:position w:val="0"/>
          <w:sz w:val="24"/>
          <w:szCs w:val="24"/>
        </w:rPr>
        <w:t>日，短期借款的利率区间为</w:t>
      </w:r>
      <w:r>
        <w:rPr>
          <w:color w:val="000000"/>
          <w:spacing w:val="0"/>
          <w:w w:val="100"/>
          <w:position w:val="0"/>
          <w:sz w:val="24"/>
          <w:szCs w:val="24"/>
        </w:rPr>
        <w:t>3.45%</w:t>
      </w:r>
      <w:r>
        <w:rPr>
          <w:rFonts w:ascii="SimSun" w:eastAsia="SimSun" w:hAnsi="SimSun" w:cs="SimSun"/>
          <w:color w:val="000000"/>
          <w:spacing w:val="0"/>
          <w:w w:val="100"/>
          <w:position w:val="0"/>
          <w:sz w:val="24"/>
          <w:szCs w:val="24"/>
        </w:rPr>
        <w:t>至</w:t>
      </w:r>
      <w:r>
        <w:rPr>
          <w:color w:val="000000"/>
          <w:spacing w:val="0"/>
          <w:w w:val="100"/>
          <w:position w:val="0"/>
          <w:sz w:val="24"/>
          <w:szCs w:val="24"/>
        </w:rPr>
        <w:t>4.35%（2015</w:t>
      </w:r>
      <w:r>
        <w:rPr>
          <w:rFonts w:ascii="SimSun" w:eastAsia="SimSun" w:hAnsi="SimSun" w:cs="SimSun"/>
          <w:color w:val="000000"/>
          <w:spacing w:val="0"/>
          <w:w w:val="100"/>
          <w:position w:val="0"/>
          <w:sz w:val="24"/>
          <w:szCs w:val="24"/>
        </w:rPr>
        <w:t>年</w:t>
      </w:r>
      <w:r>
        <w:rPr>
          <w:color w:val="000000"/>
          <w:spacing w:val="0"/>
          <w:w w:val="100"/>
          <w:position w:val="0"/>
          <w:sz w:val="24"/>
          <w:szCs w:val="24"/>
        </w:rPr>
        <w:t>12</w:t>
      </w:r>
      <w:r>
        <w:rPr>
          <w:rFonts w:ascii="SimSun" w:eastAsia="SimSun" w:hAnsi="SimSun" w:cs="SimSun"/>
          <w:color w:val="000000"/>
          <w:spacing w:val="0"/>
          <w:w w:val="100"/>
          <w:position w:val="0"/>
          <w:sz w:val="24"/>
          <w:szCs w:val="24"/>
        </w:rPr>
        <w:t>月</w:t>
      </w:r>
      <w:r>
        <w:rPr>
          <w:color w:val="000000"/>
          <w:spacing w:val="0"/>
          <w:w w:val="100"/>
          <w:position w:val="0"/>
          <w:sz w:val="24"/>
          <w:szCs w:val="24"/>
        </w:rPr>
        <w:t>31</w:t>
      </w:r>
      <w:r>
        <w:rPr>
          <w:rFonts w:ascii="SimSun" w:eastAsia="SimSun" w:hAnsi="SimSun" w:cs="SimSun"/>
          <w:color w:val="000000"/>
          <w:spacing w:val="0"/>
          <w:w w:val="100"/>
          <w:position w:val="0"/>
          <w:sz w:val="24"/>
          <w:szCs w:val="24"/>
        </w:rPr>
        <w:t xml:space="preserve">日： </w:t>
      </w:r>
      <w:r>
        <w:rPr>
          <w:color w:val="000000"/>
          <w:spacing w:val="0"/>
          <w:w w:val="100"/>
          <w:position w:val="0"/>
          <w:sz w:val="24"/>
          <w:szCs w:val="24"/>
        </w:rPr>
        <w:t>1.19%</w:t>
      </w:r>
      <w:r>
        <w:rPr>
          <w:rFonts w:ascii="SimSun" w:eastAsia="SimSun" w:hAnsi="SimSun" w:cs="SimSun"/>
          <w:color w:val="000000"/>
          <w:spacing w:val="0"/>
          <w:w w:val="100"/>
          <w:position w:val="0"/>
          <w:sz w:val="24"/>
          <w:szCs w:val="24"/>
        </w:rPr>
        <w:t xml:space="preserve">至 </w:t>
      </w:r>
      <w:r>
        <w:rPr>
          <w:color w:val="000000"/>
          <w:spacing w:val="0"/>
          <w:w w:val="100"/>
          <w:position w:val="0"/>
          <w:sz w:val="24"/>
          <w:szCs w:val="24"/>
        </w:rPr>
        <w:t>6.3%）</w:t>
      </w:r>
      <w:r>
        <w:rPr>
          <w:rFonts w:ascii="SimSun" w:eastAsia="SimSun" w:hAnsi="SimSun" w:cs="SimSun"/>
          <w:color w:val="000000"/>
          <w:spacing w:val="0"/>
          <w:w w:val="100"/>
          <w:position w:val="0"/>
          <w:sz w:val="24"/>
          <w:szCs w:val="24"/>
        </w:rPr>
        <w:t>。</w:t>
      </w:r>
      <w:r>
        <w:br w:type="page"/>
      </w:r>
    </w:p>
    <w:p>
      <w:pPr>
        <w:pStyle w:val="Style32"/>
        <w:keepNext w:val="0"/>
        <w:keepLines w:val="0"/>
        <w:widowControl w:val="0"/>
        <w:shd w:val="clear" w:color="auto" w:fill="auto"/>
        <w:bidi w:val="0"/>
        <w:spacing w:before="0" w:after="0" w:line="240" w:lineRule="auto"/>
        <w:ind w:left="0" w:right="0" w:firstLine="720"/>
        <w:jc w:val="left"/>
        <w:rPr>
          <w:sz w:val="24"/>
          <w:szCs w:val="24"/>
        </w:rPr>
      </w:pPr>
      <w:r>
        <mc:AlternateContent>
          <mc:Choice Requires="wps">
            <w:drawing>
              <wp:anchor distT="139700" distB="2017395" distL="139700" distR="170180" simplePos="0" relativeHeight="125829428" behindDoc="0" locked="0" layoutInCell="1" allowOverlap="1">
                <wp:simplePos x="0" y="0"/>
                <wp:positionH relativeFrom="page">
                  <wp:posOffset>1029335</wp:posOffset>
                </wp:positionH>
                <wp:positionV relativeFrom="margin">
                  <wp:posOffset>737870</wp:posOffset>
                </wp:positionV>
                <wp:extent cx="280670" cy="560705"/>
                <wp:wrapSquare wrapText="bothSides"/>
                <wp:docPr id="316" name="Shape 316"/>
                <a:graphic xmlns:a="http://schemas.openxmlformats.org/drawingml/2006/main">
                  <a:graphicData uri="http://schemas.microsoft.com/office/word/2010/wordprocessingShape">
                    <wps:wsp>
                      <wps:cNvSpPr txBox="1"/>
                      <wps:spPr>
                        <a:xfrm>
                          <a:ext cx="280670" cy="560705"/>
                        </a:xfrm>
                        <a:prstGeom prst="rect"/>
                        <a:noFill/>
                      </wps:spPr>
                      <wps:txbx>
                        <w:txbxContent>
                          <w:p>
                            <w:pPr>
                              <w:pStyle w:val="Style32"/>
                              <w:keepNext w:val="0"/>
                              <w:keepLines w:val="0"/>
                              <w:widowControl w:val="0"/>
                              <w:shd w:val="clear" w:color="auto" w:fill="auto"/>
                              <w:bidi w:val="0"/>
                              <w:spacing w:before="0" w:after="260" w:line="240" w:lineRule="auto"/>
                              <w:ind w:left="0" w:right="0" w:firstLine="0"/>
                              <w:jc w:val="left"/>
                              <w:rPr>
                                <w:sz w:val="24"/>
                                <w:szCs w:val="24"/>
                              </w:rPr>
                            </w:pPr>
                            <w:r>
                              <w:rPr>
                                <w:b/>
                                <w:bCs/>
                                <w:color w:val="000000"/>
                                <w:spacing w:val="0"/>
                                <w:w w:val="100"/>
                                <w:position w:val="0"/>
                                <w:sz w:val="24"/>
                                <w:szCs w:val="24"/>
                              </w:rPr>
                              <w:t>四</w:t>
                            </w:r>
                          </w:p>
                          <w:p>
                            <w:pPr>
                              <w:pStyle w:val="Style5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(23)</w:t>
                            </w:r>
                          </w:p>
                        </w:txbxContent>
                      </wps:txbx>
                      <wps:bodyPr lIns="0" tIns="0" rIns="0" bIns="0">
                        <a:noAutoFit/>
                      </wps:bodyPr>
                    </wps:wsp>
                  </a:graphicData>
                </a:graphic>
              </wp:anchor>
            </w:drawing>
          </mc:Choice>
          <mc:Fallback>
            <w:pict>
              <v:shape id="_x0000_s1342" type="#_x0000_t202" style="position:absolute;margin-left:81.049999999999997pt;margin-top:58.100000000000001pt;width:22.100000000000001pt;height:44.149999999999999pt;z-index:-125829325;mso-wrap-distance-left:11.pt;mso-wrap-distance-top:11.pt;mso-wrap-distance-right:13.4pt;mso-wrap-distance-bottom:158.84999999999999pt;mso-position-horizontal-relative:page;mso-position-vertical-relative:margin" filled="f" stroked="f">
                <v:textbox inset="0,0,0,0">
                  <w:txbxContent>
                    <w:p>
                      <w:pPr>
                        <w:pStyle w:val="Style32"/>
                        <w:keepNext w:val="0"/>
                        <w:keepLines w:val="0"/>
                        <w:widowControl w:val="0"/>
                        <w:shd w:val="clear" w:color="auto" w:fill="auto"/>
                        <w:bidi w:val="0"/>
                        <w:spacing w:before="0" w:after="260" w:line="240" w:lineRule="auto"/>
                        <w:ind w:left="0" w:right="0" w:firstLine="0"/>
                        <w:jc w:val="left"/>
                        <w:rPr>
                          <w:sz w:val="24"/>
                          <w:szCs w:val="24"/>
                        </w:rPr>
                      </w:pPr>
                      <w:r>
                        <w:rPr>
                          <w:b/>
                          <w:bCs/>
                          <w:color w:val="000000"/>
                          <w:spacing w:val="0"/>
                          <w:w w:val="100"/>
                          <w:position w:val="0"/>
                          <w:sz w:val="24"/>
                          <w:szCs w:val="24"/>
                        </w:rPr>
                        <w:t>四</w:t>
                      </w:r>
                    </w:p>
                    <w:p>
                      <w:pPr>
                        <w:pStyle w:val="Style5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(23)</w:t>
                      </w:r>
                    </w:p>
                  </w:txbxContent>
                </v:textbox>
                <w10:wrap type="square" anchorx="page" anchory="margin"/>
              </v:shape>
            </w:pict>
          </mc:Fallback>
        </mc:AlternateContent>
      </w:r>
      <w:r>
        <mc:AlternateContent>
          <mc:Choice Requires="wps">
            <w:drawing>
              <wp:anchor distT="2364740" distB="139700" distL="170180" distR="139700" simplePos="0" relativeHeight="125829430" behindDoc="0" locked="0" layoutInCell="1" allowOverlap="1">
                <wp:simplePos x="0" y="0"/>
                <wp:positionH relativeFrom="page">
                  <wp:posOffset>1059815</wp:posOffset>
                </wp:positionH>
                <wp:positionV relativeFrom="margin">
                  <wp:posOffset>2962910</wp:posOffset>
                </wp:positionV>
                <wp:extent cx="280670" cy="213360"/>
                <wp:wrapSquare wrapText="bothSides"/>
                <wp:docPr id="318" name="Shape 318"/>
                <a:graphic xmlns:a="http://schemas.openxmlformats.org/drawingml/2006/main">
                  <a:graphicData uri="http://schemas.microsoft.com/office/word/2010/wordprocessingShape">
                    <wps:wsp>
                      <wps:cNvSpPr txBox="1"/>
                      <wps:spPr>
                        <a:xfrm>
                          <a:ext cx="280670" cy="21336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(24)</w:t>
                            </w:r>
                          </w:p>
                        </w:txbxContent>
                      </wps:txbx>
                      <wps:bodyPr wrap="none" lIns="0" tIns="0" rIns="0" bIns="0">
                        <a:noAutoFit/>
                      </wps:bodyPr>
                    </wps:wsp>
                  </a:graphicData>
                </a:graphic>
              </wp:anchor>
            </w:drawing>
          </mc:Choice>
          <mc:Fallback>
            <w:pict>
              <v:shape id="_x0000_s1344" type="#_x0000_t202" style="position:absolute;margin-left:83.450000000000003pt;margin-top:233.30000000000001pt;width:22.100000000000001pt;height:16.800000000000001pt;z-index:-125829323;mso-wrap-distance-left:13.4pt;mso-wrap-distance-top:186.20000000000002pt;mso-wrap-distance-right:11.pt;mso-wrap-distance-bottom:11.pt;mso-position-horizontal-relative:page;mso-position-vertical-relative:margin" filled="f" stroked="f">
                <v:textbox inset="0,0,0,0">
                  <w:txbxContent>
                    <w:p>
                      <w:pPr>
                        <w:pStyle w:val="Style5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(24)</w:t>
                      </w:r>
                    </w:p>
                  </w:txbxContent>
                </v:textbox>
                <w10:wrap type="square" anchorx="page" anchory="margin"/>
              </v:shape>
            </w:pict>
          </mc:Fallback>
        </mc:AlternateContent>
      </w:r>
      <w:r>
        <w:rPr>
          <w:b/>
          <w:bCs/>
          <w:color w:val="000000"/>
          <w:spacing w:val="0"/>
          <w:w w:val="100"/>
          <w:position w:val="0"/>
          <w:sz w:val="24"/>
          <w:szCs w:val="24"/>
        </w:rPr>
        <w:t>财务报表附注</w:t>
      </w:r>
    </w:p>
    <w:p>
      <w:pPr>
        <w:pStyle w:val="Style88"/>
        <w:keepNext/>
        <w:keepLines/>
        <w:widowControl w:val="0"/>
        <w:shd w:val="clear" w:color="auto" w:fill="auto"/>
        <w:bidi w:val="0"/>
        <w:spacing w:before="0" w:after="0" w:line="240" w:lineRule="auto"/>
        <w:ind w:left="0" w:right="0" w:firstLine="720"/>
        <w:jc w:val="left"/>
      </w:pPr>
      <w:bookmarkStart w:id="930" w:name="bookmark930"/>
      <w:bookmarkStart w:id="931" w:name="bookmark931"/>
      <w:bookmarkStart w:id="932" w:name="bookmark932"/>
      <w:r>
        <w:rPr>
          <w:color w:val="000000"/>
          <w:spacing w:val="0"/>
          <w:w w:val="100"/>
          <w:position w:val="0"/>
          <w:sz w:val="24"/>
          <w:szCs w:val="24"/>
        </w:rPr>
        <w:t>2016</w:t>
      </w:r>
      <w:r>
        <w:rPr>
          <w:rFonts w:ascii="SimSun" w:eastAsia="SimSun" w:hAnsi="SimSun" w:cs="SimSun"/>
          <w:b/>
          <w:bCs/>
          <w:color w:val="000000"/>
          <w:spacing w:val="0"/>
          <w:w w:val="100"/>
          <w:position w:val="0"/>
          <w:sz w:val="24"/>
          <w:szCs w:val="24"/>
        </w:rPr>
        <w:t>年度</w:t>
      </w:r>
      <w:bookmarkEnd w:id="930"/>
      <w:bookmarkEnd w:id="931"/>
      <w:bookmarkEnd w:id="932"/>
    </w:p>
    <w:p>
      <w:pPr>
        <w:pStyle w:val="Style32"/>
        <w:keepNext w:val="0"/>
        <w:keepLines w:val="0"/>
        <w:widowControl w:val="0"/>
        <w:shd w:val="clear" w:color="auto" w:fill="auto"/>
        <w:bidi w:val="0"/>
        <w:spacing w:before="0" w:after="260" w:line="240" w:lineRule="auto"/>
        <w:ind w:left="0" w:right="0" w:firstLine="720"/>
        <w:jc w:val="left"/>
        <w:rPr>
          <w:sz w:val="24"/>
          <w:szCs w:val="24"/>
        </w:rPr>
      </w:pPr>
      <w:r>
        <w:rPr>
          <w:rFonts w:ascii="Arial" w:eastAsia="Arial" w:hAnsi="Arial" w:cs="Arial"/>
          <w:color w:val="000000"/>
          <w:spacing w:val="0"/>
          <w:w w:val="100"/>
          <w:position w:val="0"/>
          <w:sz w:val="20"/>
          <w:szCs w:val="20"/>
        </w:rPr>
        <w:t>（</w:t>
      </w:r>
      <w:r>
        <w:rPr>
          <w:color w:val="000000"/>
          <w:spacing w:val="0"/>
          <w:w w:val="100"/>
          <w:position w:val="0"/>
          <w:sz w:val="20"/>
          <w:szCs w:val="20"/>
        </w:rPr>
        <w:t>除特别注明外，金额单位为人民币千元</w:t>
      </w:r>
      <w:r>
        <w:rPr>
          <w:color w:val="000000"/>
          <w:spacing w:val="0"/>
          <w:w w:val="100"/>
          <w:position w:val="0"/>
          <w:sz w:val="24"/>
          <w:szCs w:val="24"/>
        </w:rPr>
        <w:t>）</w:t>
      </w:r>
    </w:p>
    <w:p>
      <w:pPr>
        <w:pStyle w:val="Style32"/>
        <w:keepNext w:val="0"/>
        <w:keepLines w:val="0"/>
        <w:widowControl w:val="0"/>
        <w:shd w:val="clear" w:color="auto" w:fill="auto"/>
        <w:bidi w:val="0"/>
        <w:spacing w:before="0" w:after="260" w:line="240" w:lineRule="auto"/>
        <w:ind w:left="0" w:right="0" w:firstLine="0"/>
        <w:jc w:val="left"/>
        <w:rPr>
          <w:sz w:val="24"/>
          <w:szCs w:val="24"/>
        </w:rPr>
      </w:pPr>
      <w:r>
        <w:rPr>
          <w:b/>
          <w:bCs/>
          <w:color w:val="000000"/>
          <w:spacing w:val="0"/>
          <w:w w:val="100"/>
          <w:position w:val="0"/>
          <w:sz w:val="24"/>
          <w:szCs w:val="24"/>
        </w:rPr>
        <w:t>合并财务报表项目附注</w:t>
      </w:r>
      <w:r>
        <w:rPr>
          <w:rFonts w:ascii="Times New Roman" w:eastAsia="Times New Roman" w:hAnsi="Times New Roman" w:cs="Times New Roman"/>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4"/>
          <w:szCs w:val="24"/>
        </w:rPr>
        <w:t>）</w:t>
      </w:r>
    </w:p>
    <w:p>
      <w:pPr>
        <w:pStyle w:val="Style32"/>
        <w:keepNext w:val="0"/>
        <w:keepLines w:val="0"/>
        <w:widowControl w:val="0"/>
        <w:shd w:val="clear" w:color="auto" w:fill="auto"/>
        <w:bidi w:val="0"/>
        <w:spacing w:before="0" w:after="260" w:line="240" w:lineRule="auto"/>
        <w:ind w:left="0" w:right="0" w:firstLine="0"/>
        <w:jc w:val="left"/>
        <w:rPr>
          <w:sz w:val="24"/>
          <w:szCs w:val="24"/>
        </w:rPr>
      </w:pPr>
      <w:r>
        <w:rPr>
          <w:b/>
          <w:bCs/>
          <w:color w:val="000000"/>
          <w:spacing w:val="0"/>
          <w:w w:val="100"/>
          <w:position w:val="0"/>
          <w:sz w:val="24"/>
          <w:szCs w:val="24"/>
        </w:rPr>
        <w:t>以公允价值计量且其变动计入当期损益的金融负债</w:t>
      </w:r>
    </w:p>
    <w:p>
      <w:pPr>
        <w:pStyle w:val="Style53"/>
        <w:keepNext w:val="0"/>
        <w:keepLines w:val="0"/>
        <w:widowControl w:val="0"/>
        <w:shd w:val="clear" w:color="auto" w:fill="auto"/>
        <w:bidi w:val="0"/>
        <w:spacing w:before="0" w:after="260" w:line="276" w:lineRule="auto"/>
        <w:ind w:left="0" w:right="640" w:firstLine="0"/>
        <w:jc w:val="right"/>
        <w:rPr>
          <w:sz w:val="24"/>
          <w:szCs w:val="24"/>
        </w:rPr>
      </w:pPr>
      <w:r>
        <w:rPr>
          <w:color w:val="000000"/>
          <w:spacing w:val="0"/>
          <w:w w:val="100"/>
          <w:position w:val="0"/>
          <w:sz w:val="24"/>
          <w:szCs w:val="24"/>
        </w:rPr>
        <w:t>2016</w:t>
      </w:r>
      <w:r>
        <w:rPr>
          <w:rFonts w:ascii="SimSun" w:eastAsia="SimSun" w:hAnsi="SimSun" w:cs="SimSun"/>
          <w:color w:val="000000"/>
          <w:spacing w:val="0"/>
          <w:w w:val="100"/>
          <w:position w:val="0"/>
          <w:sz w:val="24"/>
          <w:szCs w:val="24"/>
        </w:rPr>
        <w:t>年</w:t>
      </w:r>
      <w:r>
        <w:rPr>
          <w:color w:val="000000"/>
          <w:spacing w:val="0"/>
          <w:w w:val="100"/>
          <w:position w:val="0"/>
          <w:sz w:val="24"/>
          <w:szCs w:val="24"/>
        </w:rPr>
        <w:t>12</w:t>
      </w:r>
      <w:r>
        <w:rPr>
          <w:rFonts w:ascii="SimSun" w:eastAsia="SimSun" w:hAnsi="SimSun" w:cs="SimSun"/>
          <w:color w:val="000000"/>
          <w:spacing w:val="0"/>
          <w:w w:val="100"/>
          <w:position w:val="0"/>
          <w:sz w:val="24"/>
          <w:szCs w:val="24"/>
        </w:rPr>
        <w:t>月</w:t>
      </w:r>
      <w:r>
        <w:rPr>
          <w:color w:val="000000"/>
          <w:spacing w:val="0"/>
          <w:w w:val="100"/>
          <w:position w:val="0"/>
          <w:sz w:val="24"/>
          <w:szCs w:val="24"/>
        </w:rPr>
        <w:t>31</w:t>
      </w:r>
      <w:r>
        <w:rPr>
          <w:rFonts w:ascii="SimSun" w:eastAsia="SimSun" w:hAnsi="SimSun" w:cs="SimSun"/>
          <w:color w:val="000000"/>
          <w:spacing w:val="0"/>
          <w:w w:val="100"/>
          <w:position w:val="0"/>
          <w:sz w:val="24"/>
          <w:szCs w:val="24"/>
        </w:rPr>
        <w:t xml:space="preserve">日 </w:t>
      </w:r>
      <w:r>
        <w:rPr>
          <w:color w:val="000000"/>
          <w:spacing w:val="0"/>
          <w:w w:val="100"/>
          <w:position w:val="0"/>
          <w:sz w:val="24"/>
          <w:szCs w:val="24"/>
        </w:rPr>
        <w:t>2015</w:t>
      </w:r>
      <w:r>
        <w:rPr>
          <w:rFonts w:ascii="SimSun" w:eastAsia="SimSun" w:hAnsi="SimSun" w:cs="SimSun"/>
          <w:color w:val="000000"/>
          <w:spacing w:val="0"/>
          <w:w w:val="100"/>
          <w:position w:val="0"/>
          <w:sz w:val="24"/>
          <w:szCs w:val="24"/>
        </w:rPr>
        <w:t>年</w:t>
      </w:r>
      <w:r>
        <w:rPr>
          <w:color w:val="000000"/>
          <w:spacing w:val="0"/>
          <w:w w:val="100"/>
          <w:position w:val="0"/>
          <w:sz w:val="24"/>
          <w:szCs w:val="24"/>
        </w:rPr>
        <w:t>12</w:t>
      </w:r>
      <w:r>
        <w:rPr>
          <w:rFonts w:ascii="SimSun" w:eastAsia="SimSun" w:hAnsi="SimSun" w:cs="SimSun"/>
          <w:color w:val="000000"/>
          <w:spacing w:val="0"/>
          <w:w w:val="100"/>
          <w:position w:val="0"/>
          <w:sz w:val="24"/>
          <w:szCs w:val="24"/>
        </w:rPr>
        <w:t>月</w:t>
      </w:r>
      <w:r>
        <w:rPr>
          <w:color w:val="000000"/>
          <w:spacing w:val="0"/>
          <w:w w:val="100"/>
          <w:position w:val="0"/>
          <w:sz w:val="24"/>
          <w:szCs w:val="24"/>
        </w:rPr>
        <w:t>31</w:t>
      </w:r>
      <w:r>
        <w:rPr>
          <w:rFonts w:ascii="SimSun" w:eastAsia="SimSun" w:hAnsi="SimSun" w:cs="SimSun"/>
          <w:color w:val="000000"/>
          <w:spacing w:val="0"/>
          <w:w w:val="100"/>
          <w:position w:val="0"/>
          <w:sz w:val="24"/>
          <w:szCs w:val="24"/>
        </w:rPr>
        <w:t>日</w:t>
      </w:r>
    </w:p>
    <w:p>
      <w:pPr>
        <w:pStyle w:val="Style53"/>
        <w:keepNext w:val="0"/>
        <w:keepLines w:val="0"/>
        <w:widowControl w:val="0"/>
        <w:shd w:val="clear" w:color="auto" w:fill="auto"/>
        <w:tabs>
          <w:tab w:pos="3029" w:val="left"/>
          <w:tab w:leader="underscore" w:pos="4846" w:val="left"/>
          <w:tab w:pos="5722" w:val="left"/>
          <w:tab w:leader="underscore" w:pos="7363" w:val="left"/>
        </w:tabs>
        <w:bidi w:val="0"/>
        <w:spacing w:before="0" w:after="260" w:line="314" w:lineRule="exact"/>
        <w:ind w:left="0" w:right="0" w:firstLine="0"/>
        <w:jc w:val="both"/>
        <w:rPr>
          <w:sz w:val="24"/>
          <w:szCs w:val="24"/>
        </w:rPr>
      </w:pPr>
      <w:r>
        <w:rPr>
          <w:rFonts w:ascii="SimSun" w:eastAsia="SimSun" w:hAnsi="SimSun" w:cs="SimSun"/>
          <w:color w:val="000000"/>
          <w:spacing w:val="0"/>
          <w:w w:val="100"/>
          <w:position w:val="0"/>
          <w:sz w:val="24"/>
          <w:szCs w:val="24"/>
        </w:rPr>
        <w:t>投资者回售选择权</w:t>
        <w:tab/>
        <w:tab/>
      </w:r>
      <w:r>
        <w:rPr>
          <w:color w:val="000000"/>
          <w:spacing w:val="0"/>
          <w:w w:val="100"/>
          <w:position w:val="0"/>
          <w:sz w:val="24"/>
          <w:szCs w:val="24"/>
          <w:u w:val="single"/>
        </w:rPr>
        <w:t>38,650</w:t>
      </w:r>
      <w:r>
        <w:rPr>
          <w:color w:val="000000"/>
          <w:spacing w:val="0"/>
          <w:w w:val="100"/>
          <w:position w:val="0"/>
          <w:sz w:val="24"/>
          <w:szCs w:val="24"/>
        </w:rPr>
        <w:tab/>
        <w:tab/>
      </w:r>
      <w:r>
        <w:rPr>
          <w:color w:val="000000"/>
          <w:spacing w:val="0"/>
          <w:w w:val="100"/>
          <w:position w:val="0"/>
          <w:sz w:val="24"/>
          <w:szCs w:val="24"/>
          <w:u w:val="single"/>
        </w:rPr>
        <w:t>14,910</w:t>
      </w:r>
    </w:p>
    <w:p>
      <w:pPr>
        <w:pStyle w:val="Style32"/>
        <w:keepNext w:val="0"/>
        <w:keepLines w:val="0"/>
        <w:widowControl w:val="0"/>
        <w:shd w:val="clear" w:color="auto" w:fill="auto"/>
        <w:bidi w:val="0"/>
        <w:spacing w:before="0" w:after="260" w:line="314" w:lineRule="exact"/>
        <w:ind w:left="0" w:right="0" w:firstLine="0"/>
        <w:jc w:val="both"/>
        <w:rPr>
          <w:sz w:val="24"/>
          <w:szCs w:val="24"/>
        </w:rPr>
      </w:pPr>
      <w:r>
        <w:rPr>
          <w:color w:val="000000"/>
          <w:spacing w:val="0"/>
          <w:w w:val="100"/>
          <w:position w:val="0"/>
          <w:sz w:val="24"/>
          <w:szCs w:val="24"/>
        </w:rPr>
        <w:t>本集团将在资产支持专项计划中需承担的流动性支持义务</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即</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投资者回售选 择权</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确认为以公允价值计量且其变动计入当期损益的金融负债，其公允价 值由专业评估机构采用百慕大利率掉期期权定价模型确定。</w:t>
      </w:r>
    </w:p>
    <w:p>
      <w:pPr>
        <w:pStyle w:val="Style32"/>
        <w:keepNext w:val="0"/>
        <w:keepLines w:val="0"/>
        <w:widowControl w:val="0"/>
        <w:shd w:val="clear" w:color="auto" w:fill="auto"/>
        <w:bidi w:val="0"/>
        <w:spacing w:before="0" w:after="260" w:line="240" w:lineRule="auto"/>
        <w:ind w:left="0" w:right="0" w:firstLine="0"/>
        <w:jc w:val="both"/>
        <w:rPr>
          <w:sz w:val="24"/>
          <w:szCs w:val="24"/>
        </w:rPr>
      </w:pPr>
      <w:r>
        <w:rPr>
          <w:b/>
          <w:bCs/>
          <w:color w:val="000000"/>
          <w:spacing w:val="0"/>
          <w:w w:val="100"/>
          <w:position w:val="0"/>
          <w:sz w:val="24"/>
          <w:szCs w:val="24"/>
        </w:rPr>
        <w:t>应付票据</w:t>
      </w:r>
    </w:p>
    <w:p>
      <w:pPr>
        <w:pStyle w:val="Style53"/>
        <w:keepNext w:val="0"/>
        <w:keepLines w:val="0"/>
        <w:widowControl w:val="0"/>
        <w:shd w:val="clear" w:color="auto" w:fill="auto"/>
        <w:tabs>
          <w:tab w:pos="2659" w:val="left"/>
        </w:tabs>
        <w:bidi w:val="0"/>
        <w:spacing w:before="0" w:after="260" w:line="276" w:lineRule="auto"/>
        <w:ind w:left="0" w:right="640" w:firstLine="0"/>
        <w:jc w:val="right"/>
        <w:rPr>
          <w:sz w:val="24"/>
          <w:szCs w:val="24"/>
        </w:rPr>
      </w:pPr>
      <w:r>
        <w:rPr>
          <w:color w:val="000000"/>
          <w:spacing w:val="0"/>
          <w:w w:val="100"/>
          <w:position w:val="0"/>
          <w:sz w:val="24"/>
          <w:szCs w:val="24"/>
        </w:rPr>
        <w:t>2016</w:t>
      </w:r>
      <w:r>
        <w:rPr>
          <w:rFonts w:ascii="SimSun" w:eastAsia="SimSun" w:hAnsi="SimSun" w:cs="SimSun"/>
          <w:color w:val="000000"/>
          <w:spacing w:val="0"/>
          <w:w w:val="100"/>
          <w:position w:val="0"/>
          <w:sz w:val="24"/>
          <w:szCs w:val="24"/>
        </w:rPr>
        <w:t>年</w:t>
      </w:r>
      <w:r>
        <w:rPr>
          <w:color w:val="000000"/>
          <w:spacing w:val="0"/>
          <w:w w:val="100"/>
          <w:position w:val="0"/>
          <w:sz w:val="24"/>
          <w:szCs w:val="24"/>
        </w:rPr>
        <w:t>12</w:t>
      </w:r>
      <w:r>
        <w:rPr>
          <w:rFonts w:ascii="SimSun" w:eastAsia="SimSun" w:hAnsi="SimSun" w:cs="SimSun"/>
          <w:color w:val="000000"/>
          <w:spacing w:val="0"/>
          <w:w w:val="100"/>
          <w:position w:val="0"/>
          <w:sz w:val="24"/>
          <w:szCs w:val="24"/>
        </w:rPr>
        <w:t>月</w:t>
      </w:r>
      <w:r>
        <w:rPr>
          <w:color w:val="000000"/>
          <w:spacing w:val="0"/>
          <w:w w:val="100"/>
          <w:position w:val="0"/>
          <w:sz w:val="24"/>
          <w:szCs w:val="24"/>
        </w:rPr>
        <w:t>31</w:t>
      </w:r>
      <w:r>
        <w:rPr>
          <w:rFonts w:ascii="SimSun" w:eastAsia="SimSun" w:hAnsi="SimSun" w:cs="SimSun"/>
          <w:color w:val="000000"/>
          <w:spacing w:val="0"/>
          <w:w w:val="100"/>
          <w:position w:val="0"/>
          <w:sz w:val="24"/>
          <w:szCs w:val="24"/>
        </w:rPr>
        <w:t>日</w:t>
        <w:tab/>
      </w:r>
      <w:r>
        <w:rPr>
          <w:color w:val="000000"/>
          <w:spacing w:val="0"/>
          <w:w w:val="100"/>
          <w:position w:val="0"/>
          <w:sz w:val="24"/>
          <w:szCs w:val="24"/>
        </w:rPr>
        <w:t>2015</w:t>
      </w:r>
      <w:r>
        <w:rPr>
          <w:rFonts w:ascii="SimSun" w:eastAsia="SimSun" w:hAnsi="SimSun" w:cs="SimSun"/>
          <w:color w:val="000000"/>
          <w:spacing w:val="0"/>
          <w:w w:val="100"/>
          <w:position w:val="0"/>
          <w:sz w:val="24"/>
          <w:szCs w:val="24"/>
        </w:rPr>
        <w:t>年</w:t>
      </w:r>
      <w:r>
        <w:rPr>
          <w:color w:val="000000"/>
          <w:spacing w:val="0"/>
          <w:w w:val="100"/>
          <w:position w:val="0"/>
          <w:sz w:val="24"/>
          <w:szCs w:val="24"/>
        </w:rPr>
        <w:t>12</w:t>
      </w:r>
      <w:r>
        <w:rPr>
          <w:rFonts w:ascii="SimSun" w:eastAsia="SimSun" w:hAnsi="SimSun" w:cs="SimSun"/>
          <w:color w:val="000000"/>
          <w:spacing w:val="0"/>
          <w:w w:val="100"/>
          <w:position w:val="0"/>
          <w:sz w:val="24"/>
          <w:szCs w:val="24"/>
        </w:rPr>
        <w:t>月</w:t>
      </w:r>
      <w:r>
        <w:rPr>
          <w:color w:val="000000"/>
          <w:spacing w:val="0"/>
          <w:w w:val="100"/>
          <w:position w:val="0"/>
          <w:sz w:val="24"/>
          <w:szCs w:val="24"/>
        </w:rPr>
        <w:t>31</w:t>
      </w:r>
      <w:r>
        <w:rPr>
          <w:rFonts w:ascii="SimSun" w:eastAsia="SimSun" w:hAnsi="SimSun" w:cs="SimSun"/>
          <w:color w:val="000000"/>
          <w:spacing w:val="0"/>
          <w:w w:val="100"/>
          <w:position w:val="0"/>
          <w:sz w:val="24"/>
          <w:szCs w:val="24"/>
        </w:rPr>
        <w:t>日</w:t>
      </w:r>
    </w:p>
    <w:p>
      <w:pPr>
        <w:pStyle w:val="Style53"/>
        <w:keepNext w:val="0"/>
        <w:keepLines w:val="0"/>
        <w:widowControl w:val="0"/>
        <w:shd w:val="clear" w:color="auto" w:fill="auto"/>
        <w:tabs>
          <w:tab w:pos="5198" w:val="left"/>
          <w:tab w:pos="7910" w:val="left"/>
        </w:tabs>
        <w:bidi w:val="0"/>
        <w:spacing w:before="0" w:after="0" w:line="314" w:lineRule="exact"/>
        <w:ind w:left="0" w:right="0" w:firstLine="720"/>
        <w:jc w:val="both"/>
        <w:rPr>
          <w:sz w:val="24"/>
          <w:szCs w:val="24"/>
        </w:rPr>
      </w:pPr>
      <w:r>
        <w:rPr>
          <w:rFonts w:ascii="SimSun" w:eastAsia="SimSun" w:hAnsi="SimSun" w:cs="SimSun"/>
          <w:color w:val="000000"/>
          <w:spacing w:val="0"/>
          <w:w w:val="100"/>
          <w:position w:val="0"/>
          <w:sz w:val="24"/>
          <w:szCs w:val="24"/>
        </w:rPr>
        <w:t>商业承兑汇票</w:t>
        <w:tab/>
      </w:r>
      <w:r>
        <w:rPr>
          <w:color w:val="000000"/>
          <w:spacing w:val="0"/>
          <w:w w:val="100"/>
          <w:position w:val="0"/>
          <w:sz w:val="24"/>
          <w:szCs w:val="24"/>
        </w:rPr>
        <w:t>354,587</w:t>
        <w:tab/>
        <w:t>247,413</w:t>
      </w:r>
    </w:p>
    <w:p>
      <w:pPr>
        <w:pStyle w:val="Style53"/>
        <w:keepNext w:val="0"/>
        <w:keepLines w:val="0"/>
        <w:widowControl w:val="0"/>
        <w:shd w:val="clear" w:color="auto" w:fill="auto"/>
        <w:tabs>
          <w:tab w:pos="3586" w:val="left"/>
          <w:tab w:leader="underscore" w:pos="4846" w:val="left"/>
          <w:tab w:pos="6317" w:val="left"/>
          <w:tab w:leader="underscore" w:pos="7637" w:val="left"/>
        </w:tabs>
        <w:bidi w:val="0"/>
        <w:spacing w:before="0" w:after="0" w:line="314" w:lineRule="exact"/>
        <w:ind w:left="0" w:right="0" w:firstLine="720"/>
        <w:jc w:val="both"/>
        <w:rPr>
          <w:sz w:val="24"/>
          <w:szCs w:val="24"/>
        </w:rPr>
      </w:pPr>
      <w:r>
        <w:rPr>
          <w:rFonts w:ascii="SimSun" w:eastAsia="SimSun" w:hAnsi="SimSun" w:cs="SimSun"/>
          <w:color w:val="000000"/>
          <w:spacing w:val="0"/>
          <w:w w:val="100"/>
          <w:position w:val="0"/>
          <w:sz w:val="24"/>
          <w:szCs w:val="24"/>
        </w:rPr>
        <w:t>银行承兑汇票</w:t>
        <w:tab/>
        <w:tab/>
      </w:r>
      <w:r>
        <w:rPr>
          <w:color w:val="000000"/>
          <w:spacing w:val="0"/>
          <w:w w:val="100"/>
          <w:position w:val="0"/>
          <w:sz w:val="24"/>
          <w:szCs w:val="24"/>
          <w:u w:val="single"/>
        </w:rPr>
        <w:t>25,448,684</w:t>
      </w:r>
      <w:r>
        <w:rPr>
          <w:color w:val="000000"/>
          <w:spacing w:val="0"/>
          <w:w w:val="100"/>
          <w:position w:val="0"/>
          <w:sz w:val="24"/>
          <w:szCs w:val="24"/>
        </w:rPr>
        <w:tab/>
        <w:tab/>
      </w:r>
      <w:r>
        <w:rPr>
          <w:color w:val="000000"/>
          <w:spacing w:val="0"/>
          <w:w w:val="100"/>
          <w:position w:val="0"/>
          <w:sz w:val="24"/>
          <w:szCs w:val="24"/>
          <w:u w:val="single"/>
        </w:rPr>
        <w:t>23,642,648</w:t>
      </w:r>
    </w:p>
    <w:p>
      <w:pPr>
        <w:pStyle w:val="Style53"/>
        <w:keepNext w:val="0"/>
        <w:keepLines w:val="0"/>
        <w:widowControl w:val="0"/>
        <w:shd w:val="clear" w:color="auto" w:fill="auto"/>
        <w:tabs>
          <w:tab w:pos="2659" w:val="left"/>
        </w:tabs>
        <w:bidi w:val="0"/>
        <w:spacing w:before="0" w:after="260" w:line="276" w:lineRule="auto"/>
        <w:ind w:left="0" w:right="640" w:firstLine="0"/>
        <w:jc w:val="right"/>
        <w:rPr>
          <w:sz w:val="24"/>
          <w:szCs w:val="24"/>
        </w:rPr>
      </w:pPr>
      <w:r>
        <w:rPr>
          <w:color w:val="000000"/>
          <w:spacing w:val="0"/>
          <w:w w:val="100"/>
          <w:position w:val="0"/>
          <w:sz w:val="24"/>
          <w:szCs w:val="24"/>
        </w:rPr>
        <w:t>25,803,271</w:t>
        <w:tab/>
        <w:t>23,890,061</w:t>
      </w:r>
    </w:p>
    <w:p>
      <w:pPr>
        <w:pStyle w:val="Style32"/>
        <w:keepNext w:val="0"/>
        <w:keepLines w:val="0"/>
        <w:widowControl w:val="0"/>
        <w:shd w:val="clear" w:color="auto" w:fill="auto"/>
        <w:bidi w:val="0"/>
        <w:spacing w:before="0" w:after="260" w:line="312" w:lineRule="exact"/>
        <w:ind w:left="720" w:right="0" w:firstLine="20"/>
        <w:jc w:val="both"/>
        <w:rPr>
          <w:sz w:val="24"/>
          <w:szCs w:val="24"/>
        </w:rPr>
        <w:sectPr>
          <w:headerReference w:type="default" r:id="rId147"/>
          <w:footerReference w:type="default" r:id="rId148"/>
          <w:headerReference w:type="even" r:id="rId149"/>
          <w:footerReference w:type="even" r:id="rId150"/>
          <w:footnotePr>
            <w:pos w:val="pageBottom"/>
            <w:numFmt w:val="decimal"/>
            <w:numRestart w:val="continuous"/>
          </w:footnotePr>
          <w:pgSz w:w="11900" w:h="16840"/>
          <w:pgMar w:top="1326" w:right="760" w:bottom="1720" w:left="1597" w:header="0" w:footer="3" w:gutter="0"/>
          <w:cols w:space="720"/>
          <w:noEndnote/>
          <w:rtlGutter w:val="0"/>
          <w:docGrid w:linePitch="360"/>
        </w:sectPr>
      </w:pPr>
      <w:r>
        <w:rPr>
          <w:color w:val="000000"/>
          <w:spacing w:val="0"/>
          <w:w w:val="100"/>
          <w:position w:val="0"/>
          <w:sz w:val="24"/>
          <w:szCs w:val="24"/>
        </w:rPr>
        <w:t>于</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日，本集团开立的银行承兑汇票以存于银行的汇票保证 金共计约人民币</w:t>
      </w:r>
      <w:r>
        <w:rPr>
          <w:rFonts w:ascii="Times New Roman" w:eastAsia="Times New Roman" w:hAnsi="Times New Roman" w:cs="Times New Roman"/>
          <w:color w:val="000000"/>
          <w:spacing w:val="0"/>
          <w:w w:val="100"/>
          <w:position w:val="0"/>
          <w:sz w:val="24"/>
          <w:szCs w:val="24"/>
        </w:rPr>
        <w:t>83.76</w:t>
      </w:r>
      <w:r>
        <w:rPr>
          <w:color w:val="000000"/>
          <w:spacing w:val="0"/>
          <w:w w:val="100"/>
          <w:position w:val="0"/>
          <w:sz w:val="24"/>
          <w:szCs w:val="24"/>
        </w:rPr>
        <w:t>亿元</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附注四</w:t>
      </w:r>
      <w:r>
        <w:rPr>
          <w:rFonts w:ascii="Times New Roman" w:eastAsia="Times New Roman" w:hAnsi="Times New Roman" w:cs="Times New Roman"/>
          <w:color w:val="000000"/>
          <w:spacing w:val="0"/>
          <w:w w:val="100"/>
          <w:position w:val="0"/>
          <w:sz w:val="24"/>
          <w:szCs w:val="24"/>
        </w:rPr>
        <w:t>（1））（2015</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日：汇票保证金约人 民币</w:t>
      </w:r>
      <w:r>
        <w:rPr>
          <w:rFonts w:ascii="Times New Roman" w:eastAsia="Times New Roman" w:hAnsi="Times New Roman" w:cs="Times New Roman"/>
          <w:color w:val="000000"/>
          <w:spacing w:val="0"/>
          <w:w w:val="100"/>
          <w:position w:val="0"/>
          <w:sz w:val="24"/>
          <w:szCs w:val="24"/>
        </w:rPr>
        <w:t>82.12</w:t>
      </w:r>
      <w:r>
        <w:rPr>
          <w:color w:val="000000"/>
          <w:spacing w:val="0"/>
          <w:w w:val="100"/>
          <w:position w:val="0"/>
          <w:sz w:val="24"/>
          <w:szCs w:val="24"/>
        </w:rPr>
        <w:t>亿元</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附注四</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和保本保收益理财产品约人民币</w:t>
      </w:r>
      <w:r>
        <w:rPr>
          <w:rFonts w:ascii="Times New Roman" w:eastAsia="Times New Roman" w:hAnsi="Times New Roman" w:cs="Times New Roman"/>
          <w:color w:val="000000"/>
          <w:spacing w:val="0"/>
          <w:w w:val="100"/>
          <w:position w:val="0"/>
          <w:sz w:val="24"/>
          <w:szCs w:val="24"/>
        </w:rPr>
        <w:t>8.5</w:t>
      </w:r>
      <w:r>
        <w:rPr>
          <w:color w:val="000000"/>
          <w:spacing w:val="0"/>
          <w:w w:val="100"/>
          <w:position w:val="0"/>
          <w:sz w:val="24"/>
          <w:szCs w:val="24"/>
        </w:rPr>
        <w:t>亿元</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 xml:space="preserve">附注四 </w:t>
      </w:r>
      <w:r>
        <w:rPr>
          <w:rFonts w:ascii="Times New Roman" w:eastAsia="Times New Roman" w:hAnsi="Times New Roman" w:cs="Times New Roman"/>
          <w:color w:val="000000"/>
          <w:spacing w:val="0"/>
          <w:w w:val="100"/>
          <w:position w:val="0"/>
          <w:sz w:val="24"/>
          <w:szCs w:val="24"/>
        </w:rPr>
        <w:t>（8）））</w:t>
      </w:r>
      <w:r>
        <w:rPr>
          <w:color w:val="000000"/>
          <w:spacing w:val="0"/>
          <w:w w:val="100"/>
          <w:position w:val="0"/>
          <w:sz w:val="24"/>
          <w:szCs w:val="24"/>
        </w:rPr>
        <w:t>作为质押保证。</w:t>
      </w:r>
    </w:p>
    <w:p>
      <w:pPr>
        <w:pStyle w:val="Style32"/>
        <w:keepNext w:val="0"/>
        <w:keepLines w:val="0"/>
        <w:widowControl w:val="0"/>
        <w:shd w:val="clear" w:color="auto" w:fill="auto"/>
        <w:bidi w:val="0"/>
        <w:spacing w:before="0" w:after="0" w:line="240" w:lineRule="auto"/>
        <w:ind w:left="0" w:right="0" w:firstLine="740"/>
        <w:jc w:val="left"/>
        <w:rPr>
          <w:sz w:val="24"/>
          <w:szCs w:val="24"/>
        </w:rPr>
      </w:pPr>
      <w:r>
        <w:rPr>
          <w:b/>
          <w:bCs/>
          <w:color w:val="000000"/>
          <w:spacing w:val="0"/>
          <w:w w:val="100"/>
          <w:position w:val="0"/>
          <w:sz w:val="24"/>
          <w:szCs w:val="24"/>
        </w:rPr>
        <w:t>财务报表附注</w:t>
      </w:r>
    </w:p>
    <w:p>
      <w:pPr>
        <w:pStyle w:val="Style88"/>
        <w:keepNext/>
        <w:keepLines/>
        <w:widowControl w:val="0"/>
        <w:shd w:val="clear" w:color="auto" w:fill="auto"/>
        <w:bidi w:val="0"/>
        <w:spacing w:before="0" w:after="0" w:line="240" w:lineRule="auto"/>
        <w:ind w:left="0" w:right="0" w:firstLine="740"/>
        <w:jc w:val="left"/>
      </w:pPr>
      <w:bookmarkStart w:id="933" w:name="bookmark933"/>
      <w:bookmarkStart w:id="934" w:name="bookmark934"/>
      <w:bookmarkStart w:id="935" w:name="bookmark935"/>
      <w:r>
        <w:rPr>
          <w:color w:val="000000"/>
          <w:spacing w:val="0"/>
          <w:w w:val="100"/>
          <w:position w:val="0"/>
          <w:sz w:val="24"/>
          <w:szCs w:val="24"/>
        </w:rPr>
        <w:t>2016</w:t>
      </w:r>
      <w:r>
        <w:rPr>
          <w:rFonts w:ascii="SimSun" w:eastAsia="SimSun" w:hAnsi="SimSun" w:cs="SimSun"/>
          <w:b/>
          <w:bCs/>
          <w:color w:val="000000"/>
          <w:spacing w:val="0"/>
          <w:w w:val="100"/>
          <w:position w:val="0"/>
          <w:sz w:val="24"/>
          <w:szCs w:val="24"/>
        </w:rPr>
        <w:t>年度</w:t>
      </w:r>
      <w:bookmarkEnd w:id="933"/>
      <w:bookmarkEnd w:id="934"/>
      <w:bookmarkEnd w:id="935"/>
    </w:p>
    <w:p>
      <w:pPr>
        <w:pStyle w:val="Style32"/>
        <w:keepNext w:val="0"/>
        <w:keepLines w:val="0"/>
        <w:widowControl w:val="0"/>
        <w:shd w:val="clear" w:color="auto" w:fill="auto"/>
        <w:bidi w:val="0"/>
        <w:spacing w:before="0" w:after="260" w:line="240" w:lineRule="auto"/>
        <w:ind w:left="0" w:right="0" w:firstLine="740"/>
        <w:jc w:val="left"/>
        <w:rPr>
          <w:sz w:val="20"/>
          <w:szCs w:val="20"/>
        </w:rPr>
      </w:pPr>
      <w:r>
        <w:rPr>
          <w:rFonts w:ascii="Arial" w:eastAsia="Arial" w:hAnsi="Arial" w:cs="Arial"/>
          <w:color w:val="000000"/>
          <w:spacing w:val="0"/>
          <w:w w:val="100"/>
          <w:position w:val="0"/>
          <w:sz w:val="20"/>
          <w:szCs w:val="20"/>
        </w:rPr>
        <w:t>(</w:t>
      </w:r>
      <w:r>
        <w:rPr>
          <w:color w:val="000000"/>
          <w:spacing w:val="0"/>
          <w:w w:val="100"/>
          <w:position w:val="0"/>
          <w:sz w:val="20"/>
          <w:szCs w:val="20"/>
        </w:rPr>
        <w:t>除特别注明外，金额单位为人民币千元</w:t>
      </w:r>
      <w:r>
        <w:rPr>
          <w:rFonts w:ascii="Arial" w:eastAsia="Arial" w:hAnsi="Arial" w:cs="Arial"/>
          <w:color w:val="000000"/>
          <w:spacing w:val="0"/>
          <w:w w:val="100"/>
          <w:position w:val="0"/>
          <w:sz w:val="20"/>
          <w:szCs w:val="20"/>
        </w:rPr>
        <w:t>)</w:t>
      </w:r>
    </w:p>
    <w:p>
      <w:pPr>
        <w:pStyle w:val="Style32"/>
        <w:keepNext w:val="0"/>
        <w:keepLines w:val="0"/>
        <w:widowControl w:val="0"/>
        <w:shd w:val="clear" w:color="auto" w:fill="auto"/>
        <w:tabs>
          <w:tab w:pos="658" w:val="left"/>
        </w:tabs>
        <w:bidi w:val="0"/>
        <w:spacing w:before="0" w:after="260" w:line="240" w:lineRule="auto"/>
        <w:ind w:left="0" w:right="0" w:firstLine="0"/>
        <w:jc w:val="left"/>
        <w:rPr>
          <w:sz w:val="24"/>
          <w:szCs w:val="24"/>
        </w:rPr>
      </w:pPr>
      <w:r>
        <w:rPr>
          <w:b/>
          <w:bCs/>
          <w:color w:val="000000"/>
          <w:spacing w:val="0"/>
          <w:w w:val="100"/>
          <w:position w:val="0"/>
          <w:sz w:val="24"/>
          <w:szCs w:val="24"/>
        </w:rPr>
        <w:t>四</w:t>
        <w:tab/>
        <w:t>合并财务报表项目附注</w:t>
      </w:r>
      <w:r>
        <w:rPr>
          <w:rFonts w:ascii="Times New Roman" w:eastAsia="Times New Roman" w:hAnsi="Times New Roman" w:cs="Times New Roman"/>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4"/>
          <w:szCs w:val="24"/>
        </w:rPr>
        <w:t>)</w:t>
      </w:r>
    </w:p>
    <w:p>
      <w:pPr>
        <w:pStyle w:val="Style32"/>
        <w:keepNext w:val="0"/>
        <w:keepLines w:val="0"/>
        <w:widowControl w:val="0"/>
        <w:shd w:val="clear" w:color="auto" w:fill="auto"/>
        <w:bidi w:val="0"/>
        <w:spacing w:before="0" w:after="26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(25)</w:t>
      </w:r>
      <w:r>
        <w:rPr>
          <w:b/>
          <w:bCs/>
          <w:color w:val="000000"/>
          <w:spacing w:val="0"/>
          <w:w w:val="100"/>
          <w:position w:val="0"/>
          <w:sz w:val="24"/>
          <w:szCs w:val="24"/>
        </w:rPr>
        <w:t>应付账款</w:t>
      </w:r>
    </w:p>
    <w:p>
      <w:pPr>
        <w:pStyle w:val="Style25"/>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 xml:space="preserve">日 </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w:t>
      </w:r>
    </w:p>
    <w:tbl>
      <w:tblPr>
        <w:tblOverlap w:val="never"/>
        <w:jc w:val="center"/>
        <w:tblLayout w:type="fixed"/>
      </w:tblPr>
      <w:tblGrid>
        <w:gridCol w:w="3144"/>
        <w:gridCol w:w="5678"/>
      </w:tblGrid>
      <w:tr>
        <w:trPr>
          <w:trHeight w:val="312"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20"/>
              <w:jc w:val="both"/>
              <w:rPr>
                <w:sz w:val="24"/>
                <w:szCs w:val="24"/>
              </w:rPr>
            </w:pPr>
            <w:r>
              <w:rPr>
                <w:color w:val="000000"/>
                <w:spacing w:val="0"/>
                <w:w w:val="100"/>
                <w:position w:val="0"/>
                <w:sz w:val="24"/>
                <w:szCs w:val="24"/>
              </w:rPr>
              <w:t>应付货款</w:t>
            </w:r>
          </w:p>
        </w:tc>
        <w:tc>
          <w:tcPr>
            <w:tcBorders>
              <w:bottom w:val="single" w:sz="4"/>
            </w:tcBorders>
            <w:shd w:val="clear" w:color="auto" w:fill="FFFFFF"/>
            <w:vAlign w:val="bottom"/>
          </w:tcPr>
          <w:p>
            <w:pPr>
              <w:pStyle w:val="Style28"/>
              <w:keepNext w:val="0"/>
              <w:keepLines w:val="0"/>
              <w:widowControl w:val="0"/>
              <w:shd w:val="clear" w:color="auto" w:fill="auto"/>
              <w:tabs>
                <w:tab w:pos="2822" w:val="left"/>
              </w:tabs>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12,497,989</w:t>
              <w:tab/>
              <w:t>9,058,853</w:t>
            </w:r>
          </w:p>
        </w:tc>
      </w:tr>
    </w:tbl>
    <w:p>
      <w:pPr>
        <w:widowControl w:val="0"/>
        <w:spacing w:after="259" w:line="1" w:lineRule="exact"/>
      </w:pPr>
    </w:p>
    <w:p>
      <w:pPr>
        <w:pStyle w:val="Style32"/>
        <w:keepNext w:val="0"/>
        <w:keepLines w:val="0"/>
        <w:widowControl w:val="0"/>
        <w:shd w:val="clear" w:color="auto" w:fill="auto"/>
        <w:bidi w:val="0"/>
        <w:spacing w:before="0" w:after="260" w:line="317" w:lineRule="exact"/>
        <w:ind w:left="740" w:right="0" w:hanging="740"/>
        <w:jc w:val="left"/>
        <w:rPr>
          <w:sz w:val="24"/>
          <w:szCs w:val="24"/>
        </w:rPr>
      </w:pPr>
      <w:r>
        <w:rPr>
          <w:rFonts w:ascii="Times New Roman" w:eastAsia="Times New Roman" w:hAnsi="Times New Roman" w:cs="Times New Roman"/>
          <w:color w:val="000000"/>
          <w:spacing w:val="0"/>
          <w:w w:val="100"/>
          <w:position w:val="0"/>
          <w:sz w:val="24"/>
          <w:szCs w:val="24"/>
        </w:rPr>
        <w:t xml:space="preserve">(a) </w:t>
      </w:r>
      <w:r>
        <w:rPr>
          <w:color w:val="000000"/>
          <w:spacing w:val="0"/>
          <w:w w:val="100"/>
          <w:position w:val="0"/>
          <w:sz w:val="24"/>
          <w:szCs w:val="24"/>
        </w:rPr>
        <w:t>于</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日，账龄超过一年的应付账款约人民币</w:t>
      </w:r>
      <w:r>
        <w:rPr>
          <w:rFonts w:ascii="Times New Roman" w:eastAsia="Times New Roman" w:hAnsi="Times New Roman" w:cs="Times New Roman"/>
          <w:color w:val="000000"/>
          <w:spacing w:val="0"/>
          <w:w w:val="100"/>
          <w:position w:val="0"/>
          <w:sz w:val="24"/>
          <w:szCs w:val="24"/>
        </w:rPr>
        <w:t>3.68</w:t>
      </w:r>
      <w:r>
        <w:rPr>
          <w:color w:val="000000"/>
          <w:spacing w:val="0"/>
          <w:w w:val="100"/>
          <w:position w:val="0"/>
          <w:sz w:val="24"/>
          <w:szCs w:val="24"/>
        </w:rPr>
        <w:t>亿元</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sz w:val="24"/>
          <w:szCs w:val="24"/>
        </w:rPr>
        <w:t xml:space="preserve">年 </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日：约人民币</w:t>
      </w:r>
      <w:r>
        <w:rPr>
          <w:rFonts w:ascii="Times New Roman" w:eastAsia="Times New Roman" w:hAnsi="Times New Roman" w:cs="Times New Roman"/>
          <w:color w:val="000000"/>
          <w:spacing w:val="0"/>
          <w:w w:val="100"/>
          <w:position w:val="0"/>
          <w:sz w:val="24"/>
          <w:szCs w:val="24"/>
        </w:rPr>
        <w:t>2.7</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亿元</w:t>
      </w:r>
      <w:r>
        <w:rPr>
          <w:color w:val="000000"/>
          <w:spacing w:val="0"/>
          <w:w w:val="100"/>
          <w:position w:val="0"/>
          <w:sz w:val="24"/>
          <w:szCs w:val="24"/>
        </w:rPr>
        <w:t>)</w:t>
      </w:r>
      <w:r>
        <w:rPr>
          <w:color w:val="000000"/>
          <w:spacing w:val="0"/>
          <w:w w:val="100"/>
          <w:position w:val="0"/>
          <w:sz w:val="24"/>
          <w:szCs w:val="24"/>
        </w:rPr>
        <w:t>，主要为以前年度尚未支付的供应商货 款，供应商未及时与本集团进行结算。</w:t>
      </w:r>
    </w:p>
    <w:p>
      <w:pPr>
        <w:pStyle w:val="Style25"/>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 xml:space="preserve">(26) </w:t>
      </w:r>
      <w:r>
        <w:rPr>
          <w:b/>
          <w:bCs/>
          <w:color w:val="000000"/>
          <w:spacing w:val="0"/>
          <w:w w:val="100"/>
          <w:position w:val="0"/>
          <w:sz w:val="24"/>
          <w:szCs w:val="24"/>
        </w:rPr>
        <w:t>预收款项</w:t>
      </w:r>
    </w:p>
    <w:tbl>
      <w:tblPr>
        <w:tblOverlap w:val="never"/>
        <w:jc w:val="center"/>
        <w:tblLayout w:type="fixed"/>
      </w:tblPr>
      <w:tblGrid>
        <w:gridCol w:w="3144"/>
        <w:gridCol w:w="5678"/>
      </w:tblGrid>
      <w:tr>
        <w:trPr>
          <w:trHeight w:val="451"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tabs>
                <w:tab w:pos="2722" w:val="left"/>
              </w:tabs>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w:t>
              <w:tab/>
            </w:r>
            <w:r>
              <w:rPr>
                <w:rFonts w:ascii="Times New Roman" w:eastAsia="Times New Roman" w:hAnsi="Times New Roman" w:cs="Times New Roman"/>
                <w:color w:val="000000"/>
                <w:spacing w:val="0"/>
                <w:w w:val="100"/>
                <w:position w:val="0"/>
                <w:sz w:val="24"/>
                <w:szCs w:val="24"/>
              </w:rPr>
              <w:t>2015</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w:t>
            </w:r>
          </w:p>
        </w:tc>
      </w:tr>
      <w:tr>
        <w:trPr>
          <w:trHeight w:val="1402" w:hRule="exact"/>
        </w:trPr>
        <w:tc>
          <w:tcPr>
            <w:tcBorders/>
            <w:shd w:val="clear" w:color="auto" w:fill="FFFFFF"/>
            <w:vAlign w:val="center"/>
          </w:tcPr>
          <w:p>
            <w:pPr>
              <w:pStyle w:val="Style28"/>
              <w:keepNext w:val="0"/>
              <w:keepLines w:val="0"/>
              <w:widowControl w:val="0"/>
              <w:shd w:val="clear" w:color="auto" w:fill="auto"/>
              <w:bidi w:val="0"/>
              <w:spacing w:before="0" w:after="0" w:line="334" w:lineRule="exact"/>
              <w:ind w:left="720" w:right="0" w:firstLine="20"/>
              <w:jc w:val="both"/>
              <w:rPr>
                <w:sz w:val="24"/>
                <w:szCs w:val="24"/>
              </w:rPr>
            </w:pPr>
            <w:r>
              <w:rPr>
                <w:color w:val="000000"/>
                <w:spacing w:val="0"/>
                <w:w w:val="100"/>
                <w:position w:val="0"/>
                <w:sz w:val="24"/>
                <w:szCs w:val="24"/>
              </w:rPr>
              <w:t>预收货款 房地产预售款 预收房租</w:t>
            </w:r>
          </w:p>
        </w:tc>
        <w:tc>
          <w:tcPr>
            <w:tcBorders>
              <w:bottom w:val="single" w:sz="4"/>
            </w:tcBorders>
            <w:shd w:val="clear" w:color="auto" w:fill="FFFFFF"/>
            <w:vAlign w:val="bottom"/>
          </w:tcPr>
          <w:p>
            <w:pPr>
              <w:pStyle w:val="Style28"/>
              <w:keepNext w:val="0"/>
              <w:keepLines w:val="0"/>
              <w:widowControl w:val="0"/>
              <w:shd w:val="clear" w:color="auto" w:fill="auto"/>
              <w:tabs>
                <w:tab w:pos="5489" w:val="right"/>
              </w:tabs>
              <w:bidi w:val="0"/>
              <w:spacing w:before="0" w:after="0" w:line="240" w:lineRule="auto"/>
              <w:ind w:left="1860" w:right="0" w:firstLine="0"/>
              <w:jc w:val="left"/>
              <w:rPr>
                <w:sz w:val="24"/>
                <w:szCs w:val="24"/>
              </w:rPr>
            </w:pPr>
            <w:r>
              <w:rPr>
                <w:rFonts w:ascii="Times New Roman" w:eastAsia="Times New Roman" w:hAnsi="Times New Roman" w:cs="Times New Roman"/>
                <w:color w:val="000000"/>
                <w:spacing w:val="0"/>
                <w:w w:val="100"/>
                <w:position w:val="0"/>
                <w:sz w:val="24"/>
                <w:szCs w:val="24"/>
              </w:rPr>
              <w:t>1,068,913</w:t>
              <w:tab/>
              <w:t>782,201</w:t>
            </w:r>
          </w:p>
          <w:p>
            <w:pPr>
              <w:pStyle w:val="Style28"/>
              <w:keepNext w:val="0"/>
              <w:keepLines w:val="0"/>
              <w:widowControl w:val="0"/>
              <w:shd w:val="clear" w:color="auto" w:fill="auto"/>
              <w:tabs>
                <w:tab w:pos="3485" w:val="right"/>
              </w:tabs>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384,588</w:t>
              <w:tab/>
              <w:t>108,540</w:t>
            </w:r>
          </w:p>
          <w:p>
            <w:pPr>
              <w:pStyle w:val="Style28"/>
              <w:keepNext w:val="0"/>
              <w:keepLines w:val="0"/>
              <w:widowControl w:val="0"/>
              <w:shd w:val="clear" w:color="auto" w:fill="auto"/>
              <w:tabs>
                <w:tab w:leader="underscore" w:pos="1690" w:val="left"/>
                <w:tab w:pos="2755" w:val="left"/>
                <w:tab w:leader="underscore" w:pos="4517" w:val="left"/>
              </w:tabs>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u w:val="single"/>
              </w:rPr>
              <w:t>149,593</w:t>
            </w:r>
            <w:r>
              <w:rPr>
                <w:rFonts w:ascii="Times New Roman" w:eastAsia="Times New Roman" w:hAnsi="Times New Roman" w:cs="Times New Roman"/>
                <w:color w:val="000000"/>
                <w:spacing w:val="0"/>
                <w:w w:val="100"/>
                <w:position w:val="0"/>
                <w:sz w:val="24"/>
                <w:szCs w:val="24"/>
              </w:rPr>
              <w:tab/>
              <w:tab/>
            </w:r>
            <w:r>
              <w:rPr>
                <w:rFonts w:ascii="Times New Roman" w:eastAsia="Times New Roman" w:hAnsi="Times New Roman" w:cs="Times New Roman"/>
                <w:color w:val="000000"/>
                <w:spacing w:val="0"/>
                <w:w w:val="100"/>
                <w:position w:val="0"/>
                <w:sz w:val="24"/>
                <w:szCs w:val="24"/>
                <w:u w:val="single"/>
              </w:rPr>
              <w:t>92,017</w:t>
            </w:r>
          </w:p>
          <w:p>
            <w:pPr>
              <w:pStyle w:val="Style28"/>
              <w:keepNext w:val="0"/>
              <w:keepLines w:val="0"/>
              <w:widowControl w:val="0"/>
              <w:shd w:val="clear" w:color="auto" w:fill="auto"/>
              <w:tabs>
                <w:tab w:pos="5503" w:val="right"/>
              </w:tabs>
              <w:bidi w:val="0"/>
              <w:spacing w:before="0" w:after="0" w:line="240" w:lineRule="auto"/>
              <w:ind w:left="1860" w:right="0" w:firstLine="0"/>
              <w:jc w:val="left"/>
              <w:rPr>
                <w:sz w:val="24"/>
                <w:szCs w:val="24"/>
              </w:rPr>
            </w:pPr>
            <w:r>
              <w:rPr>
                <w:rFonts w:ascii="Times New Roman" w:eastAsia="Times New Roman" w:hAnsi="Times New Roman" w:cs="Times New Roman"/>
                <w:color w:val="000000"/>
                <w:spacing w:val="0"/>
                <w:w w:val="100"/>
                <w:position w:val="0"/>
                <w:sz w:val="24"/>
                <w:szCs w:val="24"/>
              </w:rPr>
              <w:t>1,603,094</w:t>
              <w:tab/>
              <w:t>982,758</w:t>
            </w:r>
          </w:p>
        </w:tc>
      </w:tr>
    </w:tbl>
    <w:p>
      <w:pPr>
        <w:widowControl w:val="0"/>
        <w:spacing w:after="259" w:line="1" w:lineRule="exact"/>
      </w:pPr>
    </w:p>
    <w:p>
      <w:pPr>
        <w:pStyle w:val="Style32"/>
        <w:keepNext w:val="0"/>
        <w:keepLines w:val="0"/>
        <w:widowControl w:val="0"/>
        <w:shd w:val="clear" w:color="auto" w:fill="auto"/>
        <w:bidi w:val="0"/>
        <w:spacing w:before="0" w:after="260" w:line="312" w:lineRule="exact"/>
        <w:ind w:left="740" w:right="0" w:hanging="740"/>
        <w:jc w:val="left"/>
        <w:rPr>
          <w:sz w:val="24"/>
          <w:szCs w:val="24"/>
        </w:rPr>
      </w:pPr>
      <w:r>
        <w:rPr>
          <w:rFonts w:ascii="Times New Roman" w:eastAsia="Times New Roman" w:hAnsi="Times New Roman" w:cs="Times New Roman"/>
          <w:color w:val="000000"/>
          <w:spacing w:val="0"/>
          <w:w w:val="100"/>
          <w:position w:val="0"/>
          <w:sz w:val="24"/>
          <w:szCs w:val="24"/>
        </w:rPr>
        <w:t xml:space="preserve">(a) </w:t>
      </w:r>
      <w:r>
        <w:rPr>
          <w:color w:val="000000"/>
          <w:spacing w:val="0"/>
          <w:w w:val="100"/>
          <w:position w:val="0"/>
          <w:sz w:val="24"/>
          <w:szCs w:val="24"/>
        </w:rPr>
        <w:t>于</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日，账龄超过一年的预收款项约人民币</w:t>
      </w:r>
      <w:r>
        <w:rPr>
          <w:rFonts w:ascii="Times New Roman" w:eastAsia="Times New Roman" w:hAnsi="Times New Roman" w:cs="Times New Roman"/>
          <w:color w:val="000000"/>
          <w:spacing w:val="0"/>
          <w:w w:val="100"/>
          <w:position w:val="0"/>
          <w:sz w:val="24"/>
          <w:szCs w:val="24"/>
        </w:rPr>
        <w:t>1.5</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亿元</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sz w:val="24"/>
          <w:szCs w:val="24"/>
        </w:rPr>
        <w:t xml:space="preserve">年 </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日：约人民币</w:t>
      </w:r>
      <w:r>
        <w:rPr>
          <w:rFonts w:ascii="Times New Roman" w:eastAsia="Times New Roman" w:hAnsi="Times New Roman" w:cs="Times New Roman"/>
          <w:color w:val="000000"/>
          <w:spacing w:val="0"/>
          <w:w w:val="100"/>
          <w:position w:val="0"/>
          <w:sz w:val="24"/>
          <w:szCs w:val="24"/>
        </w:rPr>
        <w:t>0.91</w:t>
      </w:r>
      <w:r>
        <w:rPr>
          <w:color w:val="000000"/>
          <w:spacing w:val="0"/>
          <w:w w:val="100"/>
          <w:position w:val="0"/>
          <w:sz w:val="24"/>
          <w:szCs w:val="24"/>
        </w:rPr>
        <w:t>亿元</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，主要为尚未与客户结算的尾款。</w:t>
      </w:r>
    </w:p>
    <w:p>
      <w:pPr>
        <w:pStyle w:val="Style32"/>
        <w:keepNext w:val="0"/>
        <w:keepLines w:val="0"/>
        <w:widowControl w:val="0"/>
        <w:shd w:val="clear" w:color="auto" w:fill="auto"/>
        <w:bidi w:val="0"/>
        <w:spacing w:before="0" w:after="0" w:line="240" w:lineRule="auto"/>
        <w:ind w:left="0" w:right="0" w:firstLine="740"/>
        <w:jc w:val="left"/>
        <w:rPr>
          <w:sz w:val="24"/>
          <w:szCs w:val="24"/>
        </w:rPr>
      </w:pPr>
      <w:r>
        <w:rPr>
          <w:b/>
          <w:bCs/>
          <w:color w:val="000000"/>
          <w:spacing w:val="0"/>
          <w:w w:val="100"/>
          <w:position w:val="0"/>
          <w:sz w:val="24"/>
          <w:szCs w:val="24"/>
        </w:rPr>
        <w:t>财务报表附注</w:t>
      </w:r>
    </w:p>
    <w:p>
      <w:pPr>
        <w:pStyle w:val="Style88"/>
        <w:keepNext/>
        <w:keepLines/>
        <w:widowControl w:val="0"/>
        <w:shd w:val="clear" w:color="auto" w:fill="auto"/>
        <w:bidi w:val="0"/>
        <w:spacing w:before="0" w:after="0" w:line="240" w:lineRule="auto"/>
        <w:ind w:left="0" w:right="0" w:firstLine="740"/>
        <w:jc w:val="left"/>
      </w:pPr>
      <w:bookmarkStart w:id="936" w:name="bookmark936"/>
      <w:bookmarkStart w:id="937" w:name="bookmark937"/>
      <w:bookmarkStart w:id="938" w:name="bookmark938"/>
      <w:r>
        <w:rPr>
          <w:color w:val="000000"/>
          <w:spacing w:val="0"/>
          <w:w w:val="100"/>
          <w:position w:val="0"/>
          <w:sz w:val="24"/>
          <w:szCs w:val="24"/>
        </w:rPr>
        <w:t>2016</w:t>
      </w:r>
      <w:r>
        <w:rPr>
          <w:rFonts w:ascii="SimSun" w:eastAsia="SimSun" w:hAnsi="SimSun" w:cs="SimSun"/>
          <w:b/>
          <w:bCs/>
          <w:color w:val="000000"/>
          <w:spacing w:val="0"/>
          <w:w w:val="100"/>
          <w:position w:val="0"/>
          <w:sz w:val="24"/>
          <w:szCs w:val="24"/>
        </w:rPr>
        <w:t>年度</w:t>
      </w:r>
      <w:bookmarkEnd w:id="936"/>
      <w:bookmarkEnd w:id="937"/>
      <w:bookmarkEnd w:id="938"/>
    </w:p>
    <w:p>
      <w:pPr>
        <w:pStyle w:val="Style32"/>
        <w:keepNext w:val="0"/>
        <w:keepLines w:val="0"/>
        <w:widowControl w:val="0"/>
        <w:shd w:val="clear" w:color="auto" w:fill="auto"/>
        <w:bidi w:val="0"/>
        <w:spacing w:before="0" w:after="280" w:line="240" w:lineRule="auto"/>
        <w:ind w:left="0" w:right="0" w:firstLine="740"/>
        <w:jc w:val="left"/>
        <w:rPr>
          <w:sz w:val="24"/>
          <w:szCs w:val="24"/>
        </w:rPr>
      </w:pPr>
      <w:r>
        <w:rPr>
          <w:rFonts w:ascii="Arial" w:eastAsia="Arial" w:hAnsi="Arial" w:cs="Arial"/>
          <w:color w:val="000000"/>
          <w:spacing w:val="0"/>
          <w:w w:val="100"/>
          <w:position w:val="0"/>
          <w:sz w:val="20"/>
          <w:szCs w:val="20"/>
        </w:rPr>
        <w:t>(</w:t>
      </w:r>
      <w:r>
        <w:rPr>
          <w:color w:val="000000"/>
          <w:spacing w:val="0"/>
          <w:w w:val="100"/>
          <w:position w:val="0"/>
          <w:sz w:val="20"/>
          <w:szCs w:val="20"/>
        </w:rPr>
        <w:t>除特别注明外，金额单位为人民币千元</w:t>
      </w:r>
      <w:r>
        <w:rPr>
          <w:color w:val="000000"/>
          <w:spacing w:val="0"/>
          <w:w w:val="100"/>
          <w:position w:val="0"/>
          <w:sz w:val="24"/>
          <w:szCs w:val="24"/>
        </w:rPr>
        <w:t>)</w:t>
      </w:r>
    </w:p>
    <w:p>
      <w:pPr>
        <w:pStyle w:val="Style32"/>
        <w:keepNext w:val="0"/>
        <w:keepLines w:val="0"/>
        <w:widowControl w:val="0"/>
        <w:shd w:val="clear" w:color="auto" w:fill="auto"/>
        <w:tabs>
          <w:tab w:pos="653" w:val="left"/>
        </w:tabs>
        <w:bidi w:val="0"/>
        <w:spacing w:before="0" w:after="280" w:line="240" w:lineRule="auto"/>
        <w:ind w:left="0" w:right="0" w:firstLine="0"/>
        <w:jc w:val="left"/>
        <w:rPr>
          <w:sz w:val="24"/>
          <w:szCs w:val="24"/>
        </w:rPr>
      </w:pPr>
      <w:r>
        <w:rPr>
          <w:b/>
          <w:bCs/>
          <w:color w:val="000000"/>
          <w:spacing w:val="0"/>
          <w:w w:val="100"/>
          <w:position w:val="0"/>
          <w:sz w:val="24"/>
          <w:szCs w:val="24"/>
        </w:rPr>
        <w:t>四</w:t>
        <w:tab/>
        <w:t>合并财务报表项目附注</w:t>
      </w:r>
      <w:r>
        <w:rPr>
          <w:rFonts w:ascii="Times New Roman" w:eastAsia="Times New Roman" w:hAnsi="Times New Roman" w:cs="Times New Roman"/>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4"/>
          <w:szCs w:val="24"/>
        </w:rPr>
        <w:t>)</w:t>
      </w:r>
    </w:p>
    <w:p>
      <w:pPr>
        <w:pStyle w:val="Style32"/>
        <w:keepNext w:val="0"/>
        <w:keepLines w:val="0"/>
        <w:widowControl w:val="0"/>
        <w:shd w:val="clear" w:color="auto" w:fill="auto"/>
        <w:bidi w:val="0"/>
        <w:spacing w:before="0" w:after="28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(27)</w:t>
      </w:r>
      <w:r>
        <w:rPr>
          <w:b/>
          <w:bCs/>
          <w:color w:val="000000"/>
          <w:spacing w:val="0"/>
          <w:w w:val="100"/>
          <w:position w:val="0"/>
          <w:sz w:val="24"/>
          <w:szCs w:val="24"/>
        </w:rPr>
        <w:t>应付职工薪酬</w:t>
      </w:r>
    </w:p>
    <w:p>
      <w:pPr>
        <w:pStyle w:val="Style53"/>
        <w:keepNext w:val="0"/>
        <w:keepLines w:val="0"/>
        <w:widowControl w:val="0"/>
        <w:shd w:val="clear" w:color="auto" w:fill="auto"/>
        <w:tabs>
          <w:tab w:pos="2990" w:val="left"/>
        </w:tabs>
        <w:bidi w:val="0"/>
        <w:spacing w:before="0" w:after="280" w:line="240" w:lineRule="auto"/>
        <w:ind w:left="0" w:right="0" w:firstLine="0"/>
        <w:jc w:val="right"/>
        <w:rPr>
          <w:sz w:val="24"/>
          <w:szCs w:val="24"/>
        </w:rPr>
      </w:pPr>
      <w:r>
        <w:rPr>
          <w:color w:val="000000"/>
          <w:spacing w:val="0"/>
          <w:w w:val="100"/>
          <w:position w:val="0"/>
          <w:sz w:val="24"/>
          <w:szCs w:val="24"/>
        </w:rPr>
        <w:t>2016</w:t>
      </w:r>
      <w:r>
        <w:rPr>
          <w:rFonts w:ascii="SimSun" w:eastAsia="SimSun" w:hAnsi="SimSun" w:cs="SimSun"/>
          <w:color w:val="000000"/>
          <w:spacing w:val="0"/>
          <w:w w:val="100"/>
          <w:position w:val="0"/>
          <w:sz w:val="24"/>
          <w:szCs w:val="24"/>
        </w:rPr>
        <w:t>年</w:t>
      </w:r>
      <w:r>
        <w:rPr>
          <w:color w:val="000000"/>
          <w:spacing w:val="0"/>
          <w:w w:val="100"/>
          <w:position w:val="0"/>
          <w:sz w:val="24"/>
          <w:szCs w:val="24"/>
        </w:rPr>
        <w:t>12</w:t>
      </w:r>
      <w:r>
        <w:rPr>
          <w:rFonts w:ascii="SimSun" w:eastAsia="SimSun" w:hAnsi="SimSun" w:cs="SimSun"/>
          <w:color w:val="000000"/>
          <w:spacing w:val="0"/>
          <w:w w:val="100"/>
          <w:position w:val="0"/>
          <w:sz w:val="24"/>
          <w:szCs w:val="24"/>
        </w:rPr>
        <w:t>月</w:t>
      </w:r>
      <w:r>
        <w:rPr>
          <w:color w:val="000000"/>
          <w:spacing w:val="0"/>
          <w:w w:val="100"/>
          <w:position w:val="0"/>
          <w:sz w:val="24"/>
          <w:szCs w:val="24"/>
        </w:rPr>
        <w:t>31</w:t>
      </w:r>
      <w:r>
        <w:rPr>
          <w:rFonts w:ascii="SimSun" w:eastAsia="SimSun" w:hAnsi="SimSun" w:cs="SimSun"/>
          <w:color w:val="000000"/>
          <w:spacing w:val="0"/>
          <w:w w:val="100"/>
          <w:position w:val="0"/>
          <w:sz w:val="24"/>
          <w:szCs w:val="24"/>
        </w:rPr>
        <w:t>日</w:t>
        <w:tab/>
      </w:r>
      <w:r>
        <w:rPr>
          <w:color w:val="000000"/>
          <w:spacing w:val="0"/>
          <w:w w:val="100"/>
          <w:position w:val="0"/>
          <w:sz w:val="24"/>
          <w:szCs w:val="24"/>
        </w:rPr>
        <w:t>2015</w:t>
      </w:r>
      <w:r>
        <w:rPr>
          <w:rFonts w:ascii="SimSun" w:eastAsia="SimSun" w:hAnsi="SimSun" w:cs="SimSun"/>
          <w:color w:val="000000"/>
          <w:spacing w:val="0"/>
          <w:w w:val="100"/>
          <w:position w:val="0"/>
          <w:sz w:val="24"/>
          <w:szCs w:val="24"/>
        </w:rPr>
        <w:t>年</w:t>
      </w:r>
      <w:r>
        <w:rPr>
          <w:color w:val="000000"/>
          <w:spacing w:val="0"/>
          <w:w w:val="100"/>
          <w:position w:val="0"/>
          <w:sz w:val="24"/>
          <w:szCs w:val="24"/>
        </w:rPr>
        <w:t>12</w:t>
      </w:r>
      <w:r>
        <w:rPr>
          <w:rFonts w:ascii="SimSun" w:eastAsia="SimSun" w:hAnsi="SimSun" w:cs="SimSun"/>
          <w:color w:val="000000"/>
          <w:spacing w:val="0"/>
          <w:w w:val="100"/>
          <w:position w:val="0"/>
          <w:sz w:val="24"/>
          <w:szCs w:val="24"/>
        </w:rPr>
        <w:t>月</w:t>
      </w:r>
      <w:r>
        <w:rPr>
          <w:color w:val="000000"/>
          <w:spacing w:val="0"/>
          <w:w w:val="100"/>
          <w:position w:val="0"/>
          <w:sz w:val="24"/>
          <w:szCs w:val="24"/>
        </w:rPr>
        <w:t>31</w:t>
      </w:r>
      <w:r>
        <w:rPr>
          <w:rFonts w:ascii="SimSun" w:eastAsia="SimSun" w:hAnsi="SimSun" w:cs="SimSun"/>
          <w:color w:val="000000"/>
          <w:spacing w:val="0"/>
          <w:w w:val="100"/>
          <w:position w:val="0"/>
          <w:sz w:val="24"/>
          <w:szCs w:val="24"/>
        </w:rPr>
        <w:t>日</w:t>
      </w:r>
    </w:p>
    <w:tbl>
      <w:tblPr>
        <w:tblOverlap w:val="never"/>
        <w:jc w:val="center"/>
        <w:tblLayout w:type="fixed"/>
      </w:tblPr>
      <w:tblGrid>
        <w:gridCol w:w="614"/>
        <w:gridCol w:w="2486"/>
        <w:gridCol w:w="1498"/>
        <w:gridCol w:w="1622"/>
        <w:gridCol w:w="1493"/>
        <w:gridCol w:w="1387"/>
      </w:tblGrid>
      <w:tr>
        <w:trPr>
          <w:trHeight w:val="307" w:hRule="exact"/>
        </w:trPr>
        <w:tc>
          <w:tcPr>
            <w:gridSpan w:val="2"/>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80"/>
              <w:jc w:val="left"/>
              <w:rPr>
                <w:sz w:val="24"/>
                <w:szCs w:val="24"/>
              </w:rPr>
            </w:pPr>
            <w:r>
              <w:rPr>
                <w:color w:val="000000"/>
                <w:spacing w:val="0"/>
                <w:w w:val="100"/>
                <w:position w:val="0"/>
                <w:sz w:val="24"/>
                <w:szCs w:val="24"/>
              </w:rPr>
              <w:t>应付短期薪酬</w:t>
            </w:r>
            <w:r>
              <w:rPr>
                <w:rFonts w:ascii="Times New Roman" w:eastAsia="Times New Roman" w:hAnsi="Times New Roman" w:cs="Times New Roman"/>
                <w:color w:val="000000"/>
                <w:spacing w:val="0"/>
                <w:w w:val="100"/>
                <w:position w:val="0"/>
                <w:sz w:val="24"/>
                <w:szCs w:val="24"/>
              </w:rPr>
              <w:t>(a)</w:t>
            </w:r>
          </w:p>
        </w:tc>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20"/>
              <w:jc w:val="left"/>
              <w:rPr>
                <w:sz w:val="24"/>
                <w:szCs w:val="24"/>
              </w:rPr>
            </w:pPr>
            <w:r>
              <w:rPr>
                <w:rFonts w:ascii="Times New Roman" w:eastAsia="Times New Roman" w:hAnsi="Times New Roman" w:cs="Times New Roman"/>
                <w:color w:val="000000"/>
                <w:spacing w:val="0"/>
                <w:w w:val="100"/>
                <w:position w:val="0"/>
                <w:sz w:val="24"/>
                <w:szCs w:val="24"/>
              </w:rPr>
              <w:t>376,064</w:t>
            </w:r>
          </w:p>
        </w:tc>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352,609</w:t>
            </w:r>
          </w:p>
        </w:tc>
      </w:tr>
      <w:tr>
        <w:trPr>
          <w:trHeight w:val="302" w:hRule="exact"/>
        </w:trPr>
        <w:tc>
          <w:tcPr>
            <w:gridSpan w:val="2"/>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80"/>
              <w:jc w:val="left"/>
              <w:rPr>
                <w:sz w:val="24"/>
                <w:szCs w:val="24"/>
              </w:rPr>
            </w:pPr>
            <w:r>
              <w:rPr>
                <w:color w:val="000000"/>
                <w:spacing w:val="0"/>
                <w:w w:val="100"/>
                <w:position w:val="0"/>
                <w:sz w:val="24"/>
                <w:szCs w:val="24"/>
              </w:rPr>
              <w:t>应付设定提存计划</w:t>
            </w:r>
            <w:r>
              <w:rPr>
                <w:rFonts w:ascii="Times New Roman" w:eastAsia="Times New Roman" w:hAnsi="Times New Roman" w:cs="Times New Roman"/>
                <w:color w:val="000000"/>
                <w:spacing w:val="0"/>
                <w:w w:val="100"/>
                <w:position w:val="0"/>
                <w:sz w:val="24"/>
                <w:szCs w:val="24"/>
              </w:rPr>
              <w:t>(b)</w:t>
            </w:r>
          </w:p>
        </w:tc>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80"/>
              <w:jc w:val="left"/>
              <w:rPr>
                <w:sz w:val="24"/>
                <w:szCs w:val="24"/>
              </w:rPr>
            </w:pPr>
            <w:r>
              <w:rPr>
                <w:rFonts w:ascii="Times New Roman" w:eastAsia="Times New Roman" w:hAnsi="Times New Roman" w:cs="Times New Roman"/>
                <w:color w:val="000000"/>
                <w:spacing w:val="0"/>
                <w:w w:val="100"/>
                <w:position w:val="0"/>
                <w:sz w:val="24"/>
                <w:szCs w:val="24"/>
              </w:rPr>
              <w:t>8,379</w:t>
            </w:r>
          </w:p>
        </w:tc>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2,926</w:t>
            </w:r>
          </w:p>
        </w:tc>
      </w:tr>
      <w:tr>
        <w:trPr>
          <w:trHeight w:val="298" w:hRule="exact"/>
        </w:trPr>
        <w:tc>
          <w:tcPr>
            <w:gridSpan w:val="2"/>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20"/>
              <w:jc w:val="left"/>
              <w:rPr>
                <w:sz w:val="24"/>
                <w:szCs w:val="24"/>
              </w:rPr>
            </w:pPr>
            <w:r>
              <w:rPr>
                <w:rFonts w:ascii="Times New Roman" w:eastAsia="Times New Roman" w:hAnsi="Times New Roman" w:cs="Times New Roman"/>
                <w:color w:val="000000"/>
                <w:spacing w:val="0"/>
                <w:w w:val="100"/>
                <w:position w:val="0"/>
                <w:sz w:val="24"/>
                <w:szCs w:val="24"/>
              </w:rPr>
              <w:t>384,443</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355,535</w:t>
            </w:r>
          </w:p>
        </w:tc>
      </w:tr>
      <w:tr>
        <w:trPr>
          <w:trHeight w:val="739"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(a)</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短期薪酬</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98" w:hRule="exact"/>
        </w:trPr>
        <w:tc>
          <w:tcPr>
            <w:gridSpan w:val="2"/>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 xml:space="preserve">2015 </w:t>
            </w:r>
            <w:r>
              <w:rPr>
                <w:color w:val="000000"/>
                <w:spacing w:val="0"/>
                <w:w w:val="100"/>
                <w:position w:val="0"/>
                <w:sz w:val="20"/>
                <w:szCs w:val="20"/>
              </w:rPr>
              <w:t>年</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 xml:space="preserve">2016 </w:t>
            </w:r>
            <w:r>
              <w:rPr>
                <w:color w:val="000000"/>
                <w:spacing w:val="0"/>
                <w:w w:val="100"/>
                <w:position w:val="0"/>
                <w:sz w:val="20"/>
                <w:szCs w:val="20"/>
              </w:rPr>
              <w:t>年</w:t>
            </w:r>
          </w:p>
        </w:tc>
      </w:tr>
      <w:tr>
        <w:trPr>
          <w:trHeight w:val="379" w:hRule="exact"/>
        </w:trPr>
        <w:tc>
          <w:tcPr>
            <w:gridSpan w:val="2"/>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本年增加</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本年减少</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both"/>
              <w:rPr>
                <w:sz w:val="20"/>
                <w:szCs w:val="20"/>
              </w:rPr>
            </w:pP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w:t>
            </w:r>
          </w:p>
        </w:tc>
      </w:tr>
      <w:tr>
        <w:trPr>
          <w:trHeight w:val="389" w:hRule="exact"/>
        </w:trPr>
        <w:tc>
          <w:tcPr>
            <w:gridSpan w:val="2"/>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80"/>
              <w:jc w:val="left"/>
              <w:rPr>
                <w:sz w:val="20"/>
                <w:szCs w:val="20"/>
              </w:rPr>
            </w:pPr>
            <w:r>
              <w:rPr>
                <w:color w:val="000000"/>
                <w:spacing w:val="0"/>
                <w:w w:val="100"/>
                <w:position w:val="0"/>
                <w:sz w:val="20"/>
                <w:szCs w:val="20"/>
              </w:rPr>
              <w:t>工资、奖金、津贴和补贴</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277,017</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5,351,119</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(5,330,174)</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297,962</w:t>
            </w:r>
          </w:p>
        </w:tc>
      </w:tr>
      <w:tr>
        <w:trPr>
          <w:trHeight w:val="259" w:hRule="exact"/>
        </w:trPr>
        <w:tc>
          <w:tcPr>
            <w:gridSpan w:val="2"/>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80"/>
              <w:jc w:val="left"/>
              <w:rPr>
                <w:sz w:val="20"/>
                <w:szCs w:val="20"/>
              </w:rPr>
            </w:pPr>
            <w:r>
              <w:rPr>
                <w:color w:val="000000"/>
                <w:spacing w:val="0"/>
                <w:w w:val="100"/>
                <w:position w:val="0"/>
                <w:sz w:val="20"/>
                <w:szCs w:val="20"/>
              </w:rPr>
              <w:t>职工福利费</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60,507</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154,179</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(154,223)</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60,463</w:t>
            </w:r>
          </w:p>
        </w:tc>
      </w:tr>
      <w:tr>
        <w:trPr>
          <w:trHeight w:val="245" w:hRule="exact"/>
        </w:trPr>
        <w:tc>
          <w:tcPr>
            <w:gridSpan w:val="2"/>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80"/>
              <w:jc w:val="left"/>
              <w:rPr>
                <w:sz w:val="20"/>
                <w:szCs w:val="20"/>
              </w:rPr>
            </w:pPr>
            <w:r>
              <w:rPr>
                <w:color w:val="000000"/>
                <w:spacing w:val="0"/>
                <w:w w:val="100"/>
                <w:position w:val="0"/>
                <w:sz w:val="20"/>
                <w:szCs w:val="20"/>
              </w:rPr>
              <w:t>社会保险费</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left"/>
              <w:rPr>
                <w:sz w:val="20"/>
                <w:szCs w:val="20"/>
              </w:rPr>
            </w:pPr>
            <w:r>
              <w:rPr>
                <w:rFonts w:ascii="Times New Roman" w:eastAsia="Times New Roman" w:hAnsi="Times New Roman" w:cs="Times New Roman"/>
                <w:color w:val="000000"/>
                <w:spacing w:val="0"/>
                <w:w w:val="100"/>
                <w:position w:val="0"/>
                <w:sz w:val="20"/>
                <w:szCs w:val="20"/>
              </w:rPr>
              <w:t>1,494</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228,359</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(225,572)</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20"/>
              <w:jc w:val="left"/>
              <w:rPr>
                <w:sz w:val="20"/>
                <w:szCs w:val="20"/>
              </w:rPr>
            </w:pPr>
            <w:r>
              <w:rPr>
                <w:rFonts w:ascii="Times New Roman" w:eastAsia="Times New Roman" w:hAnsi="Times New Roman" w:cs="Times New Roman"/>
                <w:color w:val="000000"/>
                <w:spacing w:val="0"/>
                <w:w w:val="100"/>
                <w:position w:val="0"/>
                <w:sz w:val="20"/>
                <w:szCs w:val="20"/>
              </w:rPr>
              <w:t>4,281</w:t>
            </w:r>
          </w:p>
        </w:tc>
      </w:tr>
      <w:tr>
        <w:trPr>
          <w:trHeight w:val="283" w:hRule="exact"/>
        </w:trPr>
        <w:tc>
          <w:tcPr>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其中：医疗保险费</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left"/>
              <w:rPr>
                <w:sz w:val="20"/>
                <w:szCs w:val="20"/>
              </w:rPr>
            </w:pPr>
            <w:r>
              <w:rPr>
                <w:rFonts w:ascii="Times New Roman" w:eastAsia="Times New Roman" w:hAnsi="Times New Roman" w:cs="Times New Roman"/>
                <w:color w:val="000000"/>
                <w:spacing w:val="0"/>
                <w:w w:val="100"/>
                <w:position w:val="0"/>
                <w:sz w:val="20"/>
                <w:szCs w:val="20"/>
              </w:rPr>
              <w:t>1,298</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198,589</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(196,166)</w:t>
            </w:r>
          </w:p>
        </w:tc>
        <w:tc>
          <w:tcPr>
            <w:tcBorders>
              <w:top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20"/>
              <w:jc w:val="left"/>
              <w:rPr>
                <w:sz w:val="20"/>
                <w:szCs w:val="20"/>
              </w:rPr>
            </w:pPr>
            <w:r>
              <w:rPr>
                <w:rFonts w:ascii="Times New Roman" w:eastAsia="Times New Roman" w:hAnsi="Times New Roman" w:cs="Times New Roman"/>
                <w:color w:val="000000"/>
                <w:spacing w:val="0"/>
                <w:w w:val="100"/>
                <w:position w:val="0"/>
                <w:sz w:val="20"/>
                <w:szCs w:val="20"/>
              </w:rPr>
              <w:t>3,721</w:t>
            </w:r>
          </w:p>
        </w:tc>
      </w:tr>
      <w:tr>
        <w:trPr>
          <w:trHeight w:val="259" w:hRule="exact"/>
        </w:trPr>
        <w:tc>
          <w:tcPr>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20"/>
              <w:jc w:val="left"/>
              <w:rPr>
                <w:sz w:val="20"/>
                <w:szCs w:val="20"/>
              </w:rPr>
            </w:pPr>
            <w:r>
              <w:rPr>
                <w:color w:val="000000"/>
                <w:spacing w:val="0"/>
                <w:w w:val="100"/>
                <w:position w:val="0"/>
                <w:sz w:val="20"/>
                <w:szCs w:val="20"/>
              </w:rPr>
              <w:t>工伤保险费</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60"/>
              <w:jc w:val="left"/>
              <w:rPr>
                <w:sz w:val="20"/>
                <w:szCs w:val="20"/>
              </w:rPr>
            </w:pPr>
            <w:r>
              <w:rPr>
                <w:rFonts w:ascii="Times New Roman" w:eastAsia="Times New Roman" w:hAnsi="Times New Roman" w:cs="Times New Roman"/>
                <w:color w:val="000000"/>
                <w:spacing w:val="0"/>
                <w:w w:val="100"/>
                <w:position w:val="0"/>
                <w:sz w:val="20"/>
                <w:szCs w:val="20"/>
              </w:rPr>
              <w:t>75</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left"/>
              <w:rPr>
                <w:sz w:val="20"/>
                <w:szCs w:val="20"/>
              </w:rPr>
            </w:pPr>
            <w:r>
              <w:rPr>
                <w:rFonts w:ascii="Times New Roman" w:eastAsia="Times New Roman" w:hAnsi="Times New Roman" w:cs="Times New Roman"/>
                <w:color w:val="000000"/>
                <w:spacing w:val="0"/>
                <w:w w:val="100"/>
                <w:position w:val="0"/>
                <w:sz w:val="20"/>
                <w:szCs w:val="20"/>
              </w:rPr>
              <w:t>11,394</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(11,255)</w:t>
            </w:r>
          </w:p>
        </w:tc>
        <w:tc>
          <w:tcPr>
            <w:tcBorders>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214</w:t>
            </w:r>
          </w:p>
        </w:tc>
      </w:tr>
      <w:tr>
        <w:trPr>
          <w:trHeight w:val="245" w:hRule="exact"/>
        </w:trPr>
        <w:tc>
          <w:tcPr>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20"/>
              <w:jc w:val="left"/>
              <w:rPr>
                <w:sz w:val="20"/>
                <w:szCs w:val="20"/>
              </w:rPr>
            </w:pPr>
            <w:r>
              <w:rPr>
                <w:color w:val="000000"/>
                <w:spacing w:val="0"/>
                <w:w w:val="100"/>
                <w:position w:val="0"/>
                <w:sz w:val="20"/>
                <w:szCs w:val="20"/>
              </w:rPr>
              <w:t>生育保险费</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00"/>
              <w:jc w:val="left"/>
              <w:rPr>
                <w:sz w:val="20"/>
                <w:szCs w:val="20"/>
              </w:rPr>
            </w:pPr>
            <w:r>
              <w:rPr>
                <w:rFonts w:ascii="Times New Roman" w:eastAsia="Times New Roman" w:hAnsi="Times New Roman" w:cs="Times New Roman"/>
                <w:color w:val="000000"/>
                <w:spacing w:val="0"/>
                <w:w w:val="100"/>
                <w:position w:val="0"/>
                <w:sz w:val="20"/>
                <w:szCs w:val="20"/>
              </w:rPr>
              <w:t>121</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left"/>
              <w:rPr>
                <w:sz w:val="20"/>
                <w:szCs w:val="20"/>
              </w:rPr>
            </w:pPr>
            <w:r>
              <w:rPr>
                <w:rFonts w:ascii="Times New Roman" w:eastAsia="Times New Roman" w:hAnsi="Times New Roman" w:cs="Times New Roman"/>
                <w:color w:val="000000"/>
                <w:spacing w:val="0"/>
                <w:w w:val="100"/>
                <w:position w:val="0"/>
                <w:sz w:val="20"/>
                <w:szCs w:val="20"/>
              </w:rPr>
              <w:t>18,376</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(18,151)</w:t>
            </w:r>
          </w:p>
        </w:tc>
        <w:tc>
          <w:tcPr>
            <w:tcBorders>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346</w:t>
            </w:r>
          </w:p>
        </w:tc>
      </w:tr>
      <w:tr>
        <w:trPr>
          <w:trHeight w:val="278" w:hRule="exact"/>
        </w:trPr>
        <w:tc>
          <w:tcPr>
            <w:gridSpan w:val="2"/>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80"/>
              <w:jc w:val="left"/>
              <w:rPr>
                <w:sz w:val="20"/>
                <w:szCs w:val="20"/>
              </w:rPr>
            </w:pPr>
            <w:r>
              <w:rPr>
                <w:color w:val="000000"/>
                <w:spacing w:val="0"/>
                <w:w w:val="100"/>
                <w:position w:val="0"/>
                <w:sz w:val="20"/>
                <w:szCs w:val="20"/>
              </w:rPr>
              <w:t>住房公积金</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left"/>
              <w:rPr>
                <w:sz w:val="20"/>
                <w:szCs w:val="20"/>
              </w:rPr>
            </w:pPr>
            <w:r>
              <w:rPr>
                <w:rFonts w:ascii="Times New Roman" w:eastAsia="Times New Roman" w:hAnsi="Times New Roman" w:cs="Times New Roman"/>
                <w:color w:val="000000"/>
                <w:spacing w:val="0"/>
                <w:w w:val="100"/>
                <w:position w:val="0"/>
                <w:sz w:val="20"/>
                <w:szCs w:val="20"/>
              </w:rPr>
              <w:t>3,368</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129,911</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(130,058)</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20"/>
              <w:jc w:val="left"/>
              <w:rPr>
                <w:sz w:val="20"/>
                <w:szCs w:val="20"/>
              </w:rPr>
            </w:pPr>
            <w:r>
              <w:rPr>
                <w:rFonts w:ascii="Times New Roman" w:eastAsia="Times New Roman" w:hAnsi="Times New Roman" w:cs="Times New Roman"/>
                <w:color w:val="000000"/>
                <w:spacing w:val="0"/>
                <w:w w:val="100"/>
                <w:position w:val="0"/>
                <w:sz w:val="20"/>
                <w:szCs w:val="20"/>
              </w:rPr>
              <w:t>3,221</w:t>
            </w:r>
          </w:p>
        </w:tc>
      </w:tr>
      <w:tr>
        <w:trPr>
          <w:trHeight w:val="250" w:hRule="exact"/>
        </w:trPr>
        <w:tc>
          <w:tcPr>
            <w:gridSpan w:val="2"/>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80"/>
              <w:jc w:val="left"/>
              <w:rPr>
                <w:sz w:val="20"/>
                <w:szCs w:val="20"/>
              </w:rPr>
            </w:pPr>
            <w:r>
              <w:rPr>
                <w:color w:val="000000"/>
                <w:spacing w:val="0"/>
                <w:w w:val="100"/>
                <w:position w:val="0"/>
                <w:sz w:val="20"/>
                <w:szCs w:val="20"/>
              </w:rPr>
              <w:t>工会经费和职工教育经费</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10,223</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left"/>
              <w:rPr>
                <w:sz w:val="20"/>
                <w:szCs w:val="20"/>
              </w:rPr>
            </w:pPr>
            <w:r>
              <w:rPr>
                <w:rFonts w:ascii="Times New Roman" w:eastAsia="Times New Roman" w:hAnsi="Times New Roman" w:cs="Times New Roman"/>
                <w:color w:val="000000"/>
                <w:spacing w:val="0"/>
                <w:w w:val="100"/>
                <w:position w:val="0"/>
                <w:sz w:val="20"/>
                <w:szCs w:val="20"/>
              </w:rPr>
              <w:t>24,154</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(24,240)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10,137</w:t>
            </w:r>
          </w:p>
        </w:tc>
      </w:tr>
      <w:tr>
        <w:trPr>
          <w:trHeight w:val="250" w:hRule="exact"/>
        </w:trPr>
        <w:tc>
          <w:tcPr>
            <w:gridSpan w:val="2"/>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352,609</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5,887,722</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(5,864,267)</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376,064</w:t>
            </w:r>
          </w:p>
        </w:tc>
      </w:tr>
      <w:tr>
        <w:trPr>
          <w:trHeight w:val="739"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(b)</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设定提存计划</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98" w:hRule="exact"/>
        </w:trPr>
        <w:tc>
          <w:tcPr>
            <w:gridSpan w:val="2"/>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left"/>
              <w:rPr>
                <w:sz w:val="20"/>
                <w:szCs w:val="20"/>
              </w:rPr>
            </w:pPr>
            <w:r>
              <w:rPr>
                <w:rFonts w:ascii="Times New Roman" w:eastAsia="Times New Roman" w:hAnsi="Times New Roman" w:cs="Times New Roman"/>
                <w:color w:val="000000"/>
                <w:spacing w:val="0"/>
                <w:w w:val="100"/>
                <w:position w:val="0"/>
                <w:sz w:val="20"/>
                <w:szCs w:val="20"/>
              </w:rPr>
              <w:t xml:space="preserve">2015 </w:t>
            </w:r>
            <w:r>
              <w:rPr>
                <w:color w:val="000000"/>
                <w:spacing w:val="0"/>
                <w:w w:val="100"/>
                <w:position w:val="0"/>
                <w:sz w:val="20"/>
                <w:szCs w:val="20"/>
              </w:rPr>
              <w:t>年</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 xml:space="preserve">2016 </w:t>
            </w:r>
            <w:r>
              <w:rPr>
                <w:color w:val="000000"/>
                <w:spacing w:val="0"/>
                <w:w w:val="100"/>
                <w:position w:val="0"/>
                <w:sz w:val="20"/>
                <w:szCs w:val="20"/>
              </w:rPr>
              <w:t>年</w:t>
            </w:r>
          </w:p>
        </w:tc>
      </w:tr>
      <w:tr>
        <w:trPr>
          <w:trHeight w:val="389" w:hRule="exact"/>
        </w:trPr>
        <w:tc>
          <w:tcPr>
            <w:gridSpan w:val="2"/>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本年增加</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本年减少</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w:t>
            </w:r>
          </w:p>
        </w:tc>
      </w:tr>
      <w:tr>
        <w:trPr>
          <w:trHeight w:val="403" w:hRule="exact"/>
        </w:trPr>
        <w:tc>
          <w:tcPr>
            <w:gridSpan w:val="2"/>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80"/>
              <w:jc w:val="left"/>
              <w:rPr>
                <w:sz w:val="20"/>
                <w:szCs w:val="20"/>
              </w:rPr>
            </w:pPr>
            <w:r>
              <w:rPr>
                <w:color w:val="000000"/>
                <w:spacing w:val="0"/>
                <w:w w:val="100"/>
                <w:position w:val="0"/>
                <w:sz w:val="20"/>
                <w:szCs w:val="20"/>
              </w:rPr>
              <w:t>基本养老保险</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00"/>
              <w:jc w:val="left"/>
              <w:rPr>
                <w:sz w:val="20"/>
                <w:szCs w:val="20"/>
              </w:rPr>
            </w:pPr>
            <w:r>
              <w:rPr>
                <w:rFonts w:ascii="Times New Roman" w:eastAsia="Times New Roman" w:hAnsi="Times New Roman" w:cs="Times New Roman"/>
                <w:color w:val="000000"/>
                <w:spacing w:val="0"/>
                <w:w w:val="100"/>
                <w:position w:val="0"/>
                <w:sz w:val="20"/>
                <w:szCs w:val="20"/>
              </w:rPr>
              <w:t>2,692</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left"/>
              <w:rPr>
                <w:sz w:val="20"/>
                <w:szCs w:val="20"/>
              </w:rPr>
            </w:pPr>
            <w:r>
              <w:rPr>
                <w:rFonts w:ascii="Times New Roman" w:eastAsia="Times New Roman" w:hAnsi="Times New Roman" w:cs="Times New Roman"/>
                <w:color w:val="000000"/>
                <w:spacing w:val="0"/>
                <w:w w:val="100"/>
                <w:position w:val="0"/>
                <w:sz w:val="20"/>
                <w:szCs w:val="20"/>
              </w:rPr>
              <w:t>411,694</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(406,671)</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7,715</w:t>
            </w:r>
          </w:p>
        </w:tc>
      </w:tr>
      <w:tr>
        <w:trPr>
          <w:trHeight w:val="254" w:hRule="exact"/>
        </w:trPr>
        <w:tc>
          <w:tcPr>
            <w:gridSpan w:val="2"/>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80"/>
              <w:jc w:val="left"/>
              <w:rPr>
                <w:sz w:val="20"/>
                <w:szCs w:val="20"/>
              </w:rPr>
            </w:pPr>
            <w:r>
              <w:rPr>
                <w:color w:val="000000"/>
                <w:spacing w:val="0"/>
                <w:w w:val="100"/>
                <w:position w:val="0"/>
                <w:sz w:val="20"/>
                <w:szCs w:val="20"/>
              </w:rPr>
              <w:t>失业保险费</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60"/>
              <w:jc w:val="left"/>
              <w:rPr>
                <w:sz w:val="20"/>
                <w:szCs w:val="20"/>
              </w:rPr>
            </w:pPr>
            <w:r>
              <w:rPr>
                <w:rFonts w:ascii="Times New Roman" w:eastAsia="Times New Roman" w:hAnsi="Times New Roman" w:cs="Times New Roman"/>
                <w:color w:val="000000"/>
                <w:spacing w:val="0"/>
                <w:w w:val="100"/>
                <w:position w:val="0"/>
                <w:sz w:val="20"/>
                <w:szCs w:val="20"/>
              </w:rPr>
              <w:t>234</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20"/>
              <w:jc w:val="left"/>
              <w:rPr>
                <w:sz w:val="20"/>
                <w:szCs w:val="20"/>
              </w:rPr>
            </w:pPr>
            <w:r>
              <w:rPr>
                <w:rFonts w:ascii="Times New Roman" w:eastAsia="Times New Roman" w:hAnsi="Times New Roman" w:cs="Times New Roman"/>
                <w:color w:val="000000"/>
                <w:spacing w:val="0"/>
                <w:w w:val="100"/>
                <w:position w:val="0"/>
                <w:sz w:val="20"/>
                <w:szCs w:val="20"/>
              </w:rPr>
              <w:t>35,227</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(34,797)</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664</w:t>
            </w:r>
          </w:p>
        </w:tc>
      </w:tr>
      <w:tr>
        <w:trPr>
          <w:trHeight w:val="264" w:hRule="exact"/>
        </w:trPr>
        <w:tc>
          <w:tcPr>
            <w:gridSpan w:val="2"/>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00"/>
              <w:jc w:val="left"/>
              <w:rPr>
                <w:sz w:val="20"/>
                <w:szCs w:val="20"/>
              </w:rPr>
            </w:pPr>
            <w:r>
              <w:rPr>
                <w:rFonts w:ascii="Times New Roman" w:eastAsia="Times New Roman" w:hAnsi="Times New Roman" w:cs="Times New Roman"/>
                <w:color w:val="000000"/>
                <w:spacing w:val="0"/>
                <w:w w:val="100"/>
                <w:position w:val="0"/>
                <w:sz w:val="20"/>
                <w:szCs w:val="20"/>
              </w:rPr>
              <w:t>2,926</w:t>
            </w:r>
          </w:p>
        </w:tc>
        <w:tc>
          <w:tcPr>
            <w:tcBorders>
              <w:top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left"/>
              <w:rPr>
                <w:sz w:val="20"/>
                <w:szCs w:val="20"/>
              </w:rPr>
            </w:pPr>
            <w:r>
              <w:rPr>
                <w:rFonts w:ascii="Times New Roman" w:eastAsia="Times New Roman" w:hAnsi="Times New Roman" w:cs="Times New Roman"/>
                <w:color w:val="000000"/>
                <w:spacing w:val="0"/>
                <w:w w:val="100"/>
                <w:position w:val="0"/>
                <w:sz w:val="20"/>
                <w:szCs w:val="20"/>
              </w:rPr>
              <w:t>446,921</w:t>
            </w:r>
          </w:p>
        </w:tc>
        <w:tc>
          <w:tcPr>
            <w:tcBorders>
              <w:top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(441,468)</w:t>
            </w:r>
          </w:p>
        </w:tc>
        <w:tc>
          <w:tcPr>
            <w:tcBorders>
              <w:top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8,379</w:t>
            </w:r>
          </w:p>
        </w:tc>
      </w:tr>
    </w:tbl>
    <w:p>
      <w:pPr>
        <w:spacing w:lineRule="exact" w:line="1"/>
        <w:rPr>
          <w:sz w:val="2"/>
          <w:szCs w:val="2"/>
        </w:rPr>
      </w:pPr>
      <w:r>
        <w:br w:type="page"/>
      </w:r>
    </w:p>
    <w:p>
      <w:pPr>
        <w:pStyle w:val="Style32"/>
        <w:keepNext w:val="0"/>
        <w:keepLines w:val="0"/>
        <w:widowControl w:val="0"/>
        <w:shd w:val="clear" w:color="auto" w:fill="auto"/>
        <w:bidi w:val="0"/>
        <w:spacing w:before="0" w:after="0" w:line="240" w:lineRule="auto"/>
        <w:ind w:left="0" w:right="0" w:firstLine="740"/>
        <w:jc w:val="left"/>
        <w:rPr>
          <w:sz w:val="24"/>
          <w:szCs w:val="24"/>
        </w:rPr>
      </w:pPr>
      <w:r>
        <w:rPr>
          <w:b/>
          <w:bCs/>
          <w:color w:val="000000"/>
          <w:spacing w:val="0"/>
          <w:w w:val="100"/>
          <w:position w:val="0"/>
          <w:sz w:val="24"/>
          <w:szCs w:val="24"/>
        </w:rPr>
        <w:t>财务报表附注</w:t>
      </w:r>
    </w:p>
    <w:p>
      <w:pPr>
        <w:pStyle w:val="Style88"/>
        <w:keepNext/>
        <w:keepLines/>
        <w:widowControl w:val="0"/>
        <w:shd w:val="clear" w:color="auto" w:fill="auto"/>
        <w:bidi w:val="0"/>
        <w:spacing w:before="0" w:after="0" w:line="240" w:lineRule="auto"/>
        <w:ind w:left="0" w:right="0" w:firstLine="740"/>
        <w:jc w:val="left"/>
      </w:pPr>
      <w:bookmarkStart w:id="939" w:name="bookmark939"/>
      <w:bookmarkStart w:id="940" w:name="bookmark940"/>
      <w:bookmarkStart w:id="941" w:name="bookmark941"/>
      <w:r>
        <w:rPr>
          <w:color w:val="000000"/>
          <w:spacing w:val="0"/>
          <w:w w:val="100"/>
          <w:position w:val="0"/>
          <w:sz w:val="24"/>
          <w:szCs w:val="24"/>
        </w:rPr>
        <w:t>2016</w:t>
      </w:r>
      <w:r>
        <w:rPr>
          <w:rFonts w:ascii="SimSun" w:eastAsia="SimSun" w:hAnsi="SimSun" w:cs="SimSun"/>
          <w:b/>
          <w:bCs/>
          <w:color w:val="000000"/>
          <w:spacing w:val="0"/>
          <w:w w:val="100"/>
          <w:position w:val="0"/>
          <w:sz w:val="24"/>
          <w:szCs w:val="24"/>
        </w:rPr>
        <w:t>年度</w:t>
      </w:r>
      <w:bookmarkEnd w:id="939"/>
      <w:bookmarkEnd w:id="940"/>
      <w:bookmarkEnd w:id="941"/>
    </w:p>
    <w:p>
      <w:pPr>
        <w:pStyle w:val="Style32"/>
        <w:keepNext w:val="0"/>
        <w:keepLines w:val="0"/>
        <w:widowControl w:val="0"/>
        <w:shd w:val="clear" w:color="auto" w:fill="auto"/>
        <w:bidi w:val="0"/>
        <w:spacing w:before="0" w:after="260" w:line="240" w:lineRule="auto"/>
        <w:ind w:left="0" w:right="0" w:firstLine="740"/>
        <w:jc w:val="left"/>
        <w:rPr>
          <w:sz w:val="20"/>
          <w:szCs w:val="20"/>
        </w:rPr>
      </w:pPr>
      <w:r>
        <w:rPr>
          <w:rFonts w:ascii="Arial" w:eastAsia="Arial" w:hAnsi="Arial" w:cs="Arial"/>
          <w:color w:val="000000"/>
          <w:spacing w:val="0"/>
          <w:w w:val="100"/>
          <w:position w:val="0"/>
          <w:sz w:val="20"/>
          <w:szCs w:val="20"/>
        </w:rPr>
        <w:t>（</w:t>
      </w:r>
      <w:r>
        <w:rPr>
          <w:color w:val="000000"/>
          <w:spacing w:val="0"/>
          <w:w w:val="100"/>
          <w:position w:val="0"/>
          <w:sz w:val="20"/>
          <w:szCs w:val="20"/>
        </w:rPr>
        <w:t>除特别注明外，金额单位为人民币千元</w:t>
      </w:r>
      <w:r>
        <w:rPr>
          <w:rFonts w:ascii="Arial" w:eastAsia="Arial" w:hAnsi="Arial" w:cs="Arial"/>
          <w:color w:val="000000"/>
          <w:spacing w:val="0"/>
          <w:w w:val="100"/>
          <w:position w:val="0"/>
          <w:sz w:val="20"/>
          <w:szCs w:val="20"/>
        </w:rPr>
        <w:t>）</w:t>
      </w:r>
    </w:p>
    <w:p>
      <w:pPr>
        <w:pStyle w:val="Style32"/>
        <w:keepNext w:val="0"/>
        <w:keepLines w:val="0"/>
        <w:widowControl w:val="0"/>
        <w:shd w:val="clear" w:color="auto" w:fill="auto"/>
        <w:tabs>
          <w:tab w:pos="538" w:val="left"/>
        </w:tabs>
        <w:bidi w:val="0"/>
        <w:spacing w:before="0" w:after="260" w:line="240" w:lineRule="auto"/>
        <w:ind w:left="0" w:right="0" w:firstLine="0"/>
        <w:jc w:val="left"/>
        <w:rPr>
          <w:sz w:val="24"/>
          <w:szCs w:val="24"/>
        </w:rPr>
      </w:pPr>
      <w:r>
        <w:rPr>
          <w:b/>
          <w:bCs/>
          <w:color w:val="000000"/>
          <w:spacing w:val="0"/>
          <w:w w:val="100"/>
          <w:position w:val="0"/>
          <w:sz w:val="24"/>
          <w:szCs w:val="24"/>
        </w:rPr>
        <w:t>四</w:t>
        <w:tab/>
        <w:t>合并财务报表项目附注</w:t>
      </w:r>
      <w:r>
        <w:rPr>
          <w:rFonts w:ascii="Times New Roman" w:eastAsia="Times New Roman" w:hAnsi="Times New Roman" w:cs="Times New Roman"/>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4"/>
          <w:szCs w:val="24"/>
        </w:rPr>
        <w:t>）</w:t>
      </w:r>
    </w:p>
    <w:tbl>
      <w:tblPr>
        <w:tblOverlap w:val="never"/>
        <w:jc w:val="left"/>
        <w:tblLayout w:type="fixed"/>
      </w:tblPr>
      <w:tblGrid>
        <w:gridCol w:w="2899"/>
        <w:gridCol w:w="2890"/>
        <w:gridCol w:w="2477"/>
      </w:tblGrid>
      <w:tr>
        <w:trPr>
          <w:trHeight w:val="437" w:hRule="exact"/>
        </w:trPr>
        <w:tc>
          <w:tcPr>
            <w:tcBorders/>
            <w:shd w:val="clear" w:color="auto" w:fill="FFFFFF"/>
            <w:vAlign w:val="top"/>
          </w:tcPr>
          <w:p>
            <w:pPr>
              <w:framePr w:w="8266" w:h="10090" w:hSpace="648" w:vSpace="624" w:wrap="notBeside" w:vAnchor="text" w:hAnchor="text" w:x="886" w:y="625"/>
              <w:widowControl w:val="0"/>
              <w:rPr>
                <w:sz w:val="10"/>
                <w:szCs w:val="10"/>
              </w:rPr>
            </w:pPr>
          </w:p>
        </w:tc>
        <w:tc>
          <w:tcPr>
            <w:tcBorders/>
            <w:shd w:val="clear" w:color="auto" w:fill="FFFFFF"/>
            <w:vAlign w:val="top"/>
          </w:tcPr>
          <w:p>
            <w:pPr>
              <w:pStyle w:val="Style28"/>
              <w:keepNext w:val="0"/>
              <w:keepLines w:val="0"/>
              <w:framePr w:w="8266" w:h="10090" w:hSpace="648" w:vSpace="624" w:wrap="notBeside" w:vAnchor="text" w:hAnchor="text" w:x="886" w:y="625"/>
              <w:widowControl w:val="0"/>
              <w:shd w:val="clear" w:color="auto" w:fill="auto"/>
              <w:bidi w:val="0"/>
              <w:spacing w:before="0" w:after="0" w:line="240" w:lineRule="auto"/>
              <w:ind w:left="0" w:right="0" w:firstLine="480"/>
              <w:jc w:val="both"/>
              <w:rPr>
                <w:sz w:val="24"/>
                <w:szCs w:val="24"/>
              </w:rPr>
            </w:pP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w:t>
            </w:r>
          </w:p>
        </w:tc>
        <w:tc>
          <w:tcPr>
            <w:tcBorders/>
            <w:shd w:val="clear" w:color="auto" w:fill="FFFFFF"/>
            <w:vAlign w:val="top"/>
          </w:tcPr>
          <w:p>
            <w:pPr>
              <w:pStyle w:val="Style28"/>
              <w:keepNext w:val="0"/>
              <w:keepLines w:val="0"/>
              <w:framePr w:w="8266" w:h="10090" w:hSpace="648" w:vSpace="624" w:wrap="notBeside" w:vAnchor="text" w:hAnchor="text" w:x="886" w:y="625"/>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2015</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w:t>
            </w:r>
          </w:p>
        </w:tc>
      </w:tr>
      <w:tr>
        <w:trPr>
          <w:trHeight w:val="451" w:hRule="exact"/>
        </w:trPr>
        <w:tc>
          <w:tcPr>
            <w:tcBorders/>
            <w:shd w:val="clear" w:color="auto" w:fill="FFFFFF"/>
            <w:vAlign w:val="bottom"/>
          </w:tcPr>
          <w:p>
            <w:pPr>
              <w:pStyle w:val="Style28"/>
              <w:keepNext w:val="0"/>
              <w:keepLines w:val="0"/>
              <w:framePr w:w="8266" w:h="10090" w:hSpace="648" w:vSpace="624" w:wrap="notBeside" w:vAnchor="text" w:hAnchor="text" w:x="886" w:y="625"/>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应交企业所得税</w:t>
            </w:r>
          </w:p>
        </w:tc>
        <w:tc>
          <w:tcPr>
            <w:tcBorders/>
            <w:shd w:val="clear" w:color="auto" w:fill="FFFFFF"/>
            <w:vAlign w:val="bottom"/>
          </w:tcPr>
          <w:p>
            <w:pPr>
              <w:pStyle w:val="Style28"/>
              <w:keepNext w:val="0"/>
              <w:keepLines w:val="0"/>
              <w:framePr w:w="8266" w:h="10090" w:hSpace="648" w:vSpace="624" w:wrap="notBeside" w:vAnchor="text" w:hAnchor="text" w:x="886" w:y="625"/>
              <w:widowControl w:val="0"/>
              <w:shd w:val="clear" w:color="auto" w:fill="auto"/>
              <w:bidi w:val="0"/>
              <w:spacing w:before="0" w:after="0" w:line="240" w:lineRule="auto"/>
              <w:ind w:left="1600" w:right="0" w:firstLine="0"/>
              <w:jc w:val="left"/>
              <w:rPr>
                <w:sz w:val="24"/>
                <w:szCs w:val="24"/>
              </w:rPr>
            </w:pPr>
            <w:r>
              <w:rPr>
                <w:rFonts w:ascii="Times New Roman" w:eastAsia="Times New Roman" w:hAnsi="Times New Roman" w:cs="Times New Roman"/>
                <w:color w:val="000000"/>
                <w:spacing w:val="0"/>
                <w:w w:val="100"/>
                <w:position w:val="0"/>
                <w:sz w:val="24"/>
                <w:szCs w:val="24"/>
              </w:rPr>
              <w:t>755,446</w:t>
            </w:r>
          </w:p>
        </w:tc>
        <w:tc>
          <w:tcPr>
            <w:tcBorders/>
            <w:shd w:val="clear" w:color="auto" w:fill="FFFFFF"/>
            <w:vAlign w:val="bottom"/>
          </w:tcPr>
          <w:p>
            <w:pPr>
              <w:pStyle w:val="Style28"/>
              <w:keepNext w:val="0"/>
              <w:keepLines w:val="0"/>
              <w:framePr w:w="8266" w:h="10090" w:hSpace="648" w:vSpace="624" w:wrap="notBeside" w:vAnchor="text" w:hAnchor="text" w:x="886" w:y="625"/>
              <w:widowControl w:val="0"/>
              <w:shd w:val="clear" w:color="auto" w:fill="auto"/>
              <w:bidi w:val="0"/>
              <w:spacing w:before="0" w:after="0" w:line="240" w:lineRule="auto"/>
              <w:ind w:left="1560" w:right="0" w:firstLine="0"/>
              <w:jc w:val="both"/>
              <w:rPr>
                <w:sz w:val="24"/>
                <w:szCs w:val="24"/>
              </w:rPr>
            </w:pPr>
            <w:r>
              <w:rPr>
                <w:rFonts w:ascii="Times New Roman" w:eastAsia="Times New Roman" w:hAnsi="Times New Roman" w:cs="Times New Roman"/>
                <w:color w:val="000000"/>
                <w:spacing w:val="0"/>
                <w:w w:val="100"/>
                <w:position w:val="0"/>
                <w:sz w:val="24"/>
                <w:szCs w:val="24"/>
              </w:rPr>
              <w:t>522,270</w:t>
            </w:r>
          </w:p>
        </w:tc>
      </w:tr>
      <w:tr>
        <w:trPr>
          <w:trHeight w:val="317" w:hRule="exact"/>
        </w:trPr>
        <w:tc>
          <w:tcPr>
            <w:tcBorders/>
            <w:shd w:val="clear" w:color="auto" w:fill="FFFFFF"/>
            <w:vAlign w:val="bottom"/>
          </w:tcPr>
          <w:p>
            <w:pPr>
              <w:pStyle w:val="Style28"/>
              <w:keepNext w:val="0"/>
              <w:keepLines w:val="0"/>
              <w:framePr w:w="8266" w:h="10090" w:hSpace="648" w:vSpace="624" w:wrap="notBeside" w:vAnchor="text" w:hAnchor="text" w:x="886" w:y="625"/>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未交增值税</w:t>
            </w:r>
          </w:p>
        </w:tc>
        <w:tc>
          <w:tcPr>
            <w:tcBorders/>
            <w:shd w:val="clear" w:color="auto" w:fill="FFFFFF"/>
            <w:vAlign w:val="bottom"/>
          </w:tcPr>
          <w:p>
            <w:pPr>
              <w:pStyle w:val="Style28"/>
              <w:keepNext w:val="0"/>
              <w:keepLines w:val="0"/>
              <w:framePr w:w="8266" w:h="10090" w:hSpace="648" w:vSpace="624" w:wrap="notBeside" w:vAnchor="text" w:hAnchor="text" w:x="886" w:y="625"/>
              <w:widowControl w:val="0"/>
              <w:shd w:val="clear" w:color="auto" w:fill="auto"/>
              <w:bidi w:val="0"/>
              <w:spacing w:before="0" w:after="0" w:line="240" w:lineRule="auto"/>
              <w:ind w:left="1600" w:right="0" w:firstLine="0"/>
              <w:jc w:val="left"/>
              <w:rPr>
                <w:sz w:val="24"/>
                <w:szCs w:val="24"/>
              </w:rPr>
            </w:pPr>
            <w:r>
              <w:rPr>
                <w:rFonts w:ascii="Times New Roman" w:eastAsia="Times New Roman" w:hAnsi="Times New Roman" w:cs="Times New Roman"/>
                <w:color w:val="000000"/>
                <w:spacing w:val="0"/>
                <w:w w:val="100"/>
                <w:position w:val="0"/>
                <w:sz w:val="24"/>
                <w:szCs w:val="24"/>
              </w:rPr>
              <w:t>222,414</w:t>
            </w:r>
          </w:p>
        </w:tc>
        <w:tc>
          <w:tcPr>
            <w:tcBorders/>
            <w:shd w:val="clear" w:color="auto" w:fill="FFFFFF"/>
            <w:vAlign w:val="bottom"/>
          </w:tcPr>
          <w:p>
            <w:pPr>
              <w:pStyle w:val="Style28"/>
              <w:keepNext w:val="0"/>
              <w:keepLines w:val="0"/>
              <w:framePr w:w="8266" w:h="10090" w:hSpace="648" w:vSpace="624" w:wrap="notBeside" w:vAnchor="text" w:hAnchor="text" w:x="886" w:y="625"/>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w:t>
            </w:r>
          </w:p>
        </w:tc>
      </w:tr>
      <w:tr>
        <w:trPr>
          <w:trHeight w:val="307" w:hRule="exact"/>
        </w:trPr>
        <w:tc>
          <w:tcPr>
            <w:tcBorders/>
            <w:shd w:val="clear" w:color="auto" w:fill="FFFFFF"/>
            <w:vAlign w:val="bottom"/>
          </w:tcPr>
          <w:p>
            <w:pPr>
              <w:pStyle w:val="Style28"/>
              <w:keepNext w:val="0"/>
              <w:keepLines w:val="0"/>
              <w:framePr w:w="8266" w:h="10090" w:hSpace="648" w:vSpace="624" w:wrap="notBeside" w:vAnchor="text" w:hAnchor="text" w:x="886" w:y="625"/>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应交增值税</w:t>
            </w:r>
          </w:p>
        </w:tc>
        <w:tc>
          <w:tcPr>
            <w:tcBorders/>
            <w:shd w:val="clear" w:color="auto" w:fill="FFFFFF"/>
            <w:vAlign w:val="bottom"/>
          </w:tcPr>
          <w:p>
            <w:pPr>
              <w:pStyle w:val="Style28"/>
              <w:keepNext w:val="0"/>
              <w:keepLines w:val="0"/>
              <w:framePr w:w="8266" w:h="10090" w:hSpace="648" w:vSpace="624" w:wrap="notBeside" w:vAnchor="text" w:hAnchor="text" w:x="886" w:y="625"/>
              <w:widowControl w:val="0"/>
              <w:shd w:val="clear" w:color="auto" w:fill="auto"/>
              <w:bidi w:val="0"/>
              <w:spacing w:before="0" w:after="0" w:line="240" w:lineRule="auto"/>
              <w:ind w:left="0" w:right="400" w:firstLine="0"/>
              <w:jc w:val="right"/>
              <w:rPr>
                <w:sz w:val="24"/>
                <w:szCs w:val="24"/>
              </w:rPr>
            </w:pPr>
            <w:r>
              <w:rPr>
                <w:rFonts w:ascii="Times New Roman" w:eastAsia="Times New Roman" w:hAnsi="Times New Roman" w:cs="Times New Roman"/>
                <w:color w:val="000000"/>
                <w:spacing w:val="0"/>
                <w:w w:val="100"/>
                <w:position w:val="0"/>
                <w:sz w:val="24"/>
                <w:szCs w:val="24"/>
              </w:rPr>
              <w:t>-</w:t>
            </w:r>
          </w:p>
        </w:tc>
        <w:tc>
          <w:tcPr>
            <w:tcBorders/>
            <w:shd w:val="clear" w:color="auto" w:fill="FFFFFF"/>
            <w:vAlign w:val="bottom"/>
          </w:tcPr>
          <w:p>
            <w:pPr>
              <w:pStyle w:val="Style28"/>
              <w:keepNext w:val="0"/>
              <w:keepLines w:val="0"/>
              <w:framePr w:w="8266" w:h="10090" w:hSpace="648" w:vSpace="624" w:wrap="notBeside" w:vAnchor="text" w:hAnchor="text" w:x="886" w:y="625"/>
              <w:widowControl w:val="0"/>
              <w:shd w:val="clear" w:color="auto" w:fill="auto"/>
              <w:bidi w:val="0"/>
              <w:spacing w:before="0" w:after="0" w:line="240" w:lineRule="auto"/>
              <w:ind w:left="1560" w:right="0" w:firstLine="0"/>
              <w:jc w:val="both"/>
              <w:rPr>
                <w:sz w:val="24"/>
                <w:szCs w:val="24"/>
              </w:rPr>
            </w:pPr>
            <w:r>
              <w:rPr>
                <w:rFonts w:ascii="Times New Roman" w:eastAsia="Times New Roman" w:hAnsi="Times New Roman" w:cs="Times New Roman"/>
                <w:color w:val="000000"/>
                <w:spacing w:val="0"/>
                <w:w w:val="100"/>
                <w:position w:val="0"/>
                <w:sz w:val="24"/>
                <w:szCs w:val="24"/>
              </w:rPr>
              <w:t>328,268</w:t>
            </w:r>
          </w:p>
        </w:tc>
      </w:tr>
      <w:tr>
        <w:trPr>
          <w:trHeight w:val="302" w:hRule="exact"/>
        </w:trPr>
        <w:tc>
          <w:tcPr>
            <w:tcBorders/>
            <w:shd w:val="clear" w:color="auto" w:fill="FFFFFF"/>
            <w:vAlign w:val="bottom"/>
          </w:tcPr>
          <w:p>
            <w:pPr>
              <w:pStyle w:val="Style28"/>
              <w:keepNext w:val="0"/>
              <w:keepLines w:val="0"/>
              <w:framePr w:w="8266" w:h="10090" w:hSpace="648" w:vSpace="624" w:wrap="notBeside" w:vAnchor="text" w:hAnchor="text" w:x="886" w:y="625"/>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应交城市维护建设税</w:t>
            </w:r>
          </w:p>
        </w:tc>
        <w:tc>
          <w:tcPr>
            <w:tcBorders/>
            <w:shd w:val="clear" w:color="auto" w:fill="FFFFFF"/>
            <w:vAlign w:val="bottom"/>
          </w:tcPr>
          <w:p>
            <w:pPr>
              <w:pStyle w:val="Style28"/>
              <w:keepNext w:val="0"/>
              <w:keepLines w:val="0"/>
              <w:framePr w:w="8266" w:h="10090" w:hSpace="648" w:vSpace="624" w:wrap="notBeside" w:vAnchor="text" w:hAnchor="text" w:x="886" w:y="625"/>
              <w:widowControl w:val="0"/>
              <w:shd w:val="clear" w:color="auto" w:fill="auto"/>
              <w:bidi w:val="0"/>
              <w:spacing w:before="0" w:after="0" w:line="240" w:lineRule="auto"/>
              <w:ind w:left="1720" w:right="0" w:firstLine="0"/>
              <w:jc w:val="left"/>
              <w:rPr>
                <w:sz w:val="24"/>
                <w:szCs w:val="24"/>
              </w:rPr>
            </w:pPr>
            <w:r>
              <w:rPr>
                <w:rFonts w:ascii="Times New Roman" w:eastAsia="Times New Roman" w:hAnsi="Times New Roman" w:cs="Times New Roman"/>
                <w:color w:val="000000"/>
                <w:spacing w:val="0"/>
                <w:w w:val="100"/>
                <w:position w:val="0"/>
                <w:sz w:val="24"/>
                <w:szCs w:val="24"/>
              </w:rPr>
              <w:t>24,384</w:t>
            </w:r>
          </w:p>
        </w:tc>
        <w:tc>
          <w:tcPr>
            <w:tcBorders/>
            <w:shd w:val="clear" w:color="auto" w:fill="FFFFFF"/>
            <w:vAlign w:val="bottom"/>
          </w:tcPr>
          <w:p>
            <w:pPr>
              <w:pStyle w:val="Style28"/>
              <w:keepNext w:val="0"/>
              <w:keepLines w:val="0"/>
              <w:framePr w:w="8266" w:h="10090" w:hSpace="648" w:vSpace="624" w:wrap="notBeside" w:vAnchor="text" w:hAnchor="text" w:x="886" w:y="625"/>
              <w:widowControl w:val="0"/>
              <w:shd w:val="clear" w:color="auto" w:fill="auto"/>
              <w:bidi w:val="0"/>
              <w:spacing w:before="0" w:after="0" w:line="240" w:lineRule="auto"/>
              <w:ind w:left="1620" w:right="0" w:firstLine="0"/>
              <w:jc w:val="both"/>
              <w:rPr>
                <w:sz w:val="24"/>
                <w:szCs w:val="24"/>
              </w:rPr>
            </w:pPr>
            <w:r>
              <w:rPr>
                <w:rFonts w:ascii="Times New Roman" w:eastAsia="Times New Roman" w:hAnsi="Times New Roman" w:cs="Times New Roman"/>
                <w:color w:val="000000"/>
                <w:spacing w:val="0"/>
                <w:w w:val="100"/>
                <w:position w:val="0"/>
                <w:sz w:val="24"/>
                <w:szCs w:val="24"/>
              </w:rPr>
              <w:t>35,709</w:t>
            </w:r>
          </w:p>
        </w:tc>
      </w:tr>
      <w:tr>
        <w:trPr>
          <w:trHeight w:val="317" w:hRule="exact"/>
        </w:trPr>
        <w:tc>
          <w:tcPr>
            <w:tcBorders/>
            <w:shd w:val="clear" w:color="auto" w:fill="FFFFFF"/>
            <w:vAlign w:val="bottom"/>
          </w:tcPr>
          <w:p>
            <w:pPr>
              <w:pStyle w:val="Style28"/>
              <w:keepNext w:val="0"/>
              <w:keepLines w:val="0"/>
              <w:framePr w:w="8266" w:h="10090" w:hSpace="648" w:vSpace="624" w:wrap="notBeside" w:vAnchor="text" w:hAnchor="text" w:x="886" w:y="625"/>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应交个人所得税</w:t>
            </w:r>
          </w:p>
        </w:tc>
        <w:tc>
          <w:tcPr>
            <w:tcBorders/>
            <w:shd w:val="clear" w:color="auto" w:fill="FFFFFF"/>
            <w:vAlign w:val="bottom"/>
          </w:tcPr>
          <w:p>
            <w:pPr>
              <w:pStyle w:val="Style28"/>
              <w:keepNext w:val="0"/>
              <w:keepLines w:val="0"/>
              <w:framePr w:w="8266" w:h="10090" w:hSpace="648" w:vSpace="624" w:wrap="notBeside" w:vAnchor="text" w:hAnchor="text" w:x="886" w:y="625"/>
              <w:widowControl w:val="0"/>
              <w:shd w:val="clear" w:color="auto" w:fill="auto"/>
              <w:bidi w:val="0"/>
              <w:spacing w:before="0" w:after="0" w:line="240" w:lineRule="auto"/>
              <w:ind w:left="1720" w:right="0" w:firstLine="0"/>
              <w:jc w:val="left"/>
              <w:rPr>
                <w:sz w:val="24"/>
                <w:szCs w:val="24"/>
              </w:rPr>
            </w:pPr>
            <w:r>
              <w:rPr>
                <w:rFonts w:ascii="Times New Roman" w:eastAsia="Times New Roman" w:hAnsi="Times New Roman" w:cs="Times New Roman"/>
                <w:color w:val="000000"/>
                <w:spacing w:val="0"/>
                <w:w w:val="100"/>
                <w:position w:val="0"/>
                <w:sz w:val="24"/>
                <w:szCs w:val="24"/>
              </w:rPr>
              <w:t>16,888</w:t>
            </w:r>
          </w:p>
        </w:tc>
        <w:tc>
          <w:tcPr>
            <w:tcBorders/>
            <w:shd w:val="clear" w:color="auto" w:fill="FFFFFF"/>
            <w:vAlign w:val="bottom"/>
          </w:tcPr>
          <w:p>
            <w:pPr>
              <w:pStyle w:val="Style28"/>
              <w:keepNext w:val="0"/>
              <w:keepLines w:val="0"/>
              <w:framePr w:w="8266" w:h="10090" w:hSpace="648" w:vSpace="624" w:wrap="notBeside" w:vAnchor="text" w:hAnchor="text" w:x="886" w:y="625"/>
              <w:widowControl w:val="0"/>
              <w:shd w:val="clear" w:color="auto" w:fill="auto"/>
              <w:bidi w:val="0"/>
              <w:spacing w:before="0" w:after="0" w:line="240" w:lineRule="auto"/>
              <w:ind w:left="1620" w:right="0" w:firstLine="0"/>
              <w:jc w:val="both"/>
              <w:rPr>
                <w:sz w:val="24"/>
                <w:szCs w:val="24"/>
              </w:rPr>
            </w:pPr>
            <w:r>
              <w:rPr>
                <w:rFonts w:ascii="Times New Roman" w:eastAsia="Times New Roman" w:hAnsi="Times New Roman" w:cs="Times New Roman"/>
                <w:color w:val="000000"/>
                <w:spacing w:val="0"/>
                <w:w w:val="100"/>
                <w:position w:val="0"/>
                <w:sz w:val="24"/>
                <w:szCs w:val="24"/>
              </w:rPr>
              <w:t>12,426</w:t>
            </w:r>
          </w:p>
        </w:tc>
      </w:tr>
      <w:tr>
        <w:trPr>
          <w:trHeight w:val="312" w:hRule="exact"/>
        </w:trPr>
        <w:tc>
          <w:tcPr>
            <w:tcBorders/>
            <w:shd w:val="clear" w:color="auto" w:fill="FFFFFF"/>
            <w:vAlign w:val="bottom"/>
          </w:tcPr>
          <w:p>
            <w:pPr>
              <w:pStyle w:val="Style28"/>
              <w:keepNext w:val="0"/>
              <w:keepLines w:val="0"/>
              <w:framePr w:w="8266" w:h="10090" w:hSpace="648" w:vSpace="624" w:wrap="notBeside" w:vAnchor="text" w:hAnchor="text" w:x="886" w:y="625"/>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应交教育费附加</w:t>
            </w:r>
          </w:p>
        </w:tc>
        <w:tc>
          <w:tcPr>
            <w:tcBorders/>
            <w:shd w:val="clear" w:color="auto" w:fill="FFFFFF"/>
            <w:vAlign w:val="bottom"/>
          </w:tcPr>
          <w:p>
            <w:pPr>
              <w:pStyle w:val="Style28"/>
              <w:keepNext w:val="0"/>
              <w:keepLines w:val="0"/>
              <w:framePr w:w="8266" w:h="10090" w:hSpace="648" w:vSpace="624" w:wrap="notBeside" w:vAnchor="text" w:hAnchor="text" w:x="886" w:y="625"/>
              <w:widowControl w:val="0"/>
              <w:shd w:val="clear" w:color="auto" w:fill="auto"/>
              <w:bidi w:val="0"/>
              <w:spacing w:before="0" w:after="0" w:line="240" w:lineRule="auto"/>
              <w:ind w:left="1720" w:right="0" w:firstLine="0"/>
              <w:jc w:val="left"/>
              <w:rPr>
                <w:sz w:val="24"/>
                <w:szCs w:val="24"/>
              </w:rPr>
            </w:pPr>
            <w:r>
              <w:rPr>
                <w:rFonts w:ascii="Times New Roman" w:eastAsia="Times New Roman" w:hAnsi="Times New Roman" w:cs="Times New Roman"/>
                <w:color w:val="000000"/>
                <w:spacing w:val="0"/>
                <w:w w:val="100"/>
                <w:position w:val="0"/>
                <w:sz w:val="24"/>
                <w:szCs w:val="24"/>
              </w:rPr>
              <w:t>16,292</w:t>
            </w:r>
          </w:p>
        </w:tc>
        <w:tc>
          <w:tcPr>
            <w:tcBorders/>
            <w:shd w:val="clear" w:color="auto" w:fill="FFFFFF"/>
            <w:vAlign w:val="bottom"/>
          </w:tcPr>
          <w:p>
            <w:pPr>
              <w:pStyle w:val="Style28"/>
              <w:keepNext w:val="0"/>
              <w:keepLines w:val="0"/>
              <w:framePr w:w="8266" w:h="10090" w:hSpace="648" w:vSpace="624" w:wrap="notBeside" w:vAnchor="text" w:hAnchor="text" w:x="886" w:y="625"/>
              <w:widowControl w:val="0"/>
              <w:shd w:val="clear" w:color="auto" w:fill="auto"/>
              <w:bidi w:val="0"/>
              <w:spacing w:before="0" w:after="0" w:line="240" w:lineRule="auto"/>
              <w:ind w:left="1620" w:right="0" w:firstLine="0"/>
              <w:jc w:val="both"/>
              <w:rPr>
                <w:sz w:val="24"/>
                <w:szCs w:val="24"/>
              </w:rPr>
            </w:pPr>
            <w:r>
              <w:rPr>
                <w:rFonts w:ascii="Times New Roman" w:eastAsia="Times New Roman" w:hAnsi="Times New Roman" w:cs="Times New Roman"/>
                <w:color w:val="000000"/>
                <w:spacing w:val="0"/>
                <w:w w:val="100"/>
                <w:position w:val="0"/>
                <w:sz w:val="24"/>
                <w:szCs w:val="24"/>
              </w:rPr>
              <w:t>25,448</w:t>
            </w:r>
          </w:p>
        </w:tc>
      </w:tr>
      <w:tr>
        <w:trPr>
          <w:trHeight w:val="312" w:hRule="exact"/>
        </w:trPr>
        <w:tc>
          <w:tcPr>
            <w:tcBorders/>
            <w:shd w:val="clear" w:color="auto" w:fill="FFFFFF"/>
            <w:vAlign w:val="bottom"/>
          </w:tcPr>
          <w:p>
            <w:pPr>
              <w:pStyle w:val="Style28"/>
              <w:keepNext w:val="0"/>
              <w:keepLines w:val="0"/>
              <w:framePr w:w="8266" w:h="10090" w:hSpace="648" w:vSpace="624" w:wrap="notBeside" w:vAnchor="text" w:hAnchor="text" w:x="886" w:y="625"/>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应交营业税</w:t>
            </w:r>
          </w:p>
        </w:tc>
        <w:tc>
          <w:tcPr>
            <w:tcBorders/>
            <w:shd w:val="clear" w:color="auto" w:fill="FFFFFF"/>
            <w:vAlign w:val="bottom"/>
          </w:tcPr>
          <w:p>
            <w:pPr>
              <w:pStyle w:val="Style28"/>
              <w:keepNext w:val="0"/>
              <w:keepLines w:val="0"/>
              <w:framePr w:w="8266" w:h="10090" w:hSpace="648" w:vSpace="624" w:wrap="notBeside" w:vAnchor="text" w:hAnchor="text" w:x="886" w:y="625"/>
              <w:widowControl w:val="0"/>
              <w:shd w:val="clear" w:color="auto" w:fill="auto"/>
              <w:bidi w:val="0"/>
              <w:spacing w:before="0" w:after="0" w:line="240" w:lineRule="auto"/>
              <w:ind w:left="1840" w:right="0" w:firstLine="0"/>
              <w:jc w:val="left"/>
              <w:rPr>
                <w:sz w:val="24"/>
                <w:szCs w:val="24"/>
              </w:rPr>
            </w:pPr>
            <w:r>
              <w:rPr>
                <w:rFonts w:ascii="Times New Roman" w:eastAsia="Times New Roman" w:hAnsi="Times New Roman" w:cs="Times New Roman"/>
                <w:color w:val="000000"/>
                <w:spacing w:val="0"/>
                <w:w w:val="100"/>
                <w:position w:val="0"/>
                <w:sz w:val="24"/>
                <w:szCs w:val="24"/>
              </w:rPr>
              <w:t>2,405</w:t>
            </w:r>
          </w:p>
        </w:tc>
        <w:tc>
          <w:tcPr>
            <w:tcBorders/>
            <w:shd w:val="clear" w:color="auto" w:fill="FFFFFF"/>
            <w:vAlign w:val="bottom"/>
          </w:tcPr>
          <w:p>
            <w:pPr>
              <w:pStyle w:val="Style28"/>
              <w:keepNext w:val="0"/>
              <w:keepLines w:val="0"/>
              <w:framePr w:w="8266" w:h="10090" w:hSpace="648" w:vSpace="624" w:wrap="notBeside" w:vAnchor="text" w:hAnchor="text" w:x="886" w:y="625"/>
              <w:widowControl w:val="0"/>
              <w:shd w:val="clear" w:color="auto" w:fill="auto"/>
              <w:bidi w:val="0"/>
              <w:spacing w:before="0" w:after="0" w:line="240" w:lineRule="auto"/>
              <w:ind w:left="1620" w:right="0" w:firstLine="0"/>
              <w:jc w:val="both"/>
              <w:rPr>
                <w:sz w:val="24"/>
                <w:szCs w:val="24"/>
              </w:rPr>
            </w:pPr>
            <w:r>
              <w:rPr>
                <w:rFonts w:ascii="Times New Roman" w:eastAsia="Times New Roman" w:hAnsi="Times New Roman" w:cs="Times New Roman"/>
                <w:color w:val="000000"/>
                <w:spacing w:val="0"/>
                <w:w w:val="100"/>
                <w:position w:val="0"/>
                <w:sz w:val="24"/>
                <w:szCs w:val="24"/>
              </w:rPr>
              <w:t>33,556</w:t>
            </w:r>
          </w:p>
        </w:tc>
      </w:tr>
      <w:tr>
        <w:trPr>
          <w:trHeight w:val="322" w:hRule="exact"/>
        </w:trPr>
        <w:tc>
          <w:tcPr>
            <w:tcBorders/>
            <w:shd w:val="clear" w:color="auto" w:fill="FFFFFF"/>
            <w:vAlign w:val="bottom"/>
          </w:tcPr>
          <w:p>
            <w:pPr>
              <w:pStyle w:val="Style28"/>
              <w:keepNext w:val="0"/>
              <w:keepLines w:val="0"/>
              <w:framePr w:w="8266" w:h="10090" w:hSpace="648" w:vSpace="624" w:wrap="notBeside" w:vAnchor="text" w:hAnchor="text" w:x="886" w:y="625"/>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应交土地增值税</w:t>
            </w:r>
          </w:p>
        </w:tc>
        <w:tc>
          <w:tcPr>
            <w:tcBorders/>
            <w:shd w:val="clear" w:color="auto" w:fill="FFFFFF"/>
            <w:vAlign w:val="bottom"/>
          </w:tcPr>
          <w:p>
            <w:pPr>
              <w:pStyle w:val="Style28"/>
              <w:keepNext w:val="0"/>
              <w:keepLines w:val="0"/>
              <w:framePr w:w="8266" w:h="10090" w:hSpace="648" w:vSpace="624" w:wrap="notBeside" w:vAnchor="text" w:hAnchor="text" w:x="886" w:y="625"/>
              <w:widowControl w:val="0"/>
              <w:shd w:val="clear" w:color="auto" w:fill="auto"/>
              <w:bidi w:val="0"/>
              <w:spacing w:before="0" w:after="0" w:line="240" w:lineRule="auto"/>
              <w:ind w:left="0" w:right="400" w:firstLine="0"/>
              <w:jc w:val="right"/>
              <w:rPr>
                <w:sz w:val="24"/>
                <w:szCs w:val="24"/>
              </w:rPr>
            </w:pPr>
            <w:r>
              <w:rPr>
                <w:rFonts w:ascii="Times New Roman" w:eastAsia="Times New Roman" w:hAnsi="Times New Roman" w:cs="Times New Roman"/>
                <w:color w:val="000000"/>
                <w:spacing w:val="0"/>
                <w:w w:val="100"/>
                <w:position w:val="0"/>
                <w:sz w:val="24"/>
                <w:szCs w:val="24"/>
              </w:rPr>
              <w:t>-</w:t>
            </w:r>
          </w:p>
        </w:tc>
        <w:tc>
          <w:tcPr>
            <w:tcBorders/>
            <w:shd w:val="clear" w:color="auto" w:fill="FFFFFF"/>
            <w:vAlign w:val="bottom"/>
          </w:tcPr>
          <w:p>
            <w:pPr>
              <w:pStyle w:val="Style28"/>
              <w:keepNext w:val="0"/>
              <w:keepLines w:val="0"/>
              <w:framePr w:w="8266" w:h="10090" w:hSpace="648" w:vSpace="624" w:wrap="notBeside" w:vAnchor="text" w:hAnchor="text" w:x="886" w:y="625"/>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2,025</w:t>
            </w:r>
          </w:p>
        </w:tc>
      </w:tr>
      <w:tr>
        <w:trPr>
          <w:trHeight w:val="302" w:hRule="exact"/>
        </w:trPr>
        <w:tc>
          <w:tcPr>
            <w:tcBorders/>
            <w:shd w:val="clear" w:color="auto" w:fill="FFFFFF"/>
            <w:vAlign w:val="bottom"/>
          </w:tcPr>
          <w:p>
            <w:pPr>
              <w:pStyle w:val="Style28"/>
              <w:keepNext w:val="0"/>
              <w:keepLines w:val="0"/>
              <w:framePr w:w="8266" w:h="10090" w:hSpace="648" w:vSpace="624" w:wrap="notBeside" w:vAnchor="text" w:hAnchor="text" w:x="886" w:y="625"/>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其他</w:t>
            </w:r>
          </w:p>
        </w:tc>
        <w:tc>
          <w:tcPr>
            <w:tcBorders/>
            <w:shd w:val="clear" w:color="auto" w:fill="FFFFFF"/>
            <w:vAlign w:val="bottom"/>
          </w:tcPr>
          <w:p>
            <w:pPr>
              <w:pStyle w:val="Style28"/>
              <w:keepNext w:val="0"/>
              <w:keepLines w:val="0"/>
              <w:framePr w:w="8266" w:h="10090" w:hSpace="648" w:vSpace="624" w:wrap="notBeside" w:vAnchor="text" w:hAnchor="text" w:x="886" w:y="625"/>
              <w:widowControl w:val="0"/>
              <w:shd w:val="clear" w:color="auto" w:fill="auto"/>
              <w:bidi w:val="0"/>
              <w:spacing w:before="0" w:after="0" w:line="240" w:lineRule="auto"/>
              <w:ind w:left="1720" w:right="0" w:firstLine="0"/>
              <w:jc w:val="left"/>
              <w:rPr>
                <w:sz w:val="24"/>
                <w:szCs w:val="24"/>
              </w:rPr>
            </w:pPr>
            <w:r>
              <w:rPr>
                <w:rFonts w:ascii="Times New Roman" w:eastAsia="Times New Roman" w:hAnsi="Times New Roman" w:cs="Times New Roman"/>
                <w:color w:val="000000"/>
                <w:spacing w:val="0"/>
                <w:w w:val="100"/>
                <w:position w:val="0"/>
                <w:sz w:val="24"/>
                <w:szCs w:val="24"/>
              </w:rPr>
              <w:t>28,109</w:t>
            </w:r>
          </w:p>
        </w:tc>
        <w:tc>
          <w:tcPr>
            <w:tcBorders/>
            <w:shd w:val="clear" w:color="auto" w:fill="FFFFFF"/>
            <w:vAlign w:val="bottom"/>
          </w:tcPr>
          <w:p>
            <w:pPr>
              <w:pStyle w:val="Style28"/>
              <w:keepNext w:val="0"/>
              <w:keepLines w:val="0"/>
              <w:framePr w:w="8266" w:h="10090" w:hSpace="648" w:vSpace="624" w:wrap="notBeside" w:vAnchor="text" w:hAnchor="text" w:x="886" w:y="625"/>
              <w:widowControl w:val="0"/>
              <w:shd w:val="clear" w:color="auto" w:fill="auto"/>
              <w:bidi w:val="0"/>
              <w:spacing w:before="0" w:after="0" w:line="240" w:lineRule="auto"/>
              <w:ind w:left="1560" w:right="0" w:firstLine="0"/>
              <w:jc w:val="both"/>
              <w:rPr>
                <w:sz w:val="24"/>
                <w:szCs w:val="24"/>
              </w:rPr>
            </w:pPr>
            <w:r>
              <w:rPr>
                <w:rFonts w:ascii="Times New Roman" w:eastAsia="Times New Roman" w:hAnsi="Times New Roman" w:cs="Times New Roman"/>
                <w:color w:val="000000"/>
                <w:spacing w:val="0"/>
                <w:w w:val="100"/>
                <w:position w:val="0"/>
                <w:sz w:val="24"/>
                <w:szCs w:val="24"/>
              </w:rPr>
              <w:t>18,315</w:t>
            </w:r>
          </w:p>
        </w:tc>
      </w:tr>
      <w:tr>
        <w:trPr>
          <w:trHeight w:val="293" w:hRule="exact"/>
        </w:trPr>
        <w:tc>
          <w:tcPr>
            <w:tcBorders/>
            <w:shd w:val="clear" w:color="auto" w:fill="FFFFFF"/>
            <w:vAlign w:val="top"/>
          </w:tcPr>
          <w:p>
            <w:pPr>
              <w:framePr w:w="8266" w:h="10090" w:hSpace="648" w:vSpace="624" w:wrap="notBeside" w:vAnchor="text" w:hAnchor="text" w:x="886" w:y="625"/>
              <w:widowControl w:val="0"/>
              <w:rPr>
                <w:sz w:val="10"/>
                <w:szCs w:val="10"/>
              </w:rPr>
            </w:pPr>
          </w:p>
        </w:tc>
        <w:tc>
          <w:tcPr>
            <w:tcBorders>
              <w:top w:val="single" w:sz="4"/>
            </w:tcBorders>
            <w:shd w:val="clear" w:color="auto" w:fill="FFFFFF"/>
            <w:vAlign w:val="bottom"/>
          </w:tcPr>
          <w:p>
            <w:pPr>
              <w:pStyle w:val="Style28"/>
              <w:keepNext w:val="0"/>
              <w:keepLines w:val="0"/>
              <w:framePr w:w="8266" w:h="10090" w:hSpace="648" w:vSpace="624" w:wrap="notBeside" w:vAnchor="text" w:hAnchor="text" w:x="886" w:y="625"/>
              <w:widowControl w:val="0"/>
              <w:shd w:val="clear" w:color="auto" w:fill="auto"/>
              <w:bidi w:val="0"/>
              <w:spacing w:before="0" w:after="0" w:line="240" w:lineRule="auto"/>
              <w:ind w:left="0" w:right="400" w:firstLine="0"/>
              <w:jc w:val="right"/>
              <w:rPr>
                <w:sz w:val="24"/>
                <w:szCs w:val="24"/>
              </w:rPr>
            </w:pPr>
            <w:r>
              <w:rPr>
                <w:rFonts w:ascii="Times New Roman" w:eastAsia="Times New Roman" w:hAnsi="Times New Roman" w:cs="Times New Roman"/>
                <w:color w:val="000000"/>
                <w:spacing w:val="0"/>
                <w:w w:val="100"/>
                <w:position w:val="0"/>
                <w:sz w:val="24"/>
                <w:szCs w:val="24"/>
              </w:rPr>
              <w:t>1,065,938</w:t>
            </w:r>
          </w:p>
        </w:tc>
        <w:tc>
          <w:tcPr>
            <w:tcBorders>
              <w:top w:val="single" w:sz="4"/>
            </w:tcBorders>
            <w:shd w:val="clear" w:color="auto" w:fill="FFFFFF"/>
            <w:vAlign w:val="bottom"/>
          </w:tcPr>
          <w:p>
            <w:pPr>
              <w:pStyle w:val="Style28"/>
              <w:keepNext w:val="0"/>
              <w:keepLines w:val="0"/>
              <w:framePr w:w="8266" w:h="10090" w:hSpace="648" w:vSpace="624" w:wrap="notBeside" w:vAnchor="text" w:hAnchor="text" w:x="886" w:y="625"/>
              <w:widowControl w:val="0"/>
              <w:shd w:val="clear" w:color="auto" w:fill="auto"/>
              <w:bidi w:val="0"/>
              <w:spacing w:before="0" w:after="0" w:line="240" w:lineRule="auto"/>
              <w:ind w:left="1560" w:right="0" w:firstLine="0"/>
              <w:jc w:val="both"/>
              <w:rPr>
                <w:sz w:val="24"/>
                <w:szCs w:val="24"/>
              </w:rPr>
            </w:pPr>
            <w:r>
              <w:rPr>
                <w:rFonts w:ascii="Times New Roman" w:eastAsia="Times New Roman" w:hAnsi="Times New Roman" w:cs="Times New Roman"/>
                <w:color w:val="000000"/>
                <w:spacing w:val="0"/>
                <w:w w:val="100"/>
                <w:position w:val="0"/>
                <w:sz w:val="24"/>
                <w:szCs w:val="24"/>
              </w:rPr>
              <w:t>978,017</w:t>
            </w:r>
          </w:p>
        </w:tc>
      </w:tr>
      <w:tr>
        <w:trPr>
          <w:trHeight w:val="739" w:hRule="exact"/>
        </w:trPr>
        <w:tc>
          <w:tcPr>
            <w:tcBorders/>
            <w:shd w:val="clear" w:color="auto" w:fill="FFFFFF"/>
            <w:vAlign w:val="center"/>
          </w:tcPr>
          <w:p>
            <w:pPr>
              <w:pStyle w:val="Style28"/>
              <w:keepNext w:val="0"/>
              <w:keepLines w:val="0"/>
              <w:framePr w:w="8266" w:h="10090" w:hSpace="648" w:vSpace="624" w:wrap="notBeside" w:vAnchor="text" w:hAnchor="text" w:x="886" w:y="625"/>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应付利息</w:t>
            </w:r>
          </w:p>
        </w:tc>
        <w:tc>
          <w:tcPr>
            <w:tcBorders>
              <w:top w:val="single" w:sz="4"/>
            </w:tcBorders>
            <w:shd w:val="clear" w:color="auto" w:fill="FFFFFF"/>
            <w:vAlign w:val="top"/>
          </w:tcPr>
          <w:p>
            <w:pPr>
              <w:framePr w:w="8266" w:h="10090" w:hSpace="648" w:vSpace="624" w:wrap="notBeside" w:vAnchor="text" w:hAnchor="text" w:x="886" w:y="625"/>
              <w:widowControl w:val="0"/>
              <w:rPr>
                <w:sz w:val="10"/>
                <w:szCs w:val="10"/>
              </w:rPr>
            </w:pPr>
          </w:p>
        </w:tc>
        <w:tc>
          <w:tcPr>
            <w:tcBorders>
              <w:top w:val="single" w:sz="4"/>
            </w:tcBorders>
            <w:shd w:val="clear" w:color="auto" w:fill="FFFFFF"/>
            <w:vAlign w:val="top"/>
          </w:tcPr>
          <w:p>
            <w:pPr>
              <w:framePr w:w="8266" w:h="10090" w:hSpace="648" w:vSpace="624" w:wrap="notBeside" w:vAnchor="text" w:hAnchor="text" w:x="886" w:y="625"/>
              <w:widowControl w:val="0"/>
              <w:rPr>
                <w:sz w:val="10"/>
                <w:szCs w:val="10"/>
              </w:rPr>
            </w:pPr>
          </w:p>
        </w:tc>
      </w:tr>
      <w:tr>
        <w:trPr>
          <w:trHeight w:val="590" w:hRule="exact"/>
        </w:trPr>
        <w:tc>
          <w:tcPr>
            <w:tcBorders/>
            <w:shd w:val="clear" w:color="auto" w:fill="FFFFFF"/>
            <w:vAlign w:val="top"/>
          </w:tcPr>
          <w:p>
            <w:pPr>
              <w:framePr w:w="8266" w:h="10090" w:hSpace="648" w:vSpace="624" w:wrap="notBeside" w:vAnchor="text" w:hAnchor="text" w:x="886" w:y="625"/>
              <w:widowControl w:val="0"/>
              <w:rPr>
                <w:sz w:val="10"/>
                <w:szCs w:val="10"/>
              </w:rPr>
            </w:pPr>
          </w:p>
        </w:tc>
        <w:tc>
          <w:tcPr>
            <w:tcBorders/>
            <w:shd w:val="clear" w:color="auto" w:fill="FFFFFF"/>
            <w:vAlign w:val="center"/>
          </w:tcPr>
          <w:p>
            <w:pPr>
              <w:pStyle w:val="Style28"/>
              <w:keepNext w:val="0"/>
              <w:keepLines w:val="0"/>
              <w:framePr w:w="8266" w:h="10090" w:hSpace="648" w:vSpace="624" w:wrap="notBeside" w:vAnchor="text" w:hAnchor="text" w:x="886" w:y="625"/>
              <w:widowControl w:val="0"/>
              <w:shd w:val="clear" w:color="auto" w:fill="auto"/>
              <w:bidi w:val="0"/>
              <w:spacing w:before="0" w:after="0" w:line="240" w:lineRule="auto"/>
              <w:ind w:left="0" w:right="0" w:firstLine="480"/>
              <w:jc w:val="both"/>
              <w:rPr>
                <w:sz w:val="24"/>
                <w:szCs w:val="24"/>
              </w:rPr>
            </w:pP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w:t>
            </w:r>
          </w:p>
        </w:tc>
        <w:tc>
          <w:tcPr>
            <w:tcBorders/>
            <w:shd w:val="clear" w:color="auto" w:fill="FFFFFF"/>
            <w:vAlign w:val="center"/>
          </w:tcPr>
          <w:p>
            <w:pPr>
              <w:pStyle w:val="Style28"/>
              <w:keepNext w:val="0"/>
              <w:keepLines w:val="0"/>
              <w:framePr w:w="8266" w:h="10090" w:hSpace="648" w:vSpace="624" w:wrap="notBeside" w:vAnchor="text" w:hAnchor="text" w:x="886" w:y="625"/>
              <w:widowControl w:val="0"/>
              <w:shd w:val="clear" w:color="auto" w:fill="auto"/>
              <w:bidi w:val="0"/>
              <w:spacing w:before="0" w:after="0" w:line="240" w:lineRule="auto"/>
              <w:ind w:left="0" w:right="0" w:firstLine="420"/>
              <w:jc w:val="both"/>
              <w:rPr>
                <w:sz w:val="24"/>
                <w:szCs w:val="24"/>
              </w:rPr>
            </w:pPr>
            <w:r>
              <w:rPr>
                <w:rFonts w:ascii="Times New Roman" w:eastAsia="Times New Roman" w:hAnsi="Times New Roman" w:cs="Times New Roman"/>
                <w:color w:val="000000"/>
                <w:spacing w:val="0"/>
                <w:w w:val="100"/>
                <w:position w:val="0"/>
                <w:sz w:val="24"/>
                <w:szCs w:val="24"/>
              </w:rPr>
              <w:t>2015</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w:t>
            </w:r>
          </w:p>
        </w:tc>
      </w:tr>
      <w:tr>
        <w:trPr>
          <w:trHeight w:val="451" w:hRule="exact"/>
        </w:trPr>
        <w:tc>
          <w:tcPr>
            <w:tcBorders/>
            <w:shd w:val="clear" w:color="auto" w:fill="FFFFFF"/>
            <w:vAlign w:val="bottom"/>
          </w:tcPr>
          <w:p>
            <w:pPr>
              <w:pStyle w:val="Style28"/>
              <w:keepNext w:val="0"/>
              <w:keepLines w:val="0"/>
              <w:framePr w:w="8266" w:h="10090" w:hSpace="648" w:vSpace="624" w:wrap="notBeside" w:vAnchor="text" w:hAnchor="text" w:x="886" w:y="625"/>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应付债券利息</w:t>
            </w:r>
          </w:p>
        </w:tc>
        <w:tc>
          <w:tcPr>
            <w:tcBorders/>
            <w:shd w:val="clear" w:color="auto" w:fill="FFFFFF"/>
            <w:vAlign w:val="bottom"/>
          </w:tcPr>
          <w:p>
            <w:pPr>
              <w:pStyle w:val="Style28"/>
              <w:keepNext w:val="0"/>
              <w:keepLines w:val="0"/>
              <w:framePr w:w="8266" w:h="10090" w:hSpace="648" w:vSpace="624" w:wrap="notBeside" w:vAnchor="text" w:hAnchor="text" w:x="886" w:y="625"/>
              <w:widowControl w:val="0"/>
              <w:shd w:val="clear" w:color="auto" w:fill="auto"/>
              <w:bidi w:val="0"/>
              <w:spacing w:before="0" w:after="0" w:line="240" w:lineRule="auto"/>
              <w:ind w:left="1720" w:right="0" w:firstLine="0"/>
              <w:jc w:val="both"/>
              <w:rPr>
                <w:sz w:val="24"/>
                <w:szCs w:val="24"/>
              </w:rPr>
            </w:pPr>
            <w:r>
              <w:rPr>
                <w:rFonts w:ascii="Times New Roman" w:eastAsia="Times New Roman" w:hAnsi="Times New Roman" w:cs="Times New Roman"/>
                <w:color w:val="000000"/>
                <w:spacing w:val="0"/>
                <w:w w:val="100"/>
                <w:position w:val="0"/>
                <w:sz w:val="24"/>
                <w:szCs w:val="24"/>
              </w:rPr>
              <w:t>38,930</w:t>
            </w:r>
          </w:p>
        </w:tc>
        <w:tc>
          <w:tcPr>
            <w:tcBorders/>
            <w:shd w:val="clear" w:color="auto" w:fill="FFFFFF"/>
            <w:vAlign w:val="bottom"/>
          </w:tcPr>
          <w:p>
            <w:pPr>
              <w:pStyle w:val="Style28"/>
              <w:keepNext w:val="0"/>
              <w:keepLines w:val="0"/>
              <w:framePr w:w="8266" w:h="10090" w:hSpace="648" w:vSpace="624" w:wrap="notBeside" w:vAnchor="text" w:hAnchor="text" w:x="886" w:y="625"/>
              <w:widowControl w:val="0"/>
              <w:shd w:val="clear" w:color="auto" w:fill="auto"/>
              <w:bidi w:val="0"/>
              <w:spacing w:before="0" w:after="0" w:line="240" w:lineRule="auto"/>
              <w:ind w:left="1620" w:right="0" w:firstLine="0"/>
              <w:jc w:val="both"/>
              <w:rPr>
                <w:sz w:val="24"/>
                <w:szCs w:val="24"/>
              </w:rPr>
            </w:pPr>
            <w:r>
              <w:rPr>
                <w:rFonts w:ascii="Times New Roman" w:eastAsia="Times New Roman" w:hAnsi="Times New Roman" w:cs="Times New Roman"/>
                <w:color w:val="000000"/>
                <w:spacing w:val="0"/>
                <w:w w:val="100"/>
                <w:position w:val="0"/>
                <w:sz w:val="24"/>
                <w:szCs w:val="24"/>
              </w:rPr>
              <w:t>38,347</w:t>
            </w:r>
          </w:p>
        </w:tc>
      </w:tr>
      <w:tr>
        <w:trPr>
          <w:trHeight w:val="317" w:hRule="exact"/>
        </w:trPr>
        <w:tc>
          <w:tcPr>
            <w:tcBorders/>
            <w:shd w:val="clear" w:color="auto" w:fill="FFFFFF"/>
            <w:vAlign w:val="bottom"/>
          </w:tcPr>
          <w:p>
            <w:pPr>
              <w:pStyle w:val="Style28"/>
              <w:keepNext w:val="0"/>
              <w:keepLines w:val="0"/>
              <w:framePr w:w="8266" w:h="10090" w:hSpace="648" w:vSpace="624" w:wrap="notBeside" w:vAnchor="text" w:hAnchor="text" w:x="886" w:y="625"/>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短期借款利息</w:t>
            </w:r>
          </w:p>
        </w:tc>
        <w:tc>
          <w:tcPr>
            <w:tcBorders/>
            <w:shd w:val="clear" w:color="auto" w:fill="FFFFFF"/>
            <w:vAlign w:val="bottom"/>
          </w:tcPr>
          <w:p>
            <w:pPr>
              <w:pStyle w:val="Style28"/>
              <w:keepNext w:val="0"/>
              <w:keepLines w:val="0"/>
              <w:framePr w:w="8266" w:h="10090" w:hSpace="648" w:vSpace="624" w:wrap="notBeside" w:vAnchor="text" w:hAnchor="text" w:x="886" w:y="625"/>
              <w:widowControl w:val="0"/>
              <w:shd w:val="clear" w:color="auto" w:fill="auto"/>
              <w:bidi w:val="0"/>
              <w:spacing w:before="0" w:after="0" w:line="240" w:lineRule="auto"/>
              <w:ind w:left="1720" w:right="0" w:firstLine="0"/>
              <w:jc w:val="both"/>
              <w:rPr>
                <w:sz w:val="24"/>
                <w:szCs w:val="24"/>
              </w:rPr>
            </w:pPr>
            <w:r>
              <w:rPr>
                <w:rFonts w:ascii="Times New Roman" w:eastAsia="Times New Roman" w:hAnsi="Times New Roman" w:cs="Times New Roman"/>
                <w:color w:val="000000"/>
                <w:spacing w:val="0"/>
                <w:w w:val="100"/>
                <w:position w:val="0"/>
                <w:sz w:val="24"/>
                <w:szCs w:val="24"/>
              </w:rPr>
              <w:t>13,187</w:t>
            </w:r>
          </w:p>
        </w:tc>
        <w:tc>
          <w:tcPr>
            <w:tcBorders/>
            <w:shd w:val="clear" w:color="auto" w:fill="FFFFFF"/>
            <w:vAlign w:val="bottom"/>
          </w:tcPr>
          <w:p>
            <w:pPr>
              <w:pStyle w:val="Style28"/>
              <w:keepNext w:val="0"/>
              <w:keepLines w:val="0"/>
              <w:framePr w:w="8266" w:h="10090" w:hSpace="648" w:vSpace="624" w:wrap="notBeside" w:vAnchor="text" w:hAnchor="text" w:x="886" w:y="625"/>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3,561</w:t>
            </w:r>
          </w:p>
        </w:tc>
      </w:tr>
      <w:tr>
        <w:trPr>
          <w:trHeight w:val="307" w:hRule="exact"/>
        </w:trPr>
        <w:tc>
          <w:tcPr>
            <w:tcBorders/>
            <w:shd w:val="clear" w:color="auto" w:fill="FFFFFF"/>
            <w:vAlign w:val="bottom"/>
          </w:tcPr>
          <w:p>
            <w:pPr>
              <w:pStyle w:val="Style28"/>
              <w:keepNext w:val="0"/>
              <w:keepLines w:val="0"/>
              <w:framePr w:w="8266" w:h="10090" w:hSpace="648" w:vSpace="624" w:wrap="notBeside" w:vAnchor="text" w:hAnchor="text" w:x="886" w:y="625"/>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长期借款利息</w:t>
            </w:r>
          </w:p>
        </w:tc>
        <w:tc>
          <w:tcPr>
            <w:tcBorders/>
            <w:shd w:val="clear" w:color="auto" w:fill="FFFFFF"/>
            <w:vAlign w:val="bottom"/>
          </w:tcPr>
          <w:p>
            <w:pPr>
              <w:pStyle w:val="Style28"/>
              <w:keepNext w:val="0"/>
              <w:keepLines w:val="0"/>
              <w:framePr w:w="8266" w:h="10090" w:hSpace="648" w:vSpace="624" w:wrap="notBeside" w:vAnchor="text" w:hAnchor="text" w:x="886" w:y="625"/>
              <w:widowControl w:val="0"/>
              <w:shd w:val="clear" w:color="auto" w:fill="auto"/>
              <w:bidi w:val="0"/>
              <w:spacing w:before="0" w:after="0" w:line="240" w:lineRule="auto"/>
              <w:ind w:left="0" w:right="400" w:firstLine="0"/>
              <w:jc w:val="right"/>
              <w:rPr>
                <w:sz w:val="24"/>
                <w:szCs w:val="24"/>
              </w:rPr>
            </w:pPr>
            <w:r>
              <w:rPr>
                <w:rFonts w:ascii="Times New Roman" w:eastAsia="Times New Roman" w:hAnsi="Times New Roman" w:cs="Times New Roman"/>
                <w:color w:val="000000"/>
                <w:spacing w:val="0"/>
                <w:w w:val="100"/>
                <w:position w:val="0"/>
                <w:sz w:val="24"/>
                <w:szCs w:val="24"/>
              </w:rPr>
              <w:t>446</w:t>
            </w:r>
          </w:p>
        </w:tc>
        <w:tc>
          <w:tcPr>
            <w:tcBorders/>
            <w:shd w:val="clear" w:color="auto" w:fill="FFFFFF"/>
            <w:vAlign w:val="bottom"/>
          </w:tcPr>
          <w:p>
            <w:pPr>
              <w:pStyle w:val="Style28"/>
              <w:keepNext w:val="0"/>
              <w:keepLines w:val="0"/>
              <w:framePr w:w="8266" w:h="10090" w:hSpace="648" w:vSpace="624" w:wrap="notBeside" w:vAnchor="text" w:hAnchor="text" w:x="886" w:y="625"/>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628</w:t>
            </w:r>
          </w:p>
        </w:tc>
      </w:tr>
      <w:tr>
        <w:trPr>
          <w:trHeight w:val="298" w:hRule="exact"/>
        </w:trPr>
        <w:tc>
          <w:tcPr>
            <w:tcBorders/>
            <w:shd w:val="clear" w:color="auto" w:fill="FFFFFF"/>
            <w:vAlign w:val="top"/>
          </w:tcPr>
          <w:p>
            <w:pPr>
              <w:framePr w:w="8266" w:h="10090" w:hSpace="648" w:vSpace="624" w:wrap="notBeside" w:vAnchor="text" w:hAnchor="text" w:x="886" w:y="625"/>
              <w:widowControl w:val="0"/>
              <w:rPr>
                <w:sz w:val="10"/>
                <w:szCs w:val="10"/>
              </w:rPr>
            </w:pPr>
          </w:p>
        </w:tc>
        <w:tc>
          <w:tcPr>
            <w:tcBorders>
              <w:top w:val="single" w:sz="4"/>
            </w:tcBorders>
            <w:shd w:val="clear" w:color="auto" w:fill="FFFFFF"/>
            <w:vAlign w:val="bottom"/>
          </w:tcPr>
          <w:p>
            <w:pPr>
              <w:pStyle w:val="Style28"/>
              <w:keepNext w:val="0"/>
              <w:keepLines w:val="0"/>
              <w:framePr w:w="8266" w:h="10090" w:hSpace="648" w:vSpace="624" w:wrap="notBeside" w:vAnchor="text" w:hAnchor="text" w:x="886" w:y="625"/>
              <w:widowControl w:val="0"/>
              <w:shd w:val="clear" w:color="auto" w:fill="auto"/>
              <w:bidi w:val="0"/>
              <w:spacing w:before="0" w:after="0" w:line="240" w:lineRule="auto"/>
              <w:ind w:left="1840" w:right="0" w:firstLine="0"/>
              <w:jc w:val="both"/>
              <w:rPr>
                <w:sz w:val="24"/>
                <w:szCs w:val="24"/>
              </w:rPr>
            </w:pPr>
            <w:r>
              <w:rPr>
                <w:rFonts w:ascii="Times New Roman" w:eastAsia="Times New Roman" w:hAnsi="Times New Roman" w:cs="Times New Roman"/>
                <w:color w:val="000000"/>
                <w:spacing w:val="0"/>
                <w:w w:val="100"/>
                <w:position w:val="0"/>
                <w:sz w:val="24"/>
                <w:szCs w:val="24"/>
              </w:rPr>
              <w:t>52,563</w:t>
            </w:r>
          </w:p>
        </w:tc>
        <w:tc>
          <w:tcPr>
            <w:tcBorders>
              <w:top w:val="single" w:sz="4"/>
            </w:tcBorders>
            <w:shd w:val="clear" w:color="auto" w:fill="FFFFFF"/>
            <w:vAlign w:val="bottom"/>
          </w:tcPr>
          <w:p>
            <w:pPr>
              <w:pStyle w:val="Style28"/>
              <w:keepNext w:val="0"/>
              <w:keepLines w:val="0"/>
              <w:framePr w:w="8266" w:h="10090" w:hSpace="648" w:vSpace="624" w:wrap="notBeside" w:vAnchor="text" w:hAnchor="text" w:x="886" w:y="625"/>
              <w:widowControl w:val="0"/>
              <w:shd w:val="clear" w:color="auto" w:fill="auto"/>
              <w:bidi w:val="0"/>
              <w:spacing w:before="0" w:after="0" w:line="240" w:lineRule="auto"/>
              <w:ind w:left="1620" w:right="0" w:firstLine="0"/>
              <w:jc w:val="both"/>
              <w:rPr>
                <w:sz w:val="24"/>
                <w:szCs w:val="24"/>
              </w:rPr>
            </w:pPr>
            <w:r>
              <w:rPr>
                <w:rFonts w:ascii="Times New Roman" w:eastAsia="Times New Roman" w:hAnsi="Times New Roman" w:cs="Times New Roman"/>
                <w:color w:val="000000"/>
                <w:spacing w:val="0"/>
                <w:w w:val="100"/>
                <w:position w:val="0"/>
                <w:sz w:val="24"/>
                <w:szCs w:val="24"/>
              </w:rPr>
              <w:t>42,536</w:t>
            </w:r>
          </w:p>
        </w:tc>
      </w:tr>
      <w:tr>
        <w:trPr>
          <w:trHeight w:val="739" w:hRule="exact"/>
        </w:trPr>
        <w:tc>
          <w:tcPr>
            <w:tcBorders/>
            <w:shd w:val="clear" w:color="auto" w:fill="FFFFFF"/>
            <w:vAlign w:val="center"/>
          </w:tcPr>
          <w:p>
            <w:pPr>
              <w:pStyle w:val="Style28"/>
              <w:keepNext w:val="0"/>
              <w:keepLines w:val="0"/>
              <w:framePr w:w="8266" w:h="10090" w:hSpace="648" w:vSpace="624" w:wrap="notBeside" w:vAnchor="text" w:hAnchor="text" w:x="886" w:y="625"/>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其他应付款</w:t>
            </w:r>
          </w:p>
        </w:tc>
        <w:tc>
          <w:tcPr>
            <w:tcBorders>
              <w:top w:val="single" w:sz="4"/>
            </w:tcBorders>
            <w:shd w:val="clear" w:color="auto" w:fill="FFFFFF"/>
            <w:vAlign w:val="top"/>
          </w:tcPr>
          <w:p>
            <w:pPr>
              <w:framePr w:w="8266" w:h="10090" w:hSpace="648" w:vSpace="624" w:wrap="notBeside" w:vAnchor="text" w:hAnchor="text" w:x="886" w:y="625"/>
              <w:widowControl w:val="0"/>
              <w:rPr>
                <w:sz w:val="10"/>
                <w:szCs w:val="10"/>
              </w:rPr>
            </w:pPr>
          </w:p>
        </w:tc>
        <w:tc>
          <w:tcPr>
            <w:tcBorders>
              <w:top w:val="single" w:sz="4"/>
            </w:tcBorders>
            <w:shd w:val="clear" w:color="auto" w:fill="FFFFFF"/>
            <w:vAlign w:val="top"/>
          </w:tcPr>
          <w:p>
            <w:pPr>
              <w:framePr w:w="8266" w:h="10090" w:hSpace="648" w:vSpace="624" w:wrap="notBeside" w:vAnchor="text" w:hAnchor="text" w:x="886" w:y="625"/>
              <w:widowControl w:val="0"/>
              <w:rPr>
                <w:sz w:val="10"/>
                <w:szCs w:val="10"/>
              </w:rPr>
            </w:pPr>
          </w:p>
        </w:tc>
      </w:tr>
      <w:tr>
        <w:trPr>
          <w:trHeight w:val="600" w:hRule="exact"/>
        </w:trPr>
        <w:tc>
          <w:tcPr>
            <w:tcBorders/>
            <w:shd w:val="clear" w:color="auto" w:fill="FFFFFF"/>
            <w:vAlign w:val="top"/>
          </w:tcPr>
          <w:p>
            <w:pPr>
              <w:framePr w:w="8266" w:h="10090" w:hSpace="648" w:vSpace="624" w:wrap="notBeside" w:vAnchor="text" w:hAnchor="text" w:x="886" w:y="625"/>
              <w:widowControl w:val="0"/>
              <w:rPr>
                <w:sz w:val="10"/>
                <w:szCs w:val="10"/>
              </w:rPr>
            </w:pPr>
          </w:p>
        </w:tc>
        <w:tc>
          <w:tcPr>
            <w:tcBorders/>
            <w:shd w:val="clear" w:color="auto" w:fill="FFFFFF"/>
            <w:vAlign w:val="center"/>
          </w:tcPr>
          <w:p>
            <w:pPr>
              <w:pStyle w:val="Style28"/>
              <w:keepNext w:val="0"/>
              <w:keepLines w:val="0"/>
              <w:framePr w:w="8266" w:h="10090" w:hSpace="648" w:vSpace="624" w:wrap="notBeside" w:vAnchor="text" w:hAnchor="text" w:x="886" w:y="625"/>
              <w:widowControl w:val="0"/>
              <w:shd w:val="clear" w:color="auto" w:fill="auto"/>
              <w:bidi w:val="0"/>
              <w:spacing w:before="0" w:after="0" w:line="240" w:lineRule="auto"/>
              <w:ind w:left="0" w:right="0" w:firstLine="480"/>
              <w:jc w:val="both"/>
              <w:rPr>
                <w:sz w:val="24"/>
                <w:szCs w:val="24"/>
              </w:rPr>
            </w:pP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w:t>
            </w:r>
          </w:p>
        </w:tc>
        <w:tc>
          <w:tcPr>
            <w:tcBorders/>
            <w:shd w:val="clear" w:color="auto" w:fill="FFFFFF"/>
            <w:vAlign w:val="center"/>
          </w:tcPr>
          <w:p>
            <w:pPr>
              <w:pStyle w:val="Style28"/>
              <w:keepNext w:val="0"/>
              <w:keepLines w:val="0"/>
              <w:framePr w:w="8266" w:h="10090" w:hSpace="648" w:vSpace="624" w:wrap="notBeside" w:vAnchor="text" w:hAnchor="text" w:x="886" w:y="625"/>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2015</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w:t>
            </w:r>
          </w:p>
        </w:tc>
      </w:tr>
      <w:tr>
        <w:trPr>
          <w:trHeight w:val="461" w:hRule="exact"/>
        </w:trPr>
        <w:tc>
          <w:tcPr>
            <w:tcBorders/>
            <w:shd w:val="clear" w:color="auto" w:fill="FFFFFF"/>
            <w:vAlign w:val="bottom"/>
          </w:tcPr>
          <w:p>
            <w:pPr>
              <w:pStyle w:val="Style28"/>
              <w:keepNext w:val="0"/>
              <w:keepLines w:val="0"/>
              <w:framePr w:w="8266" w:h="10090" w:hSpace="648" w:vSpace="624" w:wrap="notBeside" w:vAnchor="text" w:hAnchor="text" w:x="886" w:y="625"/>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应付工程款项</w:t>
            </w:r>
          </w:p>
        </w:tc>
        <w:tc>
          <w:tcPr>
            <w:tcBorders/>
            <w:shd w:val="clear" w:color="auto" w:fill="FFFFFF"/>
            <w:vAlign w:val="bottom"/>
          </w:tcPr>
          <w:p>
            <w:pPr>
              <w:pStyle w:val="Style28"/>
              <w:keepNext w:val="0"/>
              <w:keepLines w:val="0"/>
              <w:framePr w:w="8266" w:h="10090" w:hSpace="648" w:vSpace="624" w:wrap="notBeside" w:vAnchor="text" w:hAnchor="text" w:x="886" w:y="625"/>
              <w:widowControl w:val="0"/>
              <w:shd w:val="clear" w:color="auto" w:fill="auto"/>
              <w:bidi w:val="0"/>
              <w:spacing w:before="0" w:after="0" w:line="240" w:lineRule="auto"/>
              <w:ind w:left="1420" w:right="0" w:firstLine="0"/>
              <w:jc w:val="both"/>
              <w:rPr>
                <w:sz w:val="24"/>
                <w:szCs w:val="24"/>
              </w:rPr>
            </w:pPr>
            <w:r>
              <w:rPr>
                <w:rFonts w:ascii="Times New Roman" w:eastAsia="Times New Roman" w:hAnsi="Times New Roman" w:cs="Times New Roman"/>
                <w:color w:val="000000"/>
                <w:spacing w:val="0"/>
                <w:w w:val="100"/>
                <w:position w:val="0"/>
                <w:sz w:val="24"/>
                <w:szCs w:val="24"/>
              </w:rPr>
              <w:t>2,883,387</w:t>
            </w:r>
          </w:p>
        </w:tc>
        <w:tc>
          <w:tcPr>
            <w:tcBorders/>
            <w:shd w:val="clear" w:color="auto" w:fill="FFFFFF"/>
            <w:vAlign w:val="bottom"/>
          </w:tcPr>
          <w:p>
            <w:pPr>
              <w:pStyle w:val="Style28"/>
              <w:keepNext w:val="0"/>
              <w:keepLines w:val="0"/>
              <w:framePr w:w="8266" w:h="10090" w:hSpace="648" w:vSpace="624" w:wrap="notBeside" w:vAnchor="text" w:hAnchor="text" w:x="886" w:y="625"/>
              <w:widowControl w:val="0"/>
              <w:shd w:val="clear" w:color="auto" w:fill="auto"/>
              <w:bidi w:val="0"/>
              <w:spacing w:before="0" w:after="0" w:line="240" w:lineRule="auto"/>
              <w:ind w:left="1440" w:right="0" w:firstLine="0"/>
              <w:jc w:val="both"/>
              <w:rPr>
                <w:sz w:val="24"/>
                <w:szCs w:val="24"/>
              </w:rPr>
            </w:pPr>
            <w:r>
              <w:rPr>
                <w:rFonts w:ascii="Times New Roman" w:eastAsia="Times New Roman" w:hAnsi="Times New Roman" w:cs="Times New Roman"/>
                <w:color w:val="000000"/>
                <w:spacing w:val="0"/>
                <w:w w:val="100"/>
                <w:position w:val="0"/>
                <w:sz w:val="24"/>
                <w:szCs w:val="24"/>
              </w:rPr>
              <w:t>2,595,028</w:t>
            </w:r>
          </w:p>
        </w:tc>
      </w:tr>
      <w:tr>
        <w:trPr>
          <w:trHeight w:val="331" w:hRule="exact"/>
        </w:trPr>
        <w:tc>
          <w:tcPr>
            <w:tcBorders/>
            <w:shd w:val="clear" w:color="auto" w:fill="FFFFFF"/>
            <w:vAlign w:val="bottom"/>
          </w:tcPr>
          <w:p>
            <w:pPr>
              <w:pStyle w:val="Style28"/>
              <w:keepNext w:val="0"/>
              <w:keepLines w:val="0"/>
              <w:framePr w:w="8266" w:h="10090" w:hSpace="648" w:vSpace="624" w:wrap="notBeside" w:vAnchor="text" w:hAnchor="text" w:x="886" w:y="625"/>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应付广告及市场推广费</w:t>
            </w:r>
          </w:p>
        </w:tc>
        <w:tc>
          <w:tcPr>
            <w:tcBorders/>
            <w:shd w:val="clear" w:color="auto" w:fill="FFFFFF"/>
            <w:vAlign w:val="bottom"/>
          </w:tcPr>
          <w:p>
            <w:pPr>
              <w:pStyle w:val="Style28"/>
              <w:keepNext w:val="0"/>
              <w:keepLines w:val="0"/>
              <w:framePr w:w="8266" w:h="10090" w:hSpace="648" w:vSpace="624" w:wrap="notBeside" w:vAnchor="text" w:hAnchor="text" w:x="886" w:y="625"/>
              <w:widowControl w:val="0"/>
              <w:shd w:val="clear" w:color="auto" w:fill="auto"/>
              <w:bidi w:val="0"/>
              <w:spacing w:before="0" w:after="0" w:line="240" w:lineRule="auto"/>
              <w:ind w:left="1420" w:right="0" w:firstLine="0"/>
              <w:jc w:val="both"/>
              <w:rPr>
                <w:sz w:val="24"/>
                <w:szCs w:val="24"/>
              </w:rPr>
            </w:pPr>
            <w:r>
              <w:rPr>
                <w:rFonts w:ascii="Times New Roman" w:eastAsia="Times New Roman" w:hAnsi="Times New Roman" w:cs="Times New Roman"/>
                <w:color w:val="000000"/>
                <w:spacing w:val="0"/>
                <w:w w:val="100"/>
                <w:position w:val="0"/>
                <w:sz w:val="24"/>
                <w:szCs w:val="24"/>
              </w:rPr>
              <w:t>1,781,629</w:t>
            </w:r>
          </w:p>
        </w:tc>
        <w:tc>
          <w:tcPr>
            <w:tcBorders/>
            <w:shd w:val="clear" w:color="auto" w:fill="FFFFFF"/>
            <w:vAlign w:val="bottom"/>
          </w:tcPr>
          <w:p>
            <w:pPr>
              <w:pStyle w:val="Style28"/>
              <w:keepNext w:val="0"/>
              <w:keepLines w:val="0"/>
              <w:framePr w:w="8266" w:h="10090" w:hSpace="648" w:vSpace="624" w:wrap="notBeside" w:vAnchor="text" w:hAnchor="text" w:x="886" w:y="625"/>
              <w:widowControl w:val="0"/>
              <w:shd w:val="clear" w:color="auto" w:fill="auto"/>
              <w:bidi w:val="0"/>
              <w:spacing w:before="0" w:after="0" w:line="240" w:lineRule="auto"/>
              <w:ind w:left="1440" w:right="0" w:firstLine="0"/>
              <w:jc w:val="both"/>
              <w:rPr>
                <w:sz w:val="24"/>
                <w:szCs w:val="24"/>
              </w:rPr>
            </w:pPr>
            <w:r>
              <w:rPr>
                <w:rFonts w:ascii="Times New Roman" w:eastAsia="Times New Roman" w:hAnsi="Times New Roman" w:cs="Times New Roman"/>
                <w:color w:val="000000"/>
                <w:spacing w:val="0"/>
                <w:w w:val="100"/>
                <w:position w:val="0"/>
                <w:sz w:val="24"/>
                <w:szCs w:val="24"/>
              </w:rPr>
              <w:t>1,166,416</w:t>
            </w:r>
          </w:p>
        </w:tc>
      </w:tr>
      <w:tr>
        <w:trPr>
          <w:trHeight w:val="312" w:hRule="exact"/>
        </w:trPr>
        <w:tc>
          <w:tcPr>
            <w:tcBorders/>
            <w:shd w:val="clear" w:color="auto" w:fill="FFFFFF"/>
            <w:vAlign w:val="bottom"/>
          </w:tcPr>
          <w:p>
            <w:pPr>
              <w:pStyle w:val="Style28"/>
              <w:keepNext w:val="0"/>
              <w:keepLines w:val="0"/>
              <w:framePr w:w="8266" w:h="10090" w:hSpace="648" w:vSpace="624" w:wrap="notBeside" w:vAnchor="text" w:hAnchor="text" w:x="886" w:y="625"/>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应付保证金及押金</w:t>
            </w:r>
          </w:p>
        </w:tc>
        <w:tc>
          <w:tcPr>
            <w:tcBorders/>
            <w:shd w:val="clear" w:color="auto" w:fill="FFFFFF"/>
            <w:vAlign w:val="bottom"/>
          </w:tcPr>
          <w:p>
            <w:pPr>
              <w:pStyle w:val="Style28"/>
              <w:keepNext w:val="0"/>
              <w:keepLines w:val="0"/>
              <w:framePr w:w="8266" w:h="10090" w:hSpace="648" w:vSpace="624" w:wrap="notBeside" w:vAnchor="text" w:hAnchor="text" w:x="886" w:y="625"/>
              <w:widowControl w:val="0"/>
              <w:shd w:val="clear" w:color="auto" w:fill="auto"/>
              <w:bidi w:val="0"/>
              <w:spacing w:before="0" w:after="0" w:line="240" w:lineRule="auto"/>
              <w:ind w:left="1420" w:right="0" w:firstLine="0"/>
              <w:jc w:val="both"/>
              <w:rPr>
                <w:sz w:val="24"/>
                <w:szCs w:val="24"/>
              </w:rPr>
            </w:pPr>
            <w:r>
              <w:rPr>
                <w:rFonts w:ascii="Times New Roman" w:eastAsia="Times New Roman" w:hAnsi="Times New Roman" w:cs="Times New Roman"/>
                <w:color w:val="000000"/>
                <w:spacing w:val="0"/>
                <w:w w:val="100"/>
                <w:position w:val="0"/>
                <w:sz w:val="24"/>
                <w:szCs w:val="24"/>
              </w:rPr>
              <w:t>1,316,861</w:t>
            </w:r>
          </w:p>
        </w:tc>
        <w:tc>
          <w:tcPr>
            <w:tcBorders/>
            <w:shd w:val="clear" w:color="auto" w:fill="FFFFFF"/>
            <w:vAlign w:val="bottom"/>
          </w:tcPr>
          <w:p>
            <w:pPr>
              <w:pStyle w:val="Style28"/>
              <w:keepNext w:val="0"/>
              <w:keepLines w:val="0"/>
              <w:framePr w:w="8266" w:h="10090" w:hSpace="648" w:vSpace="624" w:wrap="notBeside" w:vAnchor="text" w:hAnchor="text" w:x="886" w:y="625"/>
              <w:widowControl w:val="0"/>
              <w:shd w:val="clear" w:color="auto" w:fill="auto"/>
              <w:bidi w:val="0"/>
              <w:spacing w:before="0" w:after="0" w:line="240" w:lineRule="auto"/>
              <w:ind w:left="1440" w:right="0" w:firstLine="0"/>
              <w:jc w:val="both"/>
              <w:rPr>
                <w:sz w:val="24"/>
                <w:szCs w:val="24"/>
              </w:rPr>
            </w:pPr>
            <w:r>
              <w:rPr>
                <w:rFonts w:ascii="Times New Roman" w:eastAsia="Times New Roman" w:hAnsi="Times New Roman" w:cs="Times New Roman"/>
                <w:color w:val="000000"/>
                <w:spacing w:val="0"/>
                <w:w w:val="100"/>
                <w:position w:val="0"/>
                <w:sz w:val="24"/>
                <w:szCs w:val="24"/>
              </w:rPr>
              <w:t>1,016,940</w:t>
            </w:r>
          </w:p>
        </w:tc>
      </w:tr>
      <w:tr>
        <w:trPr>
          <w:trHeight w:val="322" w:hRule="exact"/>
        </w:trPr>
        <w:tc>
          <w:tcPr>
            <w:tcBorders/>
            <w:shd w:val="clear" w:color="auto" w:fill="FFFFFF"/>
            <w:vAlign w:val="bottom"/>
          </w:tcPr>
          <w:p>
            <w:pPr>
              <w:pStyle w:val="Style28"/>
              <w:keepNext w:val="0"/>
              <w:keepLines w:val="0"/>
              <w:framePr w:w="8266" w:h="10090" w:hSpace="648" w:vSpace="624" w:wrap="notBeside" w:vAnchor="text" w:hAnchor="text" w:x="886" w:y="625"/>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应付房租及水电费</w:t>
            </w:r>
          </w:p>
        </w:tc>
        <w:tc>
          <w:tcPr>
            <w:tcBorders/>
            <w:shd w:val="clear" w:color="auto" w:fill="FFFFFF"/>
            <w:vAlign w:val="bottom"/>
          </w:tcPr>
          <w:p>
            <w:pPr>
              <w:pStyle w:val="Style28"/>
              <w:keepNext w:val="0"/>
              <w:keepLines w:val="0"/>
              <w:framePr w:w="8266" w:h="10090" w:hSpace="648" w:vSpace="624" w:wrap="notBeside" w:vAnchor="text" w:hAnchor="text" w:x="886" w:y="625"/>
              <w:widowControl w:val="0"/>
              <w:shd w:val="clear" w:color="auto" w:fill="auto"/>
              <w:bidi w:val="0"/>
              <w:spacing w:before="0" w:after="0" w:line="240" w:lineRule="auto"/>
              <w:ind w:left="0" w:right="400" w:firstLine="0"/>
              <w:jc w:val="right"/>
              <w:rPr>
                <w:sz w:val="24"/>
                <w:szCs w:val="24"/>
              </w:rPr>
            </w:pPr>
            <w:r>
              <w:rPr>
                <w:rFonts w:ascii="Times New Roman" w:eastAsia="Times New Roman" w:hAnsi="Times New Roman" w:cs="Times New Roman"/>
                <w:color w:val="000000"/>
                <w:spacing w:val="0"/>
                <w:w w:val="100"/>
                <w:position w:val="0"/>
                <w:sz w:val="24"/>
                <w:szCs w:val="24"/>
              </w:rPr>
              <w:t>325,622</w:t>
            </w:r>
          </w:p>
        </w:tc>
        <w:tc>
          <w:tcPr>
            <w:tcBorders/>
            <w:shd w:val="clear" w:color="auto" w:fill="FFFFFF"/>
            <w:vAlign w:val="bottom"/>
          </w:tcPr>
          <w:p>
            <w:pPr>
              <w:pStyle w:val="Style28"/>
              <w:keepNext w:val="0"/>
              <w:keepLines w:val="0"/>
              <w:framePr w:w="8266" w:h="10090" w:hSpace="648" w:vSpace="624" w:wrap="notBeside" w:vAnchor="text" w:hAnchor="text" w:x="886" w:y="625"/>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273,439</w:t>
            </w:r>
          </w:p>
        </w:tc>
      </w:tr>
      <w:tr>
        <w:trPr>
          <w:trHeight w:val="346" w:hRule="exact"/>
        </w:trPr>
        <w:tc>
          <w:tcPr>
            <w:tcBorders/>
            <w:shd w:val="clear" w:color="auto" w:fill="FFFFFF"/>
            <w:vAlign w:val="bottom"/>
          </w:tcPr>
          <w:p>
            <w:pPr>
              <w:pStyle w:val="Style28"/>
              <w:keepNext w:val="0"/>
              <w:keepLines w:val="0"/>
              <w:framePr w:w="8266" w:h="10090" w:hSpace="648" w:vSpace="624" w:wrap="notBeside" w:vAnchor="text" w:hAnchor="text" w:x="886" w:y="625"/>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应付投资款</w:t>
            </w:r>
          </w:p>
        </w:tc>
        <w:tc>
          <w:tcPr>
            <w:tcBorders/>
            <w:shd w:val="clear" w:color="auto" w:fill="FFFFFF"/>
            <w:vAlign w:val="bottom"/>
          </w:tcPr>
          <w:p>
            <w:pPr>
              <w:pStyle w:val="Style28"/>
              <w:keepNext w:val="0"/>
              <w:keepLines w:val="0"/>
              <w:framePr w:w="8266" w:h="10090" w:hSpace="648" w:vSpace="624" w:wrap="notBeside" w:vAnchor="text" w:hAnchor="text" w:x="886" w:y="625"/>
              <w:widowControl w:val="0"/>
              <w:shd w:val="clear" w:color="auto" w:fill="auto"/>
              <w:bidi w:val="0"/>
              <w:spacing w:before="0" w:after="0" w:line="240" w:lineRule="auto"/>
              <w:ind w:left="1720" w:right="0" w:firstLine="0"/>
              <w:jc w:val="both"/>
              <w:rPr>
                <w:sz w:val="24"/>
                <w:szCs w:val="24"/>
              </w:rPr>
            </w:pPr>
            <w:r>
              <w:rPr>
                <w:rFonts w:ascii="Times New Roman" w:eastAsia="Times New Roman" w:hAnsi="Times New Roman" w:cs="Times New Roman"/>
                <w:color w:val="000000"/>
                <w:spacing w:val="0"/>
                <w:w w:val="100"/>
                <w:position w:val="0"/>
                <w:sz w:val="24"/>
                <w:szCs w:val="24"/>
              </w:rPr>
              <w:t>14,636</w:t>
            </w:r>
          </w:p>
        </w:tc>
        <w:tc>
          <w:tcPr>
            <w:tcBorders/>
            <w:shd w:val="clear" w:color="auto" w:fill="FFFFFF"/>
            <w:vAlign w:val="bottom"/>
          </w:tcPr>
          <w:p>
            <w:pPr>
              <w:pStyle w:val="Style28"/>
              <w:keepNext w:val="0"/>
              <w:keepLines w:val="0"/>
              <w:framePr w:w="8266" w:h="10090" w:hSpace="648" w:vSpace="624" w:wrap="notBeside" w:vAnchor="text" w:hAnchor="text" w:x="886" w:y="625"/>
              <w:widowControl w:val="0"/>
              <w:shd w:val="clear" w:color="auto" w:fill="auto"/>
              <w:bidi w:val="0"/>
              <w:spacing w:before="0" w:after="0" w:line="240" w:lineRule="auto"/>
              <w:ind w:left="1620" w:right="0" w:firstLine="0"/>
              <w:jc w:val="both"/>
              <w:rPr>
                <w:sz w:val="24"/>
                <w:szCs w:val="24"/>
              </w:rPr>
            </w:pPr>
            <w:r>
              <w:rPr>
                <w:rFonts w:ascii="Times New Roman" w:eastAsia="Times New Roman" w:hAnsi="Times New Roman" w:cs="Times New Roman"/>
                <w:color w:val="000000"/>
                <w:spacing w:val="0"/>
                <w:w w:val="100"/>
                <w:position w:val="0"/>
                <w:sz w:val="24"/>
                <w:szCs w:val="24"/>
              </w:rPr>
              <w:t>14,636</w:t>
            </w:r>
          </w:p>
        </w:tc>
      </w:tr>
      <w:tr>
        <w:trPr>
          <w:trHeight w:val="298" w:hRule="exact"/>
        </w:trPr>
        <w:tc>
          <w:tcPr>
            <w:tcBorders/>
            <w:shd w:val="clear" w:color="auto" w:fill="FFFFFF"/>
            <w:vAlign w:val="bottom"/>
          </w:tcPr>
          <w:p>
            <w:pPr>
              <w:pStyle w:val="Style28"/>
              <w:keepNext w:val="0"/>
              <w:keepLines w:val="0"/>
              <w:framePr w:w="8266" w:h="10090" w:hSpace="648" w:vSpace="624" w:wrap="notBeside" w:vAnchor="text" w:hAnchor="text" w:x="886" w:y="625"/>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其他</w:t>
            </w:r>
          </w:p>
        </w:tc>
        <w:tc>
          <w:tcPr>
            <w:tcBorders/>
            <w:shd w:val="clear" w:color="auto" w:fill="FFFFFF"/>
            <w:vAlign w:val="bottom"/>
          </w:tcPr>
          <w:p>
            <w:pPr>
              <w:pStyle w:val="Style28"/>
              <w:keepNext w:val="0"/>
              <w:keepLines w:val="0"/>
              <w:framePr w:w="8266" w:h="10090" w:hSpace="648" w:vSpace="624" w:wrap="notBeside" w:vAnchor="text" w:hAnchor="text" w:x="886" w:y="625"/>
              <w:widowControl w:val="0"/>
              <w:shd w:val="clear" w:color="auto" w:fill="auto"/>
              <w:bidi w:val="0"/>
              <w:spacing w:before="0" w:after="0" w:line="240" w:lineRule="auto"/>
              <w:ind w:left="1420" w:right="0" w:firstLine="0"/>
              <w:jc w:val="both"/>
              <w:rPr>
                <w:sz w:val="24"/>
                <w:szCs w:val="24"/>
              </w:rPr>
            </w:pPr>
            <w:r>
              <w:rPr>
                <w:rFonts w:ascii="Times New Roman" w:eastAsia="Times New Roman" w:hAnsi="Times New Roman" w:cs="Times New Roman"/>
                <w:color w:val="000000"/>
                <w:spacing w:val="0"/>
                <w:w w:val="100"/>
                <w:position w:val="0"/>
                <w:sz w:val="24"/>
                <w:szCs w:val="24"/>
              </w:rPr>
              <w:t>1,853,969</w:t>
            </w:r>
          </w:p>
        </w:tc>
        <w:tc>
          <w:tcPr>
            <w:tcBorders/>
            <w:shd w:val="clear" w:color="auto" w:fill="FFFFFF"/>
            <w:vAlign w:val="bottom"/>
          </w:tcPr>
          <w:p>
            <w:pPr>
              <w:pStyle w:val="Style28"/>
              <w:keepNext w:val="0"/>
              <w:keepLines w:val="0"/>
              <w:framePr w:w="8266" w:h="10090" w:hSpace="648" w:vSpace="624" w:wrap="notBeside" w:vAnchor="text" w:hAnchor="text" w:x="886" w:y="625"/>
              <w:widowControl w:val="0"/>
              <w:shd w:val="clear" w:color="auto" w:fill="auto"/>
              <w:bidi w:val="0"/>
              <w:spacing w:before="0" w:after="0" w:line="240" w:lineRule="auto"/>
              <w:ind w:left="1440" w:right="0" w:firstLine="0"/>
              <w:jc w:val="both"/>
              <w:rPr>
                <w:sz w:val="24"/>
                <w:szCs w:val="24"/>
              </w:rPr>
            </w:pPr>
            <w:r>
              <w:rPr>
                <w:rFonts w:ascii="Times New Roman" w:eastAsia="Times New Roman" w:hAnsi="Times New Roman" w:cs="Times New Roman"/>
                <w:color w:val="000000"/>
                <w:spacing w:val="0"/>
                <w:w w:val="100"/>
                <w:position w:val="0"/>
                <w:sz w:val="24"/>
                <w:szCs w:val="24"/>
              </w:rPr>
              <w:t>1,167,470</w:t>
            </w:r>
          </w:p>
        </w:tc>
      </w:tr>
      <w:tr>
        <w:trPr>
          <w:trHeight w:val="307" w:hRule="exact"/>
        </w:trPr>
        <w:tc>
          <w:tcPr>
            <w:tcBorders/>
            <w:shd w:val="clear" w:color="auto" w:fill="FFFFFF"/>
            <w:vAlign w:val="top"/>
          </w:tcPr>
          <w:p>
            <w:pPr>
              <w:framePr w:w="8266" w:h="10090" w:hSpace="648" w:vSpace="624" w:wrap="notBeside" w:vAnchor="text" w:hAnchor="text" w:x="886" w:y="625"/>
              <w:widowControl w:val="0"/>
              <w:rPr>
                <w:sz w:val="10"/>
                <w:szCs w:val="10"/>
              </w:rPr>
            </w:pPr>
          </w:p>
        </w:tc>
        <w:tc>
          <w:tcPr>
            <w:tcBorders>
              <w:top w:val="single" w:sz="4"/>
              <w:bottom w:val="single" w:sz="4"/>
            </w:tcBorders>
            <w:shd w:val="clear" w:color="auto" w:fill="FFFFFF"/>
            <w:vAlign w:val="bottom"/>
          </w:tcPr>
          <w:p>
            <w:pPr>
              <w:pStyle w:val="Style28"/>
              <w:keepNext w:val="0"/>
              <w:keepLines w:val="0"/>
              <w:framePr w:w="8266" w:h="10090" w:hSpace="648" w:vSpace="624" w:wrap="notBeside" w:vAnchor="text" w:hAnchor="text" w:x="886" w:y="625"/>
              <w:widowControl w:val="0"/>
              <w:shd w:val="clear" w:color="auto" w:fill="auto"/>
              <w:bidi w:val="0"/>
              <w:spacing w:before="0" w:after="0" w:line="240" w:lineRule="auto"/>
              <w:ind w:left="1420" w:right="0" w:firstLine="0"/>
              <w:jc w:val="both"/>
              <w:rPr>
                <w:sz w:val="24"/>
                <w:szCs w:val="24"/>
              </w:rPr>
            </w:pPr>
            <w:r>
              <w:rPr>
                <w:rFonts w:ascii="Times New Roman" w:eastAsia="Times New Roman" w:hAnsi="Times New Roman" w:cs="Times New Roman"/>
                <w:color w:val="000000"/>
                <w:spacing w:val="0"/>
                <w:w w:val="100"/>
                <w:position w:val="0"/>
                <w:sz w:val="24"/>
                <w:szCs w:val="24"/>
              </w:rPr>
              <w:t>8,176,104</w:t>
            </w:r>
          </w:p>
        </w:tc>
        <w:tc>
          <w:tcPr>
            <w:tcBorders>
              <w:top w:val="single" w:sz="4"/>
              <w:bottom w:val="single" w:sz="4"/>
            </w:tcBorders>
            <w:shd w:val="clear" w:color="auto" w:fill="FFFFFF"/>
            <w:vAlign w:val="bottom"/>
          </w:tcPr>
          <w:p>
            <w:pPr>
              <w:pStyle w:val="Style28"/>
              <w:keepNext w:val="0"/>
              <w:keepLines w:val="0"/>
              <w:framePr w:w="8266" w:h="10090" w:hSpace="648" w:vSpace="624" w:wrap="notBeside" w:vAnchor="text" w:hAnchor="text" w:x="886" w:y="625"/>
              <w:widowControl w:val="0"/>
              <w:shd w:val="clear" w:color="auto" w:fill="auto"/>
              <w:bidi w:val="0"/>
              <w:spacing w:before="0" w:after="0" w:line="240" w:lineRule="auto"/>
              <w:ind w:left="1440" w:right="0" w:firstLine="0"/>
              <w:jc w:val="both"/>
              <w:rPr>
                <w:sz w:val="24"/>
                <w:szCs w:val="24"/>
              </w:rPr>
            </w:pPr>
            <w:r>
              <w:rPr>
                <w:rFonts w:ascii="Times New Roman" w:eastAsia="Times New Roman" w:hAnsi="Times New Roman" w:cs="Times New Roman"/>
                <w:color w:val="000000"/>
                <w:spacing w:val="0"/>
                <w:w w:val="100"/>
                <w:position w:val="0"/>
                <w:sz w:val="24"/>
                <w:szCs w:val="24"/>
              </w:rPr>
              <w:t>6,233,929</w:t>
            </w:r>
          </w:p>
        </w:tc>
      </w:tr>
    </w:tbl>
    <w:p>
      <w:pPr>
        <w:pStyle w:val="Style25"/>
        <w:keepNext w:val="0"/>
        <w:keepLines w:val="0"/>
        <w:framePr w:w="1632" w:h="336" w:hSpace="237" w:wrap="notBeside" w:vAnchor="text" w:hAnchor="text" w:x="238" w:y="1"/>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（28）</w:t>
      </w:r>
      <w:r>
        <w:rPr>
          <w:b/>
          <w:bCs/>
          <w:color w:val="000000"/>
          <w:spacing w:val="0"/>
          <w:w w:val="100"/>
          <w:position w:val="0"/>
          <w:sz w:val="24"/>
          <w:szCs w:val="24"/>
        </w:rPr>
        <w:t>应交税费</w:t>
      </w:r>
    </w:p>
    <w:p>
      <w:pPr>
        <w:pStyle w:val="Style25"/>
        <w:keepNext w:val="0"/>
        <w:keepLines w:val="0"/>
        <w:framePr w:w="437" w:h="336" w:hSpace="237" w:wrap="notBeside" w:vAnchor="text" w:hAnchor="text" w:x="248" w:y="4571"/>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(29)</w:t>
      </w:r>
    </w:p>
    <w:p>
      <w:pPr>
        <w:pStyle w:val="Style25"/>
        <w:keepNext w:val="0"/>
        <w:keepLines w:val="0"/>
        <w:framePr w:w="437" w:h="336" w:hSpace="237" w:wrap="notBeside" w:vAnchor="text" w:hAnchor="text" w:x="248" w:y="7268"/>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(30)</w:t>
      </w:r>
    </w:p>
    <w:p>
      <w:pPr>
        <w:widowControl w:val="0"/>
        <w:spacing w:line="1" w:lineRule="exact"/>
      </w:pPr>
    </w:p>
    <w:p>
      <w:pPr>
        <w:pStyle w:val="Style32"/>
        <w:keepNext w:val="0"/>
        <w:keepLines w:val="0"/>
        <w:widowControl w:val="0"/>
        <w:shd w:val="clear" w:color="auto" w:fill="auto"/>
        <w:bidi w:val="0"/>
        <w:spacing w:before="0" w:after="0" w:line="240" w:lineRule="auto"/>
        <w:ind w:left="0" w:right="0" w:firstLine="180"/>
        <w:jc w:val="left"/>
        <w:rPr>
          <w:sz w:val="24"/>
          <w:szCs w:val="24"/>
        </w:rPr>
      </w:pPr>
      <w:r>
        <mc:AlternateContent>
          <mc:Choice Requires="wps">
            <w:drawing>
              <wp:anchor distT="0" distB="0" distL="114300" distR="114300" simplePos="0" relativeHeight="125829432" behindDoc="0" locked="0" layoutInCell="1" allowOverlap="1">
                <wp:simplePos x="0" y="0"/>
                <wp:positionH relativeFrom="page">
                  <wp:posOffset>1133475</wp:posOffset>
                </wp:positionH>
                <wp:positionV relativeFrom="paragraph">
                  <wp:posOffset>12700</wp:posOffset>
                </wp:positionV>
                <wp:extent cx="191770" cy="225425"/>
                <wp:wrapSquare wrapText="right"/>
                <wp:docPr id="328" name="Shape 328"/>
                <a:graphic xmlns:a="http://schemas.openxmlformats.org/drawingml/2006/main">
                  <a:graphicData uri="http://schemas.microsoft.com/office/word/2010/wordprocessingShape">
                    <wps:wsp>
                      <wps:cNvSpPr txBox="1"/>
                      <wps:spPr>
                        <a:xfrm>
                          <a:ext cx="191770" cy="22542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(a)</w:t>
                            </w:r>
                          </w:p>
                        </w:txbxContent>
                      </wps:txbx>
                      <wps:bodyPr wrap="none" lIns="0" tIns="0" rIns="0" bIns="0">
                        <a:noAutoFit/>
                      </wps:bodyPr>
                    </wps:wsp>
                  </a:graphicData>
                </a:graphic>
              </wp:anchor>
            </w:drawing>
          </mc:Choice>
          <mc:Fallback>
            <w:pict>
              <v:shape id="_x0000_s1354" type="#_x0000_t202" style="position:absolute;margin-left:89.25pt;margin-top:1.pt;width:15.1pt;height:17.75pt;z-index:-125829321;mso-wrap-distance-left:9.pt;mso-wrap-distance-right:9.pt;mso-position-horizontal-relative:page" filled="f" stroked="f">
                <v:textbox inset="0,0,0,0">
                  <w:txbxContent>
                    <w:p>
                      <w:pPr>
                        <w:pStyle w:val="Style5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(a)</w:t>
                      </w:r>
                    </w:p>
                  </w:txbxContent>
                </v:textbox>
                <w10:wrap type="square" side="right" anchorx="page"/>
              </v:shape>
            </w:pict>
          </mc:Fallback>
        </mc:AlternateContent>
      </w:r>
      <w:r>
        <w:rPr>
          <w:color w:val="000000"/>
          <w:spacing w:val="0"/>
          <w:w w:val="100"/>
          <w:position w:val="0"/>
          <w:sz w:val="24"/>
          <w:szCs w:val="24"/>
        </w:rPr>
        <w:t>于</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日，账龄超过一年的其他应付款约人民币</w:t>
      </w:r>
      <w:r>
        <w:rPr>
          <w:rFonts w:ascii="Times New Roman" w:eastAsia="Times New Roman" w:hAnsi="Times New Roman" w:cs="Times New Roman"/>
          <w:color w:val="000000"/>
          <w:spacing w:val="0"/>
          <w:w w:val="100"/>
          <w:position w:val="0"/>
          <w:sz w:val="24"/>
          <w:szCs w:val="24"/>
        </w:rPr>
        <w:t>4.88</w:t>
      </w:r>
      <w:r>
        <w:rPr>
          <w:color w:val="000000"/>
          <w:spacing w:val="0"/>
          <w:w w:val="100"/>
          <w:position w:val="0"/>
          <w:sz w:val="24"/>
          <w:szCs w:val="24"/>
        </w:rPr>
        <w:t>亿元</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sz w:val="24"/>
          <w:szCs w:val="24"/>
        </w:rPr>
        <w:t>年</w:t>
      </w:r>
    </w:p>
    <w:p>
      <w:pPr>
        <w:pStyle w:val="Style32"/>
        <w:keepNext w:val="0"/>
        <w:keepLines w:val="0"/>
        <w:widowControl w:val="0"/>
        <w:shd w:val="clear" w:color="auto" w:fill="auto"/>
        <w:bidi w:val="0"/>
        <w:spacing w:before="0" w:after="140" w:line="240" w:lineRule="auto"/>
        <w:ind w:left="0" w:right="0" w:firstLine="180"/>
        <w:jc w:val="left"/>
        <w:rPr>
          <w:sz w:val="24"/>
          <w:szCs w:val="24"/>
        </w:rPr>
      </w:pP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日：约人民币</w:t>
      </w:r>
      <w:r>
        <w:rPr>
          <w:rFonts w:ascii="Times New Roman" w:eastAsia="Times New Roman" w:hAnsi="Times New Roman" w:cs="Times New Roman"/>
          <w:color w:val="000000"/>
          <w:spacing w:val="0"/>
          <w:w w:val="100"/>
          <w:position w:val="0"/>
          <w:sz w:val="24"/>
          <w:szCs w:val="24"/>
        </w:rPr>
        <w:t>3.7</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亿元</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，主要为收取的各类保证金和押金。</w:t>
      </w:r>
      <w:r>
        <w:br w:type="page"/>
      </w:r>
    </w:p>
    <w:p>
      <w:pPr>
        <w:pStyle w:val="Style32"/>
        <w:keepNext w:val="0"/>
        <w:keepLines w:val="0"/>
        <w:widowControl w:val="0"/>
        <w:shd w:val="clear" w:color="auto" w:fill="auto"/>
        <w:bidi w:val="0"/>
        <w:spacing w:before="0" w:after="0" w:line="240" w:lineRule="auto"/>
        <w:ind w:left="0" w:right="0" w:firstLine="680"/>
        <w:jc w:val="both"/>
        <w:rPr>
          <w:sz w:val="24"/>
          <w:szCs w:val="24"/>
        </w:rPr>
      </w:pPr>
      <w:r>
        <w:rPr>
          <w:b/>
          <w:bCs/>
          <w:color w:val="000000"/>
          <w:spacing w:val="0"/>
          <w:w w:val="100"/>
          <w:position w:val="0"/>
          <w:sz w:val="24"/>
          <w:szCs w:val="24"/>
        </w:rPr>
        <w:t>财务报表附注</w:t>
      </w:r>
    </w:p>
    <w:p>
      <w:pPr>
        <w:pStyle w:val="Style88"/>
        <w:keepNext/>
        <w:keepLines/>
        <w:widowControl w:val="0"/>
        <w:shd w:val="clear" w:color="auto" w:fill="auto"/>
        <w:bidi w:val="0"/>
        <w:spacing w:before="0" w:after="0" w:line="240" w:lineRule="auto"/>
        <w:ind w:left="0" w:right="0" w:firstLine="680"/>
        <w:jc w:val="left"/>
      </w:pPr>
      <w:bookmarkStart w:id="942" w:name="bookmark942"/>
      <w:bookmarkStart w:id="943" w:name="bookmark943"/>
      <w:bookmarkStart w:id="944" w:name="bookmark944"/>
      <w:r>
        <w:rPr>
          <w:color w:val="000000"/>
          <w:spacing w:val="0"/>
          <w:w w:val="100"/>
          <w:position w:val="0"/>
          <w:sz w:val="24"/>
          <w:szCs w:val="24"/>
        </w:rPr>
        <w:t>2016</w:t>
      </w:r>
      <w:r>
        <w:rPr>
          <w:rFonts w:ascii="SimSun" w:eastAsia="SimSun" w:hAnsi="SimSun" w:cs="SimSun"/>
          <w:b/>
          <w:bCs/>
          <w:color w:val="000000"/>
          <w:spacing w:val="0"/>
          <w:w w:val="100"/>
          <w:position w:val="0"/>
          <w:sz w:val="24"/>
          <w:szCs w:val="24"/>
        </w:rPr>
        <w:t>年度</w:t>
      </w:r>
      <w:bookmarkEnd w:id="942"/>
      <w:bookmarkEnd w:id="943"/>
      <w:bookmarkEnd w:id="944"/>
    </w:p>
    <w:p>
      <w:pPr>
        <w:pStyle w:val="Style32"/>
        <w:keepNext w:val="0"/>
        <w:keepLines w:val="0"/>
        <w:widowControl w:val="0"/>
        <w:shd w:val="clear" w:color="auto" w:fill="auto"/>
        <w:bidi w:val="0"/>
        <w:spacing w:before="0" w:after="240" w:line="240" w:lineRule="auto"/>
        <w:ind w:left="0" w:right="0" w:firstLine="680"/>
        <w:jc w:val="left"/>
        <w:rPr>
          <w:sz w:val="20"/>
          <w:szCs w:val="20"/>
        </w:rPr>
      </w:pPr>
      <w:r>
        <w:rPr>
          <w:rFonts w:ascii="Arial" w:eastAsia="Arial" w:hAnsi="Arial" w:cs="Arial"/>
          <w:color w:val="000000"/>
          <w:spacing w:val="0"/>
          <w:w w:val="100"/>
          <w:position w:val="0"/>
          <w:sz w:val="20"/>
          <w:szCs w:val="20"/>
        </w:rPr>
        <w:t>(</w:t>
      </w:r>
      <w:r>
        <w:rPr>
          <w:color w:val="000000"/>
          <w:spacing w:val="0"/>
          <w:w w:val="100"/>
          <w:position w:val="0"/>
          <w:sz w:val="20"/>
          <w:szCs w:val="20"/>
        </w:rPr>
        <w:t>除特别注明外，金额单位为人民币千元</w:t>
      </w:r>
      <w:r>
        <w:rPr>
          <w:rFonts w:ascii="Arial" w:eastAsia="Arial" w:hAnsi="Arial" w:cs="Arial"/>
          <w:color w:val="000000"/>
          <w:spacing w:val="0"/>
          <w:w w:val="100"/>
          <w:position w:val="0"/>
          <w:sz w:val="20"/>
          <w:szCs w:val="20"/>
        </w:rPr>
        <w:t>)</w:t>
      </w:r>
    </w:p>
    <w:p>
      <w:pPr>
        <w:pStyle w:val="Style32"/>
        <w:keepNext w:val="0"/>
        <w:keepLines w:val="0"/>
        <w:widowControl w:val="0"/>
        <w:shd w:val="clear" w:color="auto" w:fill="auto"/>
        <w:tabs>
          <w:tab w:pos="700" w:val="left"/>
        </w:tabs>
        <w:bidi w:val="0"/>
        <w:spacing w:before="0" w:after="240" w:line="240" w:lineRule="auto"/>
        <w:ind w:left="0" w:right="0" w:firstLine="0"/>
        <w:jc w:val="left"/>
        <w:rPr>
          <w:sz w:val="24"/>
          <w:szCs w:val="24"/>
        </w:rPr>
      </w:pPr>
      <w:r>
        <w:rPr>
          <w:b/>
          <w:bCs/>
          <w:color w:val="000000"/>
          <w:spacing w:val="0"/>
          <w:w w:val="100"/>
          <w:position w:val="0"/>
          <w:sz w:val="24"/>
          <w:szCs w:val="24"/>
        </w:rPr>
        <w:t>四</w:t>
        <w:tab/>
        <w:t>合并财务报表项目附注</w:t>
      </w:r>
      <w:r>
        <w:rPr>
          <w:rFonts w:ascii="Times New Roman" w:eastAsia="Times New Roman" w:hAnsi="Times New Roman" w:cs="Times New Roman"/>
          <w:color w:val="000000"/>
          <w:spacing w:val="0"/>
          <w:w w:val="100"/>
          <w:position w:val="0"/>
          <w:sz w:val="24"/>
          <w:szCs w:val="24"/>
        </w:rPr>
        <w:t>(</w:t>
      </w:r>
      <w:r>
        <w:rPr>
          <w:b/>
          <w:bCs/>
          <w:color w:val="000000"/>
          <w:spacing w:val="0"/>
          <w:w w:val="100"/>
          <w:position w:val="0"/>
          <w:sz w:val="24"/>
          <w:szCs w:val="24"/>
        </w:rPr>
        <w:t>续</w:t>
      </w:r>
      <w:r>
        <w:rPr>
          <w:rFonts w:ascii="Times New Roman" w:eastAsia="Times New Roman" w:hAnsi="Times New Roman" w:cs="Times New Roman"/>
          <w:color w:val="000000"/>
          <w:spacing w:val="0"/>
          <w:w w:val="100"/>
          <w:position w:val="0"/>
          <w:sz w:val="24"/>
          <w:szCs w:val="24"/>
        </w:rPr>
        <w:t>)</w:t>
      </w:r>
    </w:p>
    <w:p>
      <w:pPr>
        <w:pStyle w:val="Style32"/>
        <w:keepNext w:val="0"/>
        <w:keepLines w:val="0"/>
        <w:widowControl w:val="0"/>
        <w:shd w:val="clear" w:color="auto" w:fill="auto"/>
        <w:tabs>
          <w:tab w:pos="700" w:val="left"/>
        </w:tabs>
        <w:bidi w:val="0"/>
        <w:spacing w:before="0" w:after="28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(31)</w:t>
        <w:tab/>
      </w:r>
      <w:r>
        <w:rPr>
          <w:b/>
          <w:bCs/>
          <w:color w:val="000000"/>
          <w:spacing w:val="0"/>
          <w:w w:val="100"/>
          <w:position w:val="0"/>
          <w:sz w:val="24"/>
          <w:szCs w:val="24"/>
        </w:rPr>
        <w:t>一年内到期的非流动负债</w:t>
      </w:r>
    </w:p>
    <w:tbl>
      <w:tblPr>
        <w:tblOverlap w:val="never"/>
        <w:jc w:val="center"/>
        <w:tblLayout w:type="fixed"/>
      </w:tblPr>
      <w:tblGrid>
        <w:gridCol w:w="3965"/>
        <w:gridCol w:w="2635"/>
        <w:gridCol w:w="2256"/>
      </w:tblGrid>
      <w:tr>
        <w:trPr>
          <w:trHeight w:val="432"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300" w:firstLine="0"/>
              <w:jc w:val="right"/>
              <w:rPr>
                <w:sz w:val="24"/>
                <w:szCs w:val="24"/>
              </w:rPr>
            </w:pP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2015</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w:t>
            </w:r>
          </w:p>
        </w:tc>
      </w:tr>
      <w:tr>
        <w:trPr>
          <w:trHeight w:val="456"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00"/>
              <w:jc w:val="left"/>
              <w:rPr>
                <w:sz w:val="24"/>
                <w:szCs w:val="24"/>
              </w:rPr>
            </w:pPr>
            <w:r>
              <w:rPr>
                <w:color w:val="000000"/>
                <w:spacing w:val="0"/>
                <w:w w:val="100"/>
                <w:position w:val="0"/>
                <w:sz w:val="24"/>
                <w:szCs w:val="24"/>
              </w:rPr>
              <w:t>将于一年内支付的应付债券</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22"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40"/>
              <w:jc w:val="left"/>
              <w:rPr>
                <w:sz w:val="24"/>
                <w:szCs w:val="24"/>
              </w:rPr>
            </w:pP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附注四</w:t>
            </w:r>
            <w:r>
              <w:rPr>
                <w:rFonts w:ascii="Times New Roman" w:eastAsia="Times New Roman" w:hAnsi="Times New Roman" w:cs="Times New Roman"/>
                <w:color w:val="000000"/>
                <w:spacing w:val="0"/>
                <w:w w:val="100"/>
                <w:position w:val="0"/>
                <w:sz w:val="24"/>
                <w:szCs w:val="24"/>
              </w:rPr>
              <w:t>(34))</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320" w:right="0" w:firstLine="0"/>
              <w:jc w:val="left"/>
              <w:rPr>
                <w:sz w:val="24"/>
                <w:szCs w:val="24"/>
              </w:rPr>
            </w:pPr>
            <w:r>
              <w:rPr>
                <w:rFonts w:ascii="Times New Roman" w:eastAsia="Times New Roman" w:hAnsi="Times New Roman" w:cs="Times New Roman"/>
                <w:color w:val="000000"/>
                <w:spacing w:val="0"/>
                <w:w w:val="100"/>
                <w:position w:val="0"/>
                <w:sz w:val="24"/>
                <w:szCs w:val="24"/>
              </w:rPr>
              <w:t>4,492,601</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w:t>
            </w:r>
          </w:p>
        </w:tc>
      </w:tr>
      <w:tr>
        <w:trPr>
          <w:trHeight w:val="302"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00"/>
              <w:jc w:val="left"/>
              <w:rPr>
                <w:sz w:val="24"/>
                <w:szCs w:val="24"/>
              </w:rPr>
            </w:pPr>
            <w:r>
              <w:rPr>
                <w:color w:val="000000"/>
                <w:spacing w:val="0"/>
                <w:w w:val="100"/>
                <w:position w:val="0"/>
                <w:sz w:val="24"/>
                <w:szCs w:val="24"/>
              </w:rPr>
              <w:t>递延广告位使用费收入</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620" w:right="0" w:firstLine="0"/>
              <w:jc w:val="left"/>
              <w:rPr>
                <w:sz w:val="24"/>
                <w:szCs w:val="24"/>
              </w:rPr>
            </w:pPr>
            <w:r>
              <w:rPr>
                <w:rFonts w:ascii="Times New Roman" w:eastAsia="Times New Roman" w:hAnsi="Times New Roman" w:cs="Times New Roman"/>
                <w:color w:val="000000"/>
                <w:spacing w:val="0"/>
                <w:w w:val="100"/>
                <w:position w:val="0"/>
                <w:sz w:val="24"/>
                <w:szCs w:val="24"/>
              </w:rPr>
              <w:t>70,978</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500" w:right="0" w:firstLine="0"/>
              <w:jc w:val="both"/>
              <w:rPr>
                <w:sz w:val="24"/>
                <w:szCs w:val="24"/>
              </w:rPr>
            </w:pPr>
            <w:r>
              <w:rPr>
                <w:rFonts w:ascii="Times New Roman" w:eastAsia="Times New Roman" w:hAnsi="Times New Roman" w:cs="Times New Roman"/>
                <w:color w:val="000000"/>
                <w:spacing w:val="0"/>
                <w:w w:val="100"/>
                <w:position w:val="0"/>
                <w:sz w:val="24"/>
                <w:szCs w:val="24"/>
              </w:rPr>
              <w:t>82,232</w:t>
            </w:r>
          </w:p>
        </w:tc>
      </w:tr>
      <w:tr>
        <w:trPr>
          <w:trHeight w:val="312"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00"/>
              <w:jc w:val="left"/>
              <w:rPr>
                <w:sz w:val="24"/>
                <w:szCs w:val="24"/>
              </w:rPr>
            </w:pPr>
            <w:r>
              <w:rPr>
                <w:color w:val="000000"/>
                <w:spacing w:val="0"/>
                <w:w w:val="100"/>
                <w:position w:val="0"/>
                <w:sz w:val="24"/>
                <w:szCs w:val="24"/>
              </w:rPr>
              <w:t>一年内到期的长期借款</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07"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40"/>
              <w:jc w:val="left"/>
              <w:rPr>
                <w:sz w:val="24"/>
                <w:szCs w:val="24"/>
              </w:rPr>
            </w:pP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附注四</w:t>
            </w:r>
            <w:r>
              <w:rPr>
                <w:rFonts w:ascii="Times New Roman" w:eastAsia="Times New Roman" w:hAnsi="Times New Roman" w:cs="Times New Roman"/>
                <w:color w:val="000000"/>
                <w:spacing w:val="0"/>
                <w:w w:val="100"/>
                <w:position w:val="0"/>
                <w:sz w:val="24"/>
                <w:szCs w:val="24"/>
              </w:rPr>
              <w:t>(33))</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620" w:right="0" w:firstLine="0"/>
              <w:jc w:val="left"/>
              <w:rPr>
                <w:sz w:val="24"/>
                <w:szCs w:val="24"/>
              </w:rPr>
            </w:pPr>
            <w:r>
              <w:rPr>
                <w:rFonts w:ascii="Times New Roman" w:eastAsia="Times New Roman" w:hAnsi="Times New Roman" w:cs="Times New Roman"/>
                <w:color w:val="000000"/>
                <w:spacing w:val="0"/>
                <w:w w:val="100"/>
                <w:position w:val="0"/>
                <w:sz w:val="24"/>
                <w:szCs w:val="24"/>
              </w:rPr>
              <w:t>31,861</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380" w:right="0" w:firstLine="0"/>
              <w:jc w:val="both"/>
              <w:rPr>
                <w:sz w:val="24"/>
                <w:szCs w:val="24"/>
              </w:rPr>
            </w:pPr>
            <w:r>
              <w:rPr>
                <w:rFonts w:ascii="Times New Roman" w:eastAsia="Times New Roman" w:hAnsi="Times New Roman" w:cs="Times New Roman"/>
                <w:color w:val="000000"/>
                <w:spacing w:val="0"/>
                <w:w w:val="100"/>
                <w:position w:val="0"/>
                <w:sz w:val="24"/>
                <w:szCs w:val="24"/>
              </w:rPr>
              <w:t>62,161</w:t>
            </w:r>
          </w:p>
        </w:tc>
      </w:tr>
      <w:tr>
        <w:trPr>
          <w:trHeight w:val="298" w:hRule="exact"/>
        </w:trPr>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320" w:right="0" w:firstLine="0"/>
              <w:jc w:val="left"/>
              <w:rPr>
                <w:sz w:val="24"/>
                <w:szCs w:val="24"/>
              </w:rPr>
            </w:pPr>
            <w:r>
              <w:rPr>
                <w:rFonts w:ascii="Times New Roman" w:eastAsia="Times New Roman" w:hAnsi="Times New Roman" w:cs="Times New Roman"/>
                <w:color w:val="000000"/>
                <w:spacing w:val="0"/>
                <w:w w:val="100"/>
                <w:position w:val="0"/>
                <w:sz w:val="24"/>
                <w:szCs w:val="24"/>
              </w:rPr>
              <w:t>4,595,440</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380" w:right="0" w:firstLine="0"/>
              <w:jc w:val="both"/>
              <w:rPr>
                <w:sz w:val="24"/>
                <w:szCs w:val="24"/>
              </w:rPr>
            </w:pPr>
            <w:r>
              <w:rPr>
                <w:rFonts w:ascii="Times New Roman" w:eastAsia="Times New Roman" w:hAnsi="Times New Roman" w:cs="Times New Roman"/>
                <w:color w:val="000000"/>
                <w:spacing w:val="0"/>
                <w:w w:val="100"/>
                <w:position w:val="0"/>
                <w:sz w:val="24"/>
                <w:szCs w:val="24"/>
              </w:rPr>
              <w:t>144,393</w:t>
            </w:r>
          </w:p>
        </w:tc>
      </w:tr>
      <w:tr>
        <w:trPr>
          <w:trHeight w:val="739"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(32)</w:t>
            </w:r>
            <w:r>
              <w:rPr>
                <w:b/>
                <w:bCs/>
                <w:color w:val="000000"/>
                <w:spacing w:val="0"/>
                <w:w w:val="100"/>
                <w:position w:val="0"/>
                <w:sz w:val="24"/>
                <w:szCs w:val="24"/>
              </w:rPr>
              <w:t>其他流动负债</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595"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rPr>
                <w:sz w:val="24"/>
                <w:szCs w:val="24"/>
              </w:rPr>
            </w:pP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2015</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w:t>
            </w:r>
          </w:p>
        </w:tc>
      </w:tr>
      <w:tr>
        <w:trPr>
          <w:trHeight w:val="475"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00"/>
              <w:jc w:val="left"/>
              <w:rPr>
                <w:sz w:val="24"/>
                <w:szCs w:val="24"/>
              </w:rPr>
            </w:pPr>
            <w:r>
              <w:rPr>
                <w:color w:val="000000"/>
                <w:spacing w:val="0"/>
                <w:w w:val="100"/>
                <w:position w:val="0"/>
                <w:sz w:val="24"/>
                <w:szCs w:val="24"/>
              </w:rPr>
              <w:t>预提房屋租金</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520" w:right="0" w:firstLine="0"/>
              <w:jc w:val="left"/>
              <w:rPr>
                <w:sz w:val="24"/>
                <w:szCs w:val="24"/>
              </w:rPr>
            </w:pPr>
            <w:r>
              <w:rPr>
                <w:rFonts w:ascii="Times New Roman" w:eastAsia="Times New Roman" w:hAnsi="Times New Roman" w:cs="Times New Roman"/>
                <w:color w:val="000000"/>
                <w:spacing w:val="0"/>
                <w:w w:val="100"/>
                <w:position w:val="0"/>
                <w:sz w:val="24"/>
                <w:szCs w:val="24"/>
              </w:rPr>
              <w:t>810,909</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380" w:right="0" w:firstLine="0"/>
              <w:jc w:val="both"/>
              <w:rPr>
                <w:sz w:val="24"/>
                <w:szCs w:val="24"/>
              </w:rPr>
            </w:pPr>
            <w:r>
              <w:rPr>
                <w:rFonts w:ascii="Times New Roman" w:eastAsia="Times New Roman" w:hAnsi="Times New Roman" w:cs="Times New Roman"/>
                <w:color w:val="000000"/>
                <w:spacing w:val="0"/>
                <w:w w:val="100"/>
                <w:position w:val="0"/>
                <w:sz w:val="24"/>
                <w:szCs w:val="24"/>
              </w:rPr>
              <w:t>664,069</w:t>
            </w:r>
          </w:p>
        </w:tc>
      </w:tr>
      <w:tr>
        <w:trPr>
          <w:trHeight w:val="312"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00"/>
              <w:jc w:val="left"/>
              <w:rPr>
                <w:sz w:val="24"/>
                <w:szCs w:val="24"/>
              </w:rPr>
            </w:pPr>
            <w:r>
              <w:rPr>
                <w:color w:val="000000"/>
                <w:spacing w:val="0"/>
                <w:w w:val="100"/>
                <w:position w:val="0"/>
                <w:sz w:val="24"/>
                <w:szCs w:val="24"/>
              </w:rPr>
              <w:t>预提水电费</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520" w:right="0" w:firstLine="0"/>
              <w:jc w:val="left"/>
              <w:rPr>
                <w:sz w:val="24"/>
                <w:szCs w:val="24"/>
              </w:rPr>
            </w:pPr>
            <w:r>
              <w:rPr>
                <w:rFonts w:ascii="Times New Roman" w:eastAsia="Times New Roman" w:hAnsi="Times New Roman" w:cs="Times New Roman"/>
                <w:color w:val="000000"/>
                <w:spacing w:val="0"/>
                <w:w w:val="100"/>
                <w:position w:val="0"/>
                <w:sz w:val="24"/>
                <w:szCs w:val="24"/>
              </w:rPr>
              <w:t>107,172</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500" w:right="0" w:firstLine="0"/>
              <w:jc w:val="both"/>
              <w:rPr>
                <w:sz w:val="24"/>
                <w:szCs w:val="24"/>
              </w:rPr>
            </w:pPr>
            <w:r>
              <w:rPr>
                <w:rFonts w:ascii="Times New Roman" w:eastAsia="Times New Roman" w:hAnsi="Times New Roman" w:cs="Times New Roman"/>
                <w:color w:val="000000"/>
                <w:spacing w:val="0"/>
                <w:w w:val="100"/>
                <w:position w:val="0"/>
                <w:sz w:val="24"/>
                <w:szCs w:val="24"/>
              </w:rPr>
              <w:t>94,794</w:t>
            </w:r>
          </w:p>
        </w:tc>
      </w:tr>
      <w:tr>
        <w:trPr>
          <w:trHeight w:val="331"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00"/>
              <w:jc w:val="left"/>
              <w:rPr>
                <w:sz w:val="24"/>
                <w:szCs w:val="24"/>
              </w:rPr>
            </w:pPr>
            <w:r>
              <w:rPr>
                <w:color w:val="000000"/>
                <w:spacing w:val="0"/>
                <w:w w:val="100"/>
                <w:position w:val="0"/>
                <w:sz w:val="24"/>
                <w:szCs w:val="24"/>
              </w:rPr>
              <w:t>积分计划</w:t>
            </w:r>
            <w:r>
              <w:rPr>
                <w:rFonts w:ascii="Times New Roman" w:eastAsia="Times New Roman" w:hAnsi="Times New Roman" w:cs="Times New Roman"/>
                <w:color w:val="000000"/>
                <w:spacing w:val="0"/>
                <w:w w:val="100"/>
                <w:position w:val="0"/>
                <w:sz w:val="24"/>
                <w:szCs w:val="24"/>
              </w:rPr>
              <w:t>(a)</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620" w:right="0" w:firstLine="0"/>
              <w:jc w:val="left"/>
              <w:rPr>
                <w:sz w:val="24"/>
                <w:szCs w:val="24"/>
              </w:rPr>
            </w:pPr>
            <w:r>
              <w:rPr>
                <w:rFonts w:ascii="Times New Roman" w:eastAsia="Times New Roman" w:hAnsi="Times New Roman" w:cs="Times New Roman"/>
                <w:color w:val="000000"/>
                <w:spacing w:val="0"/>
                <w:w w:val="100"/>
                <w:position w:val="0"/>
                <w:sz w:val="24"/>
                <w:szCs w:val="24"/>
              </w:rPr>
              <w:t>97,978</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500" w:right="0" w:firstLine="0"/>
              <w:jc w:val="both"/>
              <w:rPr>
                <w:sz w:val="24"/>
                <w:szCs w:val="24"/>
              </w:rPr>
            </w:pPr>
            <w:r>
              <w:rPr>
                <w:rFonts w:ascii="Times New Roman" w:eastAsia="Times New Roman" w:hAnsi="Times New Roman" w:cs="Times New Roman"/>
                <w:color w:val="000000"/>
                <w:spacing w:val="0"/>
                <w:w w:val="100"/>
                <w:position w:val="0"/>
                <w:sz w:val="24"/>
                <w:szCs w:val="24"/>
              </w:rPr>
              <w:t>43,022</w:t>
            </w:r>
          </w:p>
        </w:tc>
      </w:tr>
      <w:tr>
        <w:trPr>
          <w:trHeight w:val="302"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00"/>
              <w:jc w:val="left"/>
              <w:rPr>
                <w:sz w:val="24"/>
                <w:szCs w:val="24"/>
              </w:rPr>
            </w:pPr>
            <w:r>
              <w:rPr>
                <w:color w:val="000000"/>
                <w:spacing w:val="0"/>
                <w:w w:val="100"/>
                <w:position w:val="0"/>
                <w:sz w:val="24"/>
                <w:szCs w:val="24"/>
              </w:rPr>
              <w:t>其他</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620" w:right="0" w:firstLine="0"/>
              <w:jc w:val="left"/>
              <w:rPr>
                <w:sz w:val="24"/>
                <w:szCs w:val="24"/>
              </w:rPr>
            </w:pPr>
            <w:r>
              <w:rPr>
                <w:rFonts w:ascii="Times New Roman" w:eastAsia="Times New Roman" w:hAnsi="Times New Roman" w:cs="Times New Roman"/>
                <w:color w:val="000000"/>
                <w:spacing w:val="0"/>
                <w:w w:val="100"/>
                <w:position w:val="0"/>
                <w:sz w:val="24"/>
                <w:szCs w:val="24"/>
              </w:rPr>
              <w:t>61,958</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6,141</w:t>
            </w:r>
          </w:p>
        </w:tc>
      </w:tr>
      <w:tr>
        <w:trPr>
          <w:trHeight w:val="307" w:hRule="exact"/>
        </w:trPr>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320" w:right="0" w:firstLine="0"/>
              <w:jc w:val="left"/>
              <w:rPr>
                <w:sz w:val="24"/>
                <w:szCs w:val="24"/>
              </w:rPr>
            </w:pPr>
            <w:r>
              <w:rPr>
                <w:rFonts w:ascii="Times New Roman" w:eastAsia="Times New Roman" w:hAnsi="Times New Roman" w:cs="Times New Roman"/>
                <w:color w:val="000000"/>
                <w:spacing w:val="0"/>
                <w:w w:val="100"/>
                <w:position w:val="0"/>
                <w:sz w:val="24"/>
                <w:szCs w:val="24"/>
              </w:rPr>
              <w:t>1,078,017</w:t>
            </w:r>
          </w:p>
        </w:tc>
        <w:tc>
          <w:tcPr>
            <w:tcBorders>
              <w:top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380" w:right="0" w:firstLine="0"/>
              <w:jc w:val="both"/>
              <w:rPr>
                <w:sz w:val="24"/>
                <w:szCs w:val="24"/>
              </w:rPr>
            </w:pPr>
            <w:r>
              <w:rPr>
                <w:rFonts w:ascii="Times New Roman" w:eastAsia="Times New Roman" w:hAnsi="Times New Roman" w:cs="Times New Roman"/>
                <w:color w:val="000000"/>
                <w:spacing w:val="0"/>
                <w:w w:val="100"/>
                <w:position w:val="0"/>
                <w:sz w:val="24"/>
                <w:szCs w:val="24"/>
              </w:rPr>
              <w:t>808,026</w:t>
            </w:r>
          </w:p>
        </w:tc>
      </w:tr>
    </w:tbl>
    <w:p>
      <w:pPr>
        <w:widowControl w:val="0"/>
        <w:spacing w:after="239" w:line="1" w:lineRule="exact"/>
      </w:pPr>
    </w:p>
    <w:p>
      <w:pPr>
        <w:pStyle w:val="Style32"/>
        <w:keepNext w:val="0"/>
        <w:keepLines w:val="0"/>
        <w:widowControl w:val="0"/>
        <w:shd w:val="clear" w:color="auto" w:fill="auto"/>
        <w:tabs>
          <w:tab w:pos="700" w:val="left"/>
        </w:tabs>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(a)</w:t>
        <w:tab/>
      </w:r>
      <w:r>
        <w:rPr>
          <w:color w:val="000000"/>
          <w:spacing w:val="0"/>
          <w:w w:val="100"/>
          <w:position w:val="0"/>
          <w:sz w:val="24"/>
          <w:szCs w:val="24"/>
        </w:rPr>
        <w:t>根据积分计划递延确认的收益，以授予顾客的积分为基准，并根据本集团已</w:t>
      </w:r>
    </w:p>
    <w:p>
      <w:pPr>
        <w:pStyle w:val="Style32"/>
        <w:keepNext w:val="0"/>
        <w:keepLines w:val="0"/>
        <w:widowControl w:val="0"/>
        <w:shd w:val="clear" w:color="auto" w:fill="auto"/>
        <w:bidi w:val="0"/>
        <w:spacing w:before="0" w:after="240" w:line="240" w:lineRule="auto"/>
        <w:ind w:left="0" w:right="0" w:firstLine="760"/>
        <w:jc w:val="left"/>
        <w:rPr>
          <w:sz w:val="24"/>
          <w:szCs w:val="24"/>
        </w:rPr>
      </w:pPr>
      <w:r>
        <w:rPr>
          <w:color w:val="000000"/>
          <w:spacing w:val="0"/>
          <w:w w:val="100"/>
          <w:position w:val="0"/>
          <w:sz w:val="24"/>
          <w:szCs w:val="24"/>
        </w:rPr>
        <w:t>公布的积分使用方法和积分的预期兑付率，按公允价值确认。</w:t>
      </w:r>
    </w:p>
    <w:p>
      <w:pPr>
        <w:pStyle w:val="Style32"/>
        <w:keepNext w:val="0"/>
        <w:keepLines w:val="0"/>
        <w:widowControl w:val="0"/>
        <w:shd w:val="clear" w:color="auto" w:fill="auto"/>
        <w:tabs>
          <w:tab w:pos="700" w:val="left"/>
        </w:tabs>
        <w:bidi w:val="0"/>
        <w:spacing w:before="0" w:after="28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(33)</w:t>
        <w:tab/>
      </w:r>
      <w:r>
        <w:rPr>
          <w:b/>
          <w:bCs/>
          <w:color w:val="000000"/>
          <w:spacing w:val="0"/>
          <w:w w:val="100"/>
          <w:position w:val="0"/>
          <w:sz w:val="24"/>
          <w:szCs w:val="24"/>
        </w:rPr>
        <w:t>长期借款</w:t>
      </w:r>
    </w:p>
    <w:tbl>
      <w:tblPr>
        <w:tblOverlap w:val="never"/>
        <w:jc w:val="left"/>
        <w:tblLayout w:type="fixed"/>
      </w:tblPr>
      <w:tblGrid>
        <w:gridCol w:w="3970"/>
        <w:gridCol w:w="2477"/>
        <w:gridCol w:w="1786"/>
      </w:tblGrid>
      <w:tr>
        <w:trPr>
          <w:trHeight w:val="307" w:hRule="exact"/>
        </w:trPr>
        <w:tc>
          <w:tcPr>
            <w:tcBorders/>
            <w:shd w:val="clear" w:color="auto" w:fill="FFFFFF"/>
            <w:vAlign w:val="bottom"/>
          </w:tcPr>
          <w:p>
            <w:pPr>
              <w:pStyle w:val="Style28"/>
              <w:keepNext w:val="0"/>
              <w:keepLines w:val="0"/>
              <w:framePr w:w="8232" w:h="1546" w:vSpace="605" w:wrap="notBeside" w:vAnchor="text" w:hAnchor="text" w:x="1158" w:y="606"/>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信用借款</w:t>
            </w:r>
          </w:p>
        </w:tc>
        <w:tc>
          <w:tcPr>
            <w:tcBorders/>
            <w:shd w:val="clear" w:color="auto" w:fill="FFFFFF"/>
            <w:vAlign w:val="bottom"/>
          </w:tcPr>
          <w:p>
            <w:pPr>
              <w:pStyle w:val="Style28"/>
              <w:keepNext w:val="0"/>
              <w:keepLines w:val="0"/>
              <w:framePr w:w="8232" w:h="1546" w:vSpace="605" w:wrap="notBeside" w:vAnchor="text" w:hAnchor="text" w:x="1158" w:y="606"/>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13,253</w:t>
            </w:r>
          </w:p>
        </w:tc>
        <w:tc>
          <w:tcPr>
            <w:tcBorders/>
            <w:shd w:val="clear" w:color="auto" w:fill="FFFFFF"/>
            <w:vAlign w:val="bottom"/>
          </w:tcPr>
          <w:p>
            <w:pPr>
              <w:pStyle w:val="Style28"/>
              <w:keepNext w:val="0"/>
              <w:keepLines w:val="0"/>
              <w:framePr w:w="8232" w:h="1546" w:vSpace="605" w:wrap="notBeside" w:vAnchor="text" w:hAnchor="text" w:x="1158" w:y="606"/>
              <w:widowControl w:val="0"/>
              <w:shd w:val="clear" w:color="auto" w:fill="auto"/>
              <w:bidi w:val="0"/>
              <w:spacing w:before="0" w:after="0" w:line="240" w:lineRule="auto"/>
              <w:ind w:left="0" w:right="0" w:firstLine="880"/>
              <w:jc w:val="both"/>
              <w:rPr>
                <w:sz w:val="24"/>
                <w:szCs w:val="24"/>
              </w:rPr>
            </w:pPr>
            <w:r>
              <w:rPr>
                <w:rFonts w:ascii="Times New Roman" w:eastAsia="Times New Roman" w:hAnsi="Times New Roman" w:cs="Times New Roman"/>
                <w:color w:val="000000"/>
                <w:spacing w:val="0"/>
                <w:w w:val="100"/>
                <w:position w:val="0"/>
                <w:sz w:val="24"/>
                <w:szCs w:val="24"/>
              </w:rPr>
              <w:t>14,189</w:t>
            </w:r>
          </w:p>
        </w:tc>
      </w:tr>
      <w:tr>
        <w:trPr>
          <w:trHeight w:val="302" w:hRule="exact"/>
        </w:trPr>
        <w:tc>
          <w:tcPr>
            <w:tcBorders/>
            <w:shd w:val="clear" w:color="auto" w:fill="FFFFFF"/>
            <w:vAlign w:val="bottom"/>
          </w:tcPr>
          <w:p>
            <w:pPr>
              <w:pStyle w:val="Style28"/>
              <w:keepNext w:val="0"/>
              <w:keepLines w:val="0"/>
              <w:framePr w:w="8232" w:h="1546" w:vSpace="605" w:wrap="notBeside" w:vAnchor="text" w:hAnchor="text" w:x="1158" w:y="606"/>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抵押借款</w:t>
            </w:r>
          </w:p>
        </w:tc>
        <w:tc>
          <w:tcPr>
            <w:tcBorders/>
            <w:shd w:val="clear" w:color="auto" w:fill="FFFFFF"/>
            <w:vAlign w:val="bottom"/>
          </w:tcPr>
          <w:p>
            <w:pPr>
              <w:pStyle w:val="Style28"/>
              <w:keepNext w:val="0"/>
              <w:keepLines w:val="0"/>
              <w:framePr w:w="8232" w:h="1546" w:vSpace="605" w:wrap="notBeside" w:vAnchor="text" w:hAnchor="text" w:x="1158" w:y="606"/>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8,860</w:t>
            </w:r>
          </w:p>
        </w:tc>
        <w:tc>
          <w:tcPr>
            <w:tcBorders/>
            <w:shd w:val="clear" w:color="auto" w:fill="FFFFFF"/>
            <w:vAlign w:val="bottom"/>
          </w:tcPr>
          <w:p>
            <w:pPr>
              <w:pStyle w:val="Style28"/>
              <w:keepNext w:val="0"/>
              <w:keepLines w:val="0"/>
              <w:framePr w:w="8232" w:h="1546" w:vSpace="605" w:wrap="notBeside" w:vAnchor="text" w:hAnchor="text" w:x="1158" w:y="606"/>
              <w:widowControl w:val="0"/>
              <w:shd w:val="clear" w:color="auto" w:fill="auto"/>
              <w:bidi w:val="0"/>
              <w:spacing w:before="0" w:after="0" w:line="240" w:lineRule="auto"/>
              <w:ind w:left="0" w:right="0" w:firstLine="840"/>
              <w:jc w:val="left"/>
              <w:rPr>
                <w:sz w:val="24"/>
                <w:szCs w:val="24"/>
              </w:rPr>
            </w:pPr>
            <w:r>
              <w:rPr>
                <w:rFonts w:ascii="Times New Roman" w:eastAsia="Times New Roman" w:hAnsi="Times New Roman" w:cs="Times New Roman"/>
                <w:color w:val="000000"/>
                <w:spacing w:val="0"/>
                <w:w w:val="100"/>
                <w:position w:val="0"/>
                <w:sz w:val="24"/>
                <w:szCs w:val="24"/>
              </w:rPr>
              <w:t>379,916</w:t>
            </w:r>
          </w:p>
        </w:tc>
      </w:tr>
      <w:tr>
        <w:trPr>
          <w:trHeight w:val="312" w:hRule="exact"/>
        </w:trPr>
        <w:tc>
          <w:tcPr>
            <w:tcBorders/>
            <w:shd w:val="clear" w:color="auto" w:fill="FFFFFF"/>
            <w:vAlign w:val="bottom"/>
          </w:tcPr>
          <w:p>
            <w:pPr>
              <w:pStyle w:val="Style28"/>
              <w:keepNext w:val="0"/>
              <w:keepLines w:val="0"/>
              <w:framePr w:w="8232" w:h="1546" w:vSpace="605" w:wrap="notBeside" w:vAnchor="text" w:hAnchor="text" w:x="1158" w:y="606"/>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质押借款</w:t>
            </w:r>
          </w:p>
        </w:tc>
        <w:tc>
          <w:tcPr>
            <w:tcBorders/>
            <w:shd w:val="clear" w:color="auto" w:fill="FFFFFF"/>
            <w:vAlign w:val="bottom"/>
          </w:tcPr>
          <w:p>
            <w:pPr>
              <w:pStyle w:val="Style28"/>
              <w:keepNext w:val="0"/>
              <w:keepLines w:val="0"/>
              <w:framePr w:w="8232" w:h="1546" w:vSpace="605" w:wrap="notBeside" w:vAnchor="text" w:hAnchor="text" w:x="1158" w:y="606"/>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27,748</w:t>
            </w:r>
          </w:p>
        </w:tc>
        <w:tc>
          <w:tcPr>
            <w:tcBorders/>
            <w:shd w:val="clear" w:color="auto" w:fill="FFFFFF"/>
            <w:vAlign w:val="bottom"/>
          </w:tcPr>
          <w:p>
            <w:pPr>
              <w:pStyle w:val="Style28"/>
              <w:keepNext w:val="0"/>
              <w:keepLines w:val="0"/>
              <w:framePr w:w="8232" w:h="1546" w:vSpace="605" w:wrap="notBeside" w:vAnchor="text" w:hAnchor="text" w:x="1158" w:y="606"/>
              <w:widowControl w:val="0"/>
              <w:shd w:val="clear" w:color="auto" w:fill="auto"/>
              <w:bidi w:val="0"/>
              <w:spacing w:before="0" w:after="0" w:line="240" w:lineRule="auto"/>
              <w:ind w:left="0" w:right="160" w:firstLine="0"/>
              <w:jc w:val="right"/>
              <w:rPr>
                <w:sz w:val="24"/>
                <w:szCs w:val="24"/>
              </w:rPr>
            </w:pPr>
            <w:r>
              <w:rPr>
                <w:rFonts w:ascii="Times New Roman" w:eastAsia="Times New Roman" w:hAnsi="Times New Roman" w:cs="Times New Roman"/>
                <w:color w:val="000000"/>
                <w:spacing w:val="0"/>
                <w:w w:val="100"/>
                <w:position w:val="0"/>
                <w:sz w:val="24"/>
                <w:szCs w:val="24"/>
              </w:rPr>
              <w:t>25,974</w:t>
            </w:r>
          </w:p>
        </w:tc>
      </w:tr>
      <w:tr>
        <w:trPr>
          <w:trHeight w:val="312" w:hRule="exact"/>
        </w:trPr>
        <w:tc>
          <w:tcPr>
            <w:tcBorders/>
            <w:shd w:val="clear" w:color="auto" w:fill="FFFFFF"/>
            <w:vAlign w:val="bottom"/>
          </w:tcPr>
          <w:p>
            <w:pPr>
              <w:pStyle w:val="Style28"/>
              <w:keepNext w:val="0"/>
              <w:keepLines w:val="0"/>
              <w:framePr w:w="8232" w:h="1546" w:vSpace="605" w:wrap="notBeside" w:vAnchor="text" w:hAnchor="text" w:x="1158" w:y="606"/>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其中：一年内到期的长期借款</w:t>
            </w:r>
          </w:p>
        </w:tc>
        <w:tc>
          <w:tcPr>
            <w:tcBorders/>
            <w:shd w:val="clear" w:color="auto" w:fill="FFFFFF"/>
            <w:vAlign w:val="bottom"/>
          </w:tcPr>
          <w:p>
            <w:pPr>
              <w:pStyle w:val="Style28"/>
              <w:keepNext w:val="0"/>
              <w:keepLines w:val="0"/>
              <w:framePr w:w="8232" w:h="1546" w:vSpace="605" w:wrap="notBeside" w:vAnchor="text" w:hAnchor="text" w:x="1158" w:y="606"/>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(31,861)</w:t>
            </w:r>
          </w:p>
        </w:tc>
        <w:tc>
          <w:tcPr>
            <w:tcBorders/>
            <w:shd w:val="clear" w:color="auto" w:fill="FFFFFF"/>
            <w:vAlign w:val="bottom"/>
          </w:tcPr>
          <w:p>
            <w:pPr>
              <w:pStyle w:val="Style28"/>
              <w:keepNext w:val="0"/>
              <w:keepLines w:val="0"/>
              <w:framePr w:w="8232" w:h="1546" w:vSpace="605" w:wrap="notBeside" w:vAnchor="text" w:hAnchor="text" w:x="1158" w:y="606"/>
              <w:widowControl w:val="0"/>
              <w:shd w:val="clear" w:color="auto" w:fill="auto"/>
              <w:bidi w:val="0"/>
              <w:spacing w:before="0" w:after="0" w:line="240" w:lineRule="auto"/>
              <w:ind w:left="0" w:right="0" w:firstLine="880"/>
              <w:jc w:val="both"/>
              <w:rPr>
                <w:sz w:val="24"/>
                <w:szCs w:val="24"/>
              </w:rPr>
            </w:pPr>
            <w:r>
              <w:rPr>
                <w:rFonts w:ascii="Times New Roman" w:eastAsia="Times New Roman" w:hAnsi="Times New Roman" w:cs="Times New Roman"/>
                <w:color w:val="000000"/>
                <w:spacing w:val="0"/>
                <w:w w:val="100"/>
                <w:position w:val="0"/>
                <w:sz w:val="24"/>
                <w:szCs w:val="24"/>
              </w:rPr>
              <w:t>(62,161)</w:t>
            </w:r>
          </w:p>
        </w:tc>
      </w:tr>
      <w:tr>
        <w:trPr>
          <w:trHeight w:val="312" w:hRule="exact"/>
        </w:trPr>
        <w:tc>
          <w:tcPr>
            <w:tcBorders>
              <w:top w:val="single" w:sz="4"/>
              <w:bottom w:val="single" w:sz="4"/>
            </w:tcBorders>
            <w:shd w:val="clear" w:color="auto" w:fill="FFFFFF"/>
            <w:vAlign w:val="top"/>
          </w:tcPr>
          <w:p>
            <w:pPr>
              <w:framePr w:w="8232" w:h="1546" w:vSpace="605" w:wrap="notBeside" w:vAnchor="text" w:hAnchor="text" w:x="1158" w:y="606"/>
              <w:widowControl w:val="0"/>
              <w:rPr>
                <w:sz w:val="10"/>
                <w:szCs w:val="10"/>
              </w:rPr>
            </w:pPr>
          </w:p>
        </w:tc>
        <w:tc>
          <w:tcPr>
            <w:tcBorders>
              <w:top w:val="single" w:sz="4"/>
              <w:bottom w:val="single" w:sz="4"/>
            </w:tcBorders>
            <w:shd w:val="clear" w:color="auto" w:fill="FFFFFF"/>
            <w:vAlign w:val="bottom"/>
          </w:tcPr>
          <w:p>
            <w:pPr>
              <w:pStyle w:val="Style28"/>
              <w:keepNext w:val="0"/>
              <w:keepLines w:val="0"/>
              <w:framePr w:w="8232" w:h="1546" w:vSpace="605" w:wrap="notBeside" w:vAnchor="text" w:hAnchor="text" w:x="1158" w:y="606"/>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18,000</w:t>
            </w:r>
          </w:p>
        </w:tc>
        <w:tc>
          <w:tcPr>
            <w:tcBorders>
              <w:top w:val="single" w:sz="4"/>
              <w:bottom w:val="single" w:sz="4"/>
            </w:tcBorders>
            <w:shd w:val="clear" w:color="auto" w:fill="FFFFFF"/>
            <w:vAlign w:val="bottom"/>
          </w:tcPr>
          <w:p>
            <w:pPr>
              <w:pStyle w:val="Style28"/>
              <w:keepNext w:val="0"/>
              <w:keepLines w:val="0"/>
              <w:framePr w:w="8232" w:h="1546" w:vSpace="605" w:wrap="notBeside" w:vAnchor="text" w:hAnchor="text" w:x="1158" w:y="606"/>
              <w:widowControl w:val="0"/>
              <w:shd w:val="clear" w:color="auto" w:fill="auto"/>
              <w:bidi w:val="0"/>
              <w:spacing w:before="0" w:after="0" w:line="240" w:lineRule="auto"/>
              <w:ind w:left="0" w:right="0" w:firstLine="840"/>
              <w:jc w:val="left"/>
              <w:rPr>
                <w:sz w:val="24"/>
                <w:szCs w:val="24"/>
              </w:rPr>
            </w:pPr>
            <w:r>
              <w:rPr>
                <w:rFonts w:ascii="Times New Roman" w:eastAsia="Times New Roman" w:hAnsi="Times New Roman" w:cs="Times New Roman"/>
                <w:color w:val="000000"/>
                <w:spacing w:val="0"/>
                <w:w w:val="100"/>
                <w:position w:val="0"/>
                <w:sz w:val="24"/>
                <w:szCs w:val="24"/>
              </w:rPr>
              <w:t>357,918</w:t>
            </w:r>
          </w:p>
        </w:tc>
      </w:tr>
    </w:tbl>
    <w:p>
      <w:pPr>
        <w:pStyle w:val="Style25"/>
        <w:keepNext w:val="0"/>
        <w:keepLines w:val="0"/>
        <w:framePr w:w="1987" w:h="336" w:hSpace="1157" w:wrap="notBeside" w:vAnchor="text" w:hAnchor="text" w:x="4672" w:y="1"/>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w:t>
      </w:r>
    </w:p>
    <w:p>
      <w:pPr>
        <w:pStyle w:val="Style25"/>
        <w:keepNext w:val="0"/>
        <w:keepLines w:val="0"/>
        <w:framePr w:w="1987" w:h="336" w:hSpace="1157" w:wrap="notBeside" w:vAnchor="text" w:hAnchor="text" w:x="7321" w:y="1"/>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2015</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w:t>
      </w:r>
    </w:p>
    <w:p>
      <w:pPr>
        <w:widowControl w:val="0"/>
        <w:spacing w:line="1" w:lineRule="exact"/>
      </w:pPr>
    </w:p>
    <w:p>
      <w:pPr>
        <w:pStyle w:val="Style32"/>
        <w:keepNext w:val="0"/>
        <w:keepLines w:val="0"/>
        <w:widowControl w:val="0"/>
        <w:shd w:val="clear" w:color="auto" w:fill="auto"/>
        <w:bidi w:val="0"/>
        <w:spacing w:before="0" w:after="0" w:line="240" w:lineRule="auto"/>
        <w:ind w:left="0" w:right="0" w:firstLine="740"/>
        <w:jc w:val="both"/>
        <w:rPr>
          <w:sz w:val="24"/>
          <w:szCs w:val="24"/>
        </w:rPr>
      </w:pPr>
      <w:r>
        <w:rPr>
          <w:b/>
          <w:bCs/>
          <w:color w:val="000000"/>
          <w:spacing w:val="0"/>
          <w:w w:val="100"/>
          <w:position w:val="0"/>
          <w:sz w:val="24"/>
          <w:szCs w:val="24"/>
        </w:rPr>
        <w:t>财务报表附注</w:t>
      </w:r>
    </w:p>
    <w:p>
      <w:pPr>
        <w:pStyle w:val="Style88"/>
        <w:keepNext/>
        <w:keepLines/>
        <w:widowControl w:val="0"/>
        <w:shd w:val="clear" w:color="auto" w:fill="auto"/>
        <w:bidi w:val="0"/>
        <w:spacing w:before="0" w:after="0" w:line="240" w:lineRule="auto"/>
        <w:ind w:left="0" w:right="0" w:firstLine="740"/>
        <w:jc w:val="both"/>
      </w:pPr>
      <w:bookmarkStart w:id="945" w:name="bookmark945"/>
      <w:bookmarkStart w:id="946" w:name="bookmark946"/>
      <w:bookmarkStart w:id="947" w:name="bookmark947"/>
      <w:r>
        <w:rPr>
          <w:color w:val="000000"/>
          <w:spacing w:val="0"/>
          <w:w w:val="100"/>
          <w:position w:val="0"/>
          <w:sz w:val="24"/>
          <w:szCs w:val="24"/>
        </w:rPr>
        <w:t>2016</w:t>
      </w:r>
      <w:r>
        <w:rPr>
          <w:rFonts w:ascii="SimSun" w:eastAsia="SimSun" w:hAnsi="SimSun" w:cs="SimSun"/>
          <w:b/>
          <w:bCs/>
          <w:color w:val="000000"/>
          <w:spacing w:val="0"/>
          <w:w w:val="100"/>
          <w:position w:val="0"/>
          <w:sz w:val="24"/>
          <w:szCs w:val="24"/>
        </w:rPr>
        <w:t>年度</w:t>
      </w:r>
      <w:bookmarkEnd w:id="945"/>
      <w:bookmarkEnd w:id="946"/>
      <w:bookmarkEnd w:id="947"/>
    </w:p>
    <w:p>
      <w:pPr>
        <w:pStyle w:val="Style32"/>
        <w:keepNext w:val="0"/>
        <w:keepLines w:val="0"/>
        <w:widowControl w:val="0"/>
        <w:shd w:val="clear" w:color="auto" w:fill="auto"/>
        <w:bidi w:val="0"/>
        <w:spacing w:before="0" w:after="260" w:line="240" w:lineRule="auto"/>
        <w:ind w:left="0" w:right="0" w:firstLine="740"/>
        <w:jc w:val="both"/>
        <w:rPr>
          <w:sz w:val="24"/>
          <w:szCs w:val="24"/>
        </w:rPr>
      </w:pPr>
      <w:r>
        <w:rPr>
          <w:rFonts w:ascii="Arial" w:eastAsia="Arial" w:hAnsi="Arial" w:cs="Arial"/>
          <w:color w:val="000000"/>
          <w:spacing w:val="0"/>
          <w:w w:val="100"/>
          <w:position w:val="0"/>
          <w:sz w:val="20"/>
          <w:szCs w:val="20"/>
        </w:rPr>
        <w:t>（</w:t>
      </w:r>
      <w:r>
        <w:rPr>
          <w:color w:val="000000"/>
          <w:spacing w:val="0"/>
          <w:w w:val="100"/>
          <w:position w:val="0"/>
          <w:sz w:val="20"/>
          <w:szCs w:val="20"/>
        </w:rPr>
        <w:t>除特别注明外，金额单位为人民币千元</w:t>
      </w:r>
      <w:r>
        <w:rPr>
          <w:color w:val="000000"/>
          <w:spacing w:val="0"/>
          <w:w w:val="100"/>
          <w:position w:val="0"/>
          <w:sz w:val="24"/>
          <w:szCs w:val="24"/>
        </w:rPr>
        <w:t>）</w:t>
      </w:r>
    </w:p>
    <w:p>
      <w:pPr>
        <w:pStyle w:val="Style32"/>
        <w:keepNext w:val="0"/>
        <w:keepLines w:val="0"/>
        <w:widowControl w:val="0"/>
        <w:shd w:val="clear" w:color="auto" w:fill="auto"/>
        <w:tabs>
          <w:tab w:pos="684" w:val="left"/>
        </w:tabs>
        <w:bidi w:val="0"/>
        <w:spacing w:before="0" w:after="260" w:line="240" w:lineRule="auto"/>
        <w:ind w:left="0" w:right="0" w:firstLine="0"/>
        <w:jc w:val="both"/>
        <w:rPr>
          <w:sz w:val="24"/>
          <w:szCs w:val="24"/>
        </w:rPr>
      </w:pPr>
      <w:r>
        <w:rPr>
          <w:b/>
          <w:bCs/>
          <w:color w:val="000000"/>
          <w:spacing w:val="0"/>
          <w:w w:val="100"/>
          <w:position w:val="0"/>
          <w:sz w:val="24"/>
          <w:szCs w:val="24"/>
        </w:rPr>
        <w:t>四</w:t>
        <w:tab/>
        <w:t>合并财务报表项目附注</w:t>
      </w:r>
      <w:r>
        <w:rPr>
          <w:rFonts w:ascii="Times New Roman" w:eastAsia="Times New Roman" w:hAnsi="Times New Roman" w:cs="Times New Roman"/>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4"/>
          <w:szCs w:val="24"/>
        </w:rPr>
        <w:t>）</w:t>
      </w:r>
    </w:p>
    <w:p>
      <w:pPr>
        <w:pStyle w:val="Style53"/>
        <w:keepNext w:val="0"/>
        <w:keepLines w:val="0"/>
        <w:widowControl w:val="0"/>
        <w:shd w:val="clear" w:color="auto" w:fill="auto"/>
        <w:tabs>
          <w:tab w:pos="684" w:val="left"/>
        </w:tabs>
        <w:bidi w:val="0"/>
        <w:spacing w:before="0" w:after="260" w:line="271" w:lineRule="auto"/>
        <w:ind w:left="0" w:right="0" w:firstLine="0"/>
        <w:jc w:val="both"/>
        <w:rPr>
          <w:sz w:val="24"/>
          <w:szCs w:val="24"/>
        </w:rPr>
      </w:pPr>
      <w:r>
        <w:rPr>
          <w:color w:val="000000"/>
          <w:spacing w:val="0"/>
          <w:w w:val="100"/>
          <w:position w:val="0"/>
          <w:sz w:val="24"/>
          <w:szCs w:val="24"/>
        </w:rPr>
        <w:t>（33）</w:t>
        <w:tab/>
      </w:r>
      <w:r>
        <w:rPr>
          <w:rFonts w:ascii="SimSun" w:eastAsia="SimSun" w:hAnsi="SimSun" w:cs="SimSun"/>
          <w:b/>
          <w:bCs/>
          <w:color w:val="000000"/>
          <w:spacing w:val="0"/>
          <w:w w:val="100"/>
          <w:position w:val="0"/>
          <w:sz w:val="24"/>
          <w:szCs w:val="24"/>
        </w:rPr>
        <w:t>长期借款</w:t>
      </w:r>
      <w:r>
        <w:rPr>
          <w:color w:val="000000"/>
          <w:spacing w:val="0"/>
          <w:w w:val="100"/>
          <w:position w:val="0"/>
          <w:sz w:val="24"/>
          <w:szCs w:val="24"/>
        </w:rPr>
        <w:t>（</w:t>
      </w:r>
      <w:r>
        <w:rPr>
          <w:rFonts w:ascii="SimSun" w:eastAsia="SimSun" w:hAnsi="SimSun" w:cs="SimSun"/>
          <w:b/>
          <w:bCs/>
          <w:color w:val="000000"/>
          <w:spacing w:val="0"/>
          <w:w w:val="100"/>
          <w:position w:val="0"/>
          <w:sz w:val="24"/>
          <w:szCs w:val="24"/>
        </w:rPr>
        <w:t>续</w:t>
      </w:r>
      <w:r>
        <w:rPr>
          <w:rFonts w:ascii="SimSun" w:eastAsia="SimSun" w:hAnsi="SimSun" w:cs="SimSun"/>
          <w:color w:val="000000"/>
          <w:spacing w:val="0"/>
          <w:w w:val="100"/>
          <w:position w:val="0"/>
          <w:sz w:val="24"/>
          <w:szCs w:val="24"/>
        </w:rPr>
        <w:t>）</w:t>
      </w:r>
    </w:p>
    <w:p>
      <w:pPr>
        <w:pStyle w:val="Style32"/>
        <w:keepNext w:val="0"/>
        <w:keepLines w:val="0"/>
        <w:widowControl w:val="0"/>
        <w:shd w:val="clear" w:color="auto" w:fill="auto"/>
        <w:bidi w:val="0"/>
        <w:spacing w:before="0" w:after="260" w:line="312" w:lineRule="exact"/>
        <w:ind w:left="740" w:right="0" w:firstLine="20"/>
        <w:jc w:val="both"/>
        <w:rPr>
          <w:sz w:val="24"/>
          <w:szCs w:val="24"/>
        </w:rPr>
      </w:pPr>
      <w:r>
        <w:rPr>
          <w:color w:val="000000"/>
          <w:spacing w:val="0"/>
          <w:w w:val="100"/>
          <w:position w:val="0"/>
          <w:sz w:val="24"/>
          <w:szCs w:val="24"/>
        </w:rPr>
        <w:t>于</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日，本集团日元抵押借款金额为</w:t>
      </w:r>
      <w:r>
        <w:rPr>
          <w:rFonts w:ascii="Times New Roman" w:eastAsia="Times New Roman" w:hAnsi="Times New Roman" w:cs="Times New Roman"/>
          <w:color w:val="000000"/>
          <w:spacing w:val="0"/>
          <w:w w:val="100"/>
          <w:position w:val="0"/>
          <w:sz w:val="24"/>
          <w:szCs w:val="24"/>
        </w:rPr>
        <w:t>1.49</w:t>
      </w:r>
      <w:r>
        <w:rPr>
          <w:color w:val="000000"/>
          <w:spacing w:val="0"/>
          <w:w w:val="100"/>
          <w:position w:val="0"/>
          <w:sz w:val="24"/>
          <w:szCs w:val="24"/>
        </w:rPr>
        <w:t xml:space="preserve">亿日元，折合约人民币 </w:t>
      </w:r>
      <w:r>
        <w:rPr>
          <w:rFonts w:ascii="Times New Roman" w:eastAsia="Times New Roman" w:hAnsi="Times New Roman" w:cs="Times New Roman"/>
          <w:color w:val="000000"/>
          <w:spacing w:val="0"/>
          <w:w w:val="100"/>
          <w:position w:val="0"/>
          <w:sz w:val="24"/>
          <w:szCs w:val="24"/>
        </w:rPr>
        <w:t>886</w:t>
      </w:r>
      <w:r>
        <w:rPr>
          <w:color w:val="000000"/>
          <w:spacing w:val="0"/>
          <w:w w:val="100"/>
          <w:position w:val="0"/>
          <w:sz w:val="24"/>
          <w:szCs w:val="24"/>
        </w:rPr>
        <w:t>万元</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日：金额</w:t>
      </w:r>
      <w:r>
        <w:rPr>
          <w:rFonts w:ascii="Times New Roman" w:eastAsia="Times New Roman" w:hAnsi="Times New Roman" w:cs="Times New Roman"/>
          <w:color w:val="000000"/>
          <w:spacing w:val="0"/>
          <w:w w:val="100"/>
          <w:position w:val="0"/>
          <w:sz w:val="24"/>
          <w:szCs w:val="24"/>
        </w:rPr>
        <w:t>1</w:t>
      </w:r>
      <w:r>
        <w:rPr>
          <w:rFonts w:ascii="Times New Roman" w:eastAsia="Times New Roman" w:hAnsi="Times New Roman" w:cs="Times New Roman"/>
          <w:color w:val="000000"/>
          <w:spacing w:val="0"/>
          <w:w w:val="100"/>
          <w:position w:val="0"/>
          <w:sz w:val="24"/>
          <w:szCs w:val="24"/>
        </w:rPr>
        <w:t>.76</w:t>
      </w:r>
      <w:r>
        <w:rPr>
          <w:color w:val="000000"/>
          <w:spacing w:val="0"/>
          <w:w w:val="100"/>
          <w:position w:val="0"/>
          <w:sz w:val="24"/>
          <w:szCs w:val="24"/>
        </w:rPr>
        <w:t>亿日元，折合约人民币</w:t>
      </w:r>
      <w:r>
        <w:rPr>
          <w:rFonts w:ascii="Times New Roman" w:eastAsia="Times New Roman" w:hAnsi="Times New Roman" w:cs="Times New Roman"/>
          <w:color w:val="000000"/>
          <w:spacing w:val="0"/>
          <w:w w:val="100"/>
          <w:position w:val="0"/>
          <w:sz w:val="24"/>
          <w:szCs w:val="24"/>
        </w:rPr>
        <w:t>948</w:t>
      </w:r>
      <w:r>
        <w:rPr>
          <w:color w:val="000000"/>
          <w:spacing w:val="0"/>
          <w:w w:val="100"/>
          <w:position w:val="0"/>
          <w:sz w:val="24"/>
          <w:szCs w:val="24"/>
        </w:rPr>
        <w:t>万元</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，系由本 集团账面价值约为人民币</w:t>
      </w:r>
      <w:r>
        <w:rPr>
          <w:rFonts w:ascii="Times New Roman" w:eastAsia="Times New Roman" w:hAnsi="Times New Roman" w:cs="Times New Roman"/>
          <w:color w:val="000000"/>
          <w:spacing w:val="0"/>
          <w:w w:val="100"/>
          <w:position w:val="0"/>
          <w:sz w:val="24"/>
          <w:szCs w:val="24"/>
        </w:rPr>
        <w:t>220</w:t>
      </w:r>
      <w:r>
        <w:rPr>
          <w:color w:val="000000"/>
          <w:spacing w:val="0"/>
          <w:w w:val="100"/>
          <w:position w:val="0"/>
          <w:sz w:val="24"/>
          <w:szCs w:val="24"/>
        </w:rPr>
        <w:t>万元</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原价约人民币</w:t>
      </w:r>
      <w:r>
        <w:rPr>
          <w:rFonts w:ascii="Times New Roman" w:eastAsia="Times New Roman" w:hAnsi="Times New Roman" w:cs="Times New Roman"/>
          <w:color w:val="000000"/>
          <w:spacing w:val="0"/>
          <w:w w:val="100"/>
          <w:position w:val="0"/>
          <w:sz w:val="24"/>
          <w:szCs w:val="24"/>
        </w:rPr>
        <w:t>504</w:t>
      </w:r>
      <w:r>
        <w:rPr>
          <w:color w:val="000000"/>
          <w:spacing w:val="0"/>
          <w:w w:val="100"/>
          <w:position w:val="0"/>
          <w:sz w:val="24"/>
          <w:szCs w:val="24"/>
        </w:rPr>
        <w:t>万元</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 账面价值约为人民币</w:t>
      </w:r>
      <w:r>
        <w:rPr>
          <w:rFonts w:ascii="Times New Roman" w:eastAsia="Times New Roman" w:hAnsi="Times New Roman" w:cs="Times New Roman"/>
          <w:color w:val="000000"/>
          <w:spacing w:val="0"/>
          <w:w w:val="100"/>
          <w:position w:val="0"/>
          <w:sz w:val="24"/>
          <w:szCs w:val="24"/>
        </w:rPr>
        <w:t>236</w:t>
      </w:r>
      <w:r>
        <w:rPr>
          <w:color w:val="000000"/>
          <w:spacing w:val="0"/>
          <w:w w:val="100"/>
          <w:position w:val="0"/>
          <w:sz w:val="24"/>
          <w:szCs w:val="24"/>
        </w:rPr>
        <w:t>万元</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原价约人民币</w:t>
      </w:r>
      <w:r>
        <w:rPr>
          <w:rFonts w:ascii="Times New Roman" w:eastAsia="Times New Roman" w:hAnsi="Times New Roman" w:cs="Times New Roman"/>
          <w:color w:val="000000"/>
          <w:spacing w:val="0"/>
          <w:w w:val="100"/>
          <w:position w:val="0"/>
          <w:sz w:val="24"/>
          <w:szCs w:val="24"/>
        </w:rPr>
        <w:t>484</w:t>
      </w:r>
      <w:r>
        <w:rPr>
          <w:color w:val="000000"/>
          <w:spacing w:val="0"/>
          <w:w w:val="100"/>
          <w:position w:val="0"/>
          <w:sz w:val="24"/>
          <w:szCs w:val="24"/>
        </w:rPr>
        <w:t>万元</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附注四</w:t>
      </w:r>
      <w:r>
        <w:rPr>
          <w:rFonts w:ascii="Times New Roman" w:eastAsia="Times New Roman" w:hAnsi="Times New Roman" w:cs="Times New Roman"/>
          <w:color w:val="000000"/>
          <w:spacing w:val="0"/>
          <w:w w:val="100"/>
          <w:position w:val="0"/>
          <w:sz w:val="24"/>
          <w:szCs w:val="24"/>
        </w:rPr>
        <w:t>（14））</w:t>
      </w:r>
      <w:r>
        <w:rPr>
          <w:color w:val="000000"/>
          <w:spacing w:val="0"/>
          <w:w w:val="100"/>
          <w:position w:val="0"/>
          <w:sz w:val="24"/>
          <w:szCs w:val="24"/>
        </w:rPr>
        <w:t>的房屋建筑 物作抵押的</w:t>
      </w:r>
      <w:r>
        <w:rPr>
          <w:rFonts w:ascii="Times New Roman" w:eastAsia="Times New Roman" w:hAnsi="Times New Roman" w:cs="Times New Roman"/>
          <w:color w:val="000000"/>
          <w:spacing w:val="0"/>
          <w:w w:val="100"/>
          <w:position w:val="0"/>
          <w:sz w:val="24"/>
          <w:szCs w:val="24"/>
        </w:rPr>
        <w:t>9</w:t>
      </w:r>
      <w:r>
        <w:rPr>
          <w:color w:val="000000"/>
          <w:spacing w:val="0"/>
          <w:w w:val="100"/>
          <w:position w:val="0"/>
          <w:sz w:val="24"/>
          <w:szCs w:val="24"/>
        </w:rPr>
        <w:t>年期固定利率借款，借款年利率为</w:t>
      </w:r>
      <w:r>
        <w:rPr>
          <w:rFonts w:ascii="Times New Roman" w:eastAsia="Times New Roman" w:hAnsi="Times New Roman" w:cs="Times New Roman"/>
          <w:color w:val="000000"/>
          <w:spacing w:val="0"/>
          <w:w w:val="100"/>
          <w:position w:val="0"/>
          <w:sz w:val="24"/>
          <w:szCs w:val="24"/>
        </w:rPr>
        <w:t>2.12%</w:t>
      </w:r>
      <w:r>
        <w:rPr>
          <w:color w:val="000000"/>
          <w:spacing w:val="0"/>
          <w:w w:val="100"/>
          <w:position w:val="0"/>
          <w:sz w:val="24"/>
          <w:szCs w:val="24"/>
        </w:rPr>
        <w:t>,利息每年支付一次， 分期偿还本金，其中将于一年内到期的本金约为人民币</w:t>
      </w:r>
      <w:r>
        <w:rPr>
          <w:rFonts w:ascii="Times New Roman" w:eastAsia="Times New Roman" w:hAnsi="Times New Roman" w:cs="Times New Roman"/>
          <w:color w:val="000000"/>
          <w:spacing w:val="0"/>
          <w:w w:val="100"/>
          <w:position w:val="0"/>
          <w:sz w:val="24"/>
          <w:szCs w:val="24"/>
        </w:rPr>
        <w:t>163</w:t>
      </w:r>
      <w:r>
        <w:rPr>
          <w:color w:val="000000"/>
          <w:spacing w:val="0"/>
          <w:w w:val="100"/>
          <w:position w:val="0"/>
          <w:sz w:val="24"/>
          <w:szCs w:val="24"/>
        </w:rPr>
        <w:t>万元</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 xml:space="preserve">附注四 </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，最后一笔本金偿还日为</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30</w:t>
      </w:r>
      <w:r>
        <w:rPr>
          <w:color w:val="000000"/>
          <w:spacing w:val="0"/>
          <w:w w:val="100"/>
          <w:position w:val="0"/>
          <w:sz w:val="24"/>
          <w:szCs w:val="24"/>
        </w:rPr>
        <w:t>日。</w:t>
      </w:r>
    </w:p>
    <w:p>
      <w:pPr>
        <w:pStyle w:val="Style32"/>
        <w:keepNext w:val="0"/>
        <w:keepLines w:val="0"/>
        <w:widowControl w:val="0"/>
        <w:shd w:val="clear" w:color="auto" w:fill="auto"/>
        <w:bidi w:val="0"/>
        <w:spacing w:before="0" w:after="260" w:line="312" w:lineRule="exact"/>
        <w:ind w:left="740" w:right="0" w:firstLine="20"/>
        <w:jc w:val="both"/>
        <w:rPr>
          <w:sz w:val="24"/>
          <w:szCs w:val="24"/>
        </w:rPr>
      </w:pPr>
      <w:r>
        <w:rPr>
          <w:color w:val="000000"/>
          <w:spacing w:val="0"/>
          <w:w w:val="100"/>
          <w:position w:val="0"/>
          <w:sz w:val="24"/>
          <w:szCs w:val="24"/>
        </w:rPr>
        <w:t>于</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日，美元银行质押借款约人民币</w:t>
      </w:r>
      <w:r>
        <w:rPr>
          <w:rFonts w:ascii="Times New Roman" w:eastAsia="Times New Roman" w:hAnsi="Times New Roman" w:cs="Times New Roman"/>
          <w:color w:val="000000"/>
          <w:spacing w:val="0"/>
          <w:w w:val="100"/>
          <w:position w:val="0"/>
          <w:sz w:val="24"/>
          <w:szCs w:val="24"/>
        </w:rPr>
        <w:t>2,775</w:t>
      </w:r>
      <w:r>
        <w:rPr>
          <w:color w:val="000000"/>
          <w:spacing w:val="0"/>
          <w:w w:val="100"/>
          <w:position w:val="0"/>
          <w:sz w:val="24"/>
          <w:szCs w:val="24"/>
        </w:rPr>
        <w:t>万元</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 xml:space="preserve">日： </w:t>
      </w:r>
      <w:r>
        <w:rPr>
          <w:rFonts w:ascii="Times New Roman" w:eastAsia="Times New Roman" w:hAnsi="Times New Roman" w:cs="Times New Roman"/>
          <w:color w:val="000000"/>
          <w:spacing w:val="0"/>
          <w:w w:val="100"/>
          <w:position w:val="0"/>
          <w:sz w:val="24"/>
          <w:szCs w:val="24"/>
        </w:rPr>
        <w:t>2,597</w:t>
      </w:r>
      <w:r>
        <w:rPr>
          <w:color w:val="000000"/>
          <w:spacing w:val="0"/>
          <w:w w:val="100"/>
          <w:position w:val="0"/>
          <w:sz w:val="24"/>
          <w:szCs w:val="24"/>
        </w:rPr>
        <w:t>万元</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系由本集团存于银行的备用信用证保证金约人民币</w:t>
      </w:r>
      <w:r>
        <w:rPr>
          <w:rFonts w:ascii="Times New Roman" w:eastAsia="Times New Roman" w:hAnsi="Times New Roman" w:cs="Times New Roman"/>
          <w:color w:val="000000"/>
          <w:spacing w:val="0"/>
          <w:w w:val="100"/>
          <w:position w:val="0"/>
          <w:sz w:val="24"/>
          <w:szCs w:val="24"/>
        </w:rPr>
        <w:t>2,610</w:t>
      </w:r>
      <w:r>
        <w:rPr>
          <w:color w:val="000000"/>
          <w:spacing w:val="0"/>
          <w:w w:val="100"/>
          <w:position w:val="0"/>
          <w:sz w:val="24"/>
          <w:szCs w:val="24"/>
        </w:rPr>
        <w:t>万元</w:t>
      </w:r>
      <w:r>
        <w:rPr>
          <w:rFonts w:ascii="Times New Roman" w:eastAsia="Times New Roman" w:hAnsi="Times New Roman" w:cs="Times New Roman"/>
          <w:color w:val="000000"/>
          <w:spacing w:val="0"/>
          <w:w w:val="100"/>
          <w:position w:val="0"/>
          <w:sz w:val="24"/>
          <w:szCs w:val="24"/>
        </w:rPr>
        <w:t xml:space="preserve">（2015 </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日：人民币</w:t>
      </w:r>
      <w:r>
        <w:rPr>
          <w:rFonts w:ascii="Times New Roman" w:eastAsia="Times New Roman" w:hAnsi="Times New Roman" w:cs="Times New Roman"/>
          <w:color w:val="000000"/>
          <w:spacing w:val="0"/>
          <w:w w:val="100"/>
          <w:position w:val="0"/>
          <w:sz w:val="24"/>
          <w:szCs w:val="24"/>
        </w:rPr>
        <w:t>2,610</w:t>
      </w:r>
      <w:r>
        <w:rPr>
          <w:color w:val="000000"/>
          <w:spacing w:val="0"/>
          <w:w w:val="100"/>
          <w:position w:val="0"/>
          <w:sz w:val="24"/>
          <w:szCs w:val="24"/>
        </w:rPr>
        <w:t>万元</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附注四</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作为质押的</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年期浮动利率借款。 借款年利率为</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个月美元</w:t>
      </w:r>
      <w:r>
        <w:rPr>
          <w:rFonts w:ascii="Times New Roman" w:eastAsia="Times New Roman" w:hAnsi="Times New Roman" w:cs="Times New Roman"/>
          <w:color w:val="000000"/>
          <w:spacing w:val="0"/>
          <w:w w:val="100"/>
          <w:position w:val="0"/>
          <w:sz w:val="24"/>
          <w:szCs w:val="24"/>
        </w:rPr>
        <w:t>LIBOR+1.7%</w:t>
      </w:r>
      <w:r>
        <w:rPr>
          <w:color w:val="000000"/>
          <w:spacing w:val="0"/>
          <w:w w:val="100"/>
          <w:position w:val="0"/>
          <w:sz w:val="24"/>
          <w:szCs w:val="24"/>
        </w:rPr>
        <w:t>，</w:t>
      </w:r>
      <w:r>
        <w:rPr>
          <w:color w:val="000000"/>
          <w:spacing w:val="0"/>
          <w:w w:val="100"/>
          <w:position w:val="0"/>
          <w:sz w:val="24"/>
          <w:szCs w:val="24"/>
        </w:rPr>
        <w:t>利息每季度支付一次，于</w:t>
      </w:r>
      <w:r>
        <w:rPr>
          <w:rFonts w:ascii="Times New Roman" w:eastAsia="Times New Roman" w:hAnsi="Times New Roman" w:cs="Times New Roman"/>
          <w:color w:val="000000"/>
          <w:spacing w:val="0"/>
          <w:w w:val="100"/>
          <w:position w:val="0"/>
          <w:sz w:val="24"/>
          <w:szCs w:val="24"/>
        </w:rPr>
        <w:t>2017</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月到 期一次还本付息</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附注四</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w:t>
      </w:r>
    </w:p>
    <w:p>
      <w:pPr>
        <w:pStyle w:val="Style32"/>
        <w:keepNext w:val="0"/>
        <w:keepLines w:val="0"/>
        <w:widowControl w:val="0"/>
        <w:shd w:val="clear" w:color="auto" w:fill="auto"/>
        <w:bidi w:val="0"/>
        <w:spacing w:before="0" w:after="260" w:line="313" w:lineRule="exact"/>
        <w:ind w:left="740" w:right="0" w:firstLine="20"/>
        <w:jc w:val="both"/>
        <w:rPr>
          <w:sz w:val="24"/>
          <w:szCs w:val="24"/>
        </w:rPr>
      </w:pPr>
      <w:r>
        <w:rPr>
          <w:color w:val="000000"/>
          <w:spacing w:val="0"/>
          <w:w w:val="100"/>
          <w:position w:val="0"/>
          <w:sz w:val="24"/>
          <w:szCs w:val="24"/>
        </w:rPr>
        <w:t>截至</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日止，本集团已经提前偿清美元银行抵押借款</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 xml:space="preserve">月 </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日：美元银行抵押借款金额为</w:t>
      </w:r>
      <w:r>
        <w:rPr>
          <w:rFonts w:ascii="Times New Roman" w:eastAsia="Times New Roman" w:hAnsi="Times New Roman" w:cs="Times New Roman"/>
          <w:color w:val="000000"/>
          <w:spacing w:val="0"/>
          <w:w w:val="100"/>
          <w:position w:val="0"/>
          <w:sz w:val="24"/>
          <w:szCs w:val="24"/>
        </w:rPr>
        <w:t>5,700</w:t>
      </w:r>
      <w:r>
        <w:rPr>
          <w:color w:val="000000"/>
          <w:spacing w:val="0"/>
          <w:w w:val="100"/>
          <w:position w:val="0"/>
          <w:sz w:val="24"/>
          <w:szCs w:val="24"/>
        </w:rPr>
        <w:t>万美元，折合约人民币</w:t>
      </w:r>
      <w:r>
        <w:rPr>
          <w:rFonts w:ascii="Times New Roman" w:eastAsia="Times New Roman" w:hAnsi="Times New Roman" w:cs="Times New Roman"/>
          <w:color w:val="000000"/>
          <w:spacing w:val="0"/>
          <w:w w:val="100"/>
          <w:position w:val="0"/>
          <w:sz w:val="24"/>
          <w:szCs w:val="24"/>
        </w:rPr>
        <w:t>3.7</w:t>
      </w:r>
      <w:r>
        <w:rPr>
          <w:color w:val="000000"/>
          <w:spacing w:val="0"/>
          <w:w w:val="100"/>
          <w:position w:val="0"/>
          <w:sz w:val="24"/>
          <w:szCs w:val="24"/>
        </w:rPr>
        <w:t>亿元，系由本 集团账面价值约为人民币</w:t>
      </w:r>
      <w:r>
        <w:rPr>
          <w:rFonts w:ascii="Times New Roman" w:eastAsia="Times New Roman" w:hAnsi="Times New Roman" w:cs="Times New Roman"/>
          <w:color w:val="000000"/>
          <w:spacing w:val="0"/>
          <w:w w:val="100"/>
          <w:position w:val="0"/>
          <w:sz w:val="24"/>
          <w:szCs w:val="24"/>
        </w:rPr>
        <w:t>3.05</w:t>
      </w:r>
      <w:r>
        <w:rPr>
          <w:color w:val="000000"/>
          <w:spacing w:val="0"/>
          <w:w w:val="100"/>
          <w:position w:val="0"/>
          <w:sz w:val="24"/>
          <w:szCs w:val="24"/>
        </w:rPr>
        <w:t>亿元</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原价约人民币</w:t>
      </w:r>
      <w:r>
        <w:rPr>
          <w:rFonts w:ascii="Times New Roman" w:eastAsia="Times New Roman" w:hAnsi="Times New Roman" w:cs="Times New Roman"/>
          <w:color w:val="000000"/>
          <w:spacing w:val="0"/>
          <w:w w:val="100"/>
          <w:position w:val="0"/>
          <w:sz w:val="24"/>
          <w:szCs w:val="24"/>
        </w:rPr>
        <w:t>3.29</w:t>
      </w:r>
      <w:r>
        <w:rPr>
          <w:color w:val="000000"/>
          <w:spacing w:val="0"/>
          <w:w w:val="100"/>
          <w:position w:val="0"/>
          <w:sz w:val="24"/>
          <w:szCs w:val="24"/>
        </w:rPr>
        <w:t>亿元</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附注四</w:t>
      </w:r>
      <w:r>
        <w:rPr>
          <w:rFonts w:ascii="Times New Roman" w:eastAsia="Times New Roman" w:hAnsi="Times New Roman" w:cs="Times New Roman"/>
          <w:color w:val="000000"/>
          <w:spacing w:val="0"/>
          <w:w w:val="100"/>
          <w:position w:val="0"/>
          <w:sz w:val="24"/>
          <w:szCs w:val="24"/>
        </w:rPr>
        <w:t>（14））</w:t>
      </w:r>
      <w:r>
        <w:rPr>
          <w:color w:val="000000"/>
          <w:spacing w:val="0"/>
          <w:w w:val="100"/>
          <w:position w:val="0"/>
          <w:sz w:val="24"/>
          <w:szCs w:val="24"/>
        </w:rPr>
        <w:t>的房屋 建筑物作为抵押的</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年期浮动利率借款，借款年利率为</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 xml:space="preserve">个月美元 </w:t>
      </w:r>
      <w:r>
        <w:rPr>
          <w:rFonts w:ascii="Times New Roman" w:eastAsia="Times New Roman" w:hAnsi="Times New Roman" w:cs="Times New Roman"/>
          <w:color w:val="000000"/>
          <w:spacing w:val="0"/>
          <w:w w:val="100"/>
          <w:position w:val="0"/>
          <w:sz w:val="24"/>
          <w:szCs w:val="24"/>
        </w:rPr>
        <w:t>LIBOR+2.48%</w:t>
      </w:r>
      <w:r>
        <w:rPr>
          <w:color w:val="000000"/>
          <w:spacing w:val="0"/>
          <w:w w:val="100"/>
          <w:position w:val="0"/>
          <w:sz w:val="24"/>
          <w:szCs w:val="24"/>
        </w:rPr>
        <w:t>，</w:t>
      </w:r>
      <w:r>
        <w:rPr>
          <w:color w:val="000000"/>
          <w:spacing w:val="0"/>
          <w:w w:val="100"/>
          <w:position w:val="0"/>
          <w:sz w:val="24"/>
          <w:szCs w:val="24"/>
        </w:rPr>
        <w:t>利息每季度支付一次，分期偿还本金</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w:t>
      </w:r>
    </w:p>
    <w:p>
      <w:pPr>
        <w:pStyle w:val="Style53"/>
        <w:keepNext w:val="0"/>
        <w:keepLines w:val="0"/>
        <w:widowControl w:val="0"/>
        <w:shd w:val="clear" w:color="auto" w:fill="auto"/>
        <w:bidi w:val="0"/>
        <w:spacing w:before="0" w:after="260" w:line="312" w:lineRule="exact"/>
        <w:ind w:left="740" w:right="0" w:firstLine="20"/>
        <w:jc w:val="both"/>
        <w:rPr>
          <w:sz w:val="24"/>
          <w:szCs w:val="24"/>
        </w:rPr>
        <w:sectPr>
          <w:footnotePr>
            <w:pos w:val="pageBottom"/>
            <w:numFmt w:val="decimal"/>
            <w:numRestart w:val="continuous"/>
          </w:footnotePr>
          <w:pgSz w:w="11900" w:h="16840"/>
          <w:pgMar w:top="1326" w:right="969" w:bottom="2190" w:left="1542" w:header="0" w:footer="3" w:gutter="0"/>
          <w:cols w:space="720"/>
          <w:noEndnote/>
          <w:rtlGutter w:val="0"/>
          <w:docGrid w:linePitch="360"/>
        </w:sectPr>
      </w:pPr>
      <w:r>
        <w:rPr>
          <w:rFonts w:ascii="SimSun" w:eastAsia="SimSun" w:hAnsi="SimSun" w:cs="SimSun"/>
          <w:color w:val="000000"/>
          <w:spacing w:val="0"/>
          <w:w w:val="100"/>
          <w:position w:val="0"/>
          <w:sz w:val="24"/>
          <w:szCs w:val="24"/>
        </w:rPr>
        <w:t>于</w:t>
      </w:r>
      <w:r>
        <w:rPr>
          <w:color w:val="000000"/>
          <w:spacing w:val="0"/>
          <w:w w:val="100"/>
          <w:position w:val="0"/>
          <w:sz w:val="24"/>
          <w:szCs w:val="24"/>
        </w:rPr>
        <w:t>2016</w:t>
      </w:r>
      <w:r>
        <w:rPr>
          <w:rFonts w:ascii="SimSun" w:eastAsia="SimSun" w:hAnsi="SimSun" w:cs="SimSun"/>
          <w:color w:val="000000"/>
          <w:spacing w:val="0"/>
          <w:w w:val="100"/>
          <w:position w:val="0"/>
          <w:sz w:val="24"/>
          <w:szCs w:val="24"/>
        </w:rPr>
        <w:t>年</w:t>
      </w:r>
      <w:r>
        <w:rPr>
          <w:color w:val="000000"/>
          <w:spacing w:val="0"/>
          <w:w w:val="100"/>
          <w:position w:val="0"/>
          <w:sz w:val="24"/>
          <w:szCs w:val="24"/>
        </w:rPr>
        <w:t>12</w:t>
      </w:r>
      <w:r>
        <w:rPr>
          <w:rFonts w:ascii="SimSun" w:eastAsia="SimSun" w:hAnsi="SimSun" w:cs="SimSun"/>
          <w:color w:val="000000"/>
          <w:spacing w:val="0"/>
          <w:w w:val="100"/>
          <w:position w:val="0"/>
          <w:sz w:val="24"/>
          <w:szCs w:val="24"/>
        </w:rPr>
        <w:t>月</w:t>
      </w:r>
      <w:r>
        <w:rPr>
          <w:color w:val="000000"/>
          <w:spacing w:val="0"/>
          <w:w w:val="100"/>
          <w:position w:val="0"/>
          <w:sz w:val="24"/>
          <w:szCs w:val="24"/>
        </w:rPr>
        <w:t>31</w:t>
      </w:r>
      <w:r>
        <w:rPr>
          <w:rFonts w:ascii="SimSun" w:eastAsia="SimSun" w:hAnsi="SimSun" w:cs="SimSun"/>
          <w:color w:val="000000"/>
          <w:spacing w:val="0"/>
          <w:w w:val="100"/>
          <w:position w:val="0"/>
          <w:sz w:val="24"/>
          <w:szCs w:val="24"/>
        </w:rPr>
        <w:t>日，长期借款的利率区间为</w:t>
      </w:r>
      <w:r>
        <w:rPr>
          <w:color w:val="000000"/>
          <w:spacing w:val="0"/>
          <w:w w:val="100"/>
          <w:position w:val="0"/>
          <w:sz w:val="24"/>
          <w:szCs w:val="24"/>
        </w:rPr>
        <w:t>2.12%</w:t>
      </w:r>
      <w:r>
        <w:rPr>
          <w:rFonts w:ascii="SimSun" w:eastAsia="SimSun" w:hAnsi="SimSun" w:cs="SimSun"/>
          <w:color w:val="000000"/>
          <w:spacing w:val="0"/>
          <w:w w:val="100"/>
          <w:position w:val="0"/>
          <w:sz w:val="24"/>
          <w:szCs w:val="24"/>
        </w:rPr>
        <w:t>至</w:t>
      </w:r>
      <w:r>
        <w:rPr>
          <w:color w:val="000000"/>
          <w:spacing w:val="0"/>
          <w:w w:val="100"/>
          <w:position w:val="0"/>
          <w:sz w:val="24"/>
          <w:szCs w:val="24"/>
        </w:rPr>
        <w:t>2.56%（2015</w:t>
      </w:r>
      <w:r>
        <w:rPr>
          <w:rFonts w:ascii="SimSun" w:eastAsia="SimSun" w:hAnsi="SimSun" w:cs="SimSun"/>
          <w:color w:val="000000"/>
          <w:spacing w:val="0"/>
          <w:w w:val="100"/>
          <w:position w:val="0"/>
          <w:sz w:val="24"/>
          <w:szCs w:val="24"/>
        </w:rPr>
        <w:t>年</w:t>
      </w:r>
      <w:r>
        <w:rPr>
          <w:color w:val="000000"/>
          <w:spacing w:val="0"/>
          <w:w w:val="100"/>
          <w:position w:val="0"/>
          <w:sz w:val="24"/>
          <w:szCs w:val="24"/>
        </w:rPr>
        <w:t>12</w:t>
      </w:r>
      <w:r>
        <w:rPr>
          <w:rFonts w:ascii="SimSun" w:eastAsia="SimSun" w:hAnsi="SimSun" w:cs="SimSun"/>
          <w:color w:val="000000"/>
          <w:spacing w:val="0"/>
          <w:w w:val="100"/>
          <w:position w:val="0"/>
          <w:sz w:val="24"/>
          <w:szCs w:val="24"/>
        </w:rPr>
        <w:t xml:space="preserve">月 </w:t>
      </w:r>
      <w:r>
        <w:rPr>
          <w:color w:val="000000"/>
          <w:spacing w:val="0"/>
          <w:w w:val="100"/>
          <w:position w:val="0"/>
          <w:sz w:val="24"/>
          <w:szCs w:val="24"/>
        </w:rPr>
        <w:t xml:space="preserve">31 </w:t>
      </w:r>
      <w:r>
        <w:rPr>
          <w:rFonts w:ascii="SimSun" w:eastAsia="SimSun" w:hAnsi="SimSun" w:cs="SimSun"/>
          <w:color w:val="000000"/>
          <w:spacing w:val="0"/>
          <w:w w:val="100"/>
          <w:position w:val="0"/>
          <w:sz w:val="24"/>
          <w:szCs w:val="24"/>
        </w:rPr>
        <w:t>日：</w:t>
      </w:r>
      <w:r>
        <w:rPr>
          <w:color w:val="000000"/>
          <w:spacing w:val="0"/>
          <w:w w:val="100"/>
          <w:position w:val="0"/>
          <w:sz w:val="24"/>
          <w:szCs w:val="24"/>
        </w:rPr>
        <w:t>1.98%</w:t>
      </w:r>
      <w:r>
        <w:rPr>
          <w:rFonts w:ascii="SimSun" w:eastAsia="SimSun" w:hAnsi="SimSun" w:cs="SimSun"/>
          <w:color w:val="000000"/>
          <w:spacing w:val="0"/>
          <w:w w:val="100"/>
          <w:position w:val="0"/>
          <w:sz w:val="24"/>
          <w:szCs w:val="24"/>
        </w:rPr>
        <w:t xml:space="preserve">至 </w:t>
      </w:r>
      <w:r>
        <w:rPr>
          <w:color w:val="000000"/>
          <w:spacing w:val="0"/>
          <w:w w:val="100"/>
          <w:position w:val="0"/>
          <w:sz w:val="24"/>
          <w:szCs w:val="24"/>
        </w:rPr>
        <w:t>4.61%）</w:t>
      </w:r>
      <w:r>
        <w:rPr>
          <w:rFonts w:ascii="SimSun" w:eastAsia="SimSun" w:hAnsi="SimSun" w:cs="SimSun"/>
          <w:color w:val="000000"/>
          <w:spacing w:val="0"/>
          <w:w w:val="100"/>
          <w:position w:val="0"/>
          <w:sz w:val="24"/>
          <w:szCs w:val="24"/>
        </w:rPr>
        <w:t>。</w:t>
      </w:r>
    </w:p>
    <w:p>
      <w:pPr>
        <w:pStyle w:val="Style32"/>
        <w:keepNext w:val="0"/>
        <w:keepLines w:val="0"/>
        <w:widowControl w:val="0"/>
        <w:shd w:val="clear" w:color="auto" w:fill="auto"/>
        <w:bidi w:val="0"/>
        <w:spacing w:before="0" w:after="0" w:line="288" w:lineRule="exact"/>
        <w:ind w:left="680" w:right="0" w:firstLine="20"/>
        <w:jc w:val="left"/>
        <w:rPr>
          <w:sz w:val="24"/>
          <w:szCs w:val="24"/>
        </w:rPr>
      </w:pPr>
      <w:r>
        <w:rPr>
          <w:b/>
          <w:bCs/>
          <w:color w:val="000000"/>
          <w:spacing w:val="0"/>
          <w:w w:val="100"/>
          <w:position w:val="0"/>
          <w:sz w:val="24"/>
          <w:szCs w:val="24"/>
        </w:rPr>
        <w:t xml:space="preserve">财务报表附注 </w:t>
      </w:r>
      <w:r>
        <w:rPr>
          <w:rFonts w:ascii="Arial" w:eastAsia="Arial" w:hAnsi="Arial" w:cs="Arial"/>
          <w:color w:val="000000"/>
          <w:spacing w:val="0"/>
          <w:w w:val="100"/>
          <w:position w:val="0"/>
          <w:sz w:val="24"/>
          <w:szCs w:val="24"/>
        </w:rPr>
        <w:t>2016</w:t>
      </w:r>
      <w:r>
        <w:rPr>
          <w:b/>
          <w:bCs/>
          <w:color w:val="000000"/>
          <w:spacing w:val="0"/>
          <w:w w:val="100"/>
          <w:position w:val="0"/>
          <w:sz w:val="24"/>
          <w:szCs w:val="24"/>
        </w:rPr>
        <w:t>年度</w:t>
      </w:r>
    </w:p>
    <w:p>
      <w:pPr>
        <w:pStyle w:val="Style32"/>
        <w:keepNext w:val="0"/>
        <w:keepLines w:val="0"/>
        <w:widowControl w:val="0"/>
        <w:shd w:val="clear" w:color="auto" w:fill="auto"/>
        <w:bidi w:val="0"/>
        <w:spacing w:before="0" w:after="200" w:line="240" w:lineRule="auto"/>
        <w:ind w:left="0" w:right="0" w:firstLine="680"/>
        <w:jc w:val="left"/>
        <w:rPr>
          <w:sz w:val="20"/>
          <w:szCs w:val="20"/>
        </w:rPr>
      </w:pPr>
      <w:r>
        <w:rPr>
          <w:rFonts w:ascii="Arial" w:eastAsia="Arial" w:hAnsi="Arial" w:cs="Arial"/>
          <w:color w:val="000000"/>
          <w:spacing w:val="0"/>
          <w:w w:val="100"/>
          <w:position w:val="0"/>
          <w:sz w:val="20"/>
          <w:szCs w:val="20"/>
        </w:rPr>
        <w:t>(</w:t>
      </w:r>
      <w:r>
        <w:rPr>
          <w:color w:val="000000"/>
          <w:spacing w:val="0"/>
          <w:w w:val="100"/>
          <w:position w:val="0"/>
          <w:sz w:val="20"/>
          <w:szCs w:val="20"/>
        </w:rPr>
        <w:t>除特别注明外，金额单位为人民币千元</w:t>
      </w:r>
      <w:r>
        <w:rPr>
          <w:rFonts w:ascii="Arial" w:eastAsia="Arial" w:hAnsi="Arial" w:cs="Arial"/>
          <w:color w:val="000000"/>
          <w:spacing w:val="0"/>
          <w:w w:val="100"/>
          <w:position w:val="0"/>
          <w:sz w:val="20"/>
          <w:szCs w:val="20"/>
        </w:rPr>
        <w:t>)</w:t>
      </w:r>
    </w:p>
    <w:p>
      <w:pPr>
        <w:pStyle w:val="Style32"/>
        <w:keepNext w:val="0"/>
        <w:keepLines w:val="0"/>
        <w:widowControl w:val="0"/>
        <w:shd w:val="clear" w:color="auto" w:fill="auto"/>
        <w:tabs>
          <w:tab w:pos="686" w:val="left"/>
        </w:tabs>
        <w:bidi w:val="0"/>
        <w:spacing w:before="0" w:after="340" w:line="240" w:lineRule="auto"/>
        <w:ind w:left="0" w:right="0" w:firstLine="0"/>
        <w:jc w:val="left"/>
        <w:rPr>
          <w:sz w:val="24"/>
          <w:szCs w:val="24"/>
        </w:rPr>
      </w:pPr>
      <w:r>
        <w:rPr>
          <w:b/>
          <w:bCs/>
          <w:color w:val="000000"/>
          <w:spacing w:val="0"/>
          <w:w w:val="100"/>
          <w:position w:val="0"/>
          <w:sz w:val="24"/>
          <w:szCs w:val="24"/>
        </w:rPr>
        <w:t>四</w:t>
        <w:tab/>
        <w:t>合并财务报表项目附注</w:t>
      </w:r>
      <w:r>
        <w:rPr>
          <w:rFonts w:ascii="Times New Roman" w:eastAsia="Times New Roman" w:hAnsi="Times New Roman" w:cs="Times New Roman"/>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4"/>
          <w:szCs w:val="24"/>
        </w:rPr>
        <w:t>)</w:t>
      </w:r>
    </w:p>
    <w:p>
      <w:pPr>
        <w:pStyle w:val="Style25"/>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(34)</w:t>
      </w:r>
      <w:r>
        <w:rPr>
          <w:b/>
          <w:bCs/>
          <w:color w:val="000000"/>
          <w:spacing w:val="0"/>
          <w:w w:val="100"/>
          <w:position w:val="0"/>
          <w:sz w:val="24"/>
          <w:szCs w:val="24"/>
        </w:rPr>
        <w:t>应付债券</w:t>
      </w:r>
    </w:p>
    <w:tbl>
      <w:tblPr>
        <w:tblOverlap w:val="never"/>
        <w:jc w:val="center"/>
        <w:tblLayout w:type="fixed"/>
      </w:tblPr>
      <w:tblGrid>
        <w:gridCol w:w="2832"/>
        <w:gridCol w:w="3437"/>
        <w:gridCol w:w="2314"/>
        <w:gridCol w:w="1450"/>
        <w:gridCol w:w="1541"/>
        <w:gridCol w:w="2294"/>
      </w:tblGrid>
      <w:tr>
        <w:trPr>
          <w:trHeight w:val="442"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2015</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日本年发行</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jc w:val="both"/>
              <w:rPr>
                <w:sz w:val="24"/>
                <w:szCs w:val="24"/>
              </w:rPr>
            </w:pPr>
            <w:r>
              <w:rPr>
                <w:color w:val="000000"/>
                <w:spacing w:val="0"/>
                <w:w w:val="100"/>
                <w:position w:val="0"/>
                <w:sz w:val="24"/>
                <w:szCs w:val="24"/>
              </w:rPr>
              <w:t>按面值计提利息</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溢折价摊销</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160" w:firstLine="0"/>
              <w:jc w:val="right"/>
              <w:rPr>
                <w:sz w:val="24"/>
                <w:szCs w:val="24"/>
              </w:rPr>
            </w:pPr>
            <w:r>
              <w:rPr>
                <w:color w:val="000000"/>
                <w:spacing w:val="0"/>
                <w:w w:val="100"/>
                <w:position w:val="0"/>
                <w:sz w:val="24"/>
                <w:szCs w:val="24"/>
              </w:rPr>
              <w:t>本年偿还</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w:t>
            </w:r>
          </w:p>
        </w:tc>
      </w:tr>
      <w:tr>
        <w:trPr>
          <w:trHeight w:val="461"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公司债券</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第一期</w:t>
            </w:r>
          </w:p>
        </w:tc>
        <w:tc>
          <w:tcPr>
            <w:tcBorders/>
            <w:shd w:val="clear" w:color="auto" w:fill="FFFFFF"/>
            <w:vAlign w:val="bottom"/>
          </w:tcPr>
          <w:p>
            <w:pPr>
              <w:pStyle w:val="Style28"/>
              <w:keepNext w:val="0"/>
              <w:keepLines w:val="0"/>
              <w:widowControl w:val="0"/>
              <w:shd w:val="clear" w:color="auto" w:fill="auto"/>
              <w:tabs>
                <w:tab w:pos="3338" w:val="left"/>
              </w:tabs>
              <w:bidi w:val="0"/>
              <w:spacing w:before="0" w:after="0" w:line="240" w:lineRule="auto"/>
              <w:ind w:left="1140" w:right="0" w:firstLine="0"/>
              <w:jc w:val="left"/>
              <w:rPr>
                <w:sz w:val="24"/>
                <w:szCs w:val="24"/>
              </w:rPr>
            </w:pPr>
            <w:r>
              <w:rPr>
                <w:rFonts w:ascii="Times New Roman" w:eastAsia="Times New Roman" w:hAnsi="Times New Roman" w:cs="Times New Roman"/>
                <w:color w:val="000000"/>
                <w:spacing w:val="0"/>
                <w:w w:val="100"/>
                <w:position w:val="0"/>
                <w:sz w:val="24"/>
                <w:szCs w:val="24"/>
              </w:rPr>
              <w:t>4,485,259</w:t>
              <w:tab/>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300" w:right="0" w:firstLine="0"/>
              <w:jc w:val="left"/>
              <w:rPr>
                <w:sz w:val="24"/>
                <w:szCs w:val="24"/>
              </w:rPr>
            </w:pPr>
            <w:r>
              <w:rPr>
                <w:rFonts w:ascii="Times New Roman" w:eastAsia="Times New Roman" w:hAnsi="Times New Roman" w:cs="Times New Roman"/>
                <w:color w:val="000000"/>
                <w:spacing w:val="0"/>
                <w:w w:val="100"/>
                <w:position w:val="0"/>
                <w:sz w:val="24"/>
                <w:szCs w:val="24"/>
              </w:rPr>
              <w:t>234,000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7,342</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left"/>
              <w:rPr>
                <w:sz w:val="24"/>
                <w:szCs w:val="24"/>
              </w:rPr>
            </w:pPr>
            <w:r>
              <w:rPr>
                <w:rFonts w:ascii="Times New Roman" w:eastAsia="Times New Roman" w:hAnsi="Times New Roman" w:cs="Times New Roman"/>
                <w:color w:val="000000"/>
                <w:spacing w:val="0"/>
                <w:w w:val="100"/>
                <w:position w:val="0"/>
                <w:sz w:val="24"/>
                <w:szCs w:val="24"/>
              </w:rPr>
              <w:t>(234,000)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120" w:right="0" w:firstLine="0"/>
              <w:jc w:val="left"/>
              <w:rPr>
                <w:sz w:val="24"/>
                <w:szCs w:val="24"/>
              </w:rPr>
            </w:pPr>
            <w:r>
              <w:rPr>
                <w:rFonts w:ascii="Times New Roman" w:eastAsia="Times New Roman" w:hAnsi="Times New Roman" w:cs="Times New Roman"/>
                <w:color w:val="000000"/>
                <w:spacing w:val="0"/>
                <w:w w:val="100"/>
                <w:position w:val="0"/>
                <w:sz w:val="24"/>
                <w:szCs w:val="24"/>
              </w:rPr>
              <w:t>4,492,601</w:t>
            </w:r>
          </w:p>
        </w:tc>
      </w:tr>
      <w:tr>
        <w:trPr>
          <w:trHeight w:val="298"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公司债券</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第二期</w:t>
            </w:r>
          </w:p>
        </w:tc>
        <w:tc>
          <w:tcPr>
            <w:tcBorders/>
            <w:shd w:val="clear" w:color="auto" w:fill="FFFFFF"/>
            <w:vAlign w:val="bottom"/>
          </w:tcPr>
          <w:p>
            <w:pPr>
              <w:pStyle w:val="Style28"/>
              <w:keepNext w:val="0"/>
              <w:keepLines w:val="0"/>
              <w:widowControl w:val="0"/>
              <w:shd w:val="clear" w:color="auto" w:fill="auto"/>
              <w:tabs>
                <w:tab w:pos="3334" w:val="left"/>
              </w:tabs>
              <w:bidi w:val="0"/>
              <w:spacing w:before="0" w:after="0" w:line="240" w:lineRule="auto"/>
              <w:ind w:left="1140" w:right="0" w:firstLine="0"/>
              <w:jc w:val="left"/>
              <w:rPr>
                <w:sz w:val="24"/>
                <w:szCs w:val="24"/>
              </w:rPr>
            </w:pPr>
            <w:r>
              <w:rPr>
                <w:rFonts w:ascii="Times New Roman" w:eastAsia="Times New Roman" w:hAnsi="Times New Roman" w:cs="Times New Roman"/>
                <w:color w:val="000000"/>
                <w:spacing w:val="0"/>
                <w:w w:val="100"/>
                <w:position w:val="0"/>
                <w:sz w:val="24"/>
                <w:szCs w:val="24"/>
              </w:rPr>
              <w:t>3,491,836</w:t>
              <w:tab/>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300" w:right="0" w:firstLine="0"/>
              <w:jc w:val="left"/>
              <w:rPr>
                <w:sz w:val="24"/>
                <w:szCs w:val="24"/>
              </w:rPr>
            </w:pPr>
            <w:r>
              <w:rPr>
                <w:rFonts w:ascii="Times New Roman" w:eastAsia="Times New Roman" w:hAnsi="Times New Roman" w:cs="Times New Roman"/>
                <w:color w:val="000000"/>
                <w:spacing w:val="0"/>
                <w:w w:val="100"/>
                <w:position w:val="0"/>
                <w:sz w:val="24"/>
                <w:szCs w:val="24"/>
              </w:rPr>
              <w:t>208,250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8,185</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left"/>
              <w:rPr>
                <w:sz w:val="24"/>
                <w:szCs w:val="24"/>
              </w:rPr>
            </w:pPr>
            <w:r>
              <w:rPr>
                <w:rFonts w:ascii="Times New Roman" w:eastAsia="Times New Roman" w:hAnsi="Times New Roman" w:cs="Times New Roman"/>
                <w:color w:val="000000"/>
                <w:spacing w:val="0"/>
                <w:w w:val="100"/>
                <w:position w:val="0"/>
                <w:sz w:val="24"/>
                <w:szCs w:val="24"/>
              </w:rPr>
              <w:t>(208,250)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120" w:right="0" w:firstLine="0"/>
              <w:jc w:val="left"/>
              <w:rPr>
                <w:sz w:val="24"/>
                <w:szCs w:val="24"/>
              </w:rPr>
            </w:pPr>
            <w:r>
              <w:rPr>
                <w:rFonts w:ascii="Times New Roman" w:eastAsia="Times New Roman" w:hAnsi="Times New Roman" w:cs="Times New Roman"/>
                <w:color w:val="000000"/>
                <w:spacing w:val="0"/>
                <w:w w:val="100"/>
                <w:position w:val="0"/>
                <w:sz w:val="24"/>
                <w:szCs w:val="24"/>
              </w:rPr>
              <w:t>3,500,021</w:t>
            </w:r>
          </w:p>
        </w:tc>
      </w:tr>
      <w:tr>
        <w:trPr>
          <w:trHeight w:val="432"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8"/>
              <w:keepNext w:val="0"/>
              <w:keepLines w:val="0"/>
              <w:widowControl w:val="0"/>
              <w:shd w:val="clear" w:color="auto" w:fill="auto"/>
              <w:tabs>
                <w:tab w:pos="3334" w:val="left"/>
              </w:tabs>
              <w:bidi w:val="0"/>
              <w:spacing w:before="0" w:after="0" w:line="240" w:lineRule="auto"/>
              <w:ind w:left="1140" w:right="0" w:firstLine="0"/>
              <w:jc w:val="left"/>
              <w:rPr>
                <w:sz w:val="24"/>
                <w:szCs w:val="24"/>
              </w:rPr>
            </w:pPr>
            <w:r>
              <w:rPr>
                <w:rFonts w:ascii="Times New Roman" w:eastAsia="Times New Roman" w:hAnsi="Times New Roman" w:cs="Times New Roman"/>
                <w:color w:val="000000"/>
                <w:spacing w:val="0"/>
                <w:w w:val="100"/>
                <w:position w:val="0"/>
                <w:sz w:val="24"/>
                <w:szCs w:val="24"/>
              </w:rPr>
              <w:t>7,977,095</w:t>
              <w:tab/>
              <w:t>-</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1300" w:right="0" w:firstLine="0"/>
              <w:jc w:val="left"/>
              <w:rPr>
                <w:sz w:val="24"/>
                <w:szCs w:val="24"/>
              </w:rPr>
            </w:pPr>
            <w:r>
              <w:rPr>
                <w:rFonts w:ascii="Times New Roman" w:eastAsia="Times New Roman" w:hAnsi="Times New Roman" w:cs="Times New Roman"/>
                <w:color w:val="000000"/>
                <w:spacing w:val="0"/>
                <w:w w:val="100"/>
                <w:position w:val="0"/>
                <w:sz w:val="24"/>
                <w:szCs w:val="24"/>
              </w:rPr>
              <w:t>442,250</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15,527</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left"/>
              <w:rPr>
                <w:sz w:val="24"/>
                <w:szCs w:val="24"/>
              </w:rPr>
            </w:pPr>
            <w:r>
              <w:rPr>
                <w:rFonts w:ascii="Times New Roman" w:eastAsia="Times New Roman" w:hAnsi="Times New Roman" w:cs="Times New Roman"/>
                <w:color w:val="000000"/>
                <w:spacing w:val="0"/>
                <w:w w:val="100"/>
                <w:position w:val="0"/>
                <w:sz w:val="24"/>
                <w:szCs w:val="24"/>
              </w:rPr>
              <w:t>(442,250)</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1120" w:right="0" w:firstLine="0"/>
              <w:jc w:val="left"/>
              <w:rPr>
                <w:sz w:val="24"/>
                <w:szCs w:val="24"/>
              </w:rPr>
            </w:pPr>
            <w:r>
              <w:rPr>
                <w:rFonts w:ascii="Times New Roman" w:eastAsia="Times New Roman" w:hAnsi="Times New Roman" w:cs="Times New Roman"/>
                <w:color w:val="000000"/>
                <w:spacing w:val="0"/>
                <w:w w:val="100"/>
                <w:position w:val="0"/>
                <w:sz w:val="24"/>
                <w:szCs w:val="24"/>
              </w:rPr>
              <w:t>7,992,622</w:t>
            </w:r>
          </w:p>
        </w:tc>
      </w:tr>
      <w:tr>
        <w:trPr>
          <w:trHeight w:val="437"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减：将于一年内支付的应</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590"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20"/>
              <w:jc w:val="left"/>
              <w:rPr>
                <w:sz w:val="24"/>
                <w:szCs w:val="24"/>
              </w:rPr>
            </w:pPr>
            <w:r>
              <w:rPr>
                <w:color w:val="000000"/>
                <w:spacing w:val="0"/>
                <w:w w:val="100"/>
                <w:position w:val="0"/>
                <w:sz w:val="24"/>
                <w:szCs w:val="24"/>
              </w:rPr>
              <w:t>付债券</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附注四</w:t>
            </w:r>
            <w:r>
              <w:rPr>
                <w:rFonts w:ascii="Times New Roman" w:eastAsia="Times New Roman" w:hAnsi="Times New Roman" w:cs="Times New Roman"/>
                <w:color w:val="000000"/>
                <w:spacing w:val="0"/>
                <w:w w:val="100"/>
                <w:position w:val="0"/>
                <w:sz w:val="24"/>
                <w:szCs w:val="24"/>
              </w:rPr>
              <w:t>(31))</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2020" w:right="0" w:firstLine="0"/>
              <w:jc w:val="left"/>
              <w:rPr>
                <w:sz w:val="24"/>
                <w:szCs w:val="24"/>
              </w:rPr>
            </w:pPr>
            <w:r>
              <w:rPr>
                <w:rFonts w:ascii="Times New Roman" w:eastAsia="Times New Roman" w:hAnsi="Times New Roman" w:cs="Times New Roman"/>
                <w:color w:val="000000"/>
                <w:spacing w:val="0"/>
                <w:w w:val="100"/>
                <w:position w:val="0"/>
                <w:sz w:val="24"/>
                <w:szCs w:val="24"/>
              </w:rPr>
              <w: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1120" w:right="0" w:firstLine="0"/>
              <w:jc w:val="both"/>
              <w:rPr>
                <w:sz w:val="24"/>
                <w:szCs w:val="24"/>
              </w:rPr>
            </w:pPr>
            <w:r>
              <w:rPr>
                <w:rFonts w:ascii="Times New Roman" w:eastAsia="Times New Roman" w:hAnsi="Times New Roman" w:cs="Times New Roman"/>
                <w:color w:val="000000"/>
                <w:spacing w:val="0"/>
                <w:w w:val="100"/>
                <w:position w:val="0"/>
                <w:sz w:val="24"/>
                <w:szCs w:val="24"/>
              </w:rPr>
              <w:t>(4,492,601)</w:t>
            </w:r>
          </w:p>
        </w:tc>
      </w:tr>
      <w:tr>
        <w:trPr>
          <w:trHeight w:val="298"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7,977,095</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3,500,021</w:t>
            </w:r>
          </w:p>
        </w:tc>
      </w:tr>
      <w:tr>
        <w:trPr>
          <w:trHeight w:val="691"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债券有关信息如下：</w:t>
            </w:r>
          </w:p>
        </w:tc>
        <w:tc>
          <w:tcPr>
            <w:tcBorders>
              <w:top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586"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2020" w:right="0" w:firstLine="0"/>
              <w:jc w:val="left"/>
              <w:rPr>
                <w:sz w:val="24"/>
                <w:szCs w:val="24"/>
              </w:rPr>
            </w:pPr>
            <w:r>
              <w:rPr>
                <w:color w:val="000000"/>
                <w:spacing w:val="0"/>
                <w:w w:val="100"/>
                <w:position w:val="0"/>
                <w:sz w:val="24"/>
                <w:szCs w:val="24"/>
              </w:rPr>
              <w:t>面值</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320" w:firstLine="0"/>
              <w:jc w:val="right"/>
              <w:rPr>
                <w:sz w:val="24"/>
                <w:szCs w:val="24"/>
              </w:rPr>
            </w:pPr>
            <w:r>
              <w:rPr>
                <w:color w:val="000000"/>
                <w:spacing w:val="0"/>
                <w:w w:val="100"/>
                <w:position w:val="0"/>
                <w:sz w:val="24"/>
                <w:szCs w:val="24"/>
              </w:rPr>
              <w:t>发行日期</w:t>
            </w:r>
          </w:p>
        </w:tc>
        <w:tc>
          <w:tcPr>
            <w:gridSpan w:val="2"/>
            <w:tcBorders/>
            <w:shd w:val="clear" w:color="auto" w:fill="FFFFFF"/>
            <w:vAlign w:val="center"/>
          </w:tcPr>
          <w:p>
            <w:pPr>
              <w:pStyle w:val="Style28"/>
              <w:keepNext w:val="0"/>
              <w:keepLines w:val="0"/>
              <w:widowControl w:val="0"/>
              <w:shd w:val="clear" w:color="auto" w:fill="auto"/>
              <w:bidi w:val="0"/>
              <w:spacing w:before="0" w:after="0" w:line="240" w:lineRule="auto"/>
              <w:ind w:left="1420" w:right="0" w:firstLine="0"/>
              <w:jc w:val="left"/>
              <w:rPr>
                <w:sz w:val="24"/>
                <w:szCs w:val="24"/>
              </w:rPr>
            </w:pPr>
            <w:r>
              <w:rPr>
                <w:color w:val="000000"/>
                <w:spacing w:val="0"/>
                <w:w w:val="100"/>
                <w:position w:val="0"/>
                <w:sz w:val="24"/>
                <w:szCs w:val="24"/>
              </w:rPr>
              <w:t>债券期限</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发行金额</w:t>
            </w:r>
          </w:p>
        </w:tc>
      </w:tr>
      <w:tr>
        <w:trPr>
          <w:trHeight w:val="456"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公司债券</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第一期</w:t>
            </w:r>
            <w:r>
              <w:rPr>
                <w:rFonts w:ascii="Times New Roman" w:eastAsia="Times New Roman" w:hAnsi="Times New Roman" w:cs="Times New Roman"/>
                <w:color w:val="000000"/>
                <w:spacing w:val="0"/>
                <w:w w:val="100"/>
                <w:position w:val="0"/>
                <w:sz w:val="24"/>
                <w:szCs w:val="24"/>
              </w:rPr>
              <w:t>(a)</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040" w:right="0" w:firstLine="0"/>
              <w:jc w:val="left"/>
              <w:rPr>
                <w:sz w:val="24"/>
                <w:szCs w:val="24"/>
              </w:rPr>
            </w:pPr>
            <w:r>
              <w:rPr>
                <w:color w:val="000000"/>
                <w:spacing w:val="0"/>
                <w:w w:val="100"/>
                <w:position w:val="0"/>
                <w:sz w:val="24"/>
                <w:szCs w:val="24"/>
              </w:rPr>
              <w:t>人民币</w:t>
            </w:r>
            <w:r>
              <w:rPr>
                <w:rFonts w:ascii="Times New Roman" w:eastAsia="Times New Roman" w:hAnsi="Times New Roman" w:cs="Times New Roman"/>
                <w:color w:val="000000"/>
                <w:spacing w:val="0"/>
                <w:w w:val="100"/>
                <w:position w:val="0"/>
                <w:sz w:val="24"/>
                <w:szCs w:val="24"/>
              </w:rPr>
              <w:t>45</w:t>
            </w:r>
            <w:r>
              <w:rPr>
                <w:color w:val="000000"/>
                <w:spacing w:val="0"/>
                <w:w w:val="100"/>
                <w:position w:val="0"/>
                <w:sz w:val="24"/>
                <w:szCs w:val="24"/>
              </w:rPr>
              <w:t>亿元</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2012</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14</w:t>
            </w:r>
            <w:r>
              <w:rPr>
                <w:color w:val="000000"/>
                <w:spacing w:val="0"/>
                <w:w w:val="100"/>
                <w:position w:val="0"/>
                <w:sz w:val="24"/>
                <w:szCs w:val="24"/>
              </w:rPr>
              <w:t>日</w:t>
            </w:r>
          </w:p>
        </w:tc>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580" w:firstLine="0"/>
              <w:jc w:val="right"/>
              <w:rPr>
                <w:sz w:val="24"/>
                <w:szCs w:val="24"/>
              </w:rPr>
            </w:pP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年</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人民币</w:t>
            </w:r>
            <w:r>
              <w:rPr>
                <w:rFonts w:ascii="Times New Roman" w:eastAsia="Times New Roman" w:hAnsi="Times New Roman" w:cs="Times New Roman"/>
                <w:color w:val="000000"/>
                <w:spacing w:val="0"/>
                <w:w w:val="100"/>
                <w:position w:val="0"/>
                <w:sz w:val="24"/>
                <w:szCs w:val="24"/>
              </w:rPr>
              <w:t>45</w:t>
            </w:r>
            <w:r>
              <w:rPr>
                <w:color w:val="000000"/>
                <w:spacing w:val="0"/>
                <w:w w:val="100"/>
                <w:position w:val="0"/>
                <w:sz w:val="24"/>
                <w:szCs w:val="24"/>
              </w:rPr>
              <w:t>亿元</w:t>
            </w:r>
          </w:p>
        </w:tc>
      </w:tr>
      <w:tr>
        <w:trPr>
          <w:trHeight w:val="317"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公司债券</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第二期</w:t>
            </w:r>
            <w:r>
              <w:rPr>
                <w:rFonts w:ascii="Times New Roman" w:eastAsia="Times New Roman" w:hAnsi="Times New Roman" w:cs="Times New Roman"/>
                <w:color w:val="000000"/>
                <w:spacing w:val="0"/>
                <w:w w:val="100"/>
                <w:position w:val="0"/>
                <w:sz w:val="24"/>
                <w:szCs w:val="24"/>
              </w:rPr>
              <w:t>(b)</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1040" w:right="0" w:firstLine="0"/>
              <w:jc w:val="left"/>
              <w:rPr>
                <w:sz w:val="24"/>
                <w:szCs w:val="24"/>
              </w:rPr>
            </w:pPr>
            <w:r>
              <w:rPr>
                <w:color w:val="000000"/>
                <w:spacing w:val="0"/>
                <w:w w:val="100"/>
                <w:position w:val="0"/>
                <w:sz w:val="24"/>
                <w:szCs w:val="24"/>
              </w:rPr>
              <w:t>人民币</w:t>
            </w:r>
            <w:r>
              <w:rPr>
                <w:rFonts w:ascii="Times New Roman" w:eastAsia="Times New Roman" w:hAnsi="Times New Roman" w:cs="Times New Roman"/>
                <w:color w:val="000000"/>
                <w:spacing w:val="0"/>
                <w:w w:val="100"/>
                <w:position w:val="0"/>
                <w:sz w:val="24"/>
                <w:szCs w:val="24"/>
              </w:rPr>
              <w:t>35</w:t>
            </w:r>
            <w:r>
              <w:rPr>
                <w:color w:val="000000"/>
                <w:spacing w:val="0"/>
                <w:w w:val="100"/>
                <w:position w:val="0"/>
                <w:sz w:val="24"/>
                <w:szCs w:val="24"/>
              </w:rPr>
              <w:t>亿元</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2013</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11</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13</w:t>
            </w:r>
            <w:r>
              <w:rPr>
                <w:color w:val="000000"/>
                <w:spacing w:val="0"/>
                <w:w w:val="100"/>
                <w:position w:val="0"/>
                <w:sz w:val="24"/>
                <w:szCs w:val="24"/>
              </w:rPr>
              <w:t>日</w:t>
            </w:r>
          </w:p>
        </w:tc>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580" w:firstLine="0"/>
              <w:jc w:val="right"/>
              <w:rPr>
                <w:sz w:val="24"/>
                <w:szCs w:val="24"/>
              </w:rPr>
            </w:pPr>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4"/>
                <w:szCs w:val="24"/>
              </w:rPr>
              <w:t>年</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20"/>
              <w:jc w:val="left"/>
              <w:rPr>
                <w:sz w:val="24"/>
                <w:szCs w:val="24"/>
              </w:rPr>
            </w:pPr>
            <w:r>
              <w:rPr>
                <w:color w:val="000000"/>
                <w:spacing w:val="0"/>
                <w:w w:val="100"/>
                <w:position w:val="0"/>
                <w:sz w:val="24"/>
                <w:szCs w:val="24"/>
              </w:rPr>
              <w:t>人民币</w:t>
            </w:r>
            <w:r>
              <w:rPr>
                <w:rFonts w:ascii="Times New Roman" w:eastAsia="Times New Roman" w:hAnsi="Times New Roman" w:cs="Times New Roman"/>
                <w:color w:val="000000"/>
                <w:spacing w:val="0"/>
                <w:w w:val="100"/>
                <w:position w:val="0"/>
                <w:sz w:val="24"/>
                <w:szCs w:val="24"/>
              </w:rPr>
              <w:t>35</w:t>
            </w:r>
            <w:r>
              <w:rPr>
                <w:color w:val="000000"/>
                <w:spacing w:val="0"/>
                <w:w w:val="100"/>
                <w:position w:val="0"/>
                <w:sz w:val="24"/>
                <w:szCs w:val="24"/>
              </w:rPr>
              <w:t>亿元</w:t>
            </w:r>
          </w:p>
        </w:tc>
      </w:tr>
    </w:tbl>
    <w:p>
      <w:pPr>
        <w:widowControl w:val="0"/>
        <w:spacing w:after="199" w:line="1" w:lineRule="exact"/>
      </w:pPr>
    </w:p>
    <w:p>
      <w:pPr>
        <w:pStyle w:val="Style32"/>
        <w:keepNext w:val="0"/>
        <w:keepLines w:val="0"/>
        <w:widowControl w:val="0"/>
        <w:numPr>
          <w:ilvl w:val="0"/>
          <w:numId w:val="77"/>
        </w:numPr>
        <w:shd w:val="clear" w:color="auto" w:fill="auto"/>
        <w:tabs>
          <w:tab w:pos="686" w:val="left"/>
        </w:tabs>
        <w:bidi w:val="0"/>
        <w:spacing w:before="0" w:after="280" w:line="317" w:lineRule="exact"/>
        <w:ind w:left="680" w:right="0" w:hanging="680"/>
        <w:jc w:val="left"/>
        <w:rPr>
          <w:sz w:val="24"/>
          <w:szCs w:val="24"/>
        </w:rPr>
      </w:pPr>
      <w:bookmarkStart w:id="948" w:name="bookmark948"/>
      <w:bookmarkEnd w:id="948"/>
      <w:r>
        <w:rPr>
          <w:color w:val="000000"/>
          <w:spacing w:val="0"/>
          <w:w w:val="100"/>
          <w:position w:val="0"/>
          <w:sz w:val="24"/>
          <w:szCs w:val="24"/>
        </w:rPr>
        <w:t>经中国证券监督管理委员会证监许可</w:t>
      </w:r>
      <w:r>
        <w:rPr>
          <w:rFonts w:ascii="Times New Roman" w:eastAsia="Times New Roman" w:hAnsi="Times New Roman" w:cs="Times New Roman"/>
          <w:color w:val="000000"/>
          <w:spacing w:val="0"/>
          <w:w w:val="100"/>
          <w:position w:val="0"/>
          <w:sz w:val="24"/>
          <w:szCs w:val="24"/>
        </w:rPr>
        <w:t>[2012]1419</w:t>
      </w:r>
      <w:r>
        <w:rPr>
          <w:color w:val="000000"/>
          <w:spacing w:val="0"/>
          <w:w w:val="100"/>
          <w:position w:val="0"/>
          <w:sz w:val="24"/>
          <w:szCs w:val="24"/>
        </w:rPr>
        <w:t>号文核准，本公司于</w:t>
      </w:r>
      <w:r>
        <w:rPr>
          <w:rFonts w:ascii="Times New Roman" w:eastAsia="Times New Roman" w:hAnsi="Times New Roman" w:cs="Times New Roman"/>
          <w:color w:val="000000"/>
          <w:spacing w:val="0"/>
          <w:w w:val="100"/>
          <w:position w:val="0"/>
          <w:sz w:val="24"/>
          <w:szCs w:val="24"/>
        </w:rPr>
        <w:t>2012</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14</w:t>
      </w:r>
      <w:r>
        <w:rPr>
          <w:color w:val="000000"/>
          <w:spacing w:val="0"/>
          <w:w w:val="100"/>
          <w:position w:val="0"/>
          <w:sz w:val="24"/>
          <w:szCs w:val="24"/>
        </w:rPr>
        <w:t>日发行第一期公司债券，此债券采用单利按 年计息，固定年利率为</w:t>
      </w:r>
      <w:r>
        <w:rPr>
          <w:rFonts w:ascii="Times New Roman" w:eastAsia="Times New Roman" w:hAnsi="Times New Roman" w:cs="Times New Roman"/>
          <w:color w:val="000000"/>
          <w:spacing w:val="0"/>
          <w:w w:val="100"/>
          <w:position w:val="0"/>
          <w:sz w:val="24"/>
          <w:szCs w:val="24"/>
        </w:rPr>
        <w:t>5.20%</w:t>
      </w:r>
      <w:r>
        <w:rPr>
          <w:color w:val="000000"/>
          <w:spacing w:val="0"/>
          <w:w w:val="100"/>
          <w:position w:val="0"/>
          <w:sz w:val="24"/>
          <w:szCs w:val="24"/>
        </w:rPr>
        <w:t>，每年付息一次，到期一次还本，最后一期利息随本金兑付一起支付。</w:t>
      </w:r>
    </w:p>
    <w:p>
      <w:pPr>
        <w:pStyle w:val="Style32"/>
        <w:keepNext w:val="0"/>
        <w:keepLines w:val="0"/>
        <w:widowControl w:val="0"/>
        <w:numPr>
          <w:ilvl w:val="0"/>
          <w:numId w:val="77"/>
        </w:numPr>
        <w:shd w:val="clear" w:color="auto" w:fill="auto"/>
        <w:tabs>
          <w:tab w:pos="686" w:val="left"/>
        </w:tabs>
        <w:bidi w:val="0"/>
        <w:spacing w:before="0" w:after="240" w:line="317" w:lineRule="exact"/>
        <w:ind w:left="680" w:right="0" w:hanging="680"/>
        <w:jc w:val="left"/>
        <w:rPr>
          <w:sz w:val="24"/>
          <w:szCs w:val="24"/>
        </w:rPr>
        <w:sectPr>
          <w:headerReference w:type="default" r:id="rId151"/>
          <w:footerReference w:type="default" r:id="rId152"/>
          <w:headerReference w:type="even" r:id="rId153"/>
          <w:footerReference w:type="even" r:id="rId154"/>
          <w:footnotePr>
            <w:pos w:val="pageBottom"/>
            <w:numFmt w:val="decimal"/>
            <w:numRestart w:val="continuous"/>
          </w:footnotePr>
          <w:pgSz w:w="16840" w:h="11900" w:orient="landscape"/>
          <w:pgMar w:top="1350" w:right="1695" w:bottom="1350" w:left="610" w:header="0" w:footer="3" w:gutter="0"/>
          <w:cols w:space="720"/>
          <w:noEndnote/>
          <w:rtlGutter w:val="0"/>
          <w:docGrid w:linePitch="360"/>
        </w:sectPr>
      </w:pPr>
      <w:bookmarkStart w:id="949" w:name="bookmark949"/>
      <w:bookmarkEnd w:id="949"/>
      <w:r>
        <w:rPr>
          <w:color w:val="000000"/>
          <w:spacing w:val="0"/>
          <w:w w:val="100"/>
          <w:position w:val="0"/>
          <w:sz w:val="24"/>
          <w:szCs w:val="24"/>
        </w:rPr>
        <w:t>经中国证券监督管理委员会证监许可</w:t>
      </w:r>
      <w:r>
        <w:rPr>
          <w:rFonts w:ascii="Times New Roman" w:eastAsia="Times New Roman" w:hAnsi="Times New Roman" w:cs="Times New Roman"/>
          <w:color w:val="000000"/>
          <w:spacing w:val="0"/>
          <w:w w:val="100"/>
          <w:position w:val="0"/>
          <w:sz w:val="24"/>
          <w:szCs w:val="24"/>
        </w:rPr>
        <w:t>[2012]1419</w:t>
      </w:r>
      <w:r>
        <w:rPr>
          <w:color w:val="000000"/>
          <w:spacing w:val="0"/>
          <w:w w:val="100"/>
          <w:position w:val="0"/>
          <w:sz w:val="24"/>
          <w:szCs w:val="24"/>
        </w:rPr>
        <w:t>号文核准，本公司于</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11</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13</w:t>
      </w:r>
      <w:r>
        <w:rPr>
          <w:color w:val="000000"/>
          <w:spacing w:val="0"/>
          <w:w w:val="100"/>
          <w:position w:val="0"/>
          <w:sz w:val="24"/>
          <w:szCs w:val="24"/>
        </w:rPr>
        <w:t>日发行第二期公司债券。此债券采用单利按 年计息，固定年利率为</w:t>
      </w:r>
      <w:r>
        <w:rPr>
          <w:rFonts w:ascii="Times New Roman" w:eastAsia="Times New Roman" w:hAnsi="Times New Roman" w:cs="Times New Roman"/>
          <w:color w:val="000000"/>
          <w:spacing w:val="0"/>
          <w:w w:val="100"/>
          <w:position w:val="0"/>
          <w:sz w:val="24"/>
          <w:szCs w:val="24"/>
        </w:rPr>
        <w:t>5.95%</w:t>
      </w:r>
      <w:r>
        <w:rPr>
          <w:color w:val="000000"/>
          <w:spacing w:val="0"/>
          <w:w w:val="100"/>
          <w:position w:val="0"/>
          <w:sz w:val="24"/>
          <w:szCs w:val="24"/>
        </w:rPr>
        <w:t>，每年付息一次，到期一次还本，最后一期利息随本金兑付一起支付。</w:t>
      </w:r>
    </w:p>
    <w:p>
      <w:pPr>
        <w:pStyle w:val="Style32"/>
        <w:keepNext w:val="0"/>
        <w:keepLines w:val="0"/>
        <w:widowControl w:val="0"/>
        <w:shd w:val="clear" w:color="auto" w:fill="auto"/>
        <w:bidi w:val="0"/>
        <w:spacing w:before="0" w:after="0" w:line="240" w:lineRule="auto"/>
        <w:ind w:left="0" w:right="0" w:firstLine="720"/>
        <w:jc w:val="left"/>
        <w:rPr>
          <w:sz w:val="24"/>
          <w:szCs w:val="24"/>
        </w:rPr>
      </w:pPr>
      <w:r>
        <w:rPr>
          <w:b/>
          <w:bCs/>
          <w:color w:val="000000"/>
          <w:spacing w:val="0"/>
          <w:w w:val="100"/>
          <w:position w:val="0"/>
          <w:sz w:val="24"/>
          <w:szCs w:val="24"/>
        </w:rPr>
        <w:t>财务报表附注</w:t>
      </w:r>
    </w:p>
    <w:p>
      <w:pPr>
        <w:pStyle w:val="Style88"/>
        <w:keepNext/>
        <w:keepLines/>
        <w:widowControl w:val="0"/>
        <w:shd w:val="clear" w:color="auto" w:fill="auto"/>
        <w:bidi w:val="0"/>
        <w:spacing w:before="0" w:after="0" w:line="240" w:lineRule="auto"/>
        <w:ind w:left="0" w:right="0" w:firstLine="720"/>
        <w:jc w:val="left"/>
      </w:pPr>
      <w:bookmarkStart w:id="950" w:name="bookmark950"/>
      <w:bookmarkStart w:id="951" w:name="bookmark951"/>
      <w:bookmarkStart w:id="952" w:name="bookmark952"/>
      <w:r>
        <w:rPr>
          <w:color w:val="000000"/>
          <w:spacing w:val="0"/>
          <w:w w:val="100"/>
          <w:position w:val="0"/>
          <w:sz w:val="24"/>
          <w:szCs w:val="24"/>
        </w:rPr>
        <w:t>2016</w:t>
      </w:r>
      <w:r>
        <w:rPr>
          <w:rFonts w:ascii="SimSun" w:eastAsia="SimSun" w:hAnsi="SimSun" w:cs="SimSun"/>
          <w:b/>
          <w:bCs/>
          <w:color w:val="000000"/>
          <w:spacing w:val="0"/>
          <w:w w:val="100"/>
          <w:position w:val="0"/>
          <w:sz w:val="24"/>
          <w:szCs w:val="24"/>
        </w:rPr>
        <w:t>年度</w:t>
      </w:r>
      <w:bookmarkEnd w:id="950"/>
      <w:bookmarkEnd w:id="951"/>
      <w:bookmarkEnd w:id="952"/>
    </w:p>
    <w:p>
      <w:pPr>
        <w:pStyle w:val="Style32"/>
        <w:keepNext w:val="0"/>
        <w:keepLines w:val="0"/>
        <w:widowControl w:val="0"/>
        <w:shd w:val="clear" w:color="auto" w:fill="auto"/>
        <w:bidi w:val="0"/>
        <w:spacing w:before="0" w:after="240" w:line="240" w:lineRule="auto"/>
        <w:ind w:left="0" w:right="0" w:firstLine="720"/>
        <w:jc w:val="left"/>
        <w:rPr>
          <w:sz w:val="20"/>
          <w:szCs w:val="20"/>
        </w:rPr>
      </w:pPr>
      <w:r>
        <w:rPr>
          <w:rFonts w:ascii="Arial" w:eastAsia="Arial" w:hAnsi="Arial" w:cs="Arial"/>
          <w:color w:val="000000"/>
          <w:spacing w:val="0"/>
          <w:w w:val="100"/>
          <w:position w:val="0"/>
          <w:sz w:val="20"/>
          <w:szCs w:val="20"/>
        </w:rPr>
        <w:t>(</w:t>
      </w:r>
      <w:r>
        <w:rPr>
          <w:color w:val="000000"/>
          <w:spacing w:val="0"/>
          <w:w w:val="100"/>
          <w:position w:val="0"/>
          <w:sz w:val="20"/>
          <w:szCs w:val="20"/>
        </w:rPr>
        <w:t>除特别注明外，金额单位为人民币千元</w:t>
      </w:r>
      <w:r>
        <w:rPr>
          <w:rFonts w:ascii="Arial" w:eastAsia="Arial" w:hAnsi="Arial" w:cs="Arial"/>
          <w:color w:val="000000"/>
          <w:spacing w:val="0"/>
          <w:w w:val="100"/>
          <w:position w:val="0"/>
          <w:sz w:val="20"/>
          <w:szCs w:val="20"/>
        </w:rPr>
        <w:t>)</w:t>
      </w:r>
    </w:p>
    <w:p>
      <w:pPr>
        <w:pStyle w:val="Style32"/>
        <w:keepNext w:val="0"/>
        <w:keepLines w:val="0"/>
        <w:widowControl w:val="0"/>
        <w:shd w:val="clear" w:color="auto" w:fill="auto"/>
        <w:tabs>
          <w:tab w:pos="672" w:val="left"/>
        </w:tabs>
        <w:bidi w:val="0"/>
        <w:spacing w:before="0" w:after="240" w:line="240" w:lineRule="auto"/>
        <w:ind w:left="0" w:right="0" w:firstLine="0"/>
        <w:jc w:val="left"/>
        <w:rPr>
          <w:sz w:val="24"/>
          <w:szCs w:val="24"/>
        </w:rPr>
      </w:pPr>
      <w:r>
        <w:rPr>
          <w:b/>
          <w:bCs/>
          <w:color w:val="000000"/>
          <w:spacing w:val="0"/>
          <w:w w:val="100"/>
          <w:position w:val="0"/>
          <w:sz w:val="24"/>
          <w:szCs w:val="24"/>
        </w:rPr>
        <w:t>四</w:t>
        <w:tab/>
        <w:t>合并财务报表项目附注</w:t>
      </w:r>
      <w:r>
        <w:rPr>
          <w:rFonts w:ascii="Times New Roman" w:eastAsia="Times New Roman" w:hAnsi="Times New Roman" w:cs="Times New Roman"/>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4"/>
          <w:szCs w:val="24"/>
        </w:rPr>
        <w:t>)</w:t>
      </w:r>
    </w:p>
    <w:p>
      <w:pPr>
        <w:pStyle w:val="Style25"/>
        <w:keepNext w:val="0"/>
        <w:keepLines w:val="0"/>
        <w:widowControl w:val="0"/>
        <w:shd w:val="clear" w:color="auto" w:fill="auto"/>
        <w:tabs>
          <w:tab w:pos="691" w:val="left"/>
        </w:tabs>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(35)</w:t>
        <w:tab/>
      </w:r>
      <w:r>
        <w:rPr>
          <w:b/>
          <w:bCs/>
          <w:color w:val="000000"/>
          <w:spacing w:val="0"/>
          <w:w w:val="100"/>
          <w:position w:val="0"/>
          <w:sz w:val="24"/>
          <w:szCs w:val="24"/>
        </w:rPr>
        <w:t>预计负债</w:t>
      </w:r>
    </w:p>
    <w:tbl>
      <w:tblPr>
        <w:tblOverlap w:val="never"/>
        <w:jc w:val="center"/>
        <w:tblLayout w:type="fixed"/>
      </w:tblPr>
      <w:tblGrid>
        <w:gridCol w:w="2218"/>
        <w:gridCol w:w="2045"/>
        <w:gridCol w:w="1253"/>
        <w:gridCol w:w="1339"/>
        <w:gridCol w:w="1901"/>
      </w:tblGrid>
      <w:tr>
        <w:trPr>
          <w:trHeight w:val="365"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2015</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本年增加</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本年减少</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w:t>
            </w:r>
          </w:p>
        </w:tc>
      </w:tr>
      <w:tr>
        <w:trPr>
          <w:trHeight w:val="394"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租赁房屋原状恢复义务</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240" w:right="0" w:firstLine="0"/>
              <w:jc w:val="left"/>
              <w:rPr>
                <w:sz w:val="20"/>
                <w:szCs w:val="20"/>
              </w:rPr>
            </w:pPr>
            <w:r>
              <w:rPr>
                <w:rFonts w:ascii="Times New Roman" w:eastAsia="Times New Roman" w:hAnsi="Times New Roman" w:cs="Times New Roman"/>
                <w:color w:val="000000"/>
                <w:spacing w:val="0"/>
                <w:w w:val="100"/>
                <w:position w:val="0"/>
                <w:sz w:val="20"/>
                <w:szCs w:val="20"/>
              </w:rPr>
              <w:t>42,340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16,064</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(2,169)</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56,235</w:t>
            </w:r>
          </w:p>
        </w:tc>
      </w:tr>
      <w:tr>
        <w:trPr>
          <w:trHeight w:val="245"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其他</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500" w:right="0" w:firstLine="0"/>
              <w:jc w:val="left"/>
              <w:rPr>
                <w:sz w:val="20"/>
                <w:szCs w:val="20"/>
              </w:rPr>
            </w:pPr>
            <w:r>
              <w:rPr>
                <w:rFonts w:ascii="Times New Roman" w:eastAsia="Times New Roman" w:hAnsi="Times New Roman" w:cs="Times New Roman"/>
                <w:color w:val="000000"/>
                <w:spacing w:val="0"/>
                <w:w w:val="100"/>
                <w:position w:val="0"/>
                <w:sz w:val="20"/>
                <w:szCs w:val="20"/>
              </w:rPr>
              <w:t>120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20"/>
              <w:jc w:val="left"/>
              <w:rPr>
                <w:sz w:val="20"/>
                <w:szCs w:val="20"/>
              </w:rPr>
            </w:pPr>
            <w:r>
              <w:rPr>
                <w:rFonts w:ascii="Times New Roman" w:eastAsia="Times New Roman" w:hAnsi="Times New Roman" w:cs="Times New Roman"/>
                <w:color w:val="000000"/>
                <w:spacing w:val="0"/>
                <w:w w:val="100"/>
                <w:position w:val="0"/>
                <w:sz w:val="20"/>
                <w:szCs w:val="20"/>
              </w:rPr>
              <w:t>13</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32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133</w:t>
            </w:r>
          </w:p>
        </w:tc>
      </w:tr>
      <w:tr>
        <w:trPr>
          <w:trHeight w:val="312" w:hRule="exact"/>
        </w:trPr>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240" w:right="0" w:firstLine="0"/>
              <w:jc w:val="left"/>
              <w:rPr>
                <w:sz w:val="20"/>
                <w:szCs w:val="20"/>
              </w:rPr>
            </w:pPr>
            <w:r>
              <w:rPr>
                <w:rFonts w:ascii="Times New Roman" w:eastAsia="Times New Roman" w:hAnsi="Times New Roman" w:cs="Times New Roman"/>
                <w:color w:val="000000"/>
                <w:spacing w:val="0"/>
                <w:w w:val="100"/>
                <w:position w:val="0"/>
                <w:sz w:val="20"/>
                <w:szCs w:val="20"/>
              </w:rPr>
              <w:t>42,460</w:t>
            </w:r>
          </w:p>
        </w:tc>
        <w:tc>
          <w:tcPr>
            <w:tcBorders>
              <w:top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16,077</w:t>
            </w:r>
          </w:p>
        </w:tc>
        <w:tc>
          <w:tcPr>
            <w:tcBorders>
              <w:top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(2,169)</w:t>
            </w:r>
          </w:p>
        </w:tc>
        <w:tc>
          <w:tcPr>
            <w:tcBorders>
              <w:top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56,368</w:t>
            </w:r>
          </w:p>
        </w:tc>
      </w:tr>
    </w:tbl>
    <w:p>
      <w:pPr>
        <w:pStyle w:val="Style25"/>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(36)</w:t>
      </w:r>
      <w:r>
        <w:rPr>
          <w:b/>
          <w:bCs/>
          <w:color w:val="000000"/>
          <w:spacing w:val="0"/>
          <w:w w:val="100"/>
          <w:position w:val="0"/>
          <w:sz w:val="24"/>
          <w:szCs w:val="24"/>
        </w:rPr>
        <w:t>递延收益</w:t>
      </w:r>
    </w:p>
    <w:p>
      <w:pPr>
        <w:widowControl w:val="0"/>
        <w:spacing w:after="279" w:line="1" w:lineRule="exact"/>
      </w:pPr>
    </w:p>
    <w:p>
      <w:pPr>
        <w:widowControl w:val="0"/>
        <w:spacing w:line="1" w:lineRule="exact"/>
      </w:pPr>
    </w:p>
    <w:tbl>
      <w:tblPr>
        <w:tblOverlap w:val="never"/>
        <w:jc w:val="right"/>
        <w:tblLayout w:type="fixed"/>
      </w:tblPr>
      <w:tblGrid>
        <w:gridCol w:w="1834"/>
        <w:gridCol w:w="1339"/>
        <w:gridCol w:w="1219"/>
        <w:gridCol w:w="1296"/>
        <w:gridCol w:w="1483"/>
        <w:gridCol w:w="1709"/>
      </w:tblGrid>
      <w:tr>
        <w:trPr>
          <w:trHeight w:val="619"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 xml:space="preserve">2015 </w:t>
            </w:r>
            <w:r>
              <w:rPr>
                <w:color w:val="000000"/>
                <w:spacing w:val="0"/>
                <w:w w:val="100"/>
                <w:position w:val="0"/>
                <w:sz w:val="20"/>
                <w:szCs w:val="20"/>
              </w:rPr>
              <w:t>年</w:t>
            </w:r>
          </w:p>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本年增加</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本年减少</w:t>
            </w:r>
          </w:p>
        </w:tc>
        <w:tc>
          <w:tcPr>
            <w:gridSpan w:val="2"/>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 xml:space="preserve">2016 </w:t>
            </w:r>
            <w:r>
              <w:rPr>
                <w:color w:val="000000"/>
                <w:spacing w:val="0"/>
                <w:w w:val="100"/>
                <w:position w:val="0"/>
                <w:sz w:val="20"/>
                <w:szCs w:val="20"/>
              </w:rPr>
              <w:t>年</w:t>
            </w:r>
          </w:p>
          <w:p>
            <w:pPr>
              <w:pStyle w:val="Style28"/>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w:t>
            </w:r>
          </w:p>
        </w:tc>
      </w:tr>
      <w:tr>
        <w:trPr>
          <w:trHeight w:val="658" w:hRule="exact"/>
        </w:trPr>
        <w:tc>
          <w:tcPr>
            <w:tcBorders/>
            <w:shd w:val="clear" w:color="auto" w:fill="FFFFFF"/>
            <w:vAlign w:val="bottom"/>
          </w:tcPr>
          <w:p>
            <w:pPr>
              <w:pStyle w:val="Style28"/>
              <w:keepNext w:val="0"/>
              <w:keepLines w:val="0"/>
              <w:widowControl w:val="0"/>
              <w:shd w:val="clear" w:color="auto" w:fill="auto"/>
              <w:bidi w:val="0"/>
              <w:spacing w:before="0" w:after="0" w:line="250" w:lineRule="exact"/>
              <w:ind w:left="0" w:right="0" w:firstLine="0"/>
              <w:jc w:val="center"/>
              <w:rPr>
                <w:sz w:val="20"/>
                <w:szCs w:val="20"/>
              </w:rPr>
            </w:pPr>
            <w:r>
              <w:rPr>
                <w:color w:val="000000"/>
                <w:spacing w:val="0"/>
                <w:w w:val="100"/>
                <w:position w:val="0"/>
                <w:sz w:val="20"/>
                <w:szCs w:val="20"/>
              </w:rPr>
              <w:t xml:space="preserve">递延延保业务收入 </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附注四</w:t>
            </w:r>
            <w:r>
              <w:rPr>
                <w:rFonts w:ascii="Times New Roman" w:eastAsia="Times New Roman" w:hAnsi="Times New Roman" w:cs="Times New Roman"/>
                <w:color w:val="000000"/>
                <w:spacing w:val="0"/>
                <w:w w:val="100"/>
                <w:position w:val="0"/>
                <w:sz w:val="20"/>
                <w:szCs w:val="20"/>
              </w:rPr>
              <w:t>(18)(a))</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1,214,614</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504,691</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(386,196)</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1,333,109</w:t>
            </w:r>
          </w:p>
        </w:tc>
        <w:tc>
          <w:tcPr>
            <w:tcBorders/>
            <w:shd w:val="clear" w:color="auto" w:fill="FFFFFF"/>
            <w:vAlign w:val="bottom"/>
          </w:tcPr>
          <w:p>
            <w:pPr>
              <w:pStyle w:val="Style28"/>
              <w:keepNext w:val="0"/>
              <w:keepLines w:val="0"/>
              <w:widowControl w:val="0"/>
              <w:shd w:val="clear" w:color="auto" w:fill="auto"/>
              <w:bidi w:val="0"/>
              <w:spacing w:before="0" w:after="0" w:line="245" w:lineRule="exact"/>
              <w:ind w:left="0" w:right="0" w:firstLine="0"/>
              <w:jc w:val="right"/>
              <w:rPr>
                <w:sz w:val="20"/>
                <w:szCs w:val="20"/>
              </w:rPr>
            </w:pPr>
            <w:r>
              <w:rPr>
                <w:color w:val="000000"/>
                <w:spacing w:val="0"/>
                <w:w w:val="100"/>
                <w:position w:val="0"/>
                <w:sz w:val="20"/>
                <w:szCs w:val="20"/>
              </w:rPr>
              <w:t>预收客户的延保 业务收入</w:t>
            </w:r>
          </w:p>
        </w:tc>
      </w:tr>
    </w:tbl>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子公司所在地相关</w:t>
      </w:r>
    </w:p>
    <w:p>
      <w:pPr>
        <w:widowControl w:val="0"/>
        <w:spacing w:line="1" w:lineRule="exact"/>
      </w:pPr>
    </w:p>
    <w:tbl>
      <w:tblPr>
        <w:tblOverlap w:val="never"/>
        <w:jc w:val="center"/>
        <w:tblLayout w:type="fixed"/>
      </w:tblPr>
      <w:tblGrid>
        <w:gridCol w:w="2338"/>
        <w:gridCol w:w="1416"/>
        <w:gridCol w:w="1238"/>
        <w:gridCol w:w="1195"/>
        <w:gridCol w:w="3422"/>
      </w:tblGrid>
      <w:tr>
        <w:trPr>
          <w:trHeight w:val="634"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政府补助</w:t>
            </w:r>
            <w:r>
              <w:rPr>
                <w:rFonts w:ascii="Times New Roman" w:eastAsia="Times New Roman" w:hAnsi="Times New Roman" w:cs="Times New Roman"/>
                <w:color w:val="000000"/>
                <w:spacing w:val="0"/>
                <w:w w:val="100"/>
                <w:position w:val="0"/>
                <w:sz w:val="20"/>
                <w:szCs w:val="20"/>
              </w:rPr>
              <w:t>(a)</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00"/>
              <w:jc w:val="left"/>
              <w:rPr>
                <w:sz w:val="20"/>
                <w:szCs w:val="20"/>
              </w:rPr>
            </w:pPr>
            <w:r>
              <w:rPr>
                <w:rFonts w:ascii="Times New Roman" w:eastAsia="Times New Roman" w:hAnsi="Times New Roman" w:cs="Times New Roman"/>
                <w:color w:val="000000"/>
                <w:spacing w:val="0"/>
                <w:w w:val="100"/>
                <w:position w:val="0"/>
                <w:sz w:val="20"/>
                <w:szCs w:val="20"/>
              </w:rPr>
              <w:t>591,024</w:t>
            </w:r>
          </w:p>
          <w:p>
            <w:pPr>
              <w:pStyle w:val="Style28"/>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1,805,638</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00"/>
              <w:jc w:val="left"/>
              <w:rPr>
                <w:sz w:val="20"/>
                <w:szCs w:val="20"/>
              </w:rPr>
            </w:pPr>
            <w:r>
              <w:rPr>
                <w:rFonts w:ascii="Times New Roman" w:eastAsia="Times New Roman" w:hAnsi="Times New Roman" w:cs="Times New Roman"/>
                <w:color w:val="000000"/>
                <w:spacing w:val="0"/>
                <w:w w:val="100"/>
                <w:position w:val="0"/>
                <w:sz w:val="20"/>
                <w:szCs w:val="20"/>
              </w:rPr>
              <w:t>95,613</w:t>
            </w:r>
          </w:p>
          <w:p>
            <w:pPr>
              <w:pStyle w:val="Style28"/>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600,304</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u w:val="single"/>
              </w:rPr>
              <w:t>(61,332)</w:t>
            </w:r>
          </w:p>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(447,528)</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80"/>
              <w:jc w:val="left"/>
              <w:rPr>
                <w:sz w:val="20"/>
                <w:szCs w:val="20"/>
              </w:rPr>
            </w:pPr>
            <w:r>
              <w:rPr>
                <w:rFonts w:ascii="Times New Roman" w:eastAsia="Times New Roman" w:hAnsi="Times New Roman" w:cs="Times New Roman"/>
                <w:color w:val="000000"/>
                <w:spacing w:val="0"/>
                <w:w w:val="100"/>
                <w:position w:val="0"/>
                <w:sz w:val="20"/>
                <w:szCs w:val="20"/>
                <w:u w:val="single"/>
              </w:rPr>
              <w:t>625,305</w:t>
            </w:r>
            <w:r>
              <w:rPr>
                <w:rFonts w:ascii="Times New Roman" w:eastAsia="Times New Roman" w:hAnsi="Times New Roman" w:cs="Times New Roman"/>
                <w:color w:val="000000"/>
                <w:spacing w:val="0"/>
                <w:w w:val="100"/>
                <w:position w:val="0"/>
                <w:sz w:val="20"/>
                <w:szCs w:val="20"/>
              </w:rPr>
              <w:t xml:space="preserve"> </w:t>
            </w:r>
            <w:r>
              <w:rPr>
                <w:color w:val="000000"/>
                <w:spacing w:val="0"/>
                <w:w w:val="100"/>
                <w:position w:val="0"/>
                <w:sz w:val="20"/>
                <w:szCs w:val="20"/>
              </w:rPr>
              <w:t>部门补贴项目建设</w:t>
            </w:r>
          </w:p>
          <w:p>
            <w:pPr>
              <w:pStyle w:val="Style28"/>
              <w:keepNext w:val="0"/>
              <w:keepLines w:val="0"/>
              <w:widowControl w:val="0"/>
              <w:shd w:val="clear" w:color="auto" w:fill="auto"/>
              <w:tabs>
                <w:tab w:pos="648" w:val="left"/>
              </w:tabs>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w:t>
              <w:tab/>
            </w:r>
            <w:r>
              <w:rPr>
                <w:rFonts w:ascii="Times New Roman" w:eastAsia="Times New Roman" w:hAnsi="Times New Roman" w:cs="Times New Roman"/>
                <w:color w:val="000000"/>
                <w:spacing w:val="0"/>
                <w:w w:val="100"/>
                <w:position w:val="0"/>
                <w:sz w:val="20"/>
                <w:szCs w:val="20"/>
                <w:u w:val="single"/>
              </w:rPr>
              <w:t>1,958,414</w:t>
            </w:r>
          </w:p>
        </w:tc>
      </w:tr>
      <w:tr>
        <w:trPr>
          <w:trHeight w:val="1013" w:hRule="exact"/>
        </w:trPr>
        <w:tc>
          <w:tcPr>
            <w:tcBorders/>
            <w:shd w:val="clear" w:color="auto" w:fill="FFFFFF"/>
            <w:vAlign w:val="bottom"/>
          </w:tcPr>
          <w:p>
            <w:pPr>
              <w:pStyle w:val="Style28"/>
              <w:keepNext w:val="0"/>
              <w:keepLines w:val="0"/>
              <w:widowControl w:val="0"/>
              <w:shd w:val="clear" w:color="auto" w:fill="auto"/>
              <w:tabs>
                <w:tab w:pos="734" w:val="left"/>
              </w:tabs>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(a)</w:t>
              <w:tab/>
            </w:r>
            <w:r>
              <w:rPr>
                <w:color w:val="000000"/>
                <w:spacing w:val="0"/>
                <w:w w:val="100"/>
                <w:position w:val="0"/>
                <w:sz w:val="20"/>
                <w:szCs w:val="20"/>
              </w:rPr>
              <w:t>政府补助项目</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 xml:space="preserve">2015 </w:t>
            </w:r>
            <w:r>
              <w:rPr>
                <w:color w:val="000000"/>
                <w:spacing w:val="0"/>
                <w:w w:val="100"/>
                <w:position w:val="0"/>
                <w:sz w:val="20"/>
                <w:szCs w:val="20"/>
              </w:rPr>
              <w:t>年</w:t>
            </w:r>
          </w:p>
          <w:p>
            <w:pPr>
              <w:pStyle w:val="Style28"/>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w:t>
            </w:r>
          </w:p>
        </w:tc>
        <w:tc>
          <w:tcPr>
            <w:tcBorders/>
            <w:shd w:val="clear" w:color="auto" w:fill="FFFFFF"/>
            <w:vAlign w:val="bottom"/>
          </w:tcPr>
          <w:p>
            <w:pPr>
              <w:pStyle w:val="Style28"/>
              <w:keepNext w:val="0"/>
              <w:keepLines w:val="0"/>
              <w:widowControl w:val="0"/>
              <w:shd w:val="clear" w:color="auto" w:fill="auto"/>
              <w:bidi w:val="0"/>
              <w:spacing w:before="0" w:after="0" w:line="245" w:lineRule="exact"/>
              <w:ind w:left="0" w:right="360" w:firstLine="0"/>
              <w:jc w:val="right"/>
              <w:rPr>
                <w:sz w:val="20"/>
                <w:szCs w:val="20"/>
              </w:rPr>
            </w:pPr>
            <w:r>
              <w:rPr>
                <w:color w:val="000000"/>
                <w:spacing w:val="0"/>
                <w:w w:val="100"/>
                <w:position w:val="0"/>
                <w:sz w:val="20"/>
                <w:szCs w:val="20"/>
              </w:rPr>
              <w:t>本年新增 补助金额</w:t>
            </w:r>
          </w:p>
        </w:tc>
        <w:tc>
          <w:tcPr>
            <w:gridSpan w:val="2"/>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本年计入</w:t>
            </w:r>
          </w:p>
          <w:p>
            <w:pPr>
              <w:pStyle w:val="Style28"/>
              <w:keepNext w:val="0"/>
              <w:keepLines w:val="0"/>
              <w:widowControl w:val="0"/>
              <w:shd w:val="clear" w:color="auto" w:fill="auto"/>
              <w:tabs>
                <w:tab w:pos="2448" w:val="left"/>
              </w:tabs>
              <w:bidi w:val="0"/>
              <w:spacing w:before="0" w:after="0" w:line="240" w:lineRule="auto"/>
              <w:ind w:left="0" w:right="0" w:firstLine="0"/>
              <w:jc w:val="left"/>
              <w:rPr>
                <w:sz w:val="20"/>
                <w:szCs w:val="20"/>
              </w:rPr>
            </w:pPr>
            <w:r>
              <w:rPr>
                <w:color w:val="000000"/>
                <w:spacing w:val="0"/>
                <w:w w:val="100"/>
                <w:position w:val="0"/>
                <w:sz w:val="20"/>
                <w:szCs w:val="20"/>
              </w:rPr>
              <w:t>营业外收本年其他</w:t>
              <w:tab/>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年与资产相关</w:t>
            </w:r>
            <w:r>
              <w:rPr>
                <w:rFonts w:ascii="Times New Roman" w:eastAsia="Times New Roman" w:hAnsi="Times New Roman" w:cs="Times New Roman"/>
                <w:color w:val="000000"/>
                <w:spacing w:val="0"/>
                <w:w w:val="100"/>
                <w:position w:val="0"/>
                <w:sz w:val="20"/>
                <w:szCs w:val="20"/>
              </w:rPr>
              <w:t>/</w:t>
            </w:r>
          </w:p>
          <w:p>
            <w:pPr>
              <w:pStyle w:val="Style28"/>
              <w:keepNext w:val="0"/>
              <w:keepLines w:val="0"/>
              <w:widowControl w:val="0"/>
              <w:shd w:val="clear" w:color="auto" w:fill="auto"/>
              <w:tabs>
                <w:tab w:pos="1537" w:val="left"/>
                <w:tab w:pos="3428" w:val="left"/>
              </w:tabs>
              <w:bidi w:val="0"/>
              <w:spacing w:before="0" w:after="0" w:line="240" w:lineRule="auto"/>
              <w:ind w:left="0" w:right="0" w:firstLine="260"/>
              <w:jc w:val="left"/>
              <w:rPr>
                <w:sz w:val="20"/>
                <w:szCs w:val="20"/>
              </w:rPr>
            </w:pPr>
            <w:r>
              <w:rPr>
                <w:color w:val="000000"/>
                <w:spacing w:val="0"/>
                <w:w w:val="100"/>
                <w:position w:val="0"/>
                <w:sz w:val="20"/>
                <w:szCs w:val="20"/>
              </w:rPr>
              <w:t>入金额</w:t>
              <w:tab/>
              <w:t xml:space="preserve">变动 </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w:t>
              <w:tab/>
              <w:t>与收益相关</w:t>
            </w:r>
          </w:p>
        </w:tc>
      </w:tr>
      <w:tr>
        <w:trPr>
          <w:trHeight w:val="384"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沈阳物流基地</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61,699</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0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(1,340)</w:t>
            </w:r>
          </w:p>
        </w:tc>
        <w:tc>
          <w:tcPr>
            <w:tcBorders/>
            <w:shd w:val="clear" w:color="auto" w:fill="FFFFFF"/>
            <w:vAlign w:val="bottom"/>
          </w:tcPr>
          <w:p>
            <w:pPr>
              <w:pStyle w:val="Style28"/>
              <w:keepNext w:val="0"/>
              <w:keepLines w:val="0"/>
              <w:widowControl w:val="0"/>
              <w:shd w:val="clear" w:color="auto" w:fill="auto"/>
              <w:tabs>
                <w:tab w:pos="1462" w:val="left"/>
              </w:tabs>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w:t>
              <w:tab/>
              <w:t xml:space="preserve">60,359 </w:t>
            </w:r>
            <w:r>
              <w:rPr>
                <w:color w:val="000000"/>
                <w:spacing w:val="0"/>
                <w:w w:val="100"/>
                <w:position w:val="0"/>
                <w:sz w:val="20"/>
                <w:szCs w:val="20"/>
              </w:rPr>
              <w:t>与资产相关</w:t>
            </w:r>
          </w:p>
        </w:tc>
      </w:tr>
      <w:tr>
        <w:trPr>
          <w:trHeight w:val="254"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鄂州物流基地</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56,668</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0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(1,139)</w:t>
            </w:r>
          </w:p>
        </w:tc>
        <w:tc>
          <w:tcPr>
            <w:tcBorders/>
            <w:shd w:val="clear" w:color="auto" w:fill="FFFFFF"/>
            <w:vAlign w:val="bottom"/>
          </w:tcPr>
          <w:p>
            <w:pPr>
              <w:pStyle w:val="Style28"/>
              <w:keepNext w:val="0"/>
              <w:keepLines w:val="0"/>
              <w:widowControl w:val="0"/>
              <w:shd w:val="clear" w:color="auto" w:fill="auto"/>
              <w:tabs>
                <w:tab w:pos="1462" w:val="left"/>
              </w:tabs>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w:t>
              <w:tab/>
              <w:t xml:space="preserve">55,529 </w:t>
            </w:r>
            <w:r>
              <w:rPr>
                <w:color w:val="000000"/>
                <w:spacing w:val="0"/>
                <w:w w:val="100"/>
                <w:position w:val="0"/>
                <w:sz w:val="20"/>
                <w:szCs w:val="20"/>
              </w:rPr>
              <w:t>与资产相关</w:t>
            </w:r>
          </w:p>
        </w:tc>
      </w:tr>
      <w:tr>
        <w:trPr>
          <w:trHeight w:val="264"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哈尔滨物流基地</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40,725</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5,000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(936)</w:t>
            </w:r>
          </w:p>
        </w:tc>
        <w:tc>
          <w:tcPr>
            <w:tcBorders/>
            <w:shd w:val="clear" w:color="auto" w:fill="FFFFFF"/>
            <w:vAlign w:val="bottom"/>
          </w:tcPr>
          <w:p>
            <w:pPr>
              <w:pStyle w:val="Style28"/>
              <w:keepNext w:val="0"/>
              <w:keepLines w:val="0"/>
              <w:widowControl w:val="0"/>
              <w:shd w:val="clear" w:color="auto" w:fill="auto"/>
              <w:tabs>
                <w:tab w:pos="1458" w:val="left"/>
              </w:tabs>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w:t>
              <w:tab/>
              <w:t xml:space="preserve">44,789 </w:t>
            </w:r>
            <w:r>
              <w:rPr>
                <w:color w:val="000000"/>
                <w:spacing w:val="0"/>
                <w:w w:val="100"/>
                <w:position w:val="0"/>
                <w:sz w:val="20"/>
                <w:szCs w:val="20"/>
              </w:rPr>
              <w:t>与资产相关</w:t>
            </w:r>
          </w:p>
        </w:tc>
      </w:tr>
      <w:tr>
        <w:trPr>
          <w:trHeight w:val="259"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北京物流基地</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35,768</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0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(825)</w:t>
            </w:r>
          </w:p>
        </w:tc>
        <w:tc>
          <w:tcPr>
            <w:tcBorders/>
            <w:shd w:val="clear" w:color="auto" w:fill="FFFFFF"/>
            <w:vAlign w:val="bottom"/>
          </w:tcPr>
          <w:p>
            <w:pPr>
              <w:pStyle w:val="Style28"/>
              <w:keepNext w:val="0"/>
              <w:keepLines w:val="0"/>
              <w:widowControl w:val="0"/>
              <w:shd w:val="clear" w:color="auto" w:fill="auto"/>
              <w:tabs>
                <w:tab w:pos="1472" w:val="left"/>
              </w:tabs>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w:t>
              <w:tab/>
              <w:t xml:space="preserve">34,943 </w:t>
            </w:r>
            <w:r>
              <w:rPr>
                <w:color w:val="000000"/>
                <w:spacing w:val="0"/>
                <w:w w:val="100"/>
                <w:position w:val="0"/>
                <w:sz w:val="20"/>
                <w:szCs w:val="20"/>
              </w:rPr>
              <w:t>与资产相关</w:t>
            </w:r>
          </w:p>
        </w:tc>
      </w:tr>
      <w:tr>
        <w:trPr>
          <w:trHeight w:val="259"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临水景观基地</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20,098</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0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(409)</w:t>
            </w:r>
          </w:p>
        </w:tc>
        <w:tc>
          <w:tcPr>
            <w:tcBorders/>
            <w:shd w:val="clear" w:color="auto" w:fill="FFFFFF"/>
            <w:vAlign w:val="bottom"/>
          </w:tcPr>
          <w:p>
            <w:pPr>
              <w:pStyle w:val="Style28"/>
              <w:keepNext w:val="0"/>
              <w:keepLines w:val="0"/>
              <w:widowControl w:val="0"/>
              <w:shd w:val="clear" w:color="auto" w:fill="auto"/>
              <w:tabs>
                <w:tab w:pos="1482" w:val="left"/>
              </w:tabs>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w:t>
              <w:tab/>
              <w:t xml:space="preserve">19,689 </w:t>
            </w:r>
            <w:r>
              <w:rPr>
                <w:color w:val="000000"/>
                <w:spacing w:val="0"/>
                <w:w w:val="100"/>
                <w:position w:val="0"/>
                <w:sz w:val="20"/>
                <w:szCs w:val="20"/>
              </w:rPr>
              <w:t>与资产相关</w:t>
            </w:r>
          </w:p>
        </w:tc>
      </w:tr>
      <w:tr>
        <w:trPr>
          <w:trHeight w:val="254"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合肥物流基地</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33,311</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0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(761)</w:t>
            </w:r>
          </w:p>
        </w:tc>
        <w:tc>
          <w:tcPr>
            <w:tcBorders/>
            <w:shd w:val="clear" w:color="auto" w:fill="FFFFFF"/>
            <w:vAlign w:val="bottom"/>
          </w:tcPr>
          <w:p>
            <w:pPr>
              <w:pStyle w:val="Style28"/>
              <w:keepNext w:val="0"/>
              <w:keepLines w:val="0"/>
              <w:widowControl w:val="0"/>
              <w:shd w:val="clear" w:color="auto" w:fill="auto"/>
              <w:tabs>
                <w:tab w:pos="1467" w:val="left"/>
              </w:tabs>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w:t>
              <w:tab/>
              <w:t xml:space="preserve">32,550 </w:t>
            </w:r>
            <w:r>
              <w:rPr>
                <w:color w:val="000000"/>
                <w:spacing w:val="0"/>
                <w:w w:val="100"/>
                <w:position w:val="0"/>
                <w:sz w:val="20"/>
                <w:szCs w:val="20"/>
              </w:rPr>
              <w:t>与资产相关</w:t>
            </w:r>
          </w:p>
        </w:tc>
      </w:tr>
      <w:tr>
        <w:trPr>
          <w:trHeight w:val="264"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长春物流基地</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33,049</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0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(712)</w:t>
            </w:r>
          </w:p>
        </w:tc>
        <w:tc>
          <w:tcPr>
            <w:tcBorders/>
            <w:shd w:val="clear" w:color="auto" w:fill="FFFFFF"/>
            <w:vAlign w:val="bottom"/>
          </w:tcPr>
          <w:p>
            <w:pPr>
              <w:pStyle w:val="Style28"/>
              <w:keepNext w:val="0"/>
              <w:keepLines w:val="0"/>
              <w:widowControl w:val="0"/>
              <w:shd w:val="clear" w:color="auto" w:fill="auto"/>
              <w:tabs>
                <w:tab w:pos="1467" w:val="left"/>
              </w:tabs>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w:t>
              <w:tab/>
              <w:t xml:space="preserve">32,337 </w:t>
            </w:r>
            <w:r>
              <w:rPr>
                <w:color w:val="000000"/>
                <w:spacing w:val="0"/>
                <w:w w:val="100"/>
                <w:position w:val="0"/>
                <w:sz w:val="20"/>
                <w:szCs w:val="20"/>
              </w:rPr>
              <w:t>与资产相关</w:t>
            </w:r>
          </w:p>
        </w:tc>
      </w:tr>
      <w:tr>
        <w:trPr>
          <w:trHeight w:val="523" w:hRule="exact"/>
        </w:trPr>
        <w:tc>
          <w:tcPr>
            <w:tcBorders/>
            <w:shd w:val="clear" w:color="auto" w:fill="FFFFFF"/>
            <w:vAlign w:val="top"/>
          </w:tcPr>
          <w:p>
            <w:pPr>
              <w:pStyle w:val="Style28"/>
              <w:keepNext w:val="0"/>
              <w:keepLines w:val="0"/>
              <w:widowControl w:val="0"/>
              <w:shd w:val="clear" w:color="auto" w:fill="auto"/>
              <w:bidi w:val="0"/>
              <w:spacing w:before="0" w:after="0" w:line="254" w:lineRule="exact"/>
              <w:ind w:left="940" w:right="0" w:hanging="200"/>
              <w:jc w:val="both"/>
              <w:rPr>
                <w:sz w:val="20"/>
                <w:szCs w:val="20"/>
              </w:rPr>
            </w:pPr>
            <w:r>
              <w:rPr>
                <w:color w:val="000000"/>
                <w:spacing w:val="0"/>
                <w:w w:val="100"/>
                <w:position w:val="0"/>
                <w:sz w:val="20"/>
                <w:szCs w:val="20"/>
              </w:rPr>
              <w:t>南通苏宁物流基 地</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31,110</w:t>
            </w:r>
          </w:p>
        </w:tc>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(680)</w:t>
            </w:r>
          </w:p>
        </w:tc>
        <w:tc>
          <w:tcPr>
            <w:tcBorders/>
            <w:shd w:val="clear" w:color="auto" w:fill="FFFFFF"/>
            <w:vAlign w:val="bottom"/>
          </w:tcPr>
          <w:p>
            <w:pPr>
              <w:pStyle w:val="Style28"/>
              <w:keepNext w:val="0"/>
              <w:keepLines w:val="0"/>
              <w:widowControl w:val="0"/>
              <w:shd w:val="clear" w:color="auto" w:fill="auto"/>
              <w:tabs>
                <w:tab w:pos="1467" w:val="left"/>
              </w:tabs>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w:t>
              <w:tab/>
              <w:t xml:space="preserve">30,430 </w:t>
            </w:r>
            <w:r>
              <w:rPr>
                <w:color w:val="000000"/>
                <w:spacing w:val="0"/>
                <w:w w:val="100"/>
                <w:position w:val="0"/>
                <w:sz w:val="20"/>
                <w:szCs w:val="20"/>
              </w:rPr>
              <w:t>与资产相关</w:t>
            </w:r>
          </w:p>
        </w:tc>
      </w:tr>
      <w:tr>
        <w:trPr>
          <w:trHeight w:val="254"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东西湖物流基地</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28,861</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0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(631)</w:t>
            </w:r>
          </w:p>
        </w:tc>
        <w:tc>
          <w:tcPr>
            <w:tcBorders/>
            <w:shd w:val="clear" w:color="auto" w:fill="FFFFFF"/>
            <w:vAlign w:val="bottom"/>
          </w:tcPr>
          <w:p>
            <w:pPr>
              <w:pStyle w:val="Style28"/>
              <w:keepNext w:val="0"/>
              <w:keepLines w:val="0"/>
              <w:widowControl w:val="0"/>
              <w:shd w:val="clear" w:color="auto" w:fill="auto"/>
              <w:tabs>
                <w:tab w:pos="1462" w:val="left"/>
              </w:tabs>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w:t>
              <w:tab/>
              <w:t xml:space="preserve">28,230 </w:t>
            </w:r>
            <w:r>
              <w:rPr>
                <w:color w:val="000000"/>
                <w:spacing w:val="0"/>
                <w:w w:val="100"/>
                <w:position w:val="0"/>
                <w:sz w:val="20"/>
                <w:szCs w:val="20"/>
              </w:rPr>
              <w:t>与资产相关</w:t>
            </w:r>
          </w:p>
        </w:tc>
      </w:tr>
      <w:tr>
        <w:trPr>
          <w:trHeight w:val="518" w:hRule="exact"/>
        </w:trPr>
        <w:tc>
          <w:tcPr>
            <w:tcBorders/>
            <w:shd w:val="clear" w:color="auto" w:fill="FFFFFF"/>
            <w:vAlign w:val="bottom"/>
          </w:tcPr>
          <w:p>
            <w:pPr>
              <w:pStyle w:val="Style28"/>
              <w:keepNext w:val="0"/>
              <w:keepLines w:val="0"/>
              <w:widowControl w:val="0"/>
              <w:shd w:val="clear" w:color="auto" w:fill="auto"/>
              <w:bidi w:val="0"/>
              <w:spacing w:before="0" w:after="0" w:line="254" w:lineRule="exact"/>
              <w:ind w:left="940" w:right="0" w:hanging="200"/>
              <w:jc w:val="both"/>
              <w:rPr>
                <w:sz w:val="20"/>
                <w:szCs w:val="20"/>
              </w:rPr>
            </w:pPr>
            <w:r>
              <w:rPr>
                <w:color w:val="000000"/>
                <w:spacing w:val="0"/>
                <w:w w:val="100"/>
                <w:position w:val="0"/>
                <w:sz w:val="20"/>
                <w:szCs w:val="20"/>
              </w:rPr>
              <w:t>渤宁苏宁物流基 地</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28,515</w:t>
            </w:r>
          </w:p>
        </w:tc>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(629)</w:t>
            </w:r>
          </w:p>
        </w:tc>
        <w:tc>
          <w:tcPr>
            <w:tcBorders/>
            <w:shd w:val="clear" w:color="auto" w:fill="FFFFFF"/>
            <w:vAlign w:val="bottom"/>
          </w:tcPr>
          <w:p>
            <w:pPr>
              <w:pStyle w:val="Style28"/>
              <w:keepNext w:val="0"/>
              <w:keepLines w:val="0"/>
              <w:widowControl w:val="0"/>
              <w:shd w:val="clear" w:color="auto" w:fill="auto"/>
              <w:tabs>
                <w:tab w:pos="1462" w:val="left"/>
              </w:tabs>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w:t>
              <w:tab/>
              <w:t xml:space="preserve">27,886 </w:t>
            </w:r>
            <w:r>
              <w:rPr>
                <w:color w:val="000000"/>
                <w:spacing w:val="0"/>
                <w:w w:val="100"/>
                <w:position w:val="0"/>
                <w:sz w:val="20"/>
                <w:szCs w:val="20"/>
              </w:rPr>
              <w:t>与资产相关</w:t>
            </w:r>
          </w:p>
        </w:tc>
      </w:tr>
      <w:tr>
        <w:trPr>
          <w:trHeight w:val="533" w:hRule="exact"/>
        </w:trPr>
        <w:tc>
          <w:tcPr>
            <w:tcBorders/>
            <w:shd w:val="clear" w:color="auto" w:fill="FFFFFF"/>
            <w:vAlign w:val="top"/>
          </w:tcPr>
          <w:p>
            <w:pPr>
              <w:pStyle w:val="Style28"/>
              <w:keepNext w:val="0"/>
              <w:keepLines w:val="0"/>
              <w:widowControl w:val="0"/>
              <w:shd w:val="clear" w:color="auto" w:fill="auto"/>
              <w:bidi w:val="0"/>
              <w:spacing w:before="0" w:after="0" w:line="250" w:lineRule="exact"/>
              <w:ind w:left="940" w:right="0" w:hanging="200"/>
              <w:jc w:val="both"/>
              <w:rPr>
                <w:sz w:val="20"/>
                <w:szCs w:val="20"/>
              </w:rPr>
            </w:pPr>
            <w:r>
              <w:rPr>
                <w:color w:val="000000"/>
                <w:spacing w:val="0"/>
                <w:w w:val="100"/>
                <w:position w:val="0"/>
                <w:sz w:val="20"/>
                <w:szCs w:val="20"/>
              </w:rPr>
              <w:t>西安泾阳物流基 地</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27,500</w:t>
            </w:r>
          </w:p>
        </w:tc>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(896)</w:t>
            </w:r>
          </w:p>
        </w:tc>
        <w:tc>
          <w:tcPr>
            <w:tcBorders/>
            <w:shd w:val="clear" w:color="auto" w:fill="FFFFFF"/>
            <w:vAlign w:val="bottom"/>
          </w:tcPr>
          <w:p>
            <w:pPr>
              <w:pStyle w:val="Style28"/>
              <w:keepNext w:val="0"/>
              <w:keepLines w:val="0"/>
              <w:widowControl w:val="0"/>
              <w:shd w:val="clear" w:color="auto" w:fill="auto"/>
              <w:tabs>
                <w:tab w:pos="1462" w:val="left"/>
              </w:tabs>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w:t>
              <w:tab/>
              <w:t xml:space="preserve">26,604 </w:t>
            </w:r>
            <w:r>
              <w:rPr>
                <w:color w:val="000000"/>
                <w:spacing w:val="0"/>
                <w:w w:val="100"/>
                <w:position w:val="0"/>
                <w:sz w:val="20"/>
                <w:szCs w:val="20"/>
              </w:rPr>
              <w:t>与资产相关</w:t>
            </w:r>
          </w:p>
        </w:tc>
      </w:tr>
    </w:tbl>
    <w:p>
      <w:pPr>
        <w:spacing w:lineRule="exact" w:line="1"/>
        <w:rPr>
          <w:sz w:val="2"/>
          <w:szCs w:val="2"/>
        </w:rPr>
      </w:pPr>
      <w:r>
        <w:br w:type="page"/>
      </w:r>
    </w:p>
    <w:p>
      <w:pPr>
        <w:pStyle w:val="Style32"/>
        <w:keepNext w:val="0"/>
        <w:keepLines w:val="0"/>
        <w:widowControl w:val="0"/>
        <w:shd w:val="clear" w:color="auto" w:fill="auto"/>
        <w:bidi w:val="0"/>
        <w:spacing w:before="0" w:after="0" w:line="240" w:lineRule="auto"/>
        <w:ind w:left="0" w:right="0" w:firstLine="700"/>
        <w:jc w:val="left"/>
        <w:rPr>
          <w:sz w:val="24"/>
          <w:szCs w:val="24"/>
        </w:rPr>
      </w:pPr>
      <w:r>
        <w:rPr>
          <w:b/>
          <w:bCs/>
          <w:color w:val="000000"/>
          <w:spacing w:val="0"/>
          <w:w w:val="100"/>
          <w:position w:val="0"/>
          <w:sz w:val="24"/>
          <w:szCs w:val="24"/>
        </w:rPr>
        <w:t>财务报表附注</w:t>
      </w:r>
    </w:p>
    <w:p>
      <w:pPr>
        <w:pStyle w:val="Style88"/>
        <w:keepNext/>
        <w:keepLines/>
        <w:widowControl w:val="0"/>
        <w:shd w:val="clear" w:color="auto" w:fill="auto"/>
        <w:bidi w:val="0"/>
        <w:spacing w:before="0" w:after="0" w:line="240" w:lineRule="auto"/>
        <w:ind w:left="0" w:right="0"/>
        <w:jc w:val="left"/>
      </w:pPr>
      <w:bookmarkStart w:id="953" w:name="bookmark953"/>
      <w:bookmarkStart w:id="954" w:name="bookmark954"/>
      <w:bookmarkStart w:id="955" w:name="bookmark955"/>
      <w:r>
        <w:rPr>
          <w:color w:val="000000"/>
          <w:spacing w:val="0"/>
          <w:w w:val="100"/>
          <w:position w:val="0"/>
          <w:sz w:val="24"/>
          <w:szCs w:val="24"/>
        </w:rPr>
        <w:t>2016</w:t>
      </w:r>
      <w:r>
        <w:rPr>
          <w:rFonts w:ascii="SimSun" w:eastAsia="SimSun" w:hAnsi="SimSun" w:cs="SimSun"/>
          <w:b/>
          <w:bCs/>
          <w:color w:val="000000"/>
          <w:spacing w:val="0"/>
          <w:w w:val="100"/>
          <w:position w:val="0"/>
          <w:sz w:val="24"/>
          <w:szCs w:val="24"/>
        </w:rPr>
        <w:t>年度</w:t>
      </w:r>
      <w:bookmarkEnd w:id="953"/>
      <w:bookmarkEnd w:id="954"/>
      <w:bookmarkEnd w:id="955"/>
    </w:p>
    <w:p>
      <w:pPr>
        <w:pStyle w:val="Style32"/>
        <w:keepNext w:val="0"/>
        <w:keepLines w:val="0"/>
        <w:widowControl w:val="0"/>
        <w:shd w:val="clear" w:color="auto" w:fill="auto"/>
        <w:bidi w:val="0"/>
        <w:spacing w:before="0" w:after="240" w:line="240" w:lineRule="auto"/>
        <w:ind w:left="0" w:right="0" w:firstLine="700"/>
        <w:jc w:val="left"/>
        <w:rPr>
          <w:sz w:val="20"/>
          <w:szCs w:val="20"/>
        </w:rPr>
      </w:pPr>
      <w:r>
        <w:rPr>
          <w:rFonts w:ascii="Arial" w:eastAsia="Arial" w:hAnsi="Arial" w:cs="Arial"/>
          <w:color w:val="000000"/>
          <w:spacing w:val="0"/>
          <w:w w:val="100"/>
          <w:position w:val="0"/>
          <w:sz w:val="20"/>
          <w:szCs w:val="20"/>
        </w:rPr>
        <w:t>（</w:t>
      </w:r>
      <w:r>
        <w:rPr>
          <w:color w:val="000000"/>
          <w:spacing w:val="0"/>
          <w:w w:val="100"/>
          <w:position w:val="0"/>
          <w:sz w:val="20"/>
          <w:szCs w:val="20"/>
        </w:rPr>
        <w:t>除特别注明外，金额单位为人民币千元</w:t>
      </w:r>
      <w:r>
        <w:rPr>
          <w:rFonts w:ascii="Arial" w:eastAsia="Arial" w:hAnsi="Arial" w:cs="Arial"/>
          <w:color w:val="000000"/>
          <w:spacing w:val="0"/>
          <w:w w:val="100"/>
          <w:position w:val="0"/>
          <w:sz w:val="20"/>
          <w:szCs w:val="20"/>
        </w:rPr>
        <w:t>）</w:t>
      </w:r>
    </w:p>
    <w:tbl>
      <w:tblPr>
        <w:tblOverlap w:val="never"/>
        <w:jc w:val="center"/>
        <w:tblLayout w:type="fixed"/>
      </w:tblPr>
      <w:tblGrid>
        <w:gridCol w:w="571"/>
        <w:gridCol w:w="1886"/>
        <w:gridCol w:w="1195"/>
        <w:gridCol w:w="1123"/>
        <w:gridCol w:w="1152"/>
        <w:gridCol w:w="1114"/>
        <w:gridCol w:w="1214"/>
        <w:gridCol w:w="1186"/>
      </w:tblGrid>
      <w:tr>
        <w:trPr>
          <w:trHeight w:val="446"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4"/>
                <w:szCs w:val="24"/>
              </w:rPr>
            </w:pPr>
            <w:r>
              <w:rPr>
                <w:b/>
                <w:bCs/>
                <w:color w:val="000000"/>
                <w:spacing w:val="0"/>
                <w:w w:val="100"/>
                <w:position w:val="0"/>
                <w:sz w:val="24"/>
                <w:szCs w:val="24"/>
              </w:rPr>
              <w:t>四</w:t>
            </w:r>
          </w:p>
        </w:tc>
        <w:tc>
          <w:tcPr>
            <w:gridSpan w:val="2"/>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80"/>
              <w:jc w:val="left"/>
              <w:rPr>
                <w:sz w:val="24"/>
                <w:szCs w:val="24"/>
              </w:rPr>
            </w:pPr>
            <w:r>
              <w:rPr>
                <w:b/>
                <w:bCs/>
                <w:color w:val="000000"/>
                <w:spacing w:val="0"/>
                <w:w w:val="100"/>
                <w:position w:val="0"/>
                <w:sz w:val="24"/>
                <w:szCs w:val="24"/>
              </w:rPr>
              <w:t>合并财务报表项目附注</w:t>
            </w:r>
            <w:r>
              <w:rPr>
                <w:rFonts w:ascii="Times New Roman" w:eastAsia="Times New Roman" w:hAnsi="Times New Roman" w:cs="Times New Roman"/>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4"/>
                <w:szCs w:val="24"/>
              </w:rPr>
              <w: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1234" w:hRule="exact"/>
        </w:trPr>
        <w:tc>
          <w:tcPr>
            <w:tcBorders/>
            <w:shd w:val="clear" w:color="auto" w:fill="FFFFFF"/>
            <w:vAlign w:val="top"/>
          </w:tcPr>
          <w:p>
            <w:pPr>
              <w:pStyle w:val="Style28"/>
              <w:keepNext w:val="0"/>
              <w:keepLines w:val="0"/>
              <w:widowControl w:val="0"/>
              <w:shd w:val="clear" w:color="auto" w:fill="auto"/>
              <w:bidi w:val="0"/>
              <w:spacing w:before="100" w:after="0" w:line="240" w:lineRule="auto"/>
              <w:ind w:left="0" w:right="0" w:firstLine="0"/>
              <w:jc w:val="both"/>
              <w:rPr>
                <w:sz w:val="24"/>
                <w:szCs w:val="24"/>
              </w:rPr>
            </w:pPr>
            <w:r>
              <w:rPr>
                <w:rFonts w:ascii="Times New Roman" w:eastAsia="Times New Roman" w:hAnsi="Times New Roman" w:cs="Times New Roman"/>
                <w:color w:val="000000"/>
                <w:spacing w:val="0"/>
                <w:w w:val="100"/>
                <w:position w:val="0"/>
                <w:sz w:val="24"/>
                <w:szCs w:val="24"/>
              </w:rPr>
              <w:t>(36)</w:t>
            </w:r>
          </w:p>
        </w:tc>
        <w:tc>
          <w:tcPr>
            <w:tcBorders/>
            <w:shd w:val="clear" w:color="auto" w:fill="FFFFFF"/>
            <w:vAlign w:val="top"/>
          </w:tcPr>
          <w:p>
            <w:pPr>
              <w:pStyle w:val="Style28"/>
              <w:keepNext w:val="0"/>
              <w:keepLines w:val="0"/>
              <w:widowControl w:val="0"/>
              <w:shd w:val="clear" w:color="auto" w:fill="auto"/>
              <w:bidi w:val="0"/>
              <w:spacing w:before="120" w:after="0" w:line="240" w:lineRule="auto"/>
              <w:ind w:left="0" w:right="0" w:firstLine="160"/>
              <w:jc w:val="both"/>
              <w:rPr>
                <w:sz w:val="24"/>
                <w:szCs w:val="24"/>
              </w:rPr>
            </w:pPr>
            <w:r>
              <w:rPr>
                <w:b/>
                <w:bCs/>
                <w:color w:val="000000"/>
                <w:spacing w:val="0"/>
                <w:w w:val="100"/>
                <w:position w:val="0"/>
                <w:sz w:val="24"/>
                <w:szCs w:val="24"/>
              </w:rPr>
              <w:t>递延收益</w:t>
            </w:r>
            <w:r>
              <w:rPr>
                <w:rFonts w:ascii="Times New Roman" w:eastAsia="Times New Roman" w:hAnsi="Times New Roman" w:cs="Times New Roman"/>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4"/>
                <w:szCs w:val="24"/>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 xml:space="preserve">2015 </w:t>
            </w:r>
            <w:r>
              <w:rPr>
                <w:color w:val="000000"/>
                <w:spacing w:val="0"/>
                <w:w w:val="100"/>
                <w:position w:val="0"/>
                <w:sz w:val="20"/>
                <w:szCs w:val="20"/>
              </w:rPr>
              <w:t>年</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本年新增</w:t>
            </w:r>
          </w:p>
        </w:tc>
        <w:tc>
          <w:tcPr>
            <w:tcBorders/>
            <w:shd w:val="clear" w:color="auto" w:fill="FFFFFF"/>
            <w:vAlign w:val="bottom"/>
          </w:tcPr>
          <w:p>
            <w:pPr>
              <w:pStyle w:val="Style28"/>
              <w:keepNext w:val="0"/>
              <w:keepLines w:val="0"/>
              <w:widowControl w:val="0"/>
              <w:shd w:val="clear" w:color="auto" w:fill="auto"/>
              <w:bidi w:val="0"/>
              <w:spacing w:before="0" w:after="0" w:line="264" w:lineRule="exact"/>
              <w:ind w:left="0" w:right="0" w:firstLine="0"/>
              <w:jc w:val="center"/>
              <w:rPr>
                <w:sz w:val="20"/>
                <w:szCs w:val="20"/>
              </w:rPr>
            </w:pPr>
            <w:r>
              <w:rPr>
                <w:color w:val="000000"/>
                <w:spacing w:val="0"/>
                <w:w w:val="100"/>
                <w:position w:val="0"/>
                <w:sz w:val="20"/>
                <w:szCs w:val="20"/>
              </w:rPr>
              <w:t>本年计入 营业外收</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本年其他</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 xml:space="preserve">2016 </w:t>
            </w:r>
            <w:r>
              <w:rPr>
                <w:color w:val="000000"/>
                <w:spacing w:val="0"/>
                <w:w w:val="100"/>
                <w:position w:val="0"/>
                <w:sz w:val="20"/>
                <w:szCs w:val="20"/>
              </w:rPr>
              <w:t>年</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与资产相关</w:t>
            </w:r>
            <w:r>
              <w:rPr>
                <w:rFonts w:ascii="Times New Roman" w:eastAsia="Times New Roman" w:hAnsi="Times New Roman" w:cs="Times New Roman"/>
                <w:color w:val="000000"/>
                <w:spacing w:val="0"/>
                <w:w w:val="100"/>
                <w:position w:val="0"/>
                <w:sz w:val="20"/>
                <w:szCs w:val="20"/>
              </w:rPr>
              <w:t>/</w:t>
            </w:r>
          </w:p>
        </w:tc>
      </w:tr>
      <w:tr>
        <w:trPr>
          <w:trHeight w:val="374"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(a)</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both"/>
              <w:rPr>
                <w:sz w:val="20"/>
                <w:szCs w:val="20"/>
              </w:rPr>
            </w:pPr>
            <w:r>
              <w:rPr>
                <w:color w:val="000000"/>
                <w:spacing w:val="0"/>
                <w:w w:val="100"/>
                <w:position w:val="0"/>
                <w:sz w:val="20"/>
                <w:szCs w:val="20"/>
              </w:rPr>
              <w:t>政府补助项目</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补助金额</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jc w:val="both"/>
              <w:rPr>
                <w:sz w:val="20"/>
                <w:szCs w:val="20"/>
              </w:rPr>
            </w:pPr>
            <w:r>
              <w:rPr>
                <w:color w:val="000000"/>
                <w:spacing w:val="0"/>
                <w:w w:val="100"/>
                <w:position w:val="0"/>
                <w:sz w:val="20"/>
                <w:szCs w:val="20"/>
              </w:rPr>
              <w:t>入金额</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变动</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both"/>
              <w:rPr>
                <w:sz w:val="20"/>
                <w:szCs w:val="20"/>
              </w:rPr>
            </w:pP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与收益相关</w:t>
            </w:r>
          </w:p>
        </w:tc>
      </w:tr>
      <w:tr>
        <w:trPr>
          <w:trHeight w:val="634"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59" w:lineRule="exact"/>
              <w:ind w:left="160" w:right="0" w:firstLine="0"/>
              <w:jc w:val="left"/>
              <w:rPr>
                <w:sz w:val="20"/>
                <w:szCs w:val="20"/>
              </w:rPr>
            </w:pPr>
            <w:r>
              <w:rPr>
                <w:color w:val="000000"/>
                <w:spacing w:val="0"/>
                <w:w w:val="100"/>
                <w:position w:val="0"/>
                <w:sz w:val="20"/>
                <w:szCs w:val="20"/>
              </w:rPr>
              <w:t>江西南昌物流基地 佛山苏宁易达物</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rPr>
                <w:sz w:val="20"/>
                <w:szCs w:val="20"/>
              </w:rPr>
            </w:pPr>
            <w:r>
              <w:rPr>
                <w:rFonts w:ascii="Times New Roman" w:eastAsia="Times New Roman" w:hAnsi="Times New Roman" w:cs="Times New Roman"/>
                <w:color w:val="000000"/>
                <w:spacing w:val="0"/>
                <w:w w:val="100"/>
                <w:position w:val="0"/>
                <w:sz w:val="20"/>
                <w:szCs w:val="20"/>
              </w:rPr>
              <w:t>26,547</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both"/>
              <w:rPr>
                <w:sz w:val="20"/>
                <w:szCs w:val="20"/>
              </w:rPr>
            </w:pPr>
            <w:r>
              <w:rPr>
                <w:rFonts w:ascii="Times New Roman" w:eastAsia="Times New Roman" w:hAnsi="Times New Roman" w:cs="Times New Roman"/>
                <w:color w:val="000000"/>
                <w:spacing w:val="0"/>
                <w:w w:val="100"/>
                <w:position w:val="0"/>
                <w:sz w:val="20"/>
                <w:szCs w:val="20"/>
              </w:rPr>
              <w:t>(26,547)</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6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与资产相关</w:t>
            </w:r>
          </w:p>
        </w:tc>
      </w:tr>
      <w:tr>
        <w:trPr>
          <w:trHeight w:val="269"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流基地</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60"/>
              <w:jc w:val="both"/>
              <w:rPr>
                <w:sz w:val="20"/>
                <w:szCs w:val="20"/>
              </w:rPr>
            </w:pPr>
            <w:r>
              <w:rPr>
                <w:rFonts w:ascii="Times New Roman" w:eastAsia="Times New Roman" w:hAnsi="Times New Roman" w:cs="Times New Roman"/>
                <w:color w:val="000000"/>
                <w:spacing w:val="0"/>
                <w:w w:val="100"/>
                <w:position w:val="0"/>
                <w:sz w:val="20"/>
                <w:szCs w:val="20"/>
              </w:rPr>
              <w:t>26,000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4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(613)</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6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25,387</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与资产相关</w:t>
            </w:r>
          </w:p>
        </w:tc>
      </w:tr>
      <w:tr>
        <w:trPr>
          <w:trHeight w:val="259"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both"/>
              <w:rPr>
                <w:sz w:val="20"/>
                <w:szCs w:val="20"/>
              </w:rPr>
            </w:pPr>
            <w:r>
              <w:rPr>
                <w:color w:val="000000"/>
                <w:spacing w:val="0"/>
                <w:w w:val="100"/>
                <w:position w:val="0"/>
                <w:sz w:val="20"/>
                <w:szCs w:val="20"/>
              </w:rPr>
              <w:t>盐城盐宁物流基地</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60"/>
              <w:jc w:val="both"/>
              <w:rPr>
                <w:sz w:val="20"/>
                <w:szCs w:val="20"/>
              </w:rPr>
            </w:pPr>
            <w:r>
              <w:rPr>
                <w:rFonts w:ascii="Times New Roman" w:eastAsia="Times New Roman" w:hAnsi="Times New Roman" w:cs="Times New Roman"/>
                <w:color w:val="000000"/>
                <w:spacing w:val="0"/>
                <w:w w:val="100"/>
                <w:position w:val="0"/>
                <w:sz w:val="20"/>
                <w:szCs w:val="20"/>
              </w:rPr>
              <w:t>15,650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4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(345)</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6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15,305</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与资产相关</w:t>
            </w:r>
          </w:p>
        </w:tc>
      </w:tr>
      <w:tr>
        <w:trPr>
          <w:trHeight w:val="259"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both"/>
              <w:rPr>
                <w:sz w:val="20"/>
                <w:szCs w:val="20"/>
              </w:rPr>
            </w:pPr>
            <w:r>
              <w:rPr>
                <w:color w:val="000000"/>
                <w:spacing w:val="0"/>
                <w:w w:val="100"/>
                <w:position w:val="0"/>
                <w:sz w:val="20"/>
                <w:szCs w:val="20"/>
              </w:rPr>
              <w:t>兰州物流基地</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60"/>
              <w:jc w:val="both"/>
              <w:rPr>
                <w:sz w:val="20"/>
                <w:szCs w:val="20"/>
              </w:rPr>
            </w:pPr>
            <w:r>
              <w:rPr>
                <w:rFonts w:ascii="Times New Roman" w:eastAsia="Times New Roman" w:hAnsi="Times New Roman" w:cs="Times New Roman"/>
                <w:color w:val="000000"/>
                <w:spacing w:val="0"/>
                <w:w w:val="100"/>
                <w:position w:val="0"/>
                <w:sz w:val="20"/>
                <w:szCs w:val="20"/>
              </w:rPr>
              <w:t>14,842</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4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(315)</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6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14,527</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与资产相关</w:t>
            </w:r>
          </w:p>
        </w:tc>
      </w:tr>
      <w:tr>
        <w:trPr>
          <w:trHeight w:val="254"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both"/>
              <w:rPr>
                <w:sz w:val="20"/>
                <w:szCs w:val="20"/>
              </w:rPr>
            </w:pPr>
            <w:r>
              <w:rPr>
                <w:color w:val="000000"/>
                <w:spacing w:val="0"/>
                <w:w w:val="100"/>
                <w:position w:val="0"/>
                <w:sz w:val="20"/>
                <w:szCs w:val="20"/>
              </w:rPr>
              <w:t>苏南物流基地</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60"/>
              <w:jc w:val="both"/>
              <w:rPr>
                <w:sz w:val="20"/>
                <w:szCs w:val="20"/>
              </w:rPr>
            </w:pPr>
            <w:r>
              <w:rPr>
                <w:rFonts w:ascii="Times New Roman" w:eastAsia="Times New Roman" w:hAnsi="Times New Roman" w:cs="Times New Roman"/>
                <w:color w:val="000000"/>
                <w:spacing w:val="0"/>
                <w:w w:val="100"/>
                <w:position w:val="0"/>
                <w:sz w:val="20"/>
                <w:szCs w:val="20"/>
              </w:rPr>
              <w:t>13,270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4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rPr>
                <w:sz w:val="20"/>
                <w:szCs w:val="20"/>
              </w:rPr>
            </w:pPr>
            <w:r>
              <w:rPr>
                <w:rFonts w:ascii="Times New Roman" w:eastAsia="Times New Roman" w:hAnsi="Times New Roman" w:cs="Times New Roman"/>
                <w:color w:val="000000"/>
                <w:spacing w:val="0"/>
                <w:w w:val="100"/>
                <w:position w:val="0"/>
                <w:sz w:val="20"/>
                <w:szCs w:val="20"/>
              </w:rPr>
              <w:t>(13,270)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6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与资产相关</w:t>
            </w:r>
          </w:p>
        </w:tc>
      </w:tr>
      <w:tr>
        <w:trPr>
          <w:trHeight w:val="264"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both"/>
              <w:rPr>
                <w:sz w:val="20"/>
                <w:szCs w:val="20"/>
              </w:rPr>
            </w:pPr>
            <w:r>
              <w:rPr>
                <w:color w:val="000000"/>
                <w:spacing w:val="0"/>
                <w:w w:val="100"/>
                <w:position w:val="0"/>
                <w:sz w:val="20"/>
                <w:szCs w:val="20"/>
              </w:rPr>
              <w:t>绍兴物流基地</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60"/>
              <w:jc w:val="both"/>
              <w:rPr>
                <w:sz w:val="20"/>
                <w:szCs w:val="20"/>
              </w:rPr>
            </w:pPr>
            <w:r>
              <w:rPr>
                <w:rFonts w:ascii="Times New Roman" w:eastAsia="Times New Roman" w:hAnsi="Times New Roman" w:cs="Times New Roman"/>
                <w:color w:val="000000"/>
                <w:spacing w:val="0"/>
                <w:w w:val="100"/>
                <w:position w:val="0"/>
                <w:sz w:val="20"/>
                <w:szCs w:val="20"/>
              </w:rPr>
              <w:t>12,538</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4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(257)</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6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12,281</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与资产相关</w:t>
            </w:r>
          </w:p>
        </w:tc>
      </w:tr>
      <w:tr>
        <w:trPr>
          <w:trHeight w:val="259"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both"/>
              <w:rPr>
                <w:sz w:val="20"/>
                <w:szCs w:val="20"/>
              </w:rPr>
            </w:pPr>
            <w:r>
              <w:rPr>
                <w:color w:val="000000"/>
                <w:spacing w:val="0"/>
                <w:w w:val="100"/>
                <w:position w:val="0"/>
                <w:sz w:val="20"/>
                <w:szCs w:val="20"/>
              </w:rPr>
              <w:t>中山物流基地</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60"/>
              <w:jc w:val="both"/>
              <w:rPr>
                <w:sz w:val="20"/>
                <w:szCs w:val="20"/>
              </w:rPr>
            </w:pPr>
            <w:r>
              <w:rPr>
                <w:rFonts w:ascii="Times New Roman" w:eastAsia="Times New Roman" w:hAnsi="Times New Roman" w:cs="Times New Roman"/>
                <w:color w:val="000000"/>
                <w:spacing w:val="0"/>
                <w:w w:val="100"/>
                <w:position w:val="0"/>
                <w:sz w:val="20"/>
                <w:szCs w:val="20"/>
              </w:rPr>
              <w:t>12,419</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40"/>
              <w:jc w:val="both"/>
              <w:rPr>
                <w:sz w:val="20"/>
                <w:szCs w:val="20"/>
              </w:rPr>
            </w:pPr>
            <w:r>
              <w:rPr>
                <w:rFonts w:ascii="Times New Roman" w:eastAsia="Times New Roman" w:hAnsi="Times New Roman" w:cs="Times New Roman"/>
                <w:color w:val="000000"/>
                <w:spacing w:val="0"/>
                <w:w w:val="100"/>
                <w:position w:val="0"/>
                <w:sz w:val="20"/>
                <w:szCs w:val="20"/>
              </w:rPr>
              <w:t>12,650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(366)</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6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24,703</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与资产相关</w:t>
            </w:r>
          </w:p>
        </w:tc>
      </w:tr>
      <w:tr>
        <w:trPr>
          <w:trHeight w:val="509"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64" w:lineRule="exact"/>
              <w:ind w:left="160" w:right="0" w:firstLine="0"/>
              <w:jc w:val="left"/>
              <w:rPr>
                <w:sz w:val="20"/>
                <w:szCs w:val="20"/>
              </w:rPr>
            </w:pPr>
            <w:r>
              <w:rPr>
                <w:color w:val="000000"/>
                <w:spacing w:val="0"/>
                <w:w w:val="100"/>
                <w:position w:val="0"/>
                <w:sz w:val="20"/>
                <w:szCs w:val="20"/>
              </w:rPr>
              <w:t>重庆二期物流基地 常州苏宁易达物</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60"/>
              <w:jc w:val="both"/>
              <w:rPr>
                <w:sz w:val="20"/>
                <w:szCs w:val="20"/>
              </w:rPr>
            </w:pPr>
            <w:r>
              <w:rPr>
                <w:rFonts w:ascii="Times New Roman" w:eastAsia="Times New Roman" w:hAnsi="Times New Roman" w:cs="Times New Roman"/>
                <w:color w:val="000000"/>
                <w:spacing w:val="0"/>
                <w:w w:val="100"/>
                <w:position w:val="0"/>
                <w:sz w:val="20"/>
                <w:szCs w:val="20"/>
              </w:rPr>
              <w:t>10,774</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(250)</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6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10,524</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与资产相关</w:t>
            </w:r>
          </w:p>
        </w:tc>
      </w:tr>
      <w:tr>
        <w:trPr>
          <w:trHeight w:val="269"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流基地</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60"/>
              <w:jc w:val="both"/>
              <w:rPr>
                <w:sz w:val="20"/>
                <w:szCs w:val="20"/>
              </w:rPr>
            </w:pPr>
            <w:r>
              <w:rPr>
                <w:rFonts w:ascii="Times New Roman" w:eastAsia="Times New Roman" w:hAnsi="Times New Roman" w:cs="Times New Roman"/>
                <w:color w:val="000000"/>
                <w:spacing w:val="0"/>
                <w:w w:val="100"/>
                <w:position w:val="0"/>
                <w:sz w:val="20"/>
                <w:szCs w:val="20"/>
              </w:rPr>
              <w:t>10,000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4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(233)</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6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9,767</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与资产相关</w:t>
            </w:r>
          </w:p>
        </w:tc>
      </w:tr>
      <w:tr>
        <w:trPr>
          <w:trHeight w:val="509"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59" w:lineRule="exact"/>
              <w:ind w:left="160" w:right="0" w:firstLine="0"/>
              <w:jc w:val="both"/>
              <w:rPr>
                <w:sz w:val="20"/>
                <w:szCs w:val="20"/>
              </w:rPr>
            </w:pPr>
            <w:r>
              <w:rPr>
                <w:color w:val="000000"/>
                <w:spacing w:val="0"/>
                <w:w w:val="100"/>
                <w:position w:val="0"/>
                <w:sz w:val="20"/>
                <w:szCs w:val="20"/>
              </w:rPr>
              <w:t>珠海物流基地 贵阳金阳新区物</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9,533</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(200)</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6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9,333</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与资产相关</w:t>
            </w:r>
          </w:p>
        </w:tc>
      </w:tr>
      <w:tr>
        <w:trPr>
          <w:trHeight w:val="269"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流基地</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9,447</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4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(208)</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6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9,239</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与资产相关</w:t>
            </w:r>
          </w:p>
        </w:tc>
      </w:tr>
      <w:tr>
        <w:trPr>
          <w:trHeight w:val="773"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both"/>
              <w:rPr>
                <w:sz w:val="20"/>
                <w:szCs w:val="20"/>
              </w:rPr>
            </w:pPr>
            <w:r>
              <w:rPr>
                <w:color w:val="000000"/>
                <w:spacing w:val="0"/>
                <w:w w:val="100"/>
                <w:position w:val="0"/>
                <w:sz w:val="20"/>
                <w:szCs w:val="20"/>
              </w:rPr>
              <w:t>包头苏宁电器广</w:t>
            </w:r>
          </w:p>
          <w:p>
            <w:pPr>
              <w:pStyle w:val="Style28"/>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场</w:t>
            </w:r>
          </w:p>
          <w:p>
            <w:pPr>
              <w:pStyle w:val="Style28"/>
              <w:keepNext w:val="0"/>
              <w:keepLines w:val="0"/>
              <w:widowControl w:val="0"/>
              <w:shd w:val="clear" w:color="auto" w:fill="auto"/>
              <w:bidi w:val="0"/>
              <w:spacing w:before="0" w:after="0" w:line="240" w:lineRule="auto"/>
              <w:ind w:left="0" w:right="0" w:firstLine="160"/>
              <w:jc w:val="both"/>
              <w:rPr>
                <w:sz w:val="20"/>
                <w:szCs w:val="20"/>
              </w:rPr>
            </w:pPr>
            <w:r>
              <w:rPr>
                <w:color w:val="000000"/>
                <w:spacing w:val="0"/>
                <w:w w:val="100"/>
                <w:position w:val="0"/>
                <w:sz w:val="20"/>
                <w:szCs w:val="20"/>
              </w:rPr>
              <w:t>乌鲁木齐物流基</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8,298</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both"/>
              <w:rPr>
                <w:sz w:val="20"/>
                <w:szCs w:val="20"/>
              </w:rPr>
            </w:pPr>
            <w:r>
              <w:rPr>
                <w:rFonts w:ascii="Times New Roman" w:eastAsia="Times New Roman" w:hAnsi="Times New Roman" w:cs="Times New Roman"/>
                <w:color w:val="000000"/>
                <w:spacing w:val="0"/>
                <w:w w:val="100"/>
                <w:position w:val="0"/>
                <w:sz w:val="20"/>
                <w:szCs w:val="20"/>
              </w:rPr>
              <w:t>10,897</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(162)</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6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19,033</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与资产相关</w:t>
            </w:r>
          </w:p>
        </w:tc>
      </w:tr>
      <w:tr>
        <w:trPr>
          <w:trHeight w:val="514"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地</w:t>
            </w:r>
          </w:p>
          <w:p>
            <w:pPr>
              <w:pStyle w:val="Style28"/>
              <w:keepNext w:val="0"/>
              <w:keepLines w:val="0"/>
              <w:widowControl w:val="0"/>
              <w:shd w:val="clear" w:color="auto" w:fill="auto"/>
              <w:bidi w:val="0"/>
              <w:spacing w:before="0" w:after="0" w:line="240" w:lineRule="auto"/>
              <w:ind w:left="0" w:right="0" w:firstLine="160"/>
              <w:jc w:val="both"/>
              <w:rPr>
                <w:sz w:val="20"/>
                <w:szCs w:val="20"/>
              </w:rPr>
            </w:pPr>
            <w:r>
              <w:rPr>
                <w:color w:val="000000"/>
                <w:spacing w:val="0"/>
                <w:w w:val="100"/>
                <w:position w:val="0"/>
                <w:sz w:val="20"/>
                <w:szCs w:val="20"/>
              </w:rPr>
              <w:t>青岛胶宁苏宁物</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6,633</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(144)</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6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6,489</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与资产相关</w:t>
            </w:r>
          </w:p>
        </w:tc>
      </w:tr>
      <w:tr>
        <w:trPr>
          <w:trHeight w:val="269"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流基地</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5,439</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4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(120)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6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5,319</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与资产相关</w:t>
            </w:r>
          </w:p>
        </w:tc>
      </w:tr>
      <w:tr>
        <w:trPr>
          <w:trHeight w:val="254"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60" w:right="0" w:firstLine="0"/>
              <w:jc w:val="both"/>
              <w:rPr>
                <w:sz w:val="20"/>
                <w:szCs w:val="20"/>
              </w:rPr>
            </w:pPr>
            <w:r>
              <w:rPr>
                <w:color w:val="000000"/>
                <w:spacing w:val="0"/>
                <w:w w:val="100"/>
                <w:position w:val="0"/>
                <w:sz w:val="20"/>
                <w:szCs w:val="20"/>
              </w:rPr>
              <w:t>郑州物流基地</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4,500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500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(56)</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6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4,944</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与资产相关</w:t>
            </w:r>
          </w:p>
        </w:tc>
      </w:tr>
      <w:tr>
        <w:trPr>
          <w:trHeight w:val="259"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160" w:right="0" w:firstLine="0"/>
              <w:jc w:val="both"/>
              <w:rPr>
                <w:sz w:val="20"/>
                <w:szCs w:val="20"/>
              </w:rPr>
            </w:pPr>
            <w:r>
              <w:rPr>
                <w:color w:val="000000"/>
                <w:spacing w:val="0"/>
                <w:w w:val="100"/>
                <w:position w:val="0"/>
                <w:sz w:val="20"/>
                <w:szCs w:val="20"/>
              </w:rPr>
              <w:t>广州物流基地</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3,803</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jc w:val="both"/>
              <w:rPr>
                <w:sz w:val="20"/>
                <w:szCs w:val="20"/>
              </w:rPr>
            </w:pPr>
            <w:r>
              <w:rPr>
                <w:rFonts w:ascii="Times New Roman" w:eastAsia="Times New Roman" w:hAnsi="Times New Roman" w:cs="Times New Roman"/>
                <w:color w:val="000000"/>
                <w:spacing w:val="0"/>
                <w:w w:val="100"/>
                <w:position w:val="0"/>
                <w:sz w:val="20"/>
                <w:szCs w:val="20"/>
              </w:rPr>
              <w:t>(3,803)</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60"/>
              <w:jc w:val="both"/>
              <w:rPr>
                <w:sz w:val="20"/>
                <w:szCs w:val="20"/>
              </w:rPr>
            </w:pPr>
            <w:r>
              <w:rPr>
                <w:color w:val="000000"/>
                <w:spacing w:val="0"/>
                <w:w w:val="100"/>
                <w:position w:val="0"/>
                <w:sz w:val="20"/>
                <w:szCs w:val="20"/>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1020" w:right="0" w:firstLine="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与资产相关</w:t>
            </w:r>
          </w:p>
        </w:tc>
      </w:tr>
      <w:tr>
        <w:trPr>
          <w:trHeight w:val="264"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60" w:right="0" w:firstLine="0"/>
              <w:jc w:val="both"/>
              <w:rPr>
                <w:sz w:val="20"/>
                <w:szCs w:val="20"/>
              </w:rPr>
            </w:pPr>
            <w:r>
              <w:rPr>
                <w:color w:val="000000"/>
                <w:spacing w:val="0"/>
                <w:w w:val="100"/>
                <w:position w:val="0"/>
                <w:sz w:val="20"/>
                <w:szCs w:val="20"/>
              </w:rPr>
              <w:t>四川物流基地</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3,536</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4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jc w:val="both"/>
              <w:rPr>
                <w:sz w:val="20"/>
                <w:szCs w:val="20"/>
              </w:rPr>
            </w:pPr>
            <w:r>
              <w:rPr>
                <w:rFonts w:ascii="Times New Roman" w:eastAsia="Times New Roman" w:hAnsi="Times New Roman" w:cs="Times New Roman"/>
                <w:color w:val="000000"/>
                <w:spacing w:val="0"/>
                <w:w w:val="100"/>
                <w:position w:val="0"/>
                <w:sz w:val="20"/>
                <w:szCs w:val="20"/>
              </w:rPr>
              <w:t>(3,536)</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6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与资产相关</w:t>
            </w:r>
          </w:p>
        </w:tc>
      </w:tr>
      <w:tr>
        <w:trPr>
          <w:trHeight w:val="514"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59" w:lineRule="exact"/>
              <w:ind w:left="160" w:right="0" w:firstLine="0"/>
              <w:jc w:val="both"/>
              <w:rPr>
                <w:sz w:val="20"/>
                <w:szCs w:val="20"/>
              </w:rPr>
            </w:pPr>
            <w:r>
              <w:rPr>
                <w:color w:val="000000"/>
                <w:spacing w:val="0"/>
                <w:w w:val="100"/>
                <w:position w:val="0"/>
                <w:sz w:val="20"/>
                <w:szCs w:val="20"/>
              </w:rPr>
              <w:t>温州物流基地 济宁苏宁电器广</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491</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4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(23)</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6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468</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与资产相关</w:t>
            </w:r>
          </w:p>
        </w:tc>
      </w:tr>
      <w:tr>
        <w:trPr>
          <w:trHeight w:val="518"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场</w:t>
            </w:r>
          </w:p>
          <w:p>
            <w:pPr>
              <w:pStyle w:val="Style28"/>
              <w:keepNext w:val="0"/>
              <w:keepLines w:val="0"/>
              <w:widowControl w:val="0"/>
              <w:shd w:val="clear" w:color="auto" w:fill="auto"/>
              <w:bidi w:val="0"/>
              <w:spacing w:before="0" w:after="0" w:line="240" w:lineRule="auto"/>
              <w:ind w:left="0" w:right="0" w:firstLine="160"/>
              <w:jc w:val="both"/>
              <w:rPr>
                <w:sz w:val="20"/>
                <w:szCs w:val="20"/>
              </w:rPr>
            </w:pPr>
            <w:r>
              <w:rPr>
                <w:color w:val="000000"/>
                <w:spacing w:val="0"/>
                <w:w w:val="100"/>
                <w:position w:val="0"/>
                <w:sz w:val="20"/>
                <w:szCs w:val="20"/>
              </w:rPr>
              <w:t>成都小件物流基</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4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3,896</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(28)</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6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3,868</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与资产相关</w:t>
            </w:r>
          </w:p>
        </w:tc>
      </w:tr>
      <w:tr>
        <w:trPr>
          <w:trHeight w:val="518"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地</w:t>
            </w:r>
          </w:p>
          <w:p>
            <w:pPr>
              <w:pStyle w:val="Style28"/>
              <w:keepNext w:val="0"/>
              <w:keepLines w:val="0"/>
              <w:widowControl w:val="0"/>
              <w:shd w:val="clear" w:color="auto" w:fill="auto"/>
              <w:bidi w:val="0"/>
              <w:spacing w:before="0" w:after="0" w:line="240" w:lineRule="auto"/>
              <w:ind w:left="0" w:right="0" w:firstLine="160"/>
              <w:jc w:val="both"/>
              <w:rPr>
                <w:sz w:val="20"/>
                <w:szCs w:val="20"/>
              </w:rPr>
            </w:pPr>
            <w:r>
              <w:rPr>
                <w:color w:val="000000"/>
                <w:spacing w:val="0"/>
                <w:w w:val="100"/>
                <w:position w:val="0"/>
                <w:sz w:val="20"/>
                <w:szCs w:val="20"/>
              </w:rPr>
              <w:t>江苏苏宁物流基</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4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2,500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(10)</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6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2,490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与资产相关</w:t>
            </w:r>
          </w:p>
        </w:tc>
      </w:tr>
      <w:tr>
        <w:trPr>
          <w:trHeight w:val="269"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地</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4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both"/>
              <w:rPr>
                <w:sz w:val="20"/>
                <w:szCs w:val="20"/>
              </w:rPr>
            </w:pPr>
            <w:r>
              <w:rPr>
                <w:rFonts w:ascii="Times New Roman" w:eastAsia="Times New Roman" w:hAnsi="Times New Roman" w:cs="Times New Roman"/>
                <w:color w:val="000000"/>
                <w:spacing w:val="0"/>
                <w:w w:val="100"/>
                <w:position w:val="0"/>
                <w:sz w:val="20"/>
                <w:szCs w:val="20"/>
              </w:rPr>
              <w:t>40,000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2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6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40,000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与资产相关</w:t>
            </w:r>
          </w:p>
        </w:tc>
      </w:tr>
      <w:tr>
        <w:trPr>
          <w:trHeight w:val="259"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60" w:right="0" w:firstLine="0"/>
              <w:jc w:val="both"/>
              <w:rPr>
                <w:sz w:val="20"/>
                <w:szCs w:val="20"/>
              </w:rPr>
            </w:pPr>
            <w:r>
              <w:rPr>
                <w:color w:val="000000"/>
                <w:spacing w:val="0"/>
                <w:w w:val="100"/>
                <w:position w:val="0"/>
                <w:sz w:val="20"/>
                <w:szCs w:val="20"/>
              </w:rPr>
              <w:t>上海物流基地</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4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8,000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(867)</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6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7,133</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与资产相关</w:t>
            </w:r>
          </w:p>
        </w:tc>
      </w:tr>
      <w:tr>
        <w:trPr>
          <w:trHeight w:val="514"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59" w:lineRule="exact"/>
              <w:ind w:left="160" w:right="0" w:firstLine="0"/>
              <w:jc w:val="both"/>
              <w:rPr>
                <w:sz w:val="20"/>
                <w:szCs w:val="20"/>
              </w:rPr>
            </w:pPr>
            <w:r>
              <w:rPr>
                <w:color w:val="000000"/>
                <w:spacing w:val="0"/>
                <w:w w:val="100"/>
                <w:position w:val="0"/>
                <w:sz w:val="20"/>
                <w:szCs w:val="20"/>
              </w:rPr>
              <w:t>内江物流项目 天津苏宁物流基</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4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7,800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(131)</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6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7,669</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与资产相关</w:t>
            </w:r>
          </w:p>
        </w:tc>
      </w:tr>
      <w:tr>
        <w:trPr>
          <w:trHeight w:val="269"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地</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4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2,570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(890)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6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1,680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与资产相关</w:t>
            </w:r>
          </w:p>
        </w:tc>
      </w:tr>
      <w:tr>
        <w:trPr>
          <w:trHeight w:val="250"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both"/>
              <w:rPr>
                <w:sz w:val="20"/>
                <w:szCs w:val="20"/>
              </w:rPr>
            </w:pPr>
            <w:r>
              <w:rPr>
                <w:color w:val="000000"/>
                <w:spacing w:val="0"/>
                <w:w w:val="100"/>
                <w:position w:val="0"/>
                <w:sz w:val="20"/>
                <w:szCs w:val="20"/>
              </w:rPr>
              <w:t>佛山物流基地</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4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1,800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2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6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1,800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与资产相关</w:t>
            </w:r>
          </w:p>
        </w:tc>
      </w:tr>
      <w:tr>
        <w:trPr>
          <w:trHeight w:val="293" w:hRule="exact"/>
        </w:trPr>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591,024</w:t>
            </w:r>
          </w:p>
        </w:tc>
        <w:tc>
          <w:tcPr>
            <w:tcBorders>
              <w:top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both"/>
              <w:rPr>
                <w:sz w:val="20"/>
                <w:szCs w:val="20"/>
              </w:rPr>
            </w:pPr>
            <w:r>
              <w:rPr>
                <w:rFonts w:ascii="Times New Roman" w:eastAsia="Times New Roman" w:hAnsi="Times New Roman" w:cs="Times New Roman"/>
                <w:color w:val="000000"/>
                <w:spacing w:val="0"/>
                <w:w w:val="100"/>
                <w:position w:val="0"/>
                <w:sz w:val="20"/>
                <w:szCs w:val="20"/>
              </w:rPr>
              <w:t>95,613</w:t>
            </w:r>
          </w:p>
        </w:tc>
        <w:tc>
          <w:tcPr>
            <w:tcBorders>
              <w:top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both"/>
              <w:rPr>
                <w:sz w:val="20"/>
                <w:szCs w:val="20"/>
              </w:rPr>
            </w:pPr>
            <w:r>
              <w:rPr>
                <w:rFonts w:ascii="Times New Roman" w:eastAsia="Times New Roman" w:hAnsi="Times New Roman" w:cs="Times New Roman"/>
                <w:color w:val="000000"/>
                <w:spacing w:val="0"/>
                <w:w w:val="100"/>
                <w:position w:val="0"/>
                <w:sz w:val="20"/>
                <w:szCs w:val="20"/>
              </w:rPr>
              <w:t>(61,332)</w:t>
            </w:r>
          </w:p>
        </w:tc>
        <w:tc>
          <w:tcPr>
            <w:tcBorders>
              <w:top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6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625,305</w:t>
            </w:r>
          </w:p>
        </w:tc>
        <w:tc>
          <w:tcPr>
            <w:tcBorders/>
            <w:shd w:val="clear" w:color="auto" w:fill="FFFFFF"/>
            <w:vAlign w:val="top"/>
          </w:tcPr>
          <w:p>
            <w:pPr>
              <w:widowControl w:val="0"/>
              <w:rPr>
                <w:sz w:val="10"/>
                <w:szCs w:val="10"/>
              </w:rPr>
            </w:pPr>
          </w:p>
        </w:tc>
      </w:tr>
    </w:tbl>
    <w:p>
      <w:pPr>
        <w:spacing w:lineRule="exact" w:line="1"/>
        <w:rPr>
          <w:sz w:val="2"/>
          <w:szCs w:val="2"/>
        </w:rPr>
      </w:pPr>
      <w:r>
        <w:br w:type="page"/>
      </w:r>
    </w:p>
    <w:p>
      <w:pPr>
        <w:pStyle w:val="Style32"/>
        <w:keepNext w:val="0"/>
        <w:keepLines w:val="0"/>
        <w:widowControl w:val="0"/>
        <w:shd w:val="clear" w:color="auto" w:fill="auto"/>
        <w:bidi w:val="0"/>
        <w:spacing w:before="0" w:after="0" w:line="240" w:lineRule="auto"/>
        <w:ind w:left="0" w:right="0" w:firstLine="700"/>
        <w:jc w:val="left"/>
        <w:rPr>
          <w:sz w:val="24"/>
          <w:szCs w:val="24"/>
        </w:rPr>
      </w:pPr>
      <w:r>
        <w:rPr>
          <w:b/>
          <w:bCs/>
          <w:color w:val="000000"/>
          <w:spacing w:val="0"/>
          <w:w w:val="100"/>
          <w:position w:val="0"/>
          <w:sz w:val="24"/>
          <w:szCs w:val="24"/>
        </w:rPr>
        <w:t>财务报表附注</w:t>
      </w:r>
    </w:p>
    <w:p>
      <w:pPr>
        <w:pStyle w:val="Style88"/>
        <w:keepNext/>
        <w:keepLines/>
        <w:widowControl w:val="0"/>
        <w:shd w:val="clear" w:color="auto" w:fill="auto"/>
        <w:bidi w:val="0"/>
        <w:spacing w:before="0" w:after="0" w:line="240" w:lineRule="auto"/>
        <w:ind w:left="0" w:right="0"/>
        <w:jc w:val="left"/>
      </w:pPr>
      <w:bookmarkStart w:id="956" w:name="bookmark956"/>
      <w:bookmarkStart w:id="957" w:name="bookmark957"/>
      <w:bookmarkStart w:id="958" w:name="bookmark958"/>
      <w:r>
        <w:rPr>
          <w:color w:val="000000"/>
          <w:spacing w:val="0"/>
          <w:w w:val="100"/>
          <w:position w:val="0"/>
          <w:sz w:val="24"/>
          <w:szCs w:val="24"/>
        </w:rPr>
        <w:t>2016</w:t>
      </w:r>
      <w:r>
        <w:rPr>
          <w:rFonts w:ascii="SimSun" w:eastAsia="SimSun" w:hAnsi="SimSun" w:cs="SimSun"/>
          <w:b/>
          <w:bCs/>
          <w:color w:val="000000"/>
          <w:spacing w:val="0"/>
          <w:w w:val="100"/>
          <w:position w:val="0"/>
          <w:sz w:val="24"/>
          <w:szCs w:val="24"/>
        </w:rPr>
        <w:t>年度</w:t>
      </w:r>
      <w:bookmarkEnd w:id="956"/>
      <w:bookmarkEnd w:id="957"/>
      <w:bookmarkEnd w:id="958"/>
    </w:p>
    <w:p>
      <w:pPr>
        <w:pStyle w:val="Style32"/>
        <w:keepNext w:val="0"/>
        <w:keepLines w:val="0"/>
        <w:widowControl w:val="0"/>
        <w:shd w:val="clear" w:color="auto" w:fill="auto"/>
        <w:bidi w:val="0"/>
        <w:spacing w:before="0" w:after="240" w:line="240" w:lineRule="auto"/>
        <w:ind w:left="0" w:right="0" w:firstLine="700"/>
        <w:jc w:val="left"/>
        <w:rPr>
          <w:sz w:val="20"/>
          <w:szCs w:val="20"/>
        </w:rPr>
      </w:pPr>
      <w:r>
        <w:rPr>
          <w:rFonts w:ascii="Arial" w:eastAsia="Arial" w:hAnsi="Arial" w:cs="Arial"/>
          <w:color w:val="000000"/>
          <w:spacing w:val="0"/>
          <w:w w:val="100"/>
          <w:position w:val="0"/>
          <w:sz w:val="20"/>
          <w:szCs w:val="20"/>
        </w:rPr>
        <w:t>(</w:t>
      </w:r>
      <w:r>
        <w:rPr>
          <w:color w:val="000000"/>
          <w:spacing w:val="0"/>
          <w:w w:val="100"/>
          <w:position w:val="0"/>
          <w:sz w:val="20"/>
          <w:szCs w:val="20"/>
        </w:rPr>
        <w:t>除特别注明外，金额单位为人民币千元</w:t>
      </w:r>
      <w:r>
        <w:rPr>
          <w:rFonts w:ascii="Arial" w:eastAsia="Arial" w:hAnsi="Arial" w:cs="Arial"/>
          <w:color w:val="000000"/>
          <w:spacing w:val="0"/>
          <w:w w:val="100"/>
          <w:position w:val="0"/>
          <w:sz w:val="20"/>
          <w:szCs w:val="20"/>
        </w:rPr>
        <w:t>)</w:t>
      </w:r>
    </w:p>
    <w:p>
      <w:pPr>
        <w:pStyle w:val="Style32"/>
        <w:keepNext w:val="0"/>
        <w:keepLines w:val="0"/>
        <w:widowControl w:val="0"/>
        <w:shd w:val="clear" w:color="auto" w:fill="auto"/>
        <w:tabs>
          <w:tab w:pos="634" w:val="left"/>
        </w:tabs>
        <w:bidi w:val="0"/>
        <w:spacing w:before="0" w:after="240" w:line="240" w:lineRule="auto"/>
        <w:ind w:left="0" w:right="0" w:firstLine="0"/>
        <w:jc w:val="left"/>
        <w:rPr>
          <w:sz w:val="24"/>
          <w:szCs w:val="24"/>
        </w:rPr>
      </w:pPr>
      <w:r>
        <w:rPr>
          <w:b/>
          <w:bCs/>
          <w:color w:val="000000"/>
          <w:spacing w:val="0"/>
          <w:w w:val="100"/>
          <w:position w:val="0"/>
          <w:sz w:val="24"/>
          <w:szCs w:val="24"/>
        </w:rPr>
        <w:t>四</w:t>
        <w:tab/>
        <w:t>合并财务报表项目附注</w:t>
      </w:r>
      <w:r>
        <w:rPr>
          <w:rFonts w:ascii="Times New Roman" w:eastAsia="Times New Roman" w:hAnsi="Times New Roman" w:cs="Times New Roman"/>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4"/>
          <w:szCs w:val="24"/>
        </w:rPr>
        <w:t>)</w:t>
      </w:r>
    </w:p>
    <w:p>
      <w:pPr>
        <w:pStyle w:val="Style32"/>
        <w:keepNext w:val="0"/>
        <w:keepLines w:val="0"/>
        <w:widowControl w:val="0"/>
        <w:numPr>
          <w:ilvl w:val="0"/>
          <w:numId w:val="79"/>
        </w:numPr>
        <w:shd w:val="clear" w:color="auto" w:fill="auto"/>
        <w:tabs>
          <w:tab w:pos="634" w:val="left"/>
        </w:tabs>
        <w:bidi w:val="0"/>
        <w:spacing w:before="0" w:after="900" w:line="240" w:lineRule="auto"/>
        <w:ind w:left="0" w:right="0" w:firstLine="0"/>
        <w:jc w:val="left"/>
        <w:rPr>
          <w:sz w:val="24"/>
          <w:szCs w:val="24"/>
        </w:rPr>
      </w:pPr>
      <w:bookmarkStart w:id="959" w:name="bookmark959"/>
      <w:bookmarkEnd w:id="959"/>
      <w:r>
        <w:rPr>
          <w:b/>
          <w:bCs/>
          <w:color w:val="000000"/>
          <w:spacing w:val="0"/>
          <w:w w:val="100"/>
          <w:position w:val="0"/>
          <w:sz w:val="24"/>
          <w:szCs w:val="24"/>
        </w:rPr>
        <w:t>长期应付职工薪酬</w:t>
      </w:r>
    </w:p>
    <w:p>
      <w:pPr>
        <w:pStyle w:val="Style32"/>
        <w:keepNext w:val="0"/>
        <w:keepLines w:val="0"/>
        <w:widowControl w:val="0"/>
        <w:shd w:val="clear" w:color="auto" w:fill="auto"/>
        <w:bidi w:val="0"/>
        <w:spacing w:before="0" w:after="300" w:line="240" w:lineRule="auto"/>
        <w:ind w:left="0" w:right="0" w:firstLine="700"/>
        <w:jc w:val="left"/>
        <w:rPr>
          <w:sz w:val="24"/>
          <w:szCs w:val="24"/>
        </w:rPr>
      </w:pPr>
      <w:r>
        <w:rPr>
          <w:color w:val="000000"/>
          <w:spacing w:val="0"/>
          <w:w w:val="100"/>
          <w:position w:val="0"/>
          <w:sz w:val="24"/>
          <w:szCs w:val="24"/>
        </w:rPr>
        <w:t>设定收益计划一一养老金计划</w:t>
      </w:r>
    </w:p>
    <w:p>
      <w:pPr>
        <w:pStyle w:val="Style32"/>
        <w:keepNext w:val="0"/>
        <w:keepLines w:val="0"/>
        <w:widowControl w:val="0"/>
        <w:numPr>
          <w:ilvl w:val="0"/>
          <w:numId w:val="79"/>
        </w:numPr>
        <w:shd w:val="clear" w:color="auto" w:fill="auto"/>
        <w:tabs>
          <w:tab w:pos="634" w:val="left"/>
        </w:tabs>
        <w:bidi w:val="0"/>
        <w:spacing w:before="0" w:after="900" w:line="240" w:lineRule="auto"/>
        <w:ind w:left="0" w:right="0" w:firstLine="0"/>
        <w:jc w:val="left"/>
        <w:rPr>
          <w:sz w:val="24"/>
          <w:szCs w:val="24"/>
        </w:rPr>
      </w:pPr>
      <w:bookmarkStart w:id="960" w:name="bookmark960"/>
      <w:bookmarkEnd w:id="960"/>
      <w:r>
        <w:rPr>
          <w:b/>
          <w:bCs/>
          <w:color w:val="000000"/>
          <w:spacing w:val="0"/>
          <w:w w:val="100"/>
          <w:position w:val="0"/>
          <w:sz w:val="24"/>
          <w:szCs w:val="24"/>
        </w:rPr>
        <w:t>其他非流动负债</w:t>
      </w:r>
    </w:p>
    <w:p>
      <w:pPr>
        <w:pStyle w:val="Style32"/>
        <w:keepNext w:val="0"/>
        <w:keepLines w:val="0"/>
        <w:widowControl w:val="0"/>
        <w:shd w:val="clear" w:color="auto" w:fill="auto"/>
        <w:bidi w:val="0"/>
        <w:spacing w:before="0" w:after="260" w:line="240" w:lineRule="auto"/>
        <w:ind w:left="0" w:right="0" w:firstLine="700"/>
        <w:jc w:val="left"/>
        <w:rPr>
          <w:sz w:val="24"/>
          <w:szCs w:val="24"/>
        </w:rPr>
        <w:sectPr>
          <w:headerReference w:type="default" r:id="rId155"/>
          <w:footerReference w:type="default" r:id="rId156"/>
          <w:headerReference w:type="even" r:id="rId157"/>
          <w:footerReference w:type="even" r:id="rId158"/>
          <w:footnotePr>
            <w:pos w:val="pageBottom"/>
            <w:numFmt w:val="decimal"/>
            <w:numRestart w:val="continuous"/>
          </w:footnotePr>
          <w:pgSz w:w="11900" w:h="16840"/>
          <w:pgMar w:top="1326" w:right="604" w:bottom="2862" w:left="1677" w:header="0" w:footer="3" w:gutter="0"/>
          <w:cols w:space="720"/>
          <w:noEndnote/>
          <w:rtlGutter w:val="0"/>
          <w:docGrid w:linePitch="360"/>
        </w:sectPr>
      </w:pPr>
      <w:r>
        <mc:AlternateContent>
          <mc:Choice Requires="wps">
            <w:drawing>
              <wp:anchor distT="0" distB="0" distL="114300" distR="114300" simplePos="0" relativeHeight="125829434" behindDoc="0" locked="0" layoutInCell="1" allowOverlap="1">
                <wp:simplePos x="0" y="0"/>
                <wp:positionH relativeFrom="page">
                  <wp:posOffset>4056380</wp:posOffset>
                </wp:positionH>
                <wp:positionV relativeFrom="margin">
                  <wp:posOffset>1438910</wp:posOffset>
                </wp:positionV>
                <wp:extent cx="3075305" cy="1746250"/>
                <wp:wrapSquare wrapText="bothSides"/>
                <wp:docPr id="346" name="Shape 346"/>
                <a:graphic xmlns:a="http://schemas.openxmlformats.org/drawingml/2006/main">
                  <a:graphicData uri="http://schemas.microsoft.com/office/word/2010/wordprocessingShape">
                    <wps:wsp>
                      <wps:cNvSpPr txBox="1"/>
                      <wps:spPr>
                        <a:xfrm>
                          <a:ext cx="3075305" cy="1746250"/>
                        </a:xfrm>
                        <a:prstGeom prst="rect"/>
                        <a:noFill/>
                      </wps:spPr>
                      <wps:txbx>
                        <w:txbxContent>
                          <w:p>
                            <w:pPr>
                              <w:pStyle w:val="Style53"/>
                              <w:keepNext w:val="0"/>
                              <w:keepLines w:val="0"/>
                              <w:widowControl w:val="0"/>
                              <w:shd w:val="clear" w:color="auto" w:fill="auto"/>
                              <w:tabs>
                                <w:tab w:pos="2789" w:val="left"/>
                              </w:tabs>
                              <w:bidi w:val="0"/>
                              <w:spacing w:before="0" w:after="300" w:line="240" w:lineRule="auto"/>
                              <w:ind w:left="0" w:right="0" w:firstLine="0"/>
                              <w:jc w:val="left"/>
                              <w:rPr>
                                <w:sz w:val="24"/>
                                <w:szCs w:val="24"/>
                              </w:rPr>
                            </w:pPr>
                            <w:r>
                              <w:rPr>
                                <w:color w:val="000000"/>
                                <w:spacing w:val="0"/>
                                <w:w w:val="100"/>
                                <w:position w:val="0"/>
                                <w:sz w:val="24"/>
                                <w:szCs w:val="24"/>
                              </w:rPr>
                              <w:t>2016</w:t>
                            </w:r>
                            <w:r>
                              <w:rPr>
                                <w:rFonts w:ascii="SimSun" w:eastAsia="SimSun" w:hAnsi="SimSun" w:cs="SimSun"/>
                                <w:color w:val="000000"/>
                                <w:spacing w:val="0"/>
                                <w:w w:val="100"/>
                                <w:position w:val="0"/>
                                <w:sz w:val="24"/>
                                <w:szCs w:val="24"/>
                              </w:rPr>
                              <w:t>年</w:t>
                            </w:r>
                            <w:r>
                              <w:rPr>
                                <w:color w:val="000000"/>
                                <w:spacing w:val="0"/>
                                <w:w w:val="100"/>
                                <w:position w:val="0"/>
                                <w:sz w:val="24"/>
                                <w:szCs w:val="24"/>
                              </w:rPr>
                              <w:t>12</w:t>
                            </w:r>
                            <w:r>
                              <w:rPr>
                                <w:rFonts w:ascii="SimSun" w:eastAsia="SimSun" w:hAnsi="SimSun" w:cs="SimSun"/>
                                <w:color w:val="000000"/>
                                <w:spacing w:val="0"/>
                                <w:w w:val="100"/>
                                <w:position w:val="0"/>
                                <w:sz w:val="24"/>
                                <w:szCs w:val="24"/>
                              </w:rPr>
                              <w:t>月</w:t>
                            </w:r>
                            <w:r>
                              <w:rPr>
                                <w:color w:val="000000"/>
                                <w:spacing w:val="0"/>
                                <w:w w:val="100"/>
                                <w:position w:val="0"/>
                                <w:sz w:val="24"/>
                                <w:szCs w:val="24"/>
                              </w:rPr>
                              <w:t>31</w:t>
                            </w:r>
                            <w:r>
                              <w:rPr>
                                <w:rFonts w:ascii="SimSun" w:eastAsia="SimSun" w:hAnsi="SimSun" w:cs="SimSun"/>
                                <w:color w:val="000000"/>
                                <w:spacing w:val="0"/>
                                <w:w w:val="100"/>
                                <w:position w:val="0"/>
                                <w:sz w:val="24"/>
                                <w:szCs w:val="24"/>
                              </w:rPr>
                              <w:t>日</w:t>
                              <w:tab/>
                            </w:r>
                            <w:r>
                              <w:rPr>
                                <w:color w:val="000000"/>
                                <w:spacing w:val="0"/>
                                <w:w w:val="100"/>
                                <w:position w:val="0"/>
                                <w:sz w:val="24"/>
                                <w:szCs w:val="24"/>
                              </w:rPr>
                              <w:t>2015</w:t>
                            </w:r>
                            <w:r>
                              <w:rPr>
                                <w:rFonts w:ascii="SimSun" w:eastAsia="SimSun" w:hAnsi="SimSun" w:cs="SimSun"/>
                                <w:color w:val="000000"/>
                                <w:spacing w:val="0"/>
                                <w:w w:val="100"/>
                                <w:position w:val="0"/>
                                <w:sz w:val="24"/>
                                <w:szCs w:val="24"/>
                              </w:rPr>
                              <w:t>年</w:t>
                            </w:r>
                            <w:r>
                              <w:rPr>
                                <w:color w:val="000000"/>
                                <w:spacing w:val="0"/>
                                <w:w w:val="100"/>
                                <w:position w:val="0"/>
                                <w:sz w:val="24"/>
                                <w:szCs w:val="24"/>
                              </w:rPr>
                              <w:t>12</w:t>
                            </w:r>
                            <w:r>
                              <w:rPr>
                                <w:rFonts w:ascii="SimSun" w:eastAsia="SimSun" w:hAnsi="SimSun" w:cs="SimSun"/>
                                <w:color w:val="000000"/>
                                <w:spacing w:val="0"/>
                                <w:w w:val="100"/>
                                <w:position w:val="0"/>
                                <w:sz w:val="24"/>
                                <w:szCs w:val="24"/>
                              </w:rPr>
                              <w:t>月</w:t>
                            </w:r>
                            <w:r>
                              <w:rPr>
                                <w:color w:val="000000"/>
                                <w:spacing w:val="0"/>
                                <w:w w:val="100"/>
                                <w:position w:val="0"/>
                                <w:sz w:val="24"/>
                                <w:szCs w:val="24"/>
                              </w:rPr>
                              <w:t>31</w:t>
                            </w:r>
                            <w:r>
                              <w:rPr>
                                <w:rFonts w:ascii="SimSun" w:eastAsia="SimSun" w:hAnsi="SimSun" w:cs="SimSun"/>
                                <w:color w:val="000000"/>
                                <w:spacing w:val="0"/>
                                <w:w w:val="100"/>
                                <w:position w:val="0"/>
                                <w:sz w:val="24"/>
                                <w:szCs w:val="24"/>
                              </w:rPr>
                              <w:t>日</w:t>
                            </w:r>
                          </w:p>
                          <w:p>
                            <w:pPr>
                              <w:pStyle w:val="Style53"/>
                              <w:keepNext w:val="0"/>
                              <w:keepLines w:val="0"/>
                              <w:widowControl w:val="0"/>
                              <w:shd w:val="clear" w:color="auto" w:fill="auto"/>
                              <w:tabs>
                                <w:tab w:leader="underscore" w:pos="4715" w:val="right"/>
                              </w:tabs>
                              <w:bidi w:val="0"/>
                              <w:spacing w:before="0" w:after="860" w:line="240" w:lineRule="auto"/>
                              <w:ind w:left="1240" w:right="0" w:firstLine="0"/>
                              <w:jc w:val="left"/>
                              <w:rPr>
                                <w:sz w:val="24"/>
                                <w:szCs w:val="24"/>
                              </w:rPr>
                            </w:pPr>
                            <w:r>
                              <w:rPr>
                                <w:color w:val="000000"/>
                                <w:spacing w:val="0"/>
                                <w:w w:val="100"/>
                                <w:position w:val="0"/>
                                <w:sz w:val="24"/>
                                <w:szCs w:val="24"/>
                                <w:u w:val="single"/>
                              </w:rPr>
                              <w:t>25,125</w:t>
                            </w:r>
                            <w:r>
                              <w:rPr>
                                <w:color w:val="000000"/>
                                <w:spacing w:val="0"/>
                                <w:w w:val="100"/>
                                <w:position w:val="0"/>
                                <w:sz w:val="24"/>
                                <w:szCs w:val="24"/>
                              </w:rPr>
                              <w:tab/>
                            </w:r>
                            <w:r>
                              <w:rPr>
                                <w:color w:val="000000"/>
                                <w:spacing w:val="0"/>
                                <w:w w:val="100"/>
                                <w:position w:val="0"/>
                                <w:sz w:val="24"/>
                                <w:szCs w:val="24"/>
                                <w:u w:val="single"/>
                              </w:rPr>
                              <w:t>20,854</w:t>
                            </w:r>
                          </w:p>
                          <w:p>
                            <w:pPr>
                              <w:pStyle w:val="Style53"/>
                              <w:keepNext w:val="0"/>
                              <w:keepLines w:val="0"/>
                              <w:widowControl w:val="0"/>
                              <w:shd w:val="clear" w:color="auto" w:fill="auto"/>
                              <w:tabs>
                                <w:tab w:pos="2789" w:val="left"/>
                              </w:tabs>
                              <w:bidi w:val="0"/>
                              <w:spacing w:before="0" w:after="300" w:line="240" w:lineRule="auto"/>
                              <w:ind w:left="0" w:right="0" w:firstLine="0"/>
                              <w:jc w:val="left"/>
                              <w:rPr>
                                <w:sz w:val="24"/>
                                <w:szCs w:val="24"/>
                              </w:rPr>
                            </w:pPr>
                            <w:r>
                              <w:rPr>
                                <w:color w:val="000000"/>
                                <w:spacing w:val="0"/>
                                <w:w w:val="100"/>
                                <w:position w:val="0"/>
                                <w:sz w:val="24"/>
                                <w:szCs w:val="24"/>
                              </w:rPr>
                              <w:t>2016</w:t>
                            </w:r>
                            <w:r>
                              <w:rPr>
                                <w:rFonts w:ascii="SimSun" w:eastAsia="SimSun" w:hAnsi="SimSun" w:cs="SimSun"/>
                                <w:color w:val="000000"/>
                                <w:spacing w:val="0"/>
                                <w:w w:val="100"/>
                                <w:position w:val="0"/>
                                <w:sz w:val="24"/>
                                <w:szCs w:val="24"/>
                              </w:rPr>
                              <w:t>年</w:t>
                            </w:r>
                            <w:r>
                              <w:rPr>
                                <w:color w:val="000000"/>
                                <w:spacing w:val="0"/>
                                <w:w w:val="100"/>
                                <w:position w:val="0"/>
                                <w:sz w:val="24"/>
                                <w:szCs w:val="24"/>
                              </w:rPr>
                              <w:t>12</w:t>
                            </w:r>
                            <w:r>
                              <w:rPr>
                                <w:rFonts w:ascii="SimSun" w:eastAsia="SimSun" w:hAnsi="SimSun" w:cs="SimSun"/>
                                <w:color w:val="000000"/>
                                <w:spacing w:val="0"/>
                                <w:w w:val="100"/>
                                <w:position w:val="0"/>
                                <w:sz w:val="24"/>
                                <w:szCs w:val="24"/>
                              </w:rPr>
                              <w:t>月</w:t>
                            </w:r>
                            <w:r>
                              <w:rPr>
                                <w:color w:val="000000"/>
                                <w:spacing w:val="0"/>
                                <w:w w:val="100"/>
                                <w:position w:val="0"/>
                                <w:sz w:val="24"/>
                                <w:szCs w:val="24"/>
                              </w:rPr>
                              <w:t>31</w:t>
                            </w:r>
                            <w:r>
                              <w:rPr>
                                <w:rFonts w:ascii="SimSun" w:eastAsia="SimSun" w:hAnsi="SimSun" w:cs="SimSun"/>
                                <w:color w:val="000000"/>
                                <w:spacing w:val="0"/>
                                <w:w w:val="100"/>
                                <w:position w:val="0"/>
                                <w:sz w:val="24"/>
                                <w:szCs w:val="24"/>
                              </w:rPr>
                              <w:t>日</w:t>
                              <w:tab/>
                            </w:r>
                            <w:r>
                              <w:rPr>
                                <w:color w:val="000000"/>
                                <w:spacing w:val="0"/>
                                <w:w w:val="100"/>
                                <w:position w:val="0"/>
                                <w:sz w:val="24"/>
                                <w:szCs w:val="24"/>
                              </w:rPr>
                              <w:t>2015</w:t>
                            </w:r>
                            <w:r>
                              <w:rPr>
                                <w:rFonts w:ascii="SimSun" w:eastAsia="SimSun" w:hAnsi="SimSun" w:cs="SimSun"/>
                                <w:color w:val="000000"/>
                                <w:spacing w:val="0"/>
                                <w:w w:val="100"/>
                                <w:position w:val="0"/>
                                <w:sz w:val="24"/>
                                <w:szCs w:val="24"/>
                              </w:rPr>
                              <w:t>年</w:t>
                            </w:r>
                            <w:r>
                              <w:rPr>
                                <w:color w:val="000000"/>
                                <w:spacing w:val="0"/>
                                <w:w w:val="100"/>
                                <w:position w:val="0"/>
                                <w:sz w:val="24"/>
                                <w:szCs w:val="24"/>
                              </w:rPr>
                              <w:t>12</w:t>
                            </w:r>
                            <w:r>
                              <w:rPr>
                                <w:rFonts w:ascii="SimSun" w:eastAsia="SimSun" w:hAnsi="SimSun" w:cs="SimSun"/>
                                <w:color w:val="000000"/>
                                <w:spacing w:val="0"/>
                                <w:w w:val="100"/>
                                <w:position w:val="0"/>
                                <w:sz w:val="24"/>
                                <w:szCs w:val="24"/>
                              </w:rPr>
                              <w:t>月</w:t>
                            </w:r>
                            <w:r>
                              <w:rPr>
                                <w:color w:val="000000"/>
                                <w:spacing w:val="0"/>
                                <w:w w:val="100"/>
                                <w:position w:val="0"/>
                                <w:sz w:val="24"/>
                                <w:szCs w:val="24"/>
                              </w:rPr>
                              <w:t>31</w:t>
                            </w:r>
                            <w:r>
                              <w:rPr>
                                <w:rFonts w:ascii="SimSun" w:eastAsia="SimSun" w:hAnsi="SimSun" w:cs="SimSun"/>
                                <w:color w:val="000000"/>
                                <w:spacing w:val="0"/>
                                <w:w w:val="100"/>
                                <w:position w:val="0"/>
                                <w:sz w:val="24"/>
                                <w:szCs w:val="24"/>
                              </w:rPr>
                              <w:t>日</w:t>
                            </w:r>
                          </w:p>
                          <w:p>
                            <w:pPr>
                              <w:pStyle w:val="Style53"/>
                              <w:keepNext w:val="0"/>
                              <w:keepLines w:val="0"/>
                              <w:widowControl w:val="0"/>
                              <w:shd w:val="clear" w:color="auto" w:fill="auto"/>
                              <w:tabs>
                                <w:tab w:leader="underscore" w:pos="4706" w:val="right"/>
                              </w:tabs>
                              <w:bidi w:val="0"/>
                              <w:spacing w:before="0" w:after="580" w:line="240" w:lineRule="auto"/>
                              <w:ind w:left="1240" w:right="0" w:firstLine="0"/>
                              <w:jc w:val="left"/>
                              <w:rPr>
                                <w:sz w:val="24"/>
                                <w:szCs w:val="24"/>
                              </w:rPr>
                            </w:pPr>
                            <w:r>
                              <w:rPr>
                                <w:color w:val="000000"/>
                                <w:spacing w:val="0"/>
                                <w:w w:val="100"/>
                                <w:position w:val="0"/>
                                <w:sz w:val="24"/>
                                <w:szCs w:val="24"/>
                                <w:u w:val="single"/>
                              </w:rPr>
                              <w:t>15,005</w:t>
                            </w:r>
                            <w:r>
                              <w:rPr>
                                <w:color w:val="000000"/>
                                <w:spacing w:val="0"/>
                                <w:w w:val="100"/>
                                <w:position w:val="0"/>
                                <w:sz w:val="24"/>
                                <w:szCs w:val="24"/>
                              </w:rPr>
                              <w:tab/>
                            </w:r>
                            <w:r>
                              <w:rPr>
                                <w:color w:val="000000"/>
                                <w:spacing w:val="0"/>
                                <w:w w:val="100"/>
                                <w:position w:val="0"/>
                                <w:sz w:val="24"/>
                                <w:szCs w:val="24"/>
                                <w:u w:val="single"/>
                              </w:rPr>
                              <w:t>20,499</w:t>
                            </w:r>
                          </w:p>
                        </w:txbxContent>
                      </wps:txbx>
                      <wps:bodyPr lIns="0" tIns="0" rIns="0" bIns="0">
                        <a:noAutoFit/>
                      </wps:bodyPr>
                    </wps:wsp>
                  </a:graphicData>
                </a:graphic>
              </wp:anchor>
            </w:drawing>
          </mc:Choice>
          <mc:Fallback>
            <w:pict>
              <v:shape id="_x0000_s1372" type="#_x0000_t202" style="position:absolute;margin-left:319.40000000000003pt;margin-top:113.3pt;width:242.15000000000001pt;height:137.5pt;z-index:-125829319;mso-wrap-distance-left:9.pt;mso-wrap-distance-right:9.pt;mso-position-horizontal-relative:page;mso-position-vertical-relative:margin" filled="f" stroked="f">
                <v:textbox inset="0,0,0,0">
                  <w:txbxContent>
                    <w:p>
                      <w:pPr>
                        <w:pStyle w:val="Style53"/>
                        <w:keepNext w:val="0"/>
                        <w:keepLines w:val="0"/>
                        <w:widowControl w:val="0"/>
                        <w:shd w:val="clear" w:color="auto" w:fill="auto"/>
                        <w:tabs>
                          <w:tab w:pos="2789" w:val="left"/>
                        </w:tabs>
                        <w:bidi w:val="0"/>
                        <w:spacing w:before="0" w:after="300" w:line="240" w:lineRule="auto"/>
                        <w:ind w:left="0" w:right="0" w:firstLine="0"/>
                        <w:jc w:val="left"/>
                        <w:rPr>
                          <w:sz w:val="24"/>
                          <w:szCs w:val="24"/>
                        </w:rPr>
                      </w:pPr>
                      <w:r>
                        <w:rPr>
                          <w:color w:val="000000"/>
                          <w:spacing w:val="0"/>
                          <w:w w:val="100"/>
                          <w:position w:val="0"/>
                          <w:sz w:val="24"/>
                          <w:szCs w:val="24"/>
                        </w:rPr>
                        <w:t>2016</w:t>
                      </w:r>
                      <w:r>
                        <w:rPr>
                          <w:rFonts w:ascii="SimSun" w:eastAsia="SimSun" w:hAnsi="SimSun" w:cs="SimSun"/>
                          <w:color w:val="000000"/>
                          <w:spacing w:val="0"/>
                          <w:w w:val="100"/>
                          <w:position w:val="0"/>
                          <w:sz w:val="24"/>
                          <w:szCs w:val="24"/>
                        </w:rPr>
                        <w:t>年</w:t>
                      </w:r>
                      <w:r>
                        <w:rPr>
                          <w:color w:val="000000"/>
                          <w:spacing w:val="0"/>
                          <w:w w:val="100"/>
                          <w:position w:val="0"/>
                          <w:sz w:val="24"/>
                          <w:szCs w:val="24"/>
                        </w:rPr>
                        <w:t>12</w:t>
                      </w:r>
                      <w:r>
                        <w:rPr>
                          <w:rFonts w:ascii="SimSun" w:eastAsia="SimSun" w:hAnsi="SimSun" w:cs="SimSun"/>
                          <w:color w:val="000000"/>
                          <w:spacing w:val="0"/>
                          <w:w w:val="100"/>
                          <w:position w:val="0"/>
                          <w:sz w:val="24"/>
                          <w:szCs w:val="24"/>
                        </w:rPr>
                        <w:t>月</w:t>
                      </w:r>
                      <w:r>
                        <w:rPr>
                          <w:color w:val="000000"/>
                          <w:spacing w:val="0"/>
                          <w:w w:val="100"/>
                          <w:position w:val="0"/>
                          <w:sz w:val="24"/>
                          <w:szCs w:val="24"/>
                        </w:rPr>
                        <w:t>31</w:t>
                      </w:r>
                      <w:r>
                        <w:rPr>
                          <w:rFonts w:ascii="SimSun" w:eastAsia="SimSun" w:hAnsi="SimSun" w:cs="SimSun"/>
                          <w:color w:val="000000"/>
                          <w:spacing w:val="0"/>
                          <w:w w:val="100"/>
                          <w:position w:val="0"/>
                          <w:sz w:val="24"/>
                          <w:szCs w:val="24"/>
                        </w:rPr>
                        <w:t>日</w:t>
                        <w:tab/>
                      </w:r>
                      <w:r>
                        <w:rPr>
                          <w:color w:val="000000"/>
                          <w:spacing w:val="0"/>
                          <w:w w:val="100"/>
                          <w:position w:val="0"/>
                          <w:sz w:val="24"/>
                          <w:szCs w:val="24"/>
                        </w:rPr>
                        <w:t>2015</w:t>
                      </w:r>
                      <w:r>
                        <w:rPr>
                          <w:rFonts w:ascii="SimSun" w:eastAsia="SimSun" w:hAnsi="SimSun" w:cs="SimSun"/>
                          <w:color w:val="000000"/>
                          <w:spacing w:val="0"/>
                          <w:w w:val="100"/>
                          <w:position w:val="0"/>
                          <w:sz w:val="24"/>
                          <w:szCs w:val="24"/>
                        </w:rPr>
                        <w:t>年</w:t>
                      </w:r>
                      <w:r>
                        <w:rPr>
                          <w:color w:val="000000"/>
                          <w:spacing w:val="0"/>
                          <w:w w:val="100"/>
                          <w:position w:val="0"/>
                          <w:sz w:val="24"/>
                          <w:szCs w:val="24"/>
                        </w:rPr>
                        <w:t>12</w:t>
                      </w:r>
                      <w:r>
                        <w:rPr>
                          <w:rFonts w:ascii="SimSun" w:eastAsia="SimSun" w:hAnsi="SimSun" w:cs="SimSun"/>
                          <w:color w:val="000000"/>
                          <w:spacing w:val="0"/>
                          <w:w w:val="100"/>
                          <w:position w:val="0"/>
                          <w:sz w:val="24"/>
                          <w:szCs w:val="24"/>
                        </w:rPr>
                        <w:t>月</w:t>
                      </w:r>
                      <w:r>
                        <w:rPr>
                          <w:color w:val="000000"/>
                          <w:spacing w:val="0"/>
                          <w:w w:val="100"/>
                          <w:position w:val="0"/>
                          <w:sz w:val="24"/>
                          <w:szCs w:val="24"/>
                        </w:rPr>
                        <w:t>31</w:t>
                      </w:r>
                      <w:r>
                        <w:rPr>
                          <w:rFonts w:ascii="SimSun" w:eastAsia="SimSun" w:hAnsi="SimSun" w:cs="SimSun"/>
                          <w:color w:val="000000"/>
                          <w:spacing w:val="0"/>
                          <w:w w:val="100"/>
                          <w:position w:val="0"/>
                          <w:sz w:val="24"/>
                          <w:szCs w:val="24"/>
                        </w:rPr>
                        <w:t>日</w:t>
                      </w:r>
                    </w:p>
                    <w:p>
                      <w:pPr>
                        <w:pStyle w:val="Style53"/>
                        <w:keepNext w:val="0"/>
                        <w:keepLines w:val="0"/>
                        <w:widowControl w:val="0"/>
                        <w:shd w:val="clear" w:color="auto" w:fill="auto"/>
                        <w:tabs>
                          <w:tab w:leader="underscore" w:pos="4715" w:val="right"/>
                        </w:tabs>
                        <w:bidi w:val="0"/>
                        <w:spacing w:before="0" w:after="860" w:line="240" w:lineRule="auto"/>
                        <w:ind w:left="1240" w:right="0" w:firstLine="0"/>
                        <w:jc w:val="left"/>
                        <w:rPr>
                          <w:sz w:val="24"/>
                          <w:szCs w:val="24"/>
                        </w:rPr>
                      </w:pPr>
                      <w:r>
                        <w:rPr>
                          <w:color w:val="000000"/>
                          <w:spacing w:val="0"/>
                          <w:w w:val="100"/>
                          <w:position w:val="0"/>
                          <w:sz w:val="24"/>
                          <w:szCs w:val="24"/>
                          <w:u w:val="single"/>
                        </w:rPr>
                        <w:t>25,125</w:t>
                      </w:r>
                      <w:r>
                        <w:rPr>
                          <w:color w:val="000000"/>
                          <w:spacing w:val="0"/>
                          <w:w w:val="100"/>
                          <w:position w:val="0"/>
                          <w:sz w:val="24"/>
                          <w:szCs w:val="24"/>
                        </w:rPr>
                        <w:tab/>
                      </w:r>
                      <w:r>
                        <w:rPr>
                          <w:color w:val="000000"/>
                          <w:spacing w:val="0"/>
                          <w:w w:val="100"/>
                          <w:position w:val="0"/>
                          <w:sz w:val="24"/>
                          <w:szCs w:val="24"/>
                          <w:u w:val="single"/>
                        </w:rPr>
                        <w:t>20,854</w:t>
                      </w:r>
                    </w:p>
                    <w:p>
                      <w:pPr>
                        <w:pStyle w:val="Style53"/>
                        <w:keepNext w:val="0"/>
                        <w:keepLines w:val="0"/>
                        <w:widowControl w:val="0"/>
                        <w:shd w:val="clear" w:color="auto" w:fill="auto"/>
                        <w:tabs>
                          <w:tab w:pos="2789" w:val="left"/>
                        </w:tabs>
                        <w:bidi w:val="0"/>
                        <w:spacing w:before="0" w:after="300" w:line="240" w:lineRule="auto"/>
                        <w:ind w:left="0" w:right="0" w:firstLine="0"/>
                        <w:jc w:val="left"/>
                        <w:rPr>
                          <w:sz w:val="24"/>
                          <w:szCs w:val="24"/>
                        </w:rPr>
                      </w:pPr>
                      <w:r>
                        <w:rPr>
                          <w:color w:val="000000"/>
                          <w:spacing w:val="0"/>
                          <w:w w:val="100"/>
                          <w:position w:val="0"/>
                          <w:sz w:val="24"/>
                          <w:szCs w:val="24"/>
                        </w:rPr>
                        <w:t>2016</w:t>
                      </w:r>
                      <w:r>
                        <w:rPr>
                          <w:rFonts w:ascii="SimSun" w:eastAsia="SimSun" w:hAnsi="SimSun" w:cs="SimSun"/>
                          <w:color w:val="000000"/>
                          <w:spacing w:val="0"/>
                          <w:w w:val="100"/>
                          <w:position w:val="0"/>
                          <w:sz w:val="24"/>
                          <w:szCs w:val="24"/>
                        </w:rPr>
                        <w:t>年</w:t>
                      </w:r>
                      <w:r>
                        <w:rPr>
                          <w:color w:val="000000"/>
                          <w:spacing w:val="0"/>
                          <w:w w:val="100"/>
                          <w:position w:val="0"/>
                          <w:sz w:val="24"/>
                          <w:szCs w:val="24"/>
                        </w:rPr>
                        <w:t>12</w:t>
                      </w:r>
                      <w:r>
                        <w:rPr>
                          <w:rFonts w:ascii="SimSun" w:eastAsia="SimSun" w:hAnsi="SimSun" w:cs="SimSun"/>
                          <w:color w:val="000000"/>
                          <w:spacing w:val="0"/>
                          <w:w w:val="100"/>
                          <w:position w:val="0"/>
                          <w:sz w:val="24"/>
                          <w:szCs w:val="24"/>
                        </w:rPr>
                        <w:t>月</w:t>
                      </w:r>
                      <w:r>
                        <w:rPr>
                          <w:color w:val="000000"/>
                          <w:spacing w:val="0"/>
                          <w:w w:val="100"/>
                          <w:position w:val="0"/>
                          <w:sz w:val="24"/>
                          <w:szCs w:val="24"/>
                        </w:rPr>
                        <w:t>31</w:t>
                      </w:r>
                      <w:r>
                        <w:rPr>
                          <w:rFonts w:ascii="SimSun" w:eastAsia="SimSun" w:hAnsi="SimSun" w:cs="SimSun"/>
                          <w:color w:val="000000"/>
                          <w:spacing w:val="0"/>
                          <w:w w:val="100"/>
                          <w:position w:val="0"/>
                          <w:sz w:val="24"/>
                          <w:szCs w:val="24"/>
                        </w:rPr>
                        <w:t>日</w:t>
                        <w:tab/>
                      </w:r>
                      <w:r>
                        <w:rPr>
                          <w:color w:val="000000"/>
                          <w:spacing w:val="0"/>
                          <w:w w:val="100"/>
                          <w:position w:val="0"/>
                          <w:sz w:val="24"/>
                          <w:szCs w:val="24"/>
                        </w:rPr>
                        <w:t>2015</w:t>
                      </w:r>
                      <w:r>
                        <w:rPr>
                          <w:rFonts w:ascii="SimSun" w:eastAsia="SimSun" w:hAnsi="SimSun" w:cs="SimSun"/>
                          <w:color w:val="000000"/>
                          <w:spacing w:val="0"/>
                          <w:w w:val="100"/>
                          <w:position w:val="0"/>
                          <w:sz w:val="24"/>
                          <w:szCs w:val="24"/>
                        </w:rPr>
                        <w:t>年</w:t>
                      </w:r>
                      <w:r>
                        <w:rPr>
                          <w:color w:val="000000"/>
                          <w:spacing w:val="0"/>
                          <w:w w:val="100"/>
                          <w:position w:val="0"/>
                          <w:sz w:val="24"/>
                          <w:szCs w:val="24"/>
                        </w:rPr>
                        <w:t>12</w:t>
                      </w:r>
                      <w:r>
                        <w:rPr>
                          <w:rFonts w:ascii="SimSun" w:eastAsia="SimSun" w:hAnsi="SimSun" w:cs="SimSun"/>
                          <w:color w:val="000000"/>
                          <w:spacing w:val="0"/>
                          <w:w w:val="100"/>
                          <w:position w:val="0"/>
                          <w:sz w:val="24"/>
                          <w:szCs w:val="24"/>
                        </w:rPr>
                        <w:t>月</w:t>
                      </w:r>
                      <w:r>
                        <w:rPr>
                          <w:color w:val="000000"/>
                          <w:spacing w:val="0"/>
                          <w:w w:val="100"/>
                          <w:position w:val="0"/>
                          <w:sz w:val="24"/>
                          <w:szCs w:val="24"/>
                        </w:rPr>
                        <w:t>31</w:t>
                      </w:r>
                      <w:r>
                        <w:rPr>
                          <w:rFonts w:ascii="SimSun" w:eastAsia="SimSun" w:hAnsi="SimSun" w:cs="SimSun"/>
                          <w:color w:val="000000"/>
                          <w:spacing w:val="0"/>
                          <w:w w:val="100"/>
                          <w:position w:val="0"/>
                          <w:sz w:val="24"/>
                          <w:szCs w:val="24"/>
                        </w:rPr>
                        <w:t>日</w:t>
                      </w:r>
                    </w:p>
                    <w:p>
                      <w:pPr>
                        <w:pStyle w:val="Style53"/>
                        <w:keepNext w:val="0"/>
                        <w:keepLines w:val="0"/>
                        <w:widowControl w:val="0"/>
                        <w:shd w:val="clear" w:color="auto" w:fill="auto"/>
                        <w:tabs>
                          <w:tab w:leader="underscore" w:pos="4706" w:val="right"/>
                        </w:tabs>
                        <w:bidi w:val="0"/>
                        <w:spacing w:before="0" w:after="580" w:line="240" w:lineRule="auto"/>
                        <w:ind w:left="1240" w:right="0" w:firstLine="0"/>
                        <w:jc w:val="left"/>
                        <w:rPr>
                          <w:sz w:val="24"/>
                          <w:szCs w:val="24"/>
                        </w:rPr>
                      </w:pPr>
                      <w:r>
                        <w:rPr>
                          <w:color w:val="000000"/>
                          <w:spacing w:val="0"/>
                          <w:w w:val="100"/>
                          <w:position w:val="0"/>
                          <w:sz w:val="24"/>
                          <w:szCs w:val="24"/>
                          <w:u w:val="single"/>
                        </w:rPr>
                        <w:t>15,005</w:t>
                      </w:r>
                      <w:r>
                        <w:rPr>
                          <w:color w:val="000000"/>
                          <w:spacing w:val="0"/>
                          <w:w w:val="100"/>
                          <w:position w:val="0"/>
                          <w:sz w:val="24"/>
                          <w:szCs w:val="24"/>
                        </w:rPr>
                        <w:tab/>
                      </w:r>
                      <w:r>
                        <w:rPr>
                          <w:color w:val="000000"/>
                          <w:spacing w:val="0"/>
                          <w:w w:val="100"/>
                          <w:position w:val="0"/>
                          <w:sz w:val="24"/>
                          <w:szCs w:val="24"/>
                          <w:u w:val="single"/>
                        </w:rPr>
                        <w:t>20,499</w:t>
                      </w:r>
                    </w:p>
                  </w:txbxContent>
                </v:textbox>
                <w10:wrap type="square" anchorx="page" anchory="margin"/>
              </v:shape>
            </w:pict>
          </mc:Fallback>
        </mc:AlternateContent>
      </w:r>
      <w:r>
        <w:rPr>
          <w:color w:val="000000"/>
          <w:spacing w:val="0"/>
          <w:w w:val="100"/>
          <w:position w:val="0"/>
          <w:sz w:val="24"/>
          <w:szCs w:val="24"/>
        </w:rPr>
        <w:t>远期外汇合同的公允价值亏损</w:t>
      </w:r>
    </w:p>
    <w:p>
      <w:pPr>
        <w:pStyle w:val="Style32"/>
        <w:keepNext w:val="0"/>
        <w:keepLines w:val="0"/>
        <w:widowControl w:val="0"/>
        <w:shd w:val="clear" w:color="auto" w:fill="auto"/>
        <w:bidi w:val="0"/>
        <w:spacing w:before="0" w:after="0" w:line="240" w:lineRule="auto"/>
        <w:ind w:left="0" w:right="0" w:firstLine="720"/>
        <w:jc w:val="left"/>
        <w:rPr>
          <w:sz w:val="24"/>
          <w:szCs w:val="24"/>
        </w:rPr>
      </w:pPr>
      <w:r>
        <w:rPr>
          <w:b/>
          <w:bCs/>
          <w:color w:val="000000"/>
          <w:spacing w:val="0"/>
          <w:w w:val="100"/>
          <w:position w:val="0"/>
          <w:sz w:val="24"/>
          <w:szCs w:val="24"/>
        </w:rPr>
        <w:t>财务报表附注</w:t>
      </w:r>
    </w:p>
    <w:p>
      <w:pPr>
        <w:pStyle w:val="Style88"/>
        <w:keepNext/>
        <w:keepLines/>
        <w:widowControl w:val="0"/>
        <w:shd w:val="clear" w:color="auto" w:fill="auto"/>
        <w:bidi w:val="0"/>
        <w:spacing w:before="0" w:after="0" w:line="240" w:lineRule="auto"/>
        <w:ind w:left="0" w:right="0" w:firstLine="720"/>
        <w:jc w:val="left"/>
      </w:pPr>
      <w:bookmarkStart w:id="961" w:name="bookmark961"/>
      <w:bookmarkStart w:id="962" w:name="bookmark962"/>
      <w:bookmarkStart w:id="963" w:name="bookmark963"/>
      <w:r>
        <w:rPr>
          <w:color w:val="000000"/>
          <w:spacing w:val="0"/>
          <w:w w:val="100"/>
          <w:position w:val="0"/>
          <w:sz w:val="24"/>
          <w:szCs w:val="24"/>
        </w:rPr>
        <w:t>2016</w:t>
      </w:r>
      <w:r>
        <w:rPr>
          <w:rFonts w:ascii="SimSun" w:eastAsia="SimSun" w:hAnsi="SimSun" w:cs="SimSun"/>
          <w:b/>
          <w:bCs/>
          <w:color w:val="000000"/>
          <w:spacing w:val="0"/>
          <w:w w:val="100"/>
          <w:position w:val="0"/>
          <w:sz w:val="24"/>
          <w:szCs w:val="24"/>
        </w:rPr>
        <w:t>年度</w:t>
      </w:r>
      <w:bookmarkEnd w:id="961"/>
      <w:bookmarkEnd w:id="962"/>
      <w:bookmarkEnd w:id="963"/>
    </w:p>
    <w:p>
      <w:pPr>
        <w:pStyle w:val="Style32"/>
        <w:keepNext w:val="0"/>
        <w:keepLines w:val="0"/>
        <w:widowControl w:val="0"/>
        <w:shd w:val="clear" w:color="auto" w:fill="auto"/>
        <w:bidi w:val="0"/>
        <w:spacing w:before="0" w:after="260" w:line="240" w:lineRule="auto"/>
        <w:ind w:left="0" w:right="0" w:firstLine="720"/>
        <w:jc w:val="left"/>
        <w:rPr>
          <w:sz w:val="24"/>
          <w:szCs w:val="24"/>
        </w:rPr>
      </w:pPr>
      <w:r>
        <w:rPr>
          <w:rFonts w:ascii="Arial" w:eastAsia="Arial" w:hAnsi="Arial" w:cs="Arial"/>
          <w:color w:val="000000"/>
          <w:spacing w:val="0"/>
          <w:w w:val="100"/>
          <w:position w:val="0"/>
          <w:sz w:val="20"/>
          <w:szCs w:val="20"/>
        </w:rPr>
        <w:t>（</w:t>
      </w:r>
      <w:r>
        <w:rPr>
          <w:color w:val="000000"/>
          <w:spacing w:val="0"/>
          <w:w w:val="100"/>
          <w:position w:val="0"/>
          <w:sz w:val="20"/>
          <w:szCs w:val="20"/>
        </w:rPr>
        <w:t>除特别注明外，金额单位为人民币千元</w:t>
      </w:r>
      <w:r>
        <w:rPr>
          <w:color w:val="000000"/>
          <w:spacing w:val="0"/>
          <w:w w:val="100"/>
          <w:position w:val="0"/>
          <w:sz w:val="24"/>
          <w:szCs w:val="24"/>
        </w:rPr>
        <w:t>）</w:t>
      </w:r>
    </w:p>
    <w:p>
      <w:pPr>
        <w:pStyle w:val="Style32"/>
        <w:keepNext w:val="0"/>
        <w:keepLines w:val="0"/>
        <w:widowControl w:val="0"/>
        <w:shd w:val="clear" w:color="auto" w:fill="auto"/>
        <w:tabs>
          <w:tab w:pos="682" w:val="left"/>
        </w:tabs>
        <w:bidi w:val="0"/>
        <w:spacing w:before="0" w:after="260" w:line="240" w:lineRule="auto"/>
        <w:ind w:left="0" w:right="0" w:firstLine="0"/>
        <w:jc w:val="left"/>
        <w:rPr>
          <w:sz w:val="24"/>
          <w:szCs w:val="24"/>
        </w:rPr>
      </w:pPr>
      <w:r>
        <w:rPr>
          <w:b/>
          <w:bCs/>
          <w:color w:val="000000"/>
          <w:spacing w:val="0"/>
          <w:w w:val="100"/>
          <w:position w:val="0"/>
          <w:sz w:val="24"/>
          <w:szCs w:val="24"/>
        </w:rPr>
        <w:t>四</w:t>
        <w:tab/>
        <w:t>合并财务报表项目附注</w:t>
      </w:r>
      <w:r>
        <w:rPr>
          <w:rFonts w:ascii="Times New Roman" w:eastAsia="Times New Roman" w:hAnsi="Times New Roman" w:cs="Times New Roman"/>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4"/>
          <w:szCs w:val="24"/>
        </w:rPr>
        <w:t>）</w:t>
      </w:r>
    </w:p>
    <w:p>
      <w:pPr>
        <w:pStyle w:val="Style53"/>
        <w:keepNext w:val="0"/>
        <w:keepLines w:val="0"/>
        <w:widowControl w:val="0"/>
        <w:shd w:val="clear" w:color="auto" w:fill="auto"/>
        <w:bidi w:val="0"/>
        <w:spacing w:before="0" w:after="260" w:line="240" w:lineRule="auto"/>
        <w:ind w:left="0" w:right="0" w:firstLine="0"/>
        <w:jc w:val="left"/>
        <w:rPr>
          <w:sz w:val="24"/>
          <w:szCs w:val="24"/>
        </w:rPr>
      </w:pPr>
      <w:r>
        <w:rPr>
          <w:color w:val="000000"/>
          <w:spacing w:val="0"/>
          <w:w w:val="100"/>
          <w:position w:val="0"/>
          <w:sz w:val="24"/>
          <w:szCs w:val="24"/>
        </w:rPr>
        <w:t>（39）</w:t>
      </w:r>
      <w:r>
        <w:rPr>
          <w:rFonts w:ascii="SimSun" w:eastAsia="SimSun" w:hAnsi="SimSun" w:cs="SimSun"/>
          <w:b/>
          <w:bCs/>
          <w:color w:val="000000"/>
          <w:spacing w:val="0"/>
          <w:w w:val="100"/>
          <w:position w:val="0"/>
          <w:sz w:val="24"/>
          <w:szCs w:val="24"/>
        </w:rPr>
        <w:t>股本</w:t>
      </w:r>
    </w:p>
    <w:p>
      <w:pPr>
        <w:pStyle w:val="Style53"/>
        <w:keepNext w:val="0"/>
        <w:keepLines w:val="0"/>
        <w:widowControl w:val="0"/>
        <w:shd w:val="clear" w:color="auto" w:fill="auto"/>
        <w:tabs>
          <w:tab w:leader="underscore" w:pos="8344" w:val="left"/>
          <w:tab w:leader="underscore" w:pos="12115" w:val="left"/>
        </w:tabs>
        <w:bidi w:val="0"/>
        <w:spacing w:before="0" w:after="0" w:line="240" w:lineRule="auto"/>
        <w:ind w:left="3840" w:right="0" w:firstLine="0"/>
        <w:jc w:val="left"/>
        <w:rPr>
          <w:sz w:val="20"/>
          <w:szCs w:val="20"/>
        </w:rPr>
      </w:pPr>
      <w:r>
        <w:rPr>
          <w:color w:val="000000"/>
          <w:spacing w:val="0"/>
          <w:w w:val="100"/>
          <w:position w:val="0"/>
          <w:sz w:val="20"/>
          <w:szCs w:val="20"/>
        </w:rPr>
        <w:t>2015</w:t>
      </w:r>
      <w:r>
        <w:rPr>
          <w:rFonts w:ascii="SimSun" w:eastAsia="SimSun" w:hAnsi="SimSun" w:cs="SimSun"/>
          <w:color w:val="000000"/>
          <w:spacing w:val="0"/>
          <w:w w:val="100"/>
          <w:position w:val="0"/>
          <w:sz w:val="20"/>
          <w:szCs w:val="20"/>
        </w:rPr>
        <w:t>年</w:t>
      </w:r>
      <w:r>
        <w:rPr>
          <w:color w:val="000000"/>
          <w:spacing w:val="0"/>
          <w:w w:val="100"/>
          <w:position w:val="0"/>
          <w:sz w:val="20"/>
          <w:szCs w:val="20"/>
        </w:rPr>
        <w:t>12</w:t>
      </w:r>
      <w:r>
        <w:rPr>
          <w:rFonts w:ascii="SimSun" w:eastAsia="SimSun" w:hAnsi="SimSun" w:cs="SimSun"/>
          <w:color w:val="000000"/>
          <w:spacing w:val="0"/>
          <w:w w:val="100"/>
          <w:position w:val="0"/>
          <w:sz w:val="20"/>
          <w:szCs w:val="20"/>
        </w:rPr>
        <w:t>月</w:t>
      </w:r>
      <w:r>
        <w:rPr>
          <w:color w:val="000000"/>
          <w:spacing w:val="0"/>
          <w:w w:val="100"/>
          <w:position w:val="0"/>
          <w:sz w:val="20"/>
          <w:szCs w:val="20"/>
        </w:rPr>
        <w:t>31</w:t>
      </w:r>
      <w:r>
        <w:rPr>
          <w:rFonts w:ascii="SimSun" w:eastAsia="SimSun" w:hAnsi="SimSun" w:cs="SimSun"/>
          <w:color w:val="000000"/>
          <w:spacing w:val="0"/>
          <w:w w:val="100"/>
          <w:position w:val="0"/>
          <w:sz w:val="20"/>
          <w:szCs w:val="20"/>
        </w:rPr>
        <w:t xml:space="preserve">日 </w:t>
        <w:tab/>
      </w:r>
      <w:r>
        <w:rPr>
          <w:rFonts w:ascii="SimSun" w:eastAsia="SimSun" w:hAnsi="SimSun" w:cs="SimSun"/>
          <w:color w:val="000000"/>
          <w:spacing w:val="0"/>
          <w:w w:val="100"/>
          <w:position w:val="0"/>
          <w:sz w:val="20"/>
          <w:szCs w:val="20"/>
          <w:u w:val="single"/>
        </w:rPr>
        <w:t>本年增减变动</w:t>
      </w:r>
      <w:r>
        <w:rPr>
          <w:rFonts w:ascii="SimSun" w:eastAsia="SimSun" w:hAnsi="SimSun" w:cs="SimSun"/>
          <w:color w:val="000000"/>
          <w:spacing w:val="0"/>
          <w:w w:val="100"/>
          <w:position w:val="0"/>
          <w:sz w:val="20"/>
          <w:szCs w:val="20"/>
        </w:rPr>
        <w:tab/>
        <w:t xml:space="preserve"> </w:t>
      </w:r>
      <w:r>
        <w:rPr>
          <w:color w:val="000000"/>
          <w:spacing w:val="0"/>
          <w:w w:val="100"/>
          <w:position w:val="0"/>
          <w:sz w:val="20"/>
          <w:szCs w:val="20"/>
        </w:rPr>
        <w:t>2016</w:t>
      </w:r>
      <w:r>
        <w:rPr>
          <w:rFonts w:ascii="SimSun" w:eastAsia="SimSun" w:hAnsi="SimSun" w:cs="SimSun"/>
          <w:color w:val="000000"/>
          <w:spacing w:val="0"/>
          <w:w w:val="100"/>
          <w:position w:val="0"/>
          <w:sz w:val="20"/>
          <w:szCs w:val="20"/>
        </w:rPr>
        <w:t>年</w:t>
      </w:r>
      <w:r>
        <w:rPr>
          <w:color w:val="000000"/>
          <w:spacing w:val="0"/>
          <w:w w:val="100"/>
          <w:position w:val="0"/>
          <w:sz w:val="20"/>
          <w:szCs w:val="20"/>
        </w:rPr>
        <w:t>12</w:t>
      </w:r>
      <w:r>
        <w:rPr>
          <w:rFonts w:ascii="SimSun" w:eastAsia="SimSun" w:hAnsi="SimSun" w:cs="SimSun"/>
          <w:color w:val="000000"/>
          <w:spacing w:val="0"/>
          <w:w w:val="100"/>
          <w:position w:val="0"/>
          <w:sz w:val="20"/>
          <w:szCs w:val="20"/>
        </w:rPr>
        <w:t>月</w:t>
      </w:r>
      <w:r>
        <w:rPr>
          <w:color w:val="000000"/>
          <w:spacing w:val="0"/>
          <w:w w:val="100"/>
          <w:position w:val="0"/>
          <w:sz w:val="20"/>
          <w:szCs w:val="20"/>
        </w:rPr>
        <w:t>31</w:t>
      </w:r>
      <w:r>
        <w:rPr>
          <w:rFonts w:ascii="SimSun" w:eastAsia="SimSun" w:hAnsi="SimSun" w:cs="SimSun"/>
          <w:color w:val="000000"/>
          <w:spacing w:val="0"/>
          <w:w w:val="100"/>
          <w:position w:val="0"/>
          <w:sz w:val="20"/>
          <w:szCs w:val="20"/>
        </w:rPr>
        <w:t>日</w:t>
      </w:r>
    </w:p>
    <w:p>
      <w:pPr>
        <w:pStyle w:val="Style32"/>
        <w:keepNext w:val="0"/>
        <w:keepLines w:val="0"/>
        <w:widowControl w:val="0"/>
        <w:shd w:val="clear" w:color="auto" w:fill="auto"/>
        <w:tabs>
          <w:tab w:pos="7371" w:val="left"/>
          <w:tab w:pos="8344" w:val="left"/>
          <w:tab w:pos="10366" w:val="left"/>
          <w:tab w:pos="11653" w:val="left"/>
        </w:tabs>
        <w:bidi w:val="0"/>
        <w:spacing w:before="0" w:after="260" w:line="240" w:lineRule="auto"/>
        <w:ind w:left="5840" w:right="0" w:firstLine="0"/>
        <w:jc w:val="left"/>
        <w:rPr>
          <w:sz w:val="20"/>
          <w:szCs w:val="20"/>
        </w:rPr>
      </w:pPr>
      <w:r>
        <w:rPr>
          <w:color w:val="000000"/>
          <w:spacing w:val="0"/>
          <w:w w:val="100"/>
          <w:position w:val="0"/>
          <w:sz w:val="20"/>
          <w:szCs w:val="20"/>
        </w:rPr>
        <w:t>发行新股</w:t>
        <w:tab/>
        <w:t>送股</w:t>
        <w:tab/>
        <w:t>公积金转股</w:t>
        <w:tab/>
        <w:t>其他</w:t>
        <w:tab/>
        <w:t>小计</w:t>
      </w:r>
    </w:p>
    <w:p>
      <w:pPr>
        <w:pStyle w:val="Style53"/>
        <w:keepNext w:val="0"/>
        <w:keepLines w:val="0"/>
        <w:widowControl w:val="0"/>
        <w:shd w:val="clear" w:color="auto" w:fill="auto"/>
        <w:tabs>
          <w:tab w:pos="3490" w:val="left"/>
          <w:tab w:leader="underscore" w:pos="4622" w:val="left"/>
          <w:tab w:pos="5837" w:val="left"/>
          <w:tab w:leader="underscore" w:pos="7709" w:val="left"/>
          <w:tab w:pos="9408" w:val="left"/>
          <w:tab w:pos="10757" w:val="left"/>
          <w:tab w:leader="underscore" w:pos="13639" w:val="left"/>
        </w:tabs>
        <w:bidi w:val="0"/>
        <w:spacing w:before="0" w:after="260" w:line="240" w:lineRule="auto"/>
        <w:ind w:left="0" w:right="0" w:firstLine="720"/>
        <w:jc w:val="both"/>
        <w:rPr>
          <w:sz w:val="20"/>
          <w:szCs w:val="20"/>
        </w:rPr>
      </w:pPr>
      <w:r>
        <w:rPr>
          <w:rFonts w:ascii="SimSun" w:eastAsia="SimSun" w:hAnsi="SimSun" w:cs="SimSun"/>
          <w:color w:val="000000"/>
          <w:spacing w:val="0"/>
          <w:w w:val="100"/>
          <w:position w:val="0"/>
          <w:sz w:val="20"/>
          <w:szCs w:val="20"/>
        </w:rPr>
        <w:t>人民币普通股⑴</w:t>
        <w:tab/>
        <w:tab/>
      </w:r>
      <w:r>
        <w:rPr>
          <w:color w:val="000000"/>
          <w:spacing w:val="0"/>
          <w:w w:val="100"/>
          <w:position w:val="0"/>
          <w:sz w:val="20"/>
          <w:szCs w:val="20"/>
          <w:u w:val="single"/>
        </w:rPr>
        <w:t>7,383,043</w:t>
        <w:tab/>
        <w:t>1,926,997</w:t>
      </w:r>
      <w:r>
        <w:rPr>
          <w:color w:val="000000"/>
          <w:spacing w:val="0"/>
          <w:w w:val="100"/>
          <w:position w:val="0"/>
          <w:sz w:val="20"/>
          <w:szCs w:val="20"/>
        </w:rPr>
        <w:tab/>
      </w:r>
      <w:r>
        <w:rPr>
          <w:color w:val="000000"/>
          <w:spacing w:val="0"/>
          <w:w w:val="100"/>
          <w:position w:val="0"/>
          <w:sz w:val="20"/>
          <w:szCs w:val="20"/>
          <w:vertAlign w:val="subscript"/>
        </w:rPr>
        <w:t>L</w:t>
        <w:tab/>
        <w:t>L</w:t>
        <w:tab/>
        <w:t>L</w:t>
      </w:r>
      <w:r>
        <w:rPr>
          <w:color w:val="000000"/>
          <w:spacing w:val="0"/>
          <w:w w:val="100"/>
          <w:position w:val="0"/>
          <w:sz w:val="20"/>
          <w:szCs w:val="20"/>
        </w:rPr>
        <w:t xml:space="preserve"> </w:t>
      </w:r>
      <w:r>
        <w:rPr>
          <w:color w:val="000000"/>
          <w:spacing w:val="0"/>
          <w:w w:val="100"/>
          <w:position w:val="0"/>
          <w:sz w:val="20"/>
          <w:szCs w:val="20"/>
          <w:u w:val="single"/>
        </w:rPr>
        <w:t>1,926,997</w:t>
      </w:r>
      <w:r>
        <w:rPr>
          <w:color w:val="000000"/>
          <w:spacing w:val="0"/>
          <w:w w:val="100"/>
          <w:position w:val="0"/>
          <w:sz w:val="20"/>
          <w:szCs w:val="20"/>
        </w:rPr>
        <w:t xml:space="preserve"> </w:t>
        <w:tab/>
      </w:r>
      <w:r>
        <w:rPr>
          <w:color w:val="000000"/>
          <w:spacing w:val="0"/>
          <w:w w:val="100"/>
          <w:position w:val="0"/>
          <w:sz w:val="20"/>
          <w:szCs w:val="20"/>
          <w:u w:val="single"/>
        </w:rPr>
        <w:t>9,310,040</w:t>
      </w:r>
    </w:p>
    <w:p>
      <w:pPr>
        <w:pStyle w:val="Style53"/>
        <w:keepNext w:val="0"/>
        <w:keepLines w:val="0"/>
        <w:widowControl w:val="0"/>
        <w:shd w:val="clear" w:color="auto" w:fill="auto"/>
        <w:tabs>
          <w:tab w:leader="underscore" w:pos="8344" w:val="left"/>
          <w:tab w:leader="underscore" w:pos="12115" w:val="left"/>
        </w:tabs>
        <w:bidi w:val="0"/>
        <w:spacing w:before="0" w:after="0" w:line="240" w:lineRule="auto"/>
        <w:ind w:left="3840" w:right="0" w:firstLine="0"/>
        <w:jc w:val="left"/>
        <w:rPr>
          <w:sz w:val="20"/>
          <w:szCs w:val="20"/>
        </w:rPr>
      </w:pPr>
      <w:r>
        <w:rPr>
          <w:color w:val="000000"/>
          <w:spacing w:val="0"/>
          <w:w w:val="100"/>
          <w:position w:val="0"/>
          <w:sz w:val="20"/>
          <w:szCs w:val="20"/>
        </w:rPr>
        <w:t>2014</w:t>
      </w:r>
      <w:r>
        <w:rPr>
          <w:rFonts w:ascii="SimSun" w:eastAsia="SimSun" w:hAnsi="SimSun" w:cs="SimSun"/>
          <w:color w:val="000000"/>
          <w:spacing w:val="0"/>
          <w:w w:val="100"/>
          <w:position w:val="0"/>
          <w:sz w:val="20"/>
          <w:szCs w:val="20"/>
        </w:rPr>
        <w:t>年</w:t>
      </w:r>
      <w:r>
        <w:rPr>
          <w:color w:val="000000"/>
          <w:spacing w:val="0"/>
          <w:w w:val="100"/>
          <w:position w:val="0"/>
          <w:sz w:val="20"/>
          <w:szCs w:val="20"/>
        </w:rPr>
        <w:t>12</w:t>
      </w:r>
      <w:r>
        <w:rPr>
          <w:rFonts w:ascii="SimSun" w:eastAsia="SimSun" w:hAnsi="SimSun" w:cs="SimSun"/>
          <w:color w:val="000000"/>
          <w:spacing w:val="0"/>
          <w:w w:val="100"/>
          <w:position w:val="0"/>
          <w:sz w:val="20"/>
          <w:szCs w:val="20"/>
        </w:rPr>
        <w:t>月</w:t>
      </w:r>
      <w:r>
        <w:rPr>
          <w:color w:val="000000"/>
          <w:spacing w:val="0"/>
          <w:w w:val="100"/>
          <w:position w:val="0"/>
          <w:sz w:val="20"/>
          <w:szCs w:val="20"/>
        </w:rPr>
        <w:t>31</w:t>
      </w:r>
      <w:r>
        <w:rPr>
          <w:rFonts w:ascii="SimSun" w:eastAsia="SimSun" w:hAnsi="SimSun" w:cs="SimSun"/>
          <w:color w:val="000000"/>
          <w:spacing w:val="0"/>
          <w:w w:val="100"/>
          <w:position w:val="0"/>
          <w:sz w:val="20"/>
          <w:szCs w:val="20"/>
        </w:rPr>
        <w:t xml:space="preserve">日 </w:t>
        <w:tab/>
      </w:r>
      <w:r>
        <w:rPr>
          <w:rFonts w:ascii="SimSun" w:eastAsia="SimSun" w:hAnsi="SimSun" w:cs="SimSun"/>
          <w:color w:val="000000"/>
          <w:spacing w:val="0"/>
          <w:w w:val="100"/>
          <w:position w:val="0"/>
          <w:sz w:val="20"/>
          <w:szCs w:val="20"/>
          <w:u w:val="single"/>
        </w:rPr>
        <w:t>本年增减变动</w:t>
      </w:r>
      <w:r>
        <w:rPr>
          <w:rFonts w:ascii="SimSun" w:eastAsia="SimSun" w:hAnsi="SimSun" w:cs="SimSun"/>
          <w:color w:val="000000"/>
          <w:spacing w:val="0"/>
          <w:w w:val="100"/>
          <w:position w:val="0"/>
          <w:sz w:val="20"/>
          <w:szCs w:val="20"/>
        </w:rPr>
        <w:tab/>
        <w:t xml:space="preserve"> </w:t>
      </w:r>
      <w:r>
        <w:rPr>
          <w:color w:val="000000"/>
          <w:spacing w:val="0"/>
          <w:w w:val="100"/>
          <w:position w:val="0"/>
          <w:sz w:val="20"/>
          <w:szCs w:val="20"/>
        </w:rPr>
        <w:t>2015</w:t>
      </w:r>
      <w:r>
        <w:rPr>
          <w:rFonts w:ascii="SimSun" w:eastAsia="SimSun" w:hAnsi="SimSun" w:cs="SimSun"/>
          <w:color w:val="000000"/>
          <w:spacing w:val="0"/>
          <w:w w:val="100"/>
          <w:position w:val="0"/>
          <w:sz w:val="20"/>
          <w:szCs w:val="20"/>
        </w:rPr>
        <w:t>年</w:t>
      </w:r>
      <w:r>
        <w:rPr>
          <w:color w:val="000000"/>
          <w:spacing w:val="0"/>
          <w:w w:val="100"/>
          <w:position w:val="0"/>
          <w:sz w:val="20"/>
          <w:szCs w:val="20"/>
        </w:rPr>
        <w:t>12</w:t>
      </w:r>
      <w:r>
        <w:rPr>
          <w:rFonts w:ascii="SimSun" w:eastAsia="SimSun" w:hAnsi="SimSun" w:cs="SimSun"/>
          <w:color w:val="000000"/>
          <w:spacing w:val="0"/>
          <w:w w:val="100"/>
          <w:position w:val="0"/>
          <w:sz w:val="20"/>
          <w:szCs w:val="20"/>
        </w:rPr>
        <w:t>月</w:t>
      </w:r>
      <w:r>
        <w:rPr>
          <w:color w:val="000000"/>
          <w:spacing w:val="0"/>
          <w:w w:val="100"/>
          <w:position w:val="0"/>
          <w:sz w:val="20"/>
          <w:szCs w:val="20"/>
        </w:rPr>
        <w:t>31</w:t>
      </w:r>
      <w:r>
        <w:rPr>
          <w:rFonts w:ascii="SimSun" w:eastAsia="SimSun" w:hAnsi="SimSun" w:cs="SimSun"/>
          <w:color w:val="000000"/>
          <w:spacing w:val="0"/>
          <w:w w:val="100"/>
          <w:position w:val="0"/>
          <w:sz w:val="20"/>
          <w:szCs w:val="20"/>
        </w:rPr>
        <w:t>日</w:t>
      </w:r>
    </w:p>
    <w:p>
      <w:pPr>
        <w:pStyle w:val="Style32"/>
        <w:keepNext w:val="0"/>
        <w:keepLines w:val="0"/>
        <w:widowControl w:val="0"/>
        <w:shd w:val="clear" w:color="auto" w:fill="auto"/>
        <w:tabs>
          <w:tab w:pos="7371" w:val="left"/>
          <w:tab w:pos="8344" w:val="left"/>
          <w:tab w:pos="10366" w:val="left"/>
          <w:tab w:pos="11653" w:val="left"/>
        </w:tabs>
        <w:bidi w:val="0"/>
        <w:spacing w:before="0" w:after="260" w:line="240" w:lineRule="auto"/>
        <w:ind w:left="5840" w:right="0" w:firstLine="0"/>
        <w:jc w:val="left"/>
        <w:rPr>
          <w:sz w:val="20"/>
          <w:szCs w:val="20"/>
        </w:rPr>
      </w:pPr>
      <w:r>
        <w:rPr>
          <w:color w:val="000000"/>
          <w:spacing w:val="0"/>
          <w:w w:val="100"/>
          <w:position w:val="0"/>
          <w:sz w:val="20"/>
          <w:szCs w:val="20"/>
        </w:rPr>
        <w:t>发行新股</w:t>
        <w:tab/>
        <w:t>送股</w:t>
        <w:tab/>
        <w:t>公积金转股</w:t>
        <w:tab/>
        <w:t>其他</w:t>
        <w:tab/>
        <w:t>小计</w:t>
      </w:r>
    </w:p>
    <w:p>
      <w:pPr>
        <w:pStyle w:val="Style53"/>
        <w:keepNext w:val="0"/>
        <w:keepLines w:val="0"/>
        <w:widowControl w:val="0"/>
        <w:shd w:val="clear" w:color="auto" w:fill="auto"/>
        <w:tabs>
          <w:tab w:pos="3490" w:val="left"/>
          <w:tab w:leader="underscore" w:pos="4622" w:val="left"/>
          <w:tab w:leader="underscore" w:pos="6576" w:val="left"/>
          <w:tab w:leader="underscore" w:pos="7709" w:val="left"/>
          <w:tab w:pos="9408" w:val="left"/>
          <w:tab w:pos="10757" w:val="left"/>
          <w:tab w:pos="12115" w:val="left"/>
          <w:tab w:leader="underscore" w:pos="13639" w:val="left"/>
        </w:tabs>
        <w:bidi w:val="0"/>
        <w:spacing w:before="0" w:after="260" w:line="240" w:lineRule="auto"/>
        <w:ind w:left="0" w:right="0" w:firstLine="720"/>
        <w:jc w:val="both"/>
        <w:rPr>
          <w:sz w:val="20"/>
          <w:szCs w:val="20"/>
        </w:rPr>
      </w:pPr>
      <w:r>
        <w:rPr>
          <w:rFonts w:ascii="SimSun" w:eastAsia="SimSun" w:hAnsi="SimSun" w:cs="SimSun"/>
          <w:color w:val="000000"/>
          <w:spacing w:val="0"/>
          <w:w w:val="100"/>
          <w:position w:val="0"/>
          <w:sz w:val="20"/>
          <w:szCs w:val="20"/>
        </w:rPr>
        <w:t>人民币普通股</w:t>
        <w:tab/>
        <w:tab/>
      </w:r>
      <w:r>
        <w:rPr>
          <w:color w:val="000000"/>
          <w:spacing w:val="0"/>
          <w:w w:val="100"/>
          <w:position w:val="0"/>
          <w:sz w:val="20"/>
          <w:szCs w:val="20"/>
          <w:u w:val="single"/>
        </w:rPr>
        <w:t>7,383,043</w:t>
      </w:r>
      <w:r>
        <w:rPr>
          <w:color w:val="000000"/>
          <w:spacing w:val="0"/>
          <w:w w:val="100"/>
          <w:position w:val="0"/>
          <w:sz w:val="20"/>
          <w:szCs w:val="20"/>
        </w:rPr>
        <w:tab/>
      </w:r>
      <w:r>
        <w:rPr>
          <w:color w:val="000000"/>
          <w:spacing w:val="0"/>
          <w:w w:val="100"/>
          <w:position w:val="0"/>
          <w:sz w:val="20"/>
          <w:szCs w:val="20"/>
          <w:vertAlign w:val="subscript"/>
        </w:rPr>
        <w:t>L</w:t>
      </w:r>
      <w:r>
        <w:rPr>
          <w:color w:val="000000"/>
          <w:spacing w:val="0"/>
          <w:w w:val="100"/>
          <w:position w:val="0"/>
          <w:sz w:val="20"/>
          <w:szCs w:val="20"/>
        </w:rPr>
        <w:t>-</w:t>
      </w:r>
      <w:r>
        <w:rPr>
          <w:color w:val="000000"/>
          <w:spacing w:val="0"/>
          <w:w w:val="100"/>
          <w:position w:val="0"/>
          <w:sz w:val="20"/>
          <w:szCs w:val="20"/>
        </w:rPr>
        <w:tab/>
      </w:r>
      <w:r>
        <w:rPr>
          <w:color w:val="000000"/>
          <w:spacing w:val="0"/>
          <w:w w:val="100"/>
          <w:position w:val="0"/>
          <w:sz w:val="20"/>
          <w:szCs w:val="20"/>
          <w:vertAlign w:val="subscript"/>
        </w:rPr>
        <w:t>L</w:t>
        <w:tab/>
        <w:t>L</w:t>
        <w:tab/>
        <w:t>L</w:t>
        <w:tab/>
        <w:t>L</w:t>
      </w:r>
      <w:r>
        <w:rPr>
          <w:color w:val="000000"/>
          <w:spacing w:val="0"/>
          <w:w w:val="100"/>
          <w:position w:val="0"/>
          <w:sz w:val="20"/>
          <w:szCs w:val="20"/>
        </w:rPr>
        <w:t xml:space="preserve"> </w:t>
        <w:tab/>
      </w:r>
      <w:r>
        <w:rPr>
          <w:color w:val="000000"/>
          <w:spacing w:val="0"/>
          <w:w w:val="100"/>
          <w:position w:val="0"/>
          <w:sz w:val="20"/>
          <w:szCs w:val="20"/>
          <w:u w:val="single"/>
        </w:rPr>
        <w:t>7,383,043</w:t>
      </w:r>
    </w:p>
    <w:p>
      <w:pPr>
        <w:pStyle w:val="Style32"/>
        <w:keepNext w:val="0"/>
        <w:keepLines w:val="0"/>
        <w:widowControl w:val="0"/>
        <w:shd w:val="clear" w:color="auto" w:fill="auto"/>
        <w:bidi w:val="0"/>
        <w:spacing w:before="0" w:after="0" w:line="240" w:lineRule="auto"/>
        <w:ind w:left="0" w:right="0" w:firstLine="720"/>
        <w:jc w:val="left"/>
        <w:rPr>
          <w:sz w:val="24"/>
          <w:szCs w:val="24"/>
        </w:rPr>
      </w:pPr>
      <w:r>
        <w:rPr>
          <w:color w:val="000000"/>
          <w:spacing w:val="0"/>
          <w:w w:val="100"/>
          <w:position w:val="0"/>
          <w:sz w:val="24"/>
          <w:szCs w:val="24"/>
        </w:rPr>
        <w:t>⑴ 于</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月，本公司非公开发行人民币普通股</w:t>
      </w:r>
      <w:r>
        <w:rPr>
          <w:rFonts w:ascii="Times New Roman" w:eastAsia="Times New Roman" w:hAnsi="Times New Roman" w:cs="Times New Roman"/>
          <w:color w:val="000000"/>
          <w:spacing w:val="0"/>
          <w:w w:val="100"/>
          <w:position w:val="0"/>
          <w:sz w:val="24"/>
          <w:szCs w:val="24"/>
        </w:rPr>
        <w:t>（A</w:t>
      </w:r>
      <w:r>
        <w:rPr>
          <w:color w:val="000000"/>
          <w:spacing w:val="0"/>
          <w:w w:val="100"/>
          <w:position w:val="0"/>
          <w:sz w:val="24"/>
          <w:szCs w:val="24"/>
        </w:rPr>
        <w:t>股</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1,926,996,505</w:t>
      </w:r>
      <w:r>
        <w:rPr>
          <w:color w:val="000000"/>
          <w:spacing w:val="0"/>
          <w:w w:val="100"/>
          <w:position w:val="0"/>
          <w:sz w:val="24"/>
          <w:szCs w:val="24"/>
        </w:rPr>
        <w:t>股，每股面值人民币</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元，发行价格为每股人民币</w:t>
      </w:r>
      <w:r>
        <w:rPr>
          <w:rFonts w:ascii="Times New Roman" w:eastAsia="Times New Roman" w:hAnsi="Times New Roman" w:cs="Times New Roman"/>
          <w:color w:val="000000"/>
          <w:spacing w:val="0"/>
          <w:w w:val="100"/>
          <w:position w:val="0"/>
          <w:sz w:val="24"/>
          <w:szCs w:val="24"/>
        </w:rPr>
        <w:t>15.17</w:t>
      </w:r>
    </w:p>
    <w:p>
      <w:pPr>
        <w:pStyle w:val="Style28"/>
        <w:keepNext w:val="0"/>
        <w:keepLines w:val="0"/>
        <w:widowControl w:val="0"/>
        <w:shd w:val="clear" w:color="auto" w:fill="auto"/>
        <w:bidi w:val="0"/>
        <w:spacing w:before="0" w:after="260" w:line="240" w:lineRule="auto"/>
        <w:ind w:left="1180" w:right="0" w:firstLine="0"/>
        <w:jc w:val="left"/>
        <w:rPr>
          <w:sz w:val="24"/>
          <w:szCs w:val="24"/>
        </w:rPr>
        <w:sectPr>
          <w:headerReference w:type="default" r:id="rId159"/>
          <w:footerReference w:type="default" r:id="rId160"/>
          <w:headerReference w:type="even" r:id="rId161"/>
          <w:footerReference w:type="even" r:id="rId162"/>
          <w:footnotePr>
            <w:pos w:val="pageBottom"/>
            <w:numFmt w:val="decimal"/>
            <w:numRestart w:val="continuous"/>
          </w:footnotePr>
          <w:pgSz w:w="16840" w:h="11900" w:orient="landscape"/>
          <w:pgMar w:top="1350" w:right="889" w:bottom="1350" w:left="1422" w:header="0" w:footer="3" w:gutter="0"/>
          <w:cols w:space="720"/>
          <w:noEndnote/>
          <w:rtlGutter w:val="0"/>
          <w:docGrid w:linePitch="360"/>
        </w:sectPr>
      </w:pPr>
      <w:r>
        <w:rPr>
          <w:i/>
          <w:iCs/>
          <w:color w:val="000000"/>
          <w:spacing w:val="0"/>
          <w:w w:val="100"/>
          <w:position w:val="0"/>
          <w:sz w:val="20"/>
          <w:szCs w:val="20"/>
        </w:rPr>
        <w:t>元</w:t>
      </w:r>
      <w:r>
        <w:rPr>
          <w:color w:val="000000"/>
          <w:spacing w:val="0"/>
          <w:w w:val="100"/>
          <w:position w:val="0"/>
          <w:sz w:val="24"/>
          <w:szCs w:val="24"/>
        </w:rPr>
        <w:t>元</w:t>
      </w:r>
      <w:r>
        <w:rPr>
          <w:rFonts w:ascii="Arial" w:eastAsia="Arial" w:hAnsi="Arial" w:cs="Arial"/>
          <w:color w:val="000000"/>
          <w:spacing w:val="0"/>
          <w:w w:val="100"/>
          <w:position w:val="0"/>
          <w:sz w:val="24"/>
          <w:szCs w:val="24"/>
        </w:rPr>
        <w:t>O</w:t>
      </w:r>
    </w:p>
    <w:p>
      <w:pPr>
        <w:pStyle w:val="Style32"/>
        <w:keepNext w:val="0"/>
        <w:keepLines w:val="0"/>
        <w:widowControl w:val="0"/>
        <w:shd w:val="clear" w:color="auto" w:fill="auto"/>
        <w:bidi w:val="0"/>
        <w:spacing w:before="0" w:after="0" w:line="288" w:lineRule="exact"/>
        <w:ind w:left="720" w:right="0" w:firstLine="0"/>
        <w:jc w:val="both"/>
        <w:rPr>
          <w:sz w:val="24"/>
          <w:szCs w:val="24"/>
        </w:rPr>
      </w:pPr>
      <w:r>
        <w:rPr>
          <w:b/>
          <w:bCs/>
          <w:color w:val="000000"/>
          <w:spacing w:val="0"/>
          <w:w w:val="100"/>
          <w:position w:val="0"/>
          <w:sz w:val="24"/>
          <w:szCs w:val="24"/>
        </w:rPr>
        <w:t xml:space="preserve">财务报表附注 </w:t>
      </w:r>
      <w:r>
        <w:rPr>
          <w:rFonts w:ascii="Arial" w:eastAsia="Arial" w:hAnsi="Arial" w:cs="Arial"/>
          <w:color w:val="000000"/>
          <w:spacing w:val="0"/>
          <w:w w:val="100"/>
          <w:position w:val="0"/>
          <w:sz w:val="24"/>
          <w:szCs w:val="24"/>
        </w:rPr>
        <w:t>2016</w:t>
      </w:r>
      <w:r>
        <w:rPr>
          <w:b/>
          <w:bCs/>
          <w:color w:val="000000"/>
          <w:spacing w:val="0"/>
          <w:w w:val="100"/>
          <w:position w:val="0"/>
          <w:sz w:val="24"/>
          <w:szCs w:val="24"/>
        </w:rPr>
        <w:t>年度</w:t>
      </w:r>
    </w:p>
    <w:p>
      <w:pPr>
        <w:pStyle w:val="Style32"/>
        <w:keepNext w:val="0"/>
        <w:keepLines w:val="0"/>
        <w:widowControl w:val="0"/>
        <w:shd w:val="clear" w:color="auto" w:fill="auto"/>
        <w:bidi w:val="0"/>
        <w:spacing w:before="0" w:after="260" w:line="240" w:lineRule="auto"/>
        <w:ind w:left="0" w:right="0" w:firstLine="720"/>
        <w:jc w:val="left"/>
        <w:rPr>
          <w:sz w:val="20"/>
          <w:szCs w:val="20"/>
        </w:rPr>
      </w:pPr>
      <w:r>
        <w:rPr>
          <w:rFonts w:ascii="Arial" w:eastAsia="Arial" w:hAnsi="Arial" w:cs="Arial"/>
          <w:color w:val="000000"/>
          <w:spacing w:val="0"/>
          <w:w w:val="100"/>
          <w:position w:val="0"/>
          <w:sz w:val="20"/>
          <w:szCs w:val="20"/>
        </w:rPr>
        <w:t>(</w:t>
      </w:r>
      <w:r>
        <w:rPr>
          <w:color w:val="000000"/>
          <w:spacing w:val="0"/>
          <w:w w:val="100"/>
          <w:position w:val="0"/>
          <w:sz w:val="20"/>
          <w:szCs w:val="20"/>
        </w:rPr>
        <w:t>除特别注明外，金额单位为人民币千元</w:t>
      </w:r>
      <w:r>
        <w:rPr>
          <w:rFonts w:ascii="Arial" w:eastAsia="Arial" w:hAnsi="Arial" w:cs="Arial"/>
          <w:color w:val="000000"/>
          <w:spacing w:val="0"/>
          <w:w w:val="100"/>
          <w:position w:val="0"/>
          <w:sz w:val="20"/>
          <w:szCs w:val="20"/>
        </w:rPr>
        <w:t>)</w:t>
      </w:r>
    </w:p>
    <w:p>
      <w:pPr>
        <w:pStyle w:val="Style32"/>
        <w:keepNext w:val="0"/>
        <w:keepLines w:val="0"/>
        <w:widowControl w:val="0"/>
        <w:shd w:val="clear" w:color="auto" w:fill="auto"/>
        <w:tabs>
          <w:tab w:pos="709" w:val="left"/>
        </w:tabs>
        <w:bidi w:val="0"/>
        <w:spacing w:before="0" w:after="260" w:line="240" w:lineRule="auto"/>
        <w:ind w:left="0" w:right="0" w:firstLine="0"/>
        <w:jc w:val="left"/>
        <w:rPr>
          <w:sz w:val="24"/>
          <w:szCs w:val="24"/>
        </w:rPr>
      </w:pPr>
      <w:r>
        <w:rPr>
          <w:b/>
          <w:bCs/>
          <w:color w:val="000000"/>
          <w:spacing w:val="0"/>
          <w:w w:val="100"/>
          <w:position w:val="0"/>
          <w:sz w:val="24"/>
          <w:szCs w:val="24"/>
        </w:rPr>
        <w:t>四</w:t>
        <w:tab/>
        <w:t>合并财务报表项目附注</w:t>
      </w:r>
      <w:r>
        <w:rPr>
          <w:rFonts w:ascii="Times New Roman" w:eastAsia="Times New Roman" w:hAnsi="Times New Roman" w:cs="Times New Roman"/>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4"/>
          <w:szCs w:val="24"/>
        </w:rPr>
        <w:t>)</w:t>
      </w:r>
    </w:p>
    <w:p>
      <w:pPr>
        <w:pStyle w:val="Style53"/>
        <w:keepNext w:val="0"/>
        <w:keepLines w:val="0"/>
        <w:widowControl w:val="0"/>
        <w:shd w:val="clear" w:color="auto" w:fill="auto"/>
        <w:bidi w:val="0"/>
        <w:spacing w:before="0" w:after="260" w:line="240" w:lineRule="auto"/>
        <w:ind w:left="0" w:right="0" w:firstLine="0"/>
        <w:jc w:val="left"/>
        <w:rPr>
          <w:sz w:val="24"/>
          <w:szCs w:val="24"/>
        </w:rPr>
      </w:pPr>
      <w:r>
        <w:rPr>
          <w:color w:val="000000"/>
          <w:spacing w:val="0"/>
          <w:w w:val="100"/>
          <w:position w:val="0"/>
          <w:sz w:val="24"/>
          <w:szCs w:val="24"/>
        </w:rPr>
        <w:t xml:space="preserve">(40) </w:t>
      </w:r>
      <w:r>
        <w:rPr>
          <w:rFonts w:ascii="SimSun" w:eastAsia="SimSun" w:hAnsi="SimSun" w:cs="SimSun"/>
          <w:b/>
          <w:bCs/>
          <w:color w:val="000000"/>
          <w:spacing w:val="0"/>
          <w:w w:val="100"/>
          <w:position w:val="0"/>
          <w:sz w:val="24"/>
          <w:szCs w:val="24"/>
        </w:rPr>
        <w:t>资本公积</w:t>
      </w:r>
    </w:p>
    <w:tbl>
      <w:tblPr>
        <w:tblOverlap w:val="never"/>
        <w:jc w:val="right"/>
        <w:tblLayout w:type="fixed"/>
      </w:tblPr>
      <w:tblGrid>
        <w:gridCol w:w="2098"/>
        <w:gridCol w:w="1978"/>
        <w:gridCol w:w="1454"/>
        <w:gridCol w:w="1392"/>
        <w:gridCol w:w="1248"/>
      </w:tblGrid>
      <w:tr>
        <w:trPr>
          <w:trHeight w:val="672"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106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2015 </w:t>
            </w:r>
            <w:r>
              <w:rPr>
                <w:color w:val="000000"/>
                <w:spacing w:val="0"/>
                <w:w w:val="100"/>
                <w:position w:val="0"/>
                <w:sz w:val="20"/>
                <w:szCs w:val="20"/>
              </w:rPr>
              <w:t>年</w:t>
            </w:r>
          </w:p>
          <w:p>
            <w:pPr>
              <w:pStyle w:val="Style28"/>
              <w:keepNext w:val="0"/>
              <w:keepLines w:val="0"/>
              <w:widowControl w:val="0"/>
              <w:shd w:val="clear" w:color="auto" w:fill="auto"/>
              <w:bidi w:val="0"/>
              <w:spacing w:before="0" w:after="0" w:line="240" w:lineRule="auto"/>
              <w:ind w:left="0" w:right="0" w:firstLine="780"/>
              <w:jc w:val="left"/>
              <w:rPr>
                <w:sz w:val="20"/>
                <w:szCs w:val="20"/>
              </w:rPr>
            </w:pP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本年增加</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本年减少</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 xml:space="preserve">2016 </w:t>
            </w:r>
            <w:r>
              <w:rPr>
                <w:color w:val="000000"/>
                <w:spacing w:val="0"/>
                <w:w w:val="100"/>
                <w:position w:val="0"/>
                <w:sz w:val="20"/>
                <w:szCs w:val="20"/>
              </w:rPr>
              <w:t>年</w:t>
            </w:r>
          </w:p>
          <w:p>
            <w:pPr>
              <w:pStyle w:val="Style28"/>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w:t>
            </w:r>
          </w:p>
        </w:tc>
      </w:tr>
      <w:tr>
        <w:trPr>
          <w:trHeight w:val="418"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股本溢价</w:t>
            </w:r>
            <w:r>
              <w:rPr>
                <w:rFonts w:ascii="Times New Roman" w:eastAsia="Times New Roman" w:hAnsi="Times New Roman" w:cs="Times New Roman"/>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a)(b)</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20"/>
              <w:jc w:val="both"/>
              <w:rPr>
                <w:sz w:val="20"/>
                <w:szCs w:val="20"/>
              </w:rPr>
            </w:pPr>
            <w:r>
              <w:rPr>
                <w:rFonts w:ascii="Times New Roman" w:eastAsia="Times New Roman" w:hAnsi="Times New Roman" w:cs="Times New Roman"/>
                <w:color w:val="000000"/>
                <w:spacing w:val="0"/>
                <w:w w:val="100"/>
                <w:position w:val="0"/>
                <w:sz w:val="20"/>
                <w:szCs w:val="20"/>
              </w:rPr>
              <w:t>5,095,377</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30,597,617</w:t>
            </w:r>
          </w:p>
        </w:tc>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35,692,994</w:t>
            </w:r>
          </w:p>
        </w:tc>
      </w:tr>
      <w:tr>
        <w:trPr>
          <w:trHeight w:val="274"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其他资本公积</w:t>
            </w: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59"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其他</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060" w:right="0" w:firstLine="0"/>
              <w:jc w:val="both"/>
              <w:rPr>
                <w:sz w:val="20"/>
                <w:szCs w:val="20"/>
              </w:rPr>
            </w:pPr>
            <w:r>
              <w:rPr>
                <w:rFonts w:ascii="Times New Roman" w:eastAsia="Times New Roman" w:hAnsi="Times New Roman" w:cs="Times New Roman"/>
                <w:color w:val="000000"/>
                <w:spacing w:val="0"/>
                <w:w w:val="100"/>
                <w:position w:val="0"/>
                <w:sz w:val="20"/>
                <w:szCs w:val="20"/>
              </w:rPr>
              <w:t>142,363</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108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280" w:firstLine="0"/>
              <w:jc w:val="right"/>
              <w:rPr>
                <w:sz w:val="20"/>
                <w:szCs w:val="20"/>
              </w:rPr>
            </w:pPr>
            <w:r>
              <w:rPr>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142,363</w:t>
            </w:r>
          </w:p>
        </w:tc>
      </w:tr>
      <w:tr>
        <w:trPr>
          <w:trHeight w:val="293" w:hRule="exact"/>
        </w:trPr>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20"/>
              <w:jc w:val="both"/>
              <w:rPr>
                <w:sz w:val="20"/>
                <w:szCs w:val="20"/>
              </w:rPr>
            </w:pPr>
            <w:r>
              <w:rPr>
                <w:rFonts w:ascii="Times New Roman" w:eastAsia="Times New Roman" w:hAnsi="Times New Roman" w:cs="Times New Roman"/>
                <w:color w:val="000000"/>
                <w:spacing w:val="0"/>
                <w:w w:val="100"/>
                <w:position w:val="0"/>
                <w:sz w:val="20"/>
                <w:szCs w:val="20"/>
              </w:rPr>
              <w:t>5,237,740</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30,597,617</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28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35,835,357</w:t>
            </w:r>
          </w:p>
        </w:tc>
      </w:tr>
      <w:tr>
        <w:trPr>
          <w:trHeight w:val="552" w:hRule="exact"/>
        </w:trPr>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06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2014 </w:t>
            </w:r>
            <w:r>
              <w:rPr>
                <w:color w:val="000000"/>
                <w:spacing w:val="0"/>
                <w:w w:val="100"/>
                <w:position w:val="0"/>
                <w:sz w:val="20"/>
                <w:szCs w:val="20"/>
              </w:rPr>
              <w:t>年</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 xml:space="preserve">2015 </w:t>
            </w:r>
            <w:r>
              <w:rPr>
                <w:color w:val="000000"/>
                <w:spacing w:val="0"/>
                <w:w w:val="100"/>
                <w:position w:val="0"/>
                <w:sz w:val="20"/>
                <w:szCs w:val="20"/>
              </w:rPr>
              <w:t>年</w:t>
            </w:r>
          </w:p>
        </w:tc>
      </w:tr>
      <w:tr>
        <w:trPr>
          <w:trHeight w:val="408"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80"/>
              <w:jc w:val="left"/>
              <w:rPr>
                <w:sz w:val="20"/>
                <w:szCs w:val="20"/>
              </w:rPr>
            </w:pP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本年增加</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本年减少</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w:t>
            </w:r>
          </w:p>
        </w:tc>
      </w:tr>
      <w:tr>
        <w:trPr>
          <w:trHeight w:val="398"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股本溢价</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20"/>
              <w:jc w:val="both"/>
              <w:rPr>
                <w:sz w:val="20"/>
                <w:szCs w:val="20"/>
              </w:rPr>
            </w:pPr>
            <w:r>
              <w:rPr>
                <w:rFonts w:ascii="Times New Roman" w:eastAsia="Times New Roman" w:hAnsi="Times New Roman" w:cs="Times New Roman"/>
                <w:color w:val="000000"/>
                <w:spacing w:val="0"/>
                <w:w w:val="100"/>
                <w:position w:val="0"/>
                <w:sz w:val="20"/>
                <w:szCs w:val="20"/>
              </w:rPr>
              <w:t>4,537,204</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558,173</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280" w:firstLine="0"/>
              <w:jc w:val="right"/>
              <w:rPr>
                <w:sz w:val="20"/>
                <w:szCs w:val="20"/>
              </w:rPr>
            </w:pPr>
            <w:r>
              <w:rPr>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5,095,377</w:t>
            </w:r>
          </w:p>
        </w:tc>
      </w:tr>
      <w:tr>
        <w:trPr>
          <w:trHeight w:val="259"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其他资本公积</w:t>
            </w: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54"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其他</w:t>
            </w:r>
            <w:r>
              <w:rPr>
                <w:rFonts w:ascii="Times New Roman" w:eastAsia="Times New Roman" w:hAnsi="Times New Roman" w:cs="Times New Roman"/>
                <w:color w:val="000000"/>
                <w:spacing w:val="0"/>
                <w:w w:val="100"/>
                <w:position w:val="0"/>
                <w:sz w:val="20"/>
                <w:szCs w:val="20"/>
              </w:rPr>
              <w:t>(c)</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060" w:right="0" w:firstLine="0"/>
              <w:jc w:val="both"/>
              <w:rPr>
                <w:sz w:val="20"/>
                <w:szCs w:val="20"/>
              </w:rPr>
            </w:pPr>
            <w:r>
              <w:rPr>
                <w:rFonts w:ascii="Times New Roman" w:eastAsia="Times New Roman" w:hAnsi="Times New Roman" w:cs="Times New Roman"/>
                <w:color w:val="000000"/>
                <w:spacing w:val="0"/>
                <w:w w:val="100"/>
                <w:position w:val="0"/>
                <w:sz w:val="20"/>
                <w:szCs w:val="20"/>
              </w:rPr>
              <w:t>142,363</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08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28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142,363</w:t>
            </w:r>
          </w:p>
        </w:tc>
      </w:tr>
      <w:tr>
        <w:trPr>
          <w:trHeight w:val="307" w:hRule="exact"/>
        </w:trPr>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20"/>
              <w:jc w:val="both"/>
              <w:rPr>
                <w:sz w:val="20"/>
                <w:szCs w:val="20"/>
              </w:rPr>
            </w:pPr>
            <w:r>
              <w:rPr>
                <w:rFonts w:ascii="Times New Roman" w:eastAsia="Times New Roman" w:hAnsi="Times New Roman" w:cs="Times New Roman"/>
                <w:color w:val="000000"/>
                <w:spacing w:val="0"/>
                <w:w w:val="100"/>
                <w:position w:val="0"/>
                <w:sz w:val="20"/>
                <w:szCs w:val="20"/>
              </w:rPr>
              <w:t>4,679,567</w:t>
            </w:r>
          </w:p>
        </w:tc>
        <w:tc>
          <w:tcPr>
            <w:tcBorders>
              <w:top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558,173</w:t>
            </w:r>
          </w:p>
        </w:tc>
        <w:tc>
          <w:tcPr>
            <w:tcBorders>
              <w:top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28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5,237,740</w:t>
            </w:r>
          </w:p>
        </w:tc>
      </w:tr>
    </w:tbl>
    <w:p>
      <w:pPr>
        <w:widowControl w:val="0"/>
        <w:spacing w:after="259" w:line="1" w:lineRule="exact"/>
      </w:pPr>
    </w:p>
    <w:p>
      <w:pPr>
        <w:pStyle w:val="Style32"/>
        <w:keepNext w:val="0"/>
        <w:keepLines w:val="0"/>
        <w:widowControl w:val="0"/>
        <w:numPr>
          <w:ilvl w:val="0"/>
          <w:numId w:val="81"/>
        </w:numPr>
        <w:shd w:val="clear" w:color="auto" w:fill="auto"/>
        <w:tabs>
          <w:tab w:pos="709" w:val="left"/>
        </w:tabs>
        <w:bidi w:val="0"/>
        <w:spacing w:before="0" w:after="260" w:line="312" w:lineRule="exact"/>
        <w:ind w:left="720" w:right="0" w:hanging="720"/>
        <w:jc w:val="both"/>
        <w:rPr>
          <w:sz w:val="24"/>
          <w:szCs w:val="24"/>
        </w:rPr>
      </w:pPr>
      <w:bookmarkStart w:id="964" w:name="bookmark964"/>
      <w:bookmarkEnd w:id="964"/>
      <w:r>
        <w:rPr>
          <w:color w:val="000000"/>
          <w:spacing w:val="0"/>
          <w:w w:val="100"/>
          <w:position w:val="0"/>
          <w:sz w:val="24"/>
          <w:szCs w:val="24"/>
        </w:rPr>
        <w:t>于</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月，本公司非公开发行人民币普通股</w:t>
      </w:r>
      <w:r>
        <w:rPr>
          <w:rFonts w:ascii="Times New Roman" w:eastAsia="Times New Roman" w:hAnsi="Times New Roman" w:cs="Times New Roman"/>
          <w:color w:val="000000"/>
          <w:spacing w:val="0"/>
          <w:w w:val="100"/>
          <w:position w:val="0"/>
          <w:sz w:val="24"/>
          <w:szCs w:val="24"/>
        </w:rPr>
        <w:t>(A</w:t>
      </w:r>
      <w:r>
        <w:rPr>
          <w:color w:val="000000"/>
          <w:spacing w:val="0"/>
          <w:w w:val="100"/>
          <w:position w:val="0"/>
          <w:sz w:val="24"/>
          <w:szCs w:val="24"/>
        </w:rPr>
        <w:t>股</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1,926,996,505</w:t>
      </w:r>
      <w:r>
        <w:rPr>
          <w:color w:val="000000"/>
          <w:spacing w:val="0"/>
          <w:w w:val="100"/>
          <w:position w:val="0"/>
          <w:sz w:val="24"/>
          <w:szCs w:val="24"/>
        </w:rPr>
        <w:t>股，每 股面值人民币</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元，发行价格为每股人民币</w:t>
      </w:r>
      <w:r>
        <w:rPr>
          <w:rFonts w:ascii="Times New Roman" w:eastAsia="Times New Roman" w:hAnsi="Times New Roman" w:cs="Times New Roman"/>
          <w:color w:val="000000"/>
          <w:spacing w:val="0"/>
          <w:w w:val="100"/>
          <w:position w:val="0"/>
          <w:sz w:val="24"/>
          <w:szCs w:val="24"/>
        </w:rPr>
        <w:t>15.17</w:t>
      </w:r>
      <w:r>
        <w:rPr>
          <w:color w:val="000000"/>
          <w:spacing w:val="0"/>
          <w:w w:val="100"/>
          <w:position w:val="0"/>
          <w:sz w:val="24"/>
          <w:szCs w:val="24"/>
        </w:rPr>
        <w:t>元，扣除发行费用后增加资 本公积约人民币</w:t>
      </w:r>
      <w:r>
        <w:rPr>
          <w:rFonts w:ascii="Times New Roman" w:eastAsia="Times New Roman" w:hAnsi="Times New Roman" w:cs="Times New Roman"/>
          <w:color w:val="000000"/>
          <w:spacing w:val="0"/>
          <w:w w:val="100"/>
          <w:position w:val="0"/>
          <w:sz w:val="24"/>
          <w:szCs w:val="24"/>
        </w:rPr>
        <w:t>271.7</w:t>
      </w:r>
      <w:r>
        <w:rPr>
          <w:color w:val="000000"/>
          <w:spacing w:val="0"/>
          <w:w w:val="100"/>
          <w:position w:val="0"/>
          <w:sz w:val="24"/>
          <w:szCs w:val="24"/>
        </w:rPr>
        <w:t>亿元。</w:t>
      </w:r>
    </w:p>
    <w:p>
      <w:pPr>
        <w:pStyle w:val="Style32"/>
        <w:keepNext w:val="0"/>
        <w:keepLines w:val="0"/>
        <w:widowControl w:val="0"/>
        <w:numPr>
          <w:ilvl w:val="0"/>
          <w:numId w:val="81"/>
        </w:numPr>
        <w:shd w:val="clear" w:color="auto" w:fill="auto"/>
        <w:tabs>
          <w:tab w:pos="709" w:val="left"/>
        </w:tabs>
        <w:bidi w:val="0"/>
        <w:spacing w:before="0" w:after="260" w:line="312" w:lineRule="exact"/>
        <w:ind w:left="0" w:right="0" w:firstLine="0"/>
        <w:jc w:val="left"/>
        <w:rPr>
          <w:sz w:val="24"/>
          <w:szCs w:val="24"/>
        </w:rPr>
      </w:pPr>
      <w:bookmarkStart w:id="965" w:name="bookmark965"/>
      <w:bookmarkEnd w:id="965"/>
      <w:r>
        <w:rPr>
          <w:color w:val="000000"/>
          <w:spacing w:val="0"/>
          <w:w w:val="100"/>
          <w:position w:val="0"/>
          <w:sz w:val="24"/>
          <w:szCs w:val="24"/>
        </w:rPr>
        <w:t>因子公司的少数股东增资而稀释母公司拥有的股权比例</w:t>
      </w:r>
    </w:p>
    <w:p>
      <w:pPr>
        <w:pStyle w:val="Style32"/>
        <w:keepNext w:val="0"/>
        <w:keepLines w:val="0"/>
        <w:widowControl w:val="0"/>
        <w:shd w:val="clear" w:color="auto" w:fill="auto"/>
        <w:bidi w:val="0"/>
        <w:spacing w:before="0" w:after="260" w:line="312" w:lineRule="exact"/>
        <w:ind w:left="720" w:right="0" w:firstLine="0"/>
        <w:jc w:val="both"/>
        <w:rPr>
          <w:sz w:val="24"/>
          <w:szCs w:val="24"/>
        </w:rPr>
      </w:pPr>
      <w:r>
        <w:rPr>
          <w:color w:val="000000"/>
          <w:spacing w:val="0"/>
          <w:w w:val="100"/>
          <w:position w:val="0"/>
          <w:sz w:val="24"/>
          <w:szCs w:val="24"/>
        </w:rPr>
        <w:t>于</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26</w:t>
      </w:r>
      <w:r>
        <w:rPr>
          <w:color w:val="000000"/>
          <w:spacing w:val="0"/>
          <w:w w:val="100"/>
          <w:position w:val="0"/>
          <w:sz w:val="24"/>
          <w:szCs w:val="24"/>
        </w:rPr>
        <w:t>日，苏宁金控投资有限公司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苏宁金控</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向本集团子公司 苏宁金融服务</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上海</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有限公司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原名</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上海长宁苏宁云商销售有限公司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增资金 约民币</w:t>
      </w:r>
      <w:r>
        <w:rPr>
          <w:rFonts w:ascii="Times New Roman" w:eastAsia="Times New Roman" w:hAnsi="Times New Roman" w:cs="Times New Roman"/>
          <w:color w:val="000000"/>
          <w:spacing w:val="0"/>
          <w:w w:val="100"/>
          <w:position w:val="0"/>
          <w:sz w:val="24"/>
          <w:szCs w:val="24"/>
        </w:rPr>
        <w:t>58.33</w:t>
      </w:r>
      <w:r>
        <w:rPr>
          <w:color w:val="000000"/>
          <w:spacing w:val="0"/>
          <w:w w:val="100"/>
          <w:position w:val="0"/>
          <w:sz w:val="24"/>
          <w:szCs w:val="24"/>
        </w:rPr>
        <w:t>亿元。本次增资完成后，本集团持有苏宁金融服务</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上海</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有限公 司股权自</w:t>
      </w:r>
      <w:r>
        <w:rPr>
          <w:rFonts w:ascii="Times New Roman" w:eastAsia="Times New Roman" w:hAnsi="Times New Roman" w:cs="Times New Roman"/>
          <w:color w:val="000000"/>
          <w:spacing w:val="0"/>
          <w:w w:val="100"/>
          <w:position w:val="0"/>
          <w:sz w:val="24"/>
          <w:szCs w:val="24"/>
        </w:rPr>
        <w:t>100%</w:t>
      </w:r>
      <w:r>
        <w:rPr>
          <w:color w:val="000000"/>
          <w:spacing w:val="0"/>
          <w:w w:val="100"/>
          <w:position w:val="0"/>
          <w:sz w:val="24"/>
          <w:szCs w:val="24"/>
        </w:rPr>
        <w:t>稀释为</w:t>
      </w:r>
      <w:r>
        <w:rPr>
          <w:rFonts w:ascii="Times New Roman" w:eastAsia="Times New Roman" w:hAnsi="Times New Roman" w:cs="Times New Roman"/>
          <w:color w:val="000000"/>
          <w:spacing w:val="0"/>
          <w:w w:val="100"/>
          <w:position w:val="0"/>
          <w:sz w:val="24"/>
          <w:szCs w:val="24"/>
        </w:rPr>
        <w:t>65%</w:t>
      </w:r>
      <w:r>
        <w:rPr>
          <w:color w:val="000000"/>
          <w:spacing w:val="0"/>
          <w:w w:val="100"/>
          <w:position w:val="0"/>
          <w:sz w:val="24"/>
          <w:szCs w:val="24"/>
        </w:rPr>
        <w:t>。该增资产生的对资本公积的调整情况如下：</w:t>
      </w:r>
    </w:p>
    <w:p>
      <w:pPr>
        <w:pStyle w:val="Style32"/>
        <w:keepNext w:val="0"/>
        <w:keepLines w:val="0"/>
        <w:widowControl w:val="0"/>
        <w:shd w:val="clear" w:color="auto" w:fill="auto"/>
        <w:bidi w:val="0"/>
        <w:spacing w:before="0" w:after="0" w:line="312" w:lineRule="exact"/>
        <w:ind w:left="720" w:right="0" w:firstLine="0"/>
        <w:jc w:val="both"/>
        <w:rPr>
          <w:sz w:val="24"/>
          <w:szCs w:val="24"/>
        </w:rPr>
      </w:pPr>
      <w:r>
        <w:rPr>
          <w:color w:val="000000"/>
          <w:spacing w:val="0"/>
          <w:w w:val="100"/>
          <w:position w:val="0"/>
          <w:sz w:val="24"/>
          <w:szCs w:val="24"/>
        </w:rPr>
        <w:t>增资后按本集团持股比例计算的在增资后子公司账面净</w:t>
      </w:r>
    </w:p>
    <w:p>
      <w:pPr>
        <w:pStyle w:val="Style53"/>
        <w:keepNext w:val="0"/>
        <w:keepLines w:val="0"/>
        <w:widowControl w:val="0"/>
        <w:shd w:val="clear" w:color="auto" w:fill="auto"/>
        <w:tabs>
          <w:tab w:pos="8733" w:val="right"/>
        </w:tabs>
        <w:bidi w:val="0"/>
        <w:spacing w:before="0" w:after="0" w:line="312" w:lineRule="exact"/>
        <w:ind w:left="0" w:right="0" w:firstLine="1000"/>
        <w:jc w:val="left"/>
        <w:rPr>
          <w:sz w:val="24"/>
          <w:szCs w:val="24"/>
        </w:rPr>
      </w:pPr>
      <w:r>
        <w:rPr>
          <w:rFonts w:ascii="SimSun" w:eastAsia="SimSun" w:hAnsi="SimSun" w:cs="SimSun"/>
          <w:color w:val="000000"/>
          <w:spacing w:val="0"/>
          <w:w w:val="100"/>
          <w:position w:val="0"/>
          <w:sz w:val="24"/>
          <w:szCs w:val="24"/>
        </w:rPr>
        <w:t>产份额</w:t>
        <w:tab/>
      </w:r>
      <w:r>
        <w:rPr>
          <w:color w:val="000000"/>
          <w:spacing w:val="0"/>
          <w:w w:val="100"/>
          <w:position w:val="0"/>
          <w:sz w:val="24"/>
          <w:szCs w:val="24"/>
        </w:rPr>
        <w:t>4,460,208</w:t>
      </w:r>
    </w:p>
    <w:p>
      <w:pPr>
        <w:pStyle w:val="Style32"/>
        <w:keepNext w:val="0"/>
        <w:keepLines w:val="0"/>
        <w:widowControl w:val="0"/>
        <w:shd w:val="clear" w:color="auto" w:fill="auto"/>
        <w:bidi w:val="0"/>
        <w:spacing w:before="0" w:after="0" w:line="312" w:lineRule="exact"/>
        <w:ind w:left="0" w:right="0" w:firstLine="720"/>
        <w:jc w:val="both"/>
        <w:rPr>
          <w:sz w:val="24"/>
          <w:szCs w:val="24"/>
        </w:rPr>
      </w:pPr>
      <w:r>
        <w:rPr>
          <w:color w:val="000000"/>
          <w:spacing w:val="0"/>
          <w:w w:val="100"/>
          <w:position w:val="0"/>
          <w:sz w:val="24"/>
          <w:szCs w:val="24"/>
        </w:rPr>
        <w:t>减：按照增资前的本集团股权比例计算其在增资前子公</w:t>
      </w:r>
    </w:p>
    <w:p>
      <w:pPr>
        <w:pStyle w:val="Style32"/>
        <w:keepNext w:val="0"/>
        <w:keepLines w:val="0"/>
        <w:widowControl w:val="0"/>
        <w:shd w:val="clear" w:color="auto" w:fill="auto"/>
        <w:tabs>
          <w:tab w:pos="7618" w:val="right"/>
        </w:tabs>
        <w:bidi w:val="0"/>
        <w:spacing w:before="0" w:after="0" w:line="312" w:lineRule="exact"/>
        <w:ind w:left="0" w:right="0" w:firstLine="0"/>
        <w:jc w:val="right"/>
        <w:rPr>
          <w:sz w:val="24"/>
          <w:szCs w:val="24"/>
        </w:rPr>
      </w:pPr>
      <w:r>
        <w:rPr>
          <w:color w:val="000000"/>
          <w:spacing w:val="0"/>
          <w:w w:val="100"/>
          <w:position w:val="0"/>
          <w:sz w:val="24"/>
          <w:szCs w:val="24"/>
        </w:rPr>
        <w:t>司账面净资产中的份额</w:t>
        <w:tab/>
        <w:t xml:space="preserve"> </w:t>
      </w:r>
      <w:r>
        <w:rPr>
          <w:rFonts w:ascii="Times New Roman" w:eastAsia="Times New Roman" w:hAnsi="Times New Roman" w:cs="Times New Roman"/>
          <w:color w:val="000000"/>
          <w:spacing w:val="0"/>
          <w:w w:val="100"/>
          <w:position w:val="0"/>
          <w:sz w:val="24"/>
          <w:szCs w:val="24"/>
          <w:u w:val="single"/>
        </w:rPr>
        <w:t>(1,028,529)</w:t>
      </w:r>
    </w:p>
    <w:p>
      <w:pPr>
        <w:pStyle w:val="Style32"/>
        <w:keepNext w:val="0"/>
        <w:keepLines w:val="0"/>
        <w:widowControl w:val="0"/>
        <w:shd w:val="clear" w:color="auto" w:fill="auto"/>
        <w:tabs>
          <w:tab w:pos="8256" w:val="center"/>
        </w:tabs>
        <w:bidi w:val="0"/>
        <w:spacing w:before="0" w:after="260" w:line="312" w:lineRule="exact"/>
        <w:ind w:left="0" w:right="0" w:firstLine="720"/>
        <w:jc w:val="both"/>
        <w:rPr>
          <w:sz w:val="24"/>
          <w:szCs w:val="24"/>
        </w:rPr>
      </w:pPr>
      <w:r>
        <w:rPr>
          <w:color w:val="000000"/>
          <w:spacing w:val="0"/>
          <w:w w:val="100"/>
          <w:position w:val="0"/>
          <w:sz w:val="24"/>
          <w:szCs w:val="24"/>
        </w:rPr>
        <w:t>调整资本公积</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资本溢价</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ab/>
        <w:t xml:space="preserve"> </w:t>
      </w:r>
      <w:r>
        <w:rPr>
          <w:rFonts w:ascii="Times New Roman" w:eastAsia="Times New Roman" w:hAnsi="Times New Roman" w:cs="Times New Roman"/>
          <w:color w:val="000000"/>
          <w:spacing w:val="0"/>
          <w:w w:val="100"/>
          <w:position w:val="0"/>
          <w:sz w:val="24"/>
          <w:szCs w:val="24"/>
          <w:u w:val="single"/>
        </w:rPr>
        <w:t>3,431,679</w:t>
      </w:r>
    </w:p>
    <w:p>
      <w:pPr>
        <w:pStyle w:val="Style32"/>
        <w:keepNext w:val="0"/>
        <w:keepLines w:val="0"/>
        <w:widowControl w:val="0"/>
        <w:numPr>
          <w:ilvl w:val="0"/>
          <w:numId w:val="81"/>
        </w:numPr>
        <w:shd w:val="clear" w:color="auto" w:fill="auto"/>
        <w:tabs>
          <w:tab w:pos="709" w:val="left"/>
        </w:tabs>
        <w:bidi w:val="0"/>
        <w:spacing w:before="0" w:after="260" w:line="309" w:lineRule="exact"/>
        <w:ind w:left="720" w:right="0" w:hanging="720"/>
        <w:jc w:val="both"/>
        <w:rPr>
          <w:sz w:val="24"/>
          <w:szCs w:val="24"/>
        </w:rPr>
      </w:pPr>
      <w:bookmarkStart w:id="966" w:name="bookmark966"/>
      <w:bookmarkEnd w:id="966"/>
      <w:r>
        <w:rPr>
          <w:color w:val="000000"/>
          <w:spacing w:val="0"/>
          <w:w w:val="100"/>
          <w:position w:val="0"/>
          <w:sz w:val="24"/>
          <w:szCs w:val="24"/>
        </w:rPr>
        <w:t>经</w:t>
      </w:r>
      <w:r>
        <w:rPr>
          <w:rFonts w:ascii="Times New Roman" w:eastAsia="Times New Roman" w:hAnsi="Times New Roman" w:cs="Times New Roman"/>
          <w:color w:val="000000"/>
          <w:spacing w:val="0"/>
          <w:w w:val="100"/>
          <w:position w:val="0"/>
          <w:sz w:val="24"/>
          <w:szCs w:val="24"/>
        </w:rPr>
        <w:t>2011</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29</w:t>
      </w:r>
      <w:r>
        <w:rPr>
          <w:color w:val="000000"/>
          <w:spacing w:val="0"/>
          <w:w w:val="100"/>
          <w:position w:val="0"/>
          <w:sz w:val="24"/>
          <w:szCs w:val="24"/>
        </w:rPr>
        <w:t>日召开的第四届董事会第十二次会议审议通过，本公司对 《</w:t>
      </w:r>
      <w:r>
        <w:rPr>
          <w:rFonts w:ascii="Times New Roman" w:eastAsia="Times New Roman" w:hAnsi="Times New Roman" w:cs="Times New Roman"/>
          <w:color w:val="000000"/>
          <w:spacing w:val="0"/>
          <w:w w:val="100"/>
          <w:position w:val="0"/>
          <w:sz w:val="24"/>
          <w:szCs w:val="24"/>
        </w:rPr>
        <w:t>2010</w:t>
      </w:r>
      <w:r>
        <w:rPr>
          <w:color w:val="000000"/>
          <w:spacing w:val="0"/>
          <w:w w:val="100"/>
          <w:position w:val="0"/>
          <w:sz w:val="24"/>
          <w:szCs w:val="24"/>
        </w:rPr>
        <w:t>年股票期权激励计划》行权价格进行调整，调整后的股票行权价格为 人民币</w:t>
      </w:r>
      <w:r>
        <w:rPr>
          <w:rFonts w:ascii="Times New Roman" w:eastAsia="Times New Roman" w:hAnsi="Times New Roman" w:cs="Times New Roman"/>
          <w:color w:val="000000"/>
          <w:spacing w:val="0"/>
          <w:w w:val="100"/>
          <w:position w:val="0"/>
          <w:sz w:val="24"/>
          <w:szCs w:val="24"/>
        </w:rPr>
        <w:t>14.40</w:t>
      </w:r>
      <w:r>
        <w:rPr>
          <w:color w:val="000000"/>
          <w:spacing w:val="0"/>
          <w:w w:val="100"/>
          <w:position w:val="0"/>
          <w:sz w:val="24"/>
          <w:szCs w:val="24"/>
        </w:rPr>
        <w:t>元。该股票期权激励计划的有效期为自股票期权授权日起五年， 已于</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11</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26</w:t>
      </w:r>
      <w:r>
        <w:rPr>
          <w:color w:val="000000"/>
          <w:spacing w:val="0"/>
          <w:w w:val="100"/>
          <w:position w:val="0"/>
          <w:sz w:val="24"/>
          <w:szCs w:val="24"/>
        </w:rPr>
        <w:t>日有效期限届满，故该股票期权计划终止。</w:t>
      </w:r>
    </w:p>
    <w:p>
      <w:pPr>
        <w:pStyle w:val="Style32"/>
        <w:keepNext w:val="0"/>
        <w:keepLines w:val="0"/>
        <w:widowControl w:val="0"/>
        <w:shd w:val="clear" w:color="auto" w:fill="auto"/>
        <w:bidi w:val="0"/>
        <w:spacing w:before="0" w:after="0" w:line="240" w:lineRule="auto"/>
        <w:ind w:left="0" w:right="0" w:firstLine="720"/>
        <w:jc w:val="left"/>
        <w:rPr>
          <w:sz w:val="24"/>
          <w:szCs w:val="24"/>
        </w:rPr>
      </w:pPr>
      <w:r>
        <w:rPr>
          <w:b/>
          <w:bCs/>
          <w:color w:val="000000"/>
          <w:spacing w:val="0"/>
          <w:w w:val="100"/>
          <w:position w:val="0"/>
          <w:sz w:val="24"/>
          <w:szCs w:val="24"/>
        </w:rPr>
        <w:t>财务报表附注</w:t>
      </w:r>
    </w:p>
    <w:p>
      <w:pPr>
        <w:pStyle w:val="Style88"/>
        <w:keepNext/>
        <w:keepLines/>
        <w:widowControl w:val="0"/>
        <w:shd w:val="clear" w:color="auto" w:fill="auto"/>
        <w:bidi w:val="0"/>
        <w:spacing w:before="0" w:after="0" w:line="240" w:lineRule="auto"/>
        <w:ind w:left="0" w:right="0" w:firstLine="720"/>
        <w:jc w:val="left"/>
      </w:pPr>
      <w:bookmarkStart w:id="967" w:name="bookmark967"/>
      <w:bookmarkStart w:id="968" w:name="bookmark968"/>
      <w:bookmarkStart w:id="969" w:name="bookmark969"/>
      <w:r>
        <w:rPr>
          <w:color w:val="000000"/>
          <w:spacing w:val="0"/>
          <w:w w:val="100"/>
          <w:position w:val="0"/>
          <w:sz w:val="24"/>
          <w:szCs w:val="24"/>
        </w:rPr>
        <w:t>2016</w:t>
      </w:r>
      <w:r>
        <w:rPr>
          <w:rFonts w:ascii="SimSun" w:eastAsia="SimSun" w:hAnsi="SimSun" w:cs="SimSun"/>
          <w:b/>
          <w:bCs/>
          <w:color w:val="000000"/>
          <w:spacing w:val="0"/>
          <w:w w:val="100"/>
          <w:position w:val="0"/>
          <w:sz w:val="24"/>
          <w:szCs w:val="24"/>
        </w:rPr>
        <w:t>年度</w:t>
      </w:r>
      <w:bookmarkEnd w:id="967"/>
      <w:bookmarkEnd w:id="968"/>
      <w:bookmarkEnd w:id="969"/>
    </w:p>
    <w:p>
      <w:pPr>
        <w:pStyle w:val="Style32"/>
        <w:keepNext w:val="0"/>
        <w:keepLines w:val="0"/>
        <w:widowControl w:val="0"/>
        <w:shd w:val="clear" w:color="auto" w:fill="auto"/>
        <w:bidi w:val="0"/>
        <w:spacing w:before="0" w:after="0" w:line="240" w:lineRule="auto"/>
        <w:ind w:left="0" w:right="0" w:firstLine="720"/>
        <w:jc w:val="left"/>
        <w:rPr>
          <w:sz w:val="20"/>
          <w:szCs w:val="20"/>
        </w:rPr>
        <w:sectPr>
          <w:headerReference w:type="default" r:id="rId163"/>
          <w:footerReference w:type="default" r:id="rId164"/>
          <w:headerReference w:type="even" r:id="rId165"/>
          <w:footerReference w:type="even" r:id="rId166"/>
          <w:footnotePr>
            <w:pos w:val="pageBottom"/>
            <w:numFmt w:val="decimal"/>
            <w:numRestart w:val="continuous"/>
          </w:footnotePr>
          <w:pgSz w:w="11900" w:h="16840"/>
          <w:pgMar w:top="1354" w:right="1307" w:bottom="2357" w:left="1704" w:header="0" w:footer="3" w:gutter="0"/>
          <w:cols w:space="720"/>
          <w:noEndnote/>
          <w:rtlGutter w:val="0"/>
          <w:docGrid w:linePitch="360"/>
        </w:sectPr>
      </w:pPr>
      <w:r>
        <w:rPr>
          <w:rFonts w:ascii="Arial" w:eastAsia="Arial" w:hAnsi="Arial" w:cs="Arial"/>
          <w:color w:val="000000"/>
          <w:spacing w:val="0"/>
          <w:w w:val="100"/>
          <w:position w:val="0"/>
          <w:sz w:val="20"/>
          <w:szCs w:val="20"/>
        </w:rPr>
        <w:t>（</w:t>
      </w:r>
      <w:r>
        <w:rPr>
          <w:color w:val="000000"/>
          <w:spacing w:val="0"/>
          <w:w w:val="100"/>
          <w:position w:val="0"/>
          <w:sz w:val="20"/>
          <w:szCs w:val="20"/>
        </w:rPr>
        <w:t>除特别注明外，金额单位为人民币千元</w:t>
      </w:r>
      <w:r>
        <w:rPr>
          <w:rFonts w:ascii="Arial" w:eastAsia="Arial" w:hAnsi="Arial" w:cs="Arial"/>
          <w:color w:val="000000"/>
          <w:spacing w:val="0"/>
          <w:w w:val="100"/>
          <w:position w:val="0"/>
          <w:sz w:val="20"/>
          <w:szCs w:val="20"/>
        </w:rPr>
        <w:t>）</w:t>
      </w:r>
    </w:p>
    <w:p>
      <w:pPr>
        <w:pStyle w:val="Style32"/>
        <w:keepNext w:val="0"/>
        <w:keepLines w:val="0"/>
        <w:widowControl w:val="0"/>
        <w:shd w:val="clear" w:color="auto" w:fill="auto"/>
        <w:bidi w:val="0"/>
        <w:spacing w:before="0" w:after="0" w:line="240" w:lineRule="auto"/>
        <w:ind w:left="0" w:right="0" w:firstLine="660"/>
        <w:jc w:val="left"/>
        <w:rPr>
          <w:sz w:val="24"/>
          <w:szCs w:val="24"/>
        </w:rPr>
      </w:pPr>
      <w:r>
        <w:rPr>
          <w:b/>
          <w:bCs/>
          <w:color w:val="000000"/>
          <w:spacing w:val="0"/>
          <w:w w:val="100"/>
          <w:position w:val="0"/>
          <w:sz w:val="24"/>
          <w:szCs w:val="24"/>
        </w:rPr>
        <w:t>财务报表附注</w:t>
      </w:r>
    </w:p>
    <w:p>
      <w:pPr>
        <w:pStyle w:val="Style88"/>
        <w:keepNext/>
        <w:keepLines/>
        <w:widowControl w:val="0"/>
        <w:shd w:val="clear" w:color="auto" w:fill="auto"/>
        <w:bidi w:val="0"/>
        <w:spacing w:before="0" w:after="0" w:line="240" w:lineRule="auto"/>
        <w:ind w:left="0" w:right="0" w:firstLine="660"/>
        <w:jc w:val="left"/>
      </w:pPr>
      <w:bookmarkStart w:id="970" w:name="bookmark970"/>
      <w:bookmarkStart w:id="971" w:name="bookmark971"/>
      <w:bookmarkStart w:id="972" w:name="bookmark972"/>
      <w:r>
        <w:rPr>
          <w:color w:val="000000"/>
          <w:spacing w:val="0"/>
          <w:w w:val="100"/>
          <w:position w:val="0"/>
          <w:sz w:val="24"/>
          <w:szCs w:val="24"/>
        </w:rPr>
        <w:t>2016</w:t>
      </w:r>
      <w:r>
        <w:rPr>
          <w:rFonts w:ascii="SimSun" w:eastAsia="SimSun" w:hAnsi="SimSun" w:cs="SimSun"/>
          <w:b/>
          <w:bCs/>
          <w:color w:val="000000"/>
          <w:spacing w:val="0"/>
          <w:w w:val="100"/>
          <w:position w:val="0"/>
          <w:sz w:val="24"/>
          <w:szCs w:val="24"/>
        </w:rPr>
        <w:t>年度</w:t>
      </w:r>
      <w:bookmarkEnd w:id="970"/>
      <w:bookmarkEnd w:id="971"/>
      <w:bookmarkEnd w:id="972"/>
    </w:p>
    <w:p>
      <w:pPr>
        <w:pStyle w:val="Style32"/>
        <w:keepNext w:val="0"/>
        <w:keepLines w:val="0"/>
        <w:widowControl w:val="0"/>
        <w:shd w:val="clear" w:color="auto" w:fill="auto"/>
        <w:bidi w:val="0"/>
        <w:spacing w:before="0" w:after="220" w:line="240" w:lineRule="auto"/>
        <w:ind w:left="0" w:right="0" w:firstLine="660"/>
        <w:jc w:val="left"/>
        <w:rPr>
          <w:sz w:val="20"/>
          <w:szCs w:val="20"/>
        </w:rPr>
      </w:pPr>
      <w:r>
        <w:rPr>
          <w:rFonts w:ascii="Arial" w:eastAsia="Arial" w:hAnsi="Arial" w:cs="Arial"/>
          <w:color w:val="000000"/>
          <w:spacing w:val="0"/>
          <w:w w:val="100"/>
          <w:position w:val="0"/>
          <w:sz w:val="20"/>
          <w:szCs w:val="20"/>
        </w:rPr>
        <w:t>（</w:t>
      </w:r>
      <w:r>
        <w:rPr>
          <w:color w:val="000000"/>
          <w:spacing w:val="0"/>
          <w:w w:val="100"/>
          <w:position w:val="0"/>
          <w:sz w:val="20"/>
          <w:szCs w:val="20"/>
        </w:rPr>
        <w:t>除特别注明外，金额单位为人民币千元</w:t>
      </w:r>
      <w:r>
        <w:rPr>
          <w:rFonts w:ascii="Arial" w:eastAsia="Arial" w:hAnsi="Arial" w:cs="Arial"/>
          <w:color w:val="000000"/>
          <w:spacing w:val="0"/>
          <w:w w:val="100"/>
          <w:position w:val="0"/>
          <w:sz w:val="20"/>
          <w:szCs w:val="20"/>
        </w:rPr>
        <w:t>）</w:t>
      </w:r>
    </w:p>
    <w:p>
      <w:pPr>
        <w:pStyle w:val="Style32"/>
        <w:keepNext w:val="0"/>
        <w:keepLines w:val="0"/>
        <w:widowControl w:val="0"/>
        <w:shd w:val="clear" w:color="auto" w:fill="auto"/>
        <w:tabs>
          <w:tab w:pos="658" w:val="left"/>
        </w:tabs>
        <w:bidi w:val="0"/>
        <w:spacing w:before="0" w:after="280" w:line="240" w:lineRule="auto"/>
        <w:ind w:left="0" w:right="0" w:firstLine="0"/>
        <w:jc w:val="left"/>
        <w:rPr>
          <w:sz w:val="24"/>
          <w:szCs w:val="24"/>
        </w:rPr>
      </w:pPr>
      <w:r>
        <w:rPr>
          <w:b/>
          <w:bCs/>
          <w:color w:val="000000"/>
          <w:spacing w:val="0"/>
          <w:w w:val="100"/>
          <w:position w:val="0"/>
          <w:sz w:val="24"/>
          <w:szCs w:val="24"/>
        </w:rPr>
        <w:t>四</w:t>
        <w:tab/>
        <w:t>合并财务报表项目附注</w:t>
      </w:r>
      <w:r>
        <w:rPr>
          <w:rFonts w:ascii="Times New Roman" w:eastAsia="Times New Roman" w:hAnsi="Times New Roman" w:cs="Times New Roman"/>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4"/>
          <w:szCs w:val="24"/>
        </w:rPr>
        <w:t>）</w:t>
      </w:r>
    </w:p>
    <w:p>
      <w:pPr>
        <w:pStyle w:val="Style32"/>
        <w:keepNext w:val="0"/>
        <w:keepLines w:val="0"/>
        <w:widowControl w:val="0"/>
        <w:shd w:val="clear" w:color="auto" w:fill="auto"/>
        <w:bidi w:val="0"/>
        <w:spacing w:before="0" w:after="28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（41）</w:t>
      </w:r>
      <w:r>
        <w:rPr>
          <w:b/>
          <w:bCs/>
          <w:color w:val="000000"/>
          <w:spacing w:val="0"/>
          <w:w w:val="100"/>
          <w:position w:val="0"/>
          <w:sz w:val="24"/>
          <w:szCs w:val="24"/>
        </w:rPr>
        <w:t>其他综合收益</w:t>
      </w:r>
    </w:p>
    <w:p>
      <w:pPr>
        <w:pStyle w:val="Style25"/>
        <w:keepNext w:val="0"/>
        <w:keepLines w:val="0"/>
        <w:widowControl w:val="0"/>
        <w:shd w:val="clear" w:color="auto" w:fill="auto"/>
        <w:tabs>
          <w:tab w:pos="4915" w:val="left"/>
        </w:tabs>
        <w:bidi w:val="0"/>
        <w:spacing w:before="0" w:after="0" w:line="240" w:lineRule="auto"/>
        <w:ind w:left="0" w:right="0" w:firstLine="0"/>
        <w:jc w:val="center"/>
        <w:rPr>
          <w:sz w:val="20"/>
          <w:szCs w:val="20"/>
        </w:rPr>
      </w:pPr>
      <w:r>
        <w:rPr>
          <w:color w:val="000000"/>
          <w:spacing w:val="0"/>
          <w:w w:val="100"/>
          <w:position w:val="0"/>
          <w:sz w:val="20"/>
          <w:szCs w:val="20"/>
        </w:rPr>
        <w:t>资产负债表中其他综合收益</w:t>
        <w:tab/>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年度利润表中其他综合收益</w:t>
      </w:r>
    </w:p>
    <w:tbl>
      <w:tblPr>
        <w:tblOverlap w:val="never"/>
        <w:jc w:val="center"/>
        <w:tblLayout w:type="fixed"/>
      </w:tblPr>
      <w:tblGrid>
        <w:gridCol w:w="3917"/>
        <w:gridCol w:w="1570"/>
        <w:gridCol w:w="1171"/>
        <w:gridCol w:w="1248"/>
        <w:gridCol w:w="1397"/>
        <w:gridCol w:w="1464"/>
        <w:gridCol w:w="1306"/>
        <w:gridCol w:w="1133"/>
        <w:gridCol w:w="922"/>
      </w:tblGrid>
      <w:tr>
        <w:trPr>
          <w:trHeight w:val="269" w:hRule="exact"/>
        </w:trPr>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40"/>
              <w:jc w:val="left"/>
              <w:rPr>
                <w:sz w:val="20"/>
                <w:szCs w:val="20"/>
              </w:rPr>
            </w:pPr>
            <w:r>
              <w:rPr>
                <w:rFonts w:ascii="Times New Roman" w:eastAsia="Times New Roman" w:hAnsi="Times New Roman" w:cs="Times New Roman"/>
                <w:color w:val="000000"/>
                <w:spacing w:val="0"/>
                <w:w w:val="100"/>
                <w:position w:val="0"/>
                <w:sz w:val="20"/>
                <w:szCs w:val="20"/>
              </w:rPr>
              <w:t xml:space="preserve">2015 </w:t>
            </w:r>
            <w:r>
              <w:rPr>
                <w:color w:val="000000"/>
                <w:spacing w:val="0"/>
                <w:w w:val="100"/>
                <w:position w:val="0"/>
                <w:sz w:val="20"/>
                <w:szCs w:val="20"/>
              </w:rPr>
              <w:t>年</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税后归属</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本年所得税</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减：前期计入</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减：所得税</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税后归属</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税后归</w:t>
            </w:r>
          </w:p>
        </w:tc>
      </w:tr>
      <w:tr>
        <w:trPr>
          <w:trHeight w:val="259"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于本公司</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前发生额</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其他综合收益</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费用</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于本公司</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属于少</w:t>
            </w:r>
          </w:p>
        </w:tc>
      </w:tr>
      <w:tr>
        <w:trPr>
          <w:trHeight w:val="283"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本年转出</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数股东</w:t>
            </w:r>
          </w:p>
        </w:tc>
      </w:tr>
      <w:tr>
        <w:trPr>
          <w:trHeight w:val="302"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以后将重分类进损益的其他综合收益</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07"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可供出售金融资产公允价值变动损益</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40"/>
              <w:jc w:val="left"/>
              <w:rPr>
                <w:sz w:val="20"/>
                <w:szCs w:val="20"/>
              </w:rPr>
            </w:pPr>
            <w:r>
              <w:rPr>
                <w:rFonts w:ascii="Times New Roman" w:eastAsia="Times New Roman" w:hAnsi="Times New Roman" w:cs="Times New Roman"/>
                <w:color w:val="000000"/>
                <w:spacing w:val="0"/>
                <w:w w:val="100"/>
                <w:position w:val="0"/>
                <w:sz w:val="20"/>
                <w:szCs w:val="20"/>
              </w:rPr>
              <w:t>268,480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1,698,201</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1,966,681</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1,907,555</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60"/>
              <w:jc w:val="left"/>
              <w:rPr>
                <w:sz w:val="20"/>
                <w:szCs w:val="20"/>
              </w:rPr>
            </w:pPr>
            <w:r>
              <w:rPr>
                <w:rFonts w:ascii="Times New Roman" w:eastAsia="Times New Roman" w:hAnsi="Times New Roman" w:cs="Times New Roman"/>
                <w:color w:val="000000"/>
                <w:spacing w:val="0"/>
                <w:w w:val="100"/>
                <w:position w:val="0"/>
                <w:sz w:val="20"/>
                <w:szCs w:val="20"/>
              </w:rPr>
              <w:t>(3,438)</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(200,773)</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1,698,201</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5,143</w:t>
            </w:r>
          </w:p>
        </w:tc>
      </w:tr>
      <w:tr>
        <w:trPr>
          <w:trHeight w:val="264"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外币报表折算差额</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left"/>
              <w:rPr>
                <w:sz w:val="20"/>
                <w:szCs w:val="20"/>
              </w:rPr>
            </w:pPr>
            <w:r>
              <w:rPr>
                <w:rFonts w:ascii="Times New Roman" w:eastAsia="Times New Roman" w:hAnsi="Times New Roman" w:cs="Times New Roman"/>
                <w:color w:val="000000"/>
                <w:spacing w:val="0"/>
                <w:w w:val="100"/>
                <w:position w:val="0"/>
                <w:sz w:val="20"/>
                <w:szCs w:val="20"/>
              </w:rPr>
              <w:t>(206,647)</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742,878</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536,231</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832,965</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22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742,878</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90,087</w:t>
            </w:r>
          </w:p>
        </w:tc>
      </w:tr>
      <w:tr>
        <w:trPr>
          <w:trHeight w:val="346" w:hRule="exact"/>
        </w:trPr>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60"/>
              <w:jc w:val="left"/>
              <w:rPr>
                <w:sz w:val="20"/>
                <w:szCs w:val="20"/>
              </w:rPr>
            </w:pPr>
            <w:r>
              <w:rPr>
                <w:rFonts w:ascii="Times New Roman" w:eastAsia="Times New Roman" w:hAnsi="Times New Roman" w:cs="Times New Roman"/>
                <w:color w:val="000000"/>
                <w:spacing w:val="0"/>
                <w:w w:val="100"/>
                <w:position w:val="0"/>
                <w:sz w:val="20"/>
                <w:szCs w:val="20"/>
              </w:rPr>
              <w:t>61,833</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2,441,079</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2,502,912</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2,740,520</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60"/>
              <w:jc w:val="left"/>
              <w:rPr>
                <w:sz w:val="20"/>
                <w:szCs w:val="20"/>
              </w:rPr>
            </w:pPr>
            <w:r>
              <w:rPr>
                <w:rFonts w:ascii="Times New Roman" w:eastAsia="Times New Roman" w:hAnsi="Times New Roman" w:cs="Times New Roman"/>
                <w:color w:val="000000"/>
                <w:spacing w:val="0"/>
                <w:w w:val="100"/>
                <w:position w:val="0"/>
                <w:sz w:val="20"/>
                <w:szCs w:val="20"/>
              </w:rPr>
              <w:t>(3,438)</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(200,773)</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2,441,079</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95,230</w:t>
            </w:r>
          </w:p>
        </w:tc>
      </w:tr>
      <w:tr>
        <w:trPr>
          <w:trHeight w:val="538" w:hRule="exact"/>
        </w:trPr>
        <w:tc>
          <w:tcPr>
            <w:tcBorders/>
            <w:shd w:val="clear" w:color="auto" w:fill="FFFFFF"/>
            <w:vAlign w:val="top"/>
          </w:tcPr>
          <w:p>
            <w:pPr>
              <w:widowControl w:val="0"/>
              <w:rPr>
                <w:sz w:val="10"/>
                <w:szCs w:val="10"/>
              </w:rPr>
            </w:pPr>
          </w:p>
        </w:tc>
        <w:tc>
          <w:tcPr>
            <w:gridSpan w:val="3"/>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资产负债表中其他综合收益</w:t>
            </w:r>
          </w:p>
        </w:tc>
        <w:tc>
          <w:tcPr>
            <w:tcBorders>
              <w:top w:val="single" w:sz="4"/>
            </w:tcBorders>
            <w:shd w:val="clear" w:color="auto" w:fill="FFFFFF"/>
            <w:vAlign w:val="top"/>
          </w:tcPr>
          <w:p>
            <w:pPr>
              <w:widowControl w:val="0"/>
              <w:rPr>
                <w:sz w:val="10"/>
                <w:szCs w:val="10"/>
              </w:rPr>
            </w:pPr>
          </w:p>
        </w:tc>
        <w:tc>
          <w:tcPr>
            <w:gridSpan w:val="3"/>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2015</w:t>
            </w:r>
            <w:r>
              <w:rPr>
                <w:color w:val="000000"/>
                <w:spacing w:val="0"/>
                <w:w w:val="100"/>
                <w:position w:val="0"/>
                <w:sz w:val="20"/>
                <w:szCs w:val="20"/>
              </w:rPr>
              <w:t>年度利润表中其他综合收益</w:t>
            </w:r>
          </w:p>
        </w:tc>
        <w:tc>
          <w:tcPr>
            <w:tcBorders>
              <w:top w:val="single" w:sz="4"/>
            </w:tcBorders>
            <w:shd w:val="clear" w:color="auto" w:fill="FFFFFF"/>
            <w:vAlign w:val="top"/>
          </w:tcPr>
          <w:p>
            <w:pPr>
              <w:widowControl w:val="0"/>
              <w:rPr>
                <w:sz w:val="10"/>
                <w:szCs w:val="10"/>
              </w:rPr>
            </w:pPr>
          </w:p>
        </w:tc>
      </w:tr>
      <w:tr>
        <w:trPr>
          <w:trHeight w:val="264" w:hRule="exact"/>
        </w:trPr>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40"/>
              <w:jc w:val="left"/>
              <w:rPr>
                <w:sz w:val="20"/>
                <w:szCs w:val="20"/>
              </w:rPr>
            </w:pPr>
            <w:r>
              <w:rPr>
                <w:rFonts w:ascii="Times New Roman" w:eastAsia="Times New Roman" w:hAnsi="Times New Roman" w:cs="Times New Roman"/>
                <w:color w:val="000000"/>
                <w:spacing w:val="0"/>
                <w:w w:val="100"/>
                <w:position w:val="0"/>
                <w:sz w:val="20"/>
                <w:szCs w:val="20"/>
              </w:rPr>
              <w:t>2014</w:t>
            </w:r>
            <w:r>
              <w:rPr>
                <w:color w:val="000000"/>
                <w:spacing w:val="0"/>
                <w:w w:val="100"/>
                <w:position w:val="0"/>
                <w:sz w:val="20"/>
                <w:szCs w:val="20"/>
              </w:rPr>
              <w:t>年</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税后归属</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2015</w:t>
            </w:r>
            <w:r>
              <w:rPr>
                <w:color w:val="000000"/>
                <w:spacing w:val="0"/>
                <w:w w:val="100"/>
                <w:position w:val="0"/>
                <w:sz w:val="20"/>
                <w:szCs w:val="20"/>
              </w:rPr>
              <w:t>年</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本年所得税</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减：前期计入</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减：所得税</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税后归属</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税后归</w:t>
            </w:r>
          </w:p>
        </w:tc>
      </w:tr>
      <w:tr>
        <w:trPr>
          <w:trHeight w:val="259"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于本公司</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前发生额</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其他综合收益</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20"/>
              <w:jc w:val="left"/>
              <w:rPr>
                <w:sz w:val="20"/>
                <w:szCs w:val="20"/>
              </w:rPr>
            </w:pPr>
            <w:r>
              <w:rPr>
                <w:color w:val="000000"/>
                <w:spacing w:val="0"/>
                <w:w w:val="100"/>
                <w:position w:val="0"/>
                <w:sz w:val="20"/>
                <w:szCs w:val="20"/>
              </w:rPr>
              <w:t>费用</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于本公司</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属于少</w:t>
            </w:r>
          </w:p>
        </w:tc>
      </w:tr>
      <w:tr>
        <w:trPr>
          <w:trHeight w:val="274"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本年转出</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数股东</w:t>
            </w:r>
          </w:p>
        </w:tc>
      </w:tr>
      <w:tr>
        <w:trPr>
          <w:trHeight w:val="293"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以后将重分类进损益的其他综合收益</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12"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可供出售金融资产公允价值变动损益</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40"/>
              <w:jc w:val="left"/>
              <w:rPr>
                <w:sz w:val="20"/>
                <w:szCs w:val="20"/>
              </w:rPr>
            </w:pPr>
            <w:r>
              <w:rPr>
                <w:rFonts w:ascii="Times New Roman" w:eastAsia="Times New Roman" w:hAnsi="Times New Roman" w:cs="Times New Roman"/>
                <w:color w:val="000000"/>
                <w:spacing w:val="0"/>
                <w:w w:val="100"/>
                <w:position w:val="0"/>
                <w:sz w:val="20"/>
                <w:szCs w:val="20"/>
              </w:rPr>
              <w:t>110,181</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158,299</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268,480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220,164</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left"/>
              <w:rPr>
                <w:sz w:val="20"/>
                <w:szCs w:val="20"/>
              </w:rPr>
            </w:pPr>
            <w:r>
              <w:rPr>
                <w:rFonts w:ascii="Times New Roman" w:eastAsia="Times New Roman" w:hAnsi="Times New Roman" w:cs="Times New Roman"/>
                <w:color w:val="000000"/>
                <w:spacing w:val="0"/>
                <w:w w:val="100"/>
                <w:position w:val="0"/>
                <w:sz w:val="20"/>
                <w:szCs w:val="20"/>
              </w:rPr>
              <w:t>(8,669)</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(52,841)</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158,299</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355</w:t>
            </w:r>
          </w:p>
        </w:tc>
      </w:tr>
      <w:tr>
        <w:trPr>
          <w:trHeight w:val="259"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外币报表折算差额</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(187,524)</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(19,123)</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(206,647)</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50,010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(19,123)</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69,133</w:t>
            </w:r>
          </w:p>
        </w:tc>
      </w:tr>
      <w:tr>
        <w:trPr>
          <w:trHeight w:val="355" w:hRule="exact"/>
        </w:trPr>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left"/>
              <w:rPr>
                <w:sz w:val="20"/>
                <w:szCs w:val="20"/>
              </w:rPr>
            </w:pPr>
            <w:r>
              <w:rPr>
                <w:rFonts w:ascii="Times New Roman" w:eastAsia="Times New Roman" w:hAnsi="Times New Roman" w:cs="Times New Roman"/>
                <w:color w:val="000000"/>
                <w:spacing w:val="0"/>
                <w:w w:val="100"/>
                <w:position w:val="0"/>
                <w:sz w:val="20"/>
                <w:szCs w:val="20"/>
              </w:rPr>
              <w:t>(77,343)</w:t>
            </w:r>
          </w:p>
        </w:tc>
        <w:tc>
          <w:tcPr>
            <w:tcBorders>
              <w:top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139,176</w:t>
            </w:r>
          </w:p>
        </w:tc>
        <w:tc>
          <w:tcPr>
            <w:tcBorders>
              <w:top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61,833</w:t>
            </w:r>
          </w:p>
        </w:tc>
        <w:tc>
          <w:tcPr>
            <w:tcBorders>
              <w:top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270,174</w:t>
            </w:r>
          </w:p>
        </w:tc>
        <w:tc>
          <w:tcPr>
            <w:tcBorders>
              <w:top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left"/>
              <w:rPr>
                <w:sz w:val="20"/>
                <w:szCs w:val="20"/>
              </w:rPr>
            </w:pPr>
            <w:r>
              <w:rPr>
                <w:rFonts w:ascii="Times New Roman" w:eastAsia="Times New Roman" w:hAnsi="Times New Roman" w:cs="Times New Roman"/>
                <w:color w:val="000000"/>
                <w:spacing w:val="0"/>
                <w:w w:val="100"/>
                <w:position w:val="0"/>
                <w:sz w:val="20"/>
                <w:szCs w:val="20"/>
              </w:rPr>
              <w:t>(8,669)</w:t>
            </w:r>
          </w:p>
        </w:tc>
        <w:tc>
          <w:tcPr>
            <w:tcBorders>
              <w:top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(52,841)</w:t>
            </w:r>
          </w:p>
        </w:tc>
        <w:tc>
          <w:tcPr>
            <w:tcBorders>
              <w:top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139,176</w:t>
            </w:r>
          </w:p>
        </w:tc>
        <w:tc>
          <w:tcPr>
            <w:tcBorders>
              <w:top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69,488</w:t>
            </w:r>
          </w:p>
        </w:tc>
      </w:tr>
    </w:tbl>
    <w:p>
      <w:pPr>
        <w:sectPr>
          <w:headerReference w:type="default" r:id="rId167"/>
          <w:footerReference w:type="default" r:id="rId168"/>
          <w:headerReference w:type="even" r:id="rId169"/>
          <w:footerReference w:type="even" r:id="rId170"/>
          <w:footnotePr>
            <w:pos w:val="pageBottom"/>
            <w:numFmt w:val="decimal"/>
            <w:numRestart w:val="continuous"/>
          </w:footnotePr>
          <w:pgSz w:w="16840" w:h="11900" w:orient="landscape"/>
          <w:pgMar w:top="1321" w:right="510" w:bottom="1321" w:left="1484" w:header="0" w:footer="3" w:gutter="0"/>
          <w:cols w:space="720"/>
          <w:noEndnote/>
          <w:rtlGutter w:val="0"/>
          <w:docGrid w:linePitch="360"/>
        </w:sectPr>
      </w:pPr>
    </w:p>
    <w:p>
      <w:pPr>
        <w:pStyle w:val="Style32"/>
        <w:keepNext w:val="0"/>
        <w:keepLines w:val="0"/>
        <w:widowControl w:val="0"/>
        <w:shd w:val="clear" w:color="auto" w:fill="auto"/>
        <w:bidi w:val="0"/>
        <w:spacing w:before="0" w:after="0" w:line="240" w:lineRule="auto"/>
        <w:ind w:left="0" w:right="0" w:firstLine="660"/>
        <w:jc w:val="left"/>
        <w:rPr>
          <w:sz w:val="24"/>
          <w:szCs w:val="24"/>
        </w:rPr>
      </w:pPr>
      <w:r>
        <w:rPr>
          <w:b/>
          <w:bCs/>
          <w:color w:val="000000"/>
          <w:spacing w:val="0"/>
          <w:w w:val="100"/>
          <w:position w:val="0"/>
          <w:sz w:val="24"/>
          <w:szCs w:val="24"/>
        </w:rPr>
        <w:t>财务报表附注</w:t>
      </w:r>
    </w:p>
    <w:p>
      <w:pPr>
        <w:pStyle w:val="Style88"/>
        <w:keepNext/>
        <w:keepLines/>
        <w:widowControl w:val="0"/>
        <w:shd w:val="clear" w:color="auto" w:fill="auto"/>
        <w:bidi w:val="0"/>
        <w:spacing w:before="0" w:after="0" w:line="240" w:lineRule="auto"/>
        <w:ind w:left="0" w:right="0" w:firstLine="660"/>
        <w:jc w:val="left"/>
      </w:pPr>
      <w:bookmarkStart w:id="973" w:name="bookmark973"/>
      <w:bookmarkStart w:id="974" w:name="bookmark974"/>
      <w:bookmarkStart w:id="975" w:name="bookmark975"/>
      <w:r>
        <w:rPr>
          <w:color w:val="000000"/>
          <w:spacing w:val="0"/>
          <w:w w:val="100"/>
          <w:position w:val="0"/>
          <w:sz w:val="24"/>
          <w:szCs w:val="24"/>
        </w:rPr>
        <w:t>2016</w:t>
      </w:r>
      <w:r>
        <w:rPr>
          <w:rFonts w:ascii="SimSun" w:eastAsia="SimSun" w:hAnsi="SimSun" w:cs="SimSun"/>
          <w:b/>
          <w:bCs/>
          <w:color w:val="000000"/>
          <w:spacing w:val="0"/>
          <w:w w:val="100"/>
          <w:position w:val="0"/>
          <w:sz w:val="24"/>
          <w:szCs w:val="24"/>
        </w:rPr>
        <w:t>年度</w:t>
      </w:r>
      <w:bookmarkEnd w:id="973"/>
      <w:bookmarkEnd w:id="974"/>
      <w:bookmarkEnd w:id="975"/>
    </w:p>
    <w:p>
      <w:pPr>
        <w:pStyle w:val="Style32"/>
        <w:keepNext w:val="0"/>
        <w:keepLines w:val="0"/>
        <w:widowControl w:val="0"/>
        <w:shd w:val="clear" w:color="auto" w:fill="auto"/>
        <w:bidi w:val="0"/>
        <w:spacing w:before="0" w:after="240" w:line="240" w:lineRule="auto"/>
        <w:ind w:left="0" w:right="0" w:firstLine="660"/>
        <w:jc w:val="left"/>
        <w:rPr>
          <w:sz w:val="24"/>
          <w:szCs w:val="24"/>
        </w:rPr>
      </w:pPr>
      <w:r>
        <w:rPr>
          <w:rFonts w:ascii="Arial" w:eastAsia="Arial" w:hAnsi="Arial" w:cs="Arial"/>
          <w:color w:val="000000"/>
          <w:spacing w:val="0"/>
          <w:w w:val="100"/>
          <w:position w:val="0"/>
          <w:sz w:val="20"/>
          <w:szCs w:val="20"/>
        </w:rPr>
        <w:t>（</w:t>
      </w:r>
      <w:r>
        <w:rPr>
          <w:color w:val="000000"/>
          <w:spacing w:val="0"/>
          <w:w w:val="100"/>
          <w:position w:val="0"/>
          <w:sz w:val="20"/>
          <w:szCs w:val="20"/>
        </w:rPr>
        <w:t>除特别注明外，金额单位为人民币千元</w:t>
      </w:r>
      <w:r>
        <w:rPr>
          <w:color w:val="000000"/>
          <w:spacing w:val="0"/>
          <w:w w:val="100"/>
          <w:position w:val="0"/>
          <w:sz w:val="24"/>
          <w:szCs w:val="24"/>
        </w:rPr>
        <w:t>）</w:t>
      </w:r>
    </w:p>
    <w:p>
      <w:pPr>
        <w:pStyle w:val="Style32"/>
        <w:keepNext w:val="0"/>
        <w:keepLines w:val="0"/>
        <w:widowControl w:val="0"/>
        <w:shd w:val="clear" w:color="auto" w:fill="auto"/>
        <w:tabs>
          <w:tab w:pos="614" w:val="left"/>
        </w:tabs>
        <w:bidi w:val="0"/>
        <w:spacing w:before="0" w:after="240" w:line="240" w:lineRule="auto"/>
        <w:ind w:left="0" w:right="0" w:firstLine="0"/>
        <w:jc w:val="left"/>
        <w:rPr>
          <w:sz w:val="24"/>
          <w:szCs w:val="24"/>
        </w:rPr>
      </w:pPr>
      <w:r>
        <w:rPr>
          <w:b/>
          <w:bCs/>
          <w:color w:val="000000"/>
          <w:spacing w:val="0"/>
          <w:w w:val="100"/>
          <w:position w:val="0"/>
          <w:sz w:val="24"/>
          <w:szCs w:val="24"/>
        </w:rPr>
        <w:t>四</w:t>
        <w:tab/>
        <w:t>合并财务报表项目附注</w:t>
      </w:r>
      <w:r>
        <w:rPr>
          <w:rFonts w:ascii="Times New Roman" w:eastAsia="Times New Roman" w:hAnsi="Times New Roman" w:cs="Times New Roman"/>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4"/>
          <w:szCs w:val="24"/>
        </w:rPr>
        <w:t>）</w:t>
      </w:r>
    </w:p>
    <w:p>
      <w:pPr>
        <w:pStyle w:val="Style32"/>
        <w:keepNext w:val="0"/>
        <w:keepLines w:val="0"/>
        <w:widowControl w:val="0"/>
        <w:shd w:val="clear" w:color="auto" w:fill="auto"/>
        <w:bidi w:val="0"/>
        <w:spacing w:before="0" w:after="30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（42）</w:t>
      </w:r>
      <w:r>
        <w:rPr>
          <w:b/>
          <w:bCs/>
          <w:color w:val="000000"/>
          <w:spacing w:val="0"/>
          <w:w w:val="100"/>
          <w:position w:val="0"/>
          <w:sz w:val="24"/>
          <w:szCs w:val="24"/>
        </w:rPr>
        <w:t>盈余公积</w:t>
      </w:r>
    </w:p>
    <w:p>
      <w:pPr>
        <w:pStyle w:val="Style53"/>
        <w:keepNext w:val="0"/>
        <w:keepLines w:val="0"/>
        <w:widowControl w:val="0"/>
        <w:shd w:val="clear" w:color="auto" w:fill="auto"/>
        <w:tabs>
          <w:tab w:pos="4848" w:val="left"/>
        </w:tabs>
        <w:bidi w:val="0"/>
        <w:spacing w:before="0" w:after="0" w:line="240" w:lineRule="auto"/>
        <w:ind w:left="0" w:right="560" w:firstLine="0"/>
        <w:jc w:val="right"/>
        <w:rPr>
          <w:sz w:val="24"/>
          <w:szCs w:val="24"/>
        </w:rPr>
      </w:pPr>
      <w:r>
        <w:rPr>
          <w:color w:val="000000"/>
          <w:spacing w:val="0"/>
          <w:w w:val="100"/>
          <w:position w:val="0"/>
          <w:sz w:val="24"/>
          <w:szCs w:val="24"/>
        </w:rPr>
        <w:t xml:space="preserve">2015 </w:t>
      </w:r>
      <w:r>
        <w:rPr>
          <w:rFonts w:ascii="SimSun" w:eastAsia="SimSun" w:hAnsi="SimSun" w:cs="SimSun"/>
          <w:color w:val="000000"/>
          <w:spacing w:val="0"/>
          <w:w w:val="100"/>
          <w:position w:val="0"/>
          <w:sz w:val="24"/>
          <w:szCs w:val="24"/>
        </w:rPr>
        <w:t>年</w:t>
        <w:tab/>
      </w:r>
      <w:r>
        <w:rPr>
          <w:color w:val="000000"/>
          <w:spacing w:val="0"/>
          <w:w w:val="100"/>
          <w:position w:val="0"/>
          <w:sz w:val="24"/>
          <w:szCs w:val="24"/>
        </w:rPr>
        <w:t xml:space="preserve">2016 </w:t>
      </w:r>
      <w:r>
        <w:rPr>
          <w:rFonts w:ascii="SimSun" w:eastAsia="SimSun" w:hAnsi="SimSun" w:cs="SimSun"/>
          <w:color w:val="000000"/>
          <w:spacing w:val="0"/>
          <w:w w:val="100"/>
          <w:position w:val="0"/>
          <w:sz w:val="24"/>
          <w:szCs w:val="24"/>
        </w:rPr>
        <w:t>年</w:t>
      </w:r>
    </w:p>
    <w:p>
      <w:pPr>
        <w:pStyle w:val="Style32"/>
        <w:keepNext w:val="0"/>
        <w:keepLines w:val="0"/>
        <w:widowControl w:val="0"/>
        <w:shd w:val="clear" w:color="auto" w:fill="auto"/>
        <w:tabs>
          <w:tab w:pos="1589" w:val="left"/>
          <w:tab w:pos="3240" w:val="left"/>
          <w:tab w:pos="4848" w:val="left"/>
        </w:tabs>
        <w:bidi w:val="0"/>
        <w:spacing w:before="0" w:after="300" w:line="240" w:lineRule="auto"/>
        <w:ind w:left="0" w:right="560" w:firstLine="0"/>
        <w:jc w:val="right"/>
        <w:rPr>
          <w:sz w:val="24"/>
          <w:szCs w:val="24"/>
        </w:rPr>
      </w:pP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w:t>
        <w:tab/>
        <w:t>本年提取</w:t>
        <w:tab/>
        <w:t>本年减少</w:t>
        <w:tab/>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w:t>
      </w:r>
    </w:p>
    <w:p>
      <w:pPr>
        <w:pStyle w:val="Style53"/>
        <w:keepNext w:val="0"/>
        <w:keepLines w:val="0"/>
        <w:widowControl w:val="0"/>
        <w:shd w:val="clear" w:color="auto" w:fill="auto"/>
        <w:tabs>
          <w:tab w:pos="2839" w:val="left"/>
          <w:tab w:pos="4610" w:val="left"/>
          <w:tab w:pos="5710" w:val="left"/>
          <w:tab w:leader="underscore" w:pos="6907" w:val="left"/>
        </w:tabs>
        <w:bidi w:val="0"/>
        <w:spacing w:before="0" w:after="240" w:line="240" w:lineRule="auto"/>
        <w:ind w:left="0" w:right="0" w:firstLine="660"/>
        <w:jc w:val="both"/>
        <w:rPr>
          <w:sz w:val="24"/>
          <w:szCs w:val="24"/>
        </w:rPr>
      </w:pPr>
      <w:r>
        <w:rPr>
          <w:rFonts w:ascii="SimSun" w:eastAsia="SimSun" w:hAnsi="SimSun" w:cs="SimSun"/>
          <w:color w:val="000000"/>
          <w:spacing w:val="0"/>
          <w:w w:val="100"/>
          <w:position w:val="0"/>
          <w:sz w:val="24"/>
          <w:szCs w:val="24"/>
        </w:rPr>
        <w:t>法定盈余公积金</w:t>
        <w:tab/>
      </w:r>
      <w:r>
        <w:rPr>
          <w:color w:val="000000"/>
          <w:spacing w:val="0"/>
          <w:w w:val="100"/>
          <w:position w:val="0"/>
          <w:sz w:val="24"/>
          <w:szCs w:val="24"/>
          <w:u w:val="single"/>
        </w:rPr>
        <w:t>1,160,735</w:t>
        <w:tab/>
        <w:t>126,184</w:t>
      </w:r>
      <w:r>
        <w:rPr>
          <w:color w:val="000000"/>
          <w:spacing w:val="0"/>
          <w:w w:val="100"/>
          <w:position w:val="0"/>
          <w:sz w:val="24"/>
          <w:szCs w:val="24"/>
        </w:rPr>
        <w:tab/>
        <w:tab/>
      </w:r>
      <w:r>
        <w:rPr>
          <w:color w:val="000000"/>
          <w:spacing w:val="0"/>
          <w:w w:val="100"/>
          <w:position w:val="0"/>
          <w:sz w:val="24"/>
          <w:szCs w:val="24"/>
          <w:vertAlign w:val="subscript"/>
        </w:rPr>
        <w:t>L</w:t>
      </w:r>
      <w:r>
        <w:rPr>
          <w:color w:val="000000"/>
          <w:spacing w:val="0"/>
          <w:w w:val="100"/>
          <w:position w:val="0"/>
          <w:sz w:val="24"/>
          <w:szCs w:val="24"/>
        </w:rPr>
        <w:t xml:space="preserve"> </w:t>
      </w:r>
      <w:r>
        <w:rPr>
          <w:color w:val="000000"/>
          <w:spacing w:val="0"/>
          <w:w w:val="100"/>
          <w:position w:val="0"/>
          <w:sz w:val="24"/>
          <w:szCs w:val="24"/>
          <w:u w:val="single"/>
        </w:rPr>
        <w:t>1,286,919</w:t>
      </w:r>
    </w:p>
    <w:p>
      <w:pPr>
        <w:pStyle w:val="Style53"/>
        <w:keepNext w:val="0"/>
        <w:keepLines w:val="0"/>
        <w:widowControl w:val="0"/>
        <w:shd w:val="clear" w:color="auto" w:fill="auto"/>
        <w:tabs>
          <w:tab w:pos="4848" w:val="left"/>
        </w:tabs>
        <w:bidi w:val="0"/>
        <w:spacing w:before="0" w:after="0" w:line="240" w:lineRule="auto"/>
        <w:ind w:left="0" w:right="560" w:firstLine="0"/>
        <w:jc w:val="right"/>
        <w:rPr>
          <w:sz w:val="24"/>
          <w:szCs w:val="24"/>
        </w:rPr>
      </w:pPr>
      <w:r>
        <w:rPr>
          <w:color w:val="000000"/>
          <w:spacing w:val="0"/>
          <w:w w:val="100"/>
          <w:position w:val="0"/>
          <w:sz w:val="24"/>
          <w:szCs w:val="24"/>
        </w:rPr>
        <w:t xml:space="preserve">2014 </w:t>
      </w:r>
      <w:r>
        <w:rPr>
          <w:rFonts w:ascii="SimSun" w:eastAsia="SimSun" w:hAnsi="SimSun" w:cs="SimSun"/>
          <w:color w:val="000000"/>
          <w:spacing w:val="0"/>
          <w:w w:val="100"/>
          <w:position w:val="0"/>
          <w:sz w:val="24"/>
          <w:szCs w:val="24"/>
        </w:rPr>
        <w:t>年</w:t>
        <w:tab/>
      </w:r>
      <w:r>
        <w:rPr>
          <w:color w:val="000000"/>
          <w:spacing w:val="0"/>
          <w:w w:val="100"/>
          <w:position w:val="0"/>
          <w:sz w:val="24"/>
          <w:szCs w:val="24"/>
        </w:rPr>
        <w:t xml:space="preserve">2015 </w:t>
      </w:r>
      <w:r>
        <w:rPr>
          <w:rFonts w:ascii="SimSun" w:eastAsia="SimSun" w:hAnsi="SimSun" w:cs="SimSun"/>
          <w:color w:val="000000"/>
          <w:spacing w:val="0"/>
          <w:w w:val="100"/>
          <w:position w:val="0"/>
          <w:sz w:val="24"/>
          <w:szCs w:val="24"/>
        </w:rPr>
        <w:t>年</w:t>
      </w:r>
    </w:p>
    <w:p>
      <w:pPr>
        <w:pStyle w:val="Style32"/>
        <w:keepNext w:val="0"/>
        <w:keepLines w:val="0"/>
        <w:widowControl w:val="0"/>
        <w:shd w:val="clear" w:color="auto" w:fill="auto"/>
        <w:tabs>
          <w:tab w:pos="1589" w:val="left"/>
          <w:tab w:pos="3240" w:val="left"/>
          <w:tab w:pos="4848" w:val="left"/>
        </w:tabs>
        <w:bidi w:val="0"/>
        <w:spacing w:before="0" w:after="300" w:line="240" w:lineRule="auto"/>
        <w:ind w:left="0" w:right="560" w:firstLine="0"/>
        <w:jc w:val="right"/>
        <w:rPr>
          <w:sz w:val="24"/>
          <w:szCs w:val="24"/>
        </w:rPr>
      </w:pP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w:t>
        <w:tab/>
        <w:t>本年提取</w:t>
        <w:tab/>
        <w:t>本年减少</w:t>
        <w:tab/>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w:t>
      </w:r>
    </w:p>
    <w:p>
      <w:pPr>
        <w:pStyle w:val="Style53"/>
        <w:keepNext w:val="0"/>
        <w:keepLines w:val="0"/>
        <w:widowControl w:val="0"/>
        <w:shd w:val="clear" w:color="auto" w:fill="auto"/>
        <w:tabs>
          <w:tab w:pos="2839" w:val="left"/>
          <w:tab w:leader="underscore" w:pos="5297" w:val="left"/>
          <w:tab w:pos="5710" w:val="left"/>
          <w:tab w:leader="underscore" w:pos="6907" w:val="left"/>
          <w:tab w:pos="7735" w:val="left"/>
        </w:tabs>
        <w:bidi w:val="0"/>
        <w:spacing w:before="0" w:after="240" w:line="240" w:lineRule="auto"/>
        <w:ind w:left="0" w:right="0" w:firstLine="660"/>
        <w:jc w:val="both"/>
        <w:rPr>
          <w:sz w:val="24"/>
          <w:szCs w:val="24"/>
        </w:rPr>
      </w:pPr>
      <w:r>
        <w:rPr>
          <w:rFonts w:ascii="SimSun" w:eastAsia="SimSun" w:hAnsi="SimSun" w:cs="SimSun"/>
          <w:color w:val="000000"/>
          <w:spacing w:val="0"/>
          <w:w w:val="100"/>
          <w:position w:val="0"/>
          <w:sz w:val="24"/>
          <w:szCs w:val="24"/>
        </w:rPr>
        <w:t>法定盈余公积金</w:t>
        <w:tab/>
      </w:r>
      <w:r>
        <w:rPr>
          <w:color w:val="000000"/>
          <w:spacing w:val="0"/>
          <w:w w:val="100"/>
          <w:position w:val="0"/>
          <w:sz w:val="24"/>
          <w:szCs w:val="24"/>
          <w:u w:val="single"/>
        </w:rPr>
        <w:t>1,160,735</w:t>
      </w:r>
      <w:r>
        <w:rPr>
          <w:color w:val="000000"/>
          <w:spacing w:val="0"/>
          <w:w w:val="100"/>
          <w:position w:val="0"/>
          <w:sz w:val="24"/>
          <w:szCs w:val="24"/>
        </w:rPr>
        <w:tab/>
        <w:t>-</w:t>
        <w:tab/>
        <w:tab/>
        <w:t>-</w:t>
        <w:tab/>
      </w:r>
      <w:r>
        <w:rPr>
          <w:color w:val="000000"/>
          <w:spacing w:val="0"/>
          <w:w w:val="100"/>
          <w:position w:val="0"/>
          <w:sz w:val="24"/>
          <w:szCs w:val="24"/>
          <w:u w:val="single"/>
        </w:rPr>
        <w:t>1,160,735</w:t>
      </w:r>
    </w:p>
    <w:p>
      <w:pPr>
        <w:pStyle w:val="Style32"/>
        <w:keepNext w:val="0"/>
        <w:keepLines w:val="0"/>
        <w:widowControl w:val="0"/>
        <w:shd w:val="clear" w:color="auto" w:fill="auto"/>
        <w:bidi w:val="0"/>
        <w:spacing w:before="0" w:after="240" w:line="309" w:lineRule="exact"/>
        <w:ind w:left="660" w:right="0" w:firstLine="20"/>
        <w:jc w:val="both"/>
        <w:rPr>
          <w:sz w:val="24"/>
          <w:szCs w:val="24"/>
        </w:rPr>
        <w:sectPr>
          <w:headerReference w:type="default" r:id="rId171"/>
          <w:footerReference w:type="default" r:id="rId172"/>
          <w:headerReference w:type="even" r:id="rId173"/>
          <w:footerReference w:type="even" r:id="rId174"/>
          <w:footnotePr>
            <w:pos w:val="pageBottom"/>
            <w:numFmt w:val="decimal"/>
            <w:numRestart w:val="continuous"/>
          </w:footnotePr>
          <w:pgSz w:w="11900" w:h="16840"/>
          <w:pgMar w:top="1326" w:right="803" w:bottom="1326" w:left="1765" w:header="0" w:footer="3" w:gutter="0"/>
          <w:cols w:space="720"/>
          <w:noEndnote/>
          <w:rtlGutter w:val="0"/>
          <w:docGrid w:linePitch="360"/>
        </w:sectPr>
      </w:pPr>
      <w:r>
        <w:rPr>
          <w:color w:val="000000"/>
          <w:spacing w:val="0"/>
          <w:w w:val="100"/>
          <w:position w:val="0"/>
          <w:sz w:val="24"/>
          <w:szCs w:val="24"/>
        </w:rPr>
        <w:t>根据《中华人民共和国公司法》及本公司章程，本公司按年度净利润的</w:t>
      </w:r>
      <w:r>
        <w:rPr>
          <w:rFonts w:ascii="Times New Roman" w:eastAsia="Times New Roman" w:hAnsi="Times New Roman" w:cs="Times New Roman"/>
          <w:color w:val="000000"/>
          <w:spacing w:val="0"/>
          <w:w w:val="100"/>
          <w:position w:val="0"/>
          <w:sz w:val="24"/>
          <w:szCs w:val="24"/>
        </w:rPr>
        <w:t xml:space="preserve">10% </w:t>
      </w:r>
      <w:r>
        <w:rPr>
          <w:color w:val="000000"/>
          <w:spacing w:val="0"/>
          <w:w w:val="100"/>
          <w:position w:val="0"/>
          <w:sz w:val="24"/>
          <w:szCs w:val="24"/>
        </w:rPr>
        <w:t>提取法定盈余公积金，当法定盈余公积金累计额达到注册资本的</w:t>
      </w:r>
      <w:r>
        <w:rPr>
          <w:rFonts w:ascii="Times New Roman" w:eastAsia="Times New Roman" w:hAnsi="Times New Roman" w:cs="Times New Roman"/>
          <w:color w:val="000000"/>
          <w:spacing w:val="0"/>
          <w:w w:val="100"/>
          <w:position w:val="0"/>
          <w:sz w:val="24"/>
          <w:szCs w:val="24"/>
        </w:rPr>
        <w:t>50%</w:t>
      </w:r>
      <w:r>
        <w:rPr>
          <w:color w:val="000000"/>
          <w:spacing w:val="0"/>
          <w:w w:val="100"/>
          <w:position w:val="0"/>
          <w:sz w:val="24"/>
          <w:szCs w:val="24"/>
        </w:rPr>
        <w:t>以上 时，可不再提取。当法定盈余公积金不足以弥补以前年度亏损时，应当先用 当年利润弥补亏损。法定盈余公积金经批准后可用于弥补亏损，或者增加股 本。经董事会决议，本公司</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 xml:space="preserve">年度按弥补以前年度亏损后的净利润之 </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提取法定盈余公积金约人民币</w:t>
      </w:r>
      <w:r>
        <w:rPr>
          <w:rFonts w:ascii="Times New Roman" w:eastAsia="Times New Roman" w:hAnsi="Times New Roman" w:cs="Times New Roman"/>
          <w:color w:val="000000"/>
          <w:spacing w:val="0"/>
          <w:w w:val="100"/>
          <w:position w:val="0"/>
          <w:sz w:val="24"/>
          <w:szCs w:val="24"/>
        </w:rPr>
        <w:t>1.26</w:t>
      </w:r>
      <w:r>
        <w:rPr>
          <w:color w:val="000000"/>
          <w:spacing w:val="0"/>
          <w:w w:val="100"/>
          <w:position w:val="0"/>
          <w:sz w:val="24"/>
          <w:szCs w:val="24"/>
        </w:rPr>
        <w:t>亿元</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sz w:val="24"/>
          <w:szCs w:val="24"/>
        </w:rPr>
        <w:t>年度：无</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w:t>
      </w:r>
    </w:p>
    <w:p>
      <w:pPr>
        <w:pStyle w:val="Style32"/>
        <w:keepNext w:val="0"/>
        <w:keepLines w:val="0"/>
        <w:widowControl w:val="0"/>
        <w:shd w:val="clear" w:color="auto" w:fill="auto"/>
        <w:bidi w:val="0"/>
        <w:spacing w:before="0" w:after="0" w:line="288" w:lineRule="exact"/>
        <w:ind w:left="660" w:right="0" w:firstLine="40"/>
        <w:jc w:val="left"/>
        <w:rPr>
          <w:sz w:val="24"/>
          <w:szCs w:val="24"/>
        </w:rPr>
      </w:pPr>
      <w:r>
        <w:rPr>
          <w:b/>
          <w:bCs/>
          <w:color w:val="000000"/>
          <w:spacing w:val="0"/>
          <w:w w:val="100"/>
          <w:position w:val="0"/>
          <w:sz w:val="24"/>
          <w:szCs w:val="24"/>
        </w:rPr>
        <w:t xml:space="preserve">财务报表附注 </w:t>
      </w:r>
      <w:r>
        <w:rPr>
          <w:rFonts w:ascii="Arial" w:eastAsia="Arial" w:hAnsi="Arial" w:cs="Arial"/>
          <w:color w:val="000000"/>
          <w:spacing w:val="0"/>
          <w:w w:val="100"/>
          <w:position w:val="0"/>
          <w:sz w:val="24"/>
          <w:szCs w:val="24"/>
        </w:rPr>
        <w:t>2016</w:t>
      </w:r>
      <w:r>
        <w:rPr>
          <w:b/>
          <w:bCs/>
          <w:color w:val="000000"/>
          <w:spacing w:val="0"/>
          <w:w w:val="100"/>
          <w:position w:val="0"/>
          <w:sz w:val="24"/>
          <w:szCs w:val="24"/>
        </w:rPr>
        <w:t>年度</w:t>
      </w:r>
    </w:p>
    <w:p>
      <w:pPr>
        <w:pStyle w:val="Style32"/>
        <w:keepNext w:val="0"/>
        <w:keepLines w:val="0"/>
        <w:widowControl w:val="0"/>
        <w:shd w:val="clear" w:color="auto" w:fill="auto"/>
        <w:bidi w:val="0"/>
        <w:spacing w:before="0" w:after="240" w:line="240" w:lineRule="auto"/>
        <w:ind w:left="0" w:right="0" w:firstLine="660"/>
        <w:jc w:val="both"/>
        <w:rPr>
          <w:sz w:val="20"/>
          <w:szCs w:val="20"/>
        </w:rPr>
      </w:pPr>
      <w:r>
        <w:rPr>
          <w:rFonts w:ascii="Arial" w:eastAsia="Arial" w:hAnsi="Arial" w:cs="Arial"/>
          <w:color w:val="000000"/>
          <w:spacing w:val="0"/>
          <w:w w:val="100"/>
          <w:position w:val="0"/>
          <w:sz w:val="20"/>
          <w:szCs w:val="20"/>
        </w:rPr>
        <w:t>(</w:t>
      </w:r>
      <w:r>
        <w:rPr>
          <w:color w:val="000000"/>
          <w:spacing w:val="0"/>
          <w:w w:val="100"/>
          <w:position w:val="0"/>
          <w:sz w:val="20"/>
          <w:szCs w:val="20"/>
        </w:rPr>
        <w:t>除特别注明外，金额单位为人民币千元</w:t>
      </w:r>
      <w:r>
        <w:rPr>
          <w:rFonts w:ascii="Arial" w:eastAsia="Arial" w:hAnsi="Arial" w:cs="Arial"/>
          <w:color w:val="000000"/>
          <w:spacing w:val="0"/>
          <w:w w:val="100"/>
          <w:position w:val="0"/>
          <w:sz w:val="20"/>
          <w:szCs w:val="20"/>
        </w:rPr>
        <w:t>)</w:t>
      </w:r>
    </w:p>
    <w:p>
      <w:pPr>
        <w:pStyle w:val="Style32"/>
        <w:keepNext w:val="0"/>
        <w:keepLines w:val="0"/>
        <w:widowControl w:val="0"/>
        <w:shd w:val="clear" w:color="auto" w:fill="auto"/>
        <w:tabs>
          <w:tab w:pos="672" w:val="left"/>
        </w:tabs>
        <w:bidi w:val="0"/>
        <w:spacing w:before="0" w:after="240" w:line="240" w:lineRule="auto"/>
        <w:ind w:left="0" w:right="0" w:firstLine="0"/>
        <w:jc w:val="left"/>
        <w:rPr>
          <w:sz w:val="24"/>
          <w:szCs w:val="24"/>
        </w:rPr>
      </w:pPr>
      <w:r>
        <w:rPr>
          <w:b/>
          <w:bCs/>
          <w:color w:val="000000"/>
          <w:spacing w:val="0"/>
          <w:w w:val="100"/>
          <w:position w:val="0"/>
          <w:sz w:val="24"/>
          <w:szCs w:val="24"/>
        </w:rPr>
        <w:t>四</w:t>
        <w:tab/>
        <w:t>合并财务报表项目附注</w:t>
      </w:r>
      <w:r>
        <w:rPr>
          <w:rFonts w:ascii="Times New Roman" w:eastAsia="Times New Roman" w:hAnsi="Times New Roman" w:cs="Times New Roman"/>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4"/>
          <w:szCs w:val="24"/>
        </w:rPr>
        <w:t>)</w:t>
      </w:r>
    </w:p>
    <w:p>
      <w:pPr>
        <w:pStyle w:val="Style32"/>
        <w:keepNext w:val="0"/>
        <w:keepLines w:val="0"/>
        <w:widowControl w:val="0"/>
        <w:shd w:val="clear" w:color="auto" w:fill="auto"/>
        <w:bidi w:val="0"/>
        <w:spacing w:before="0" w:after="24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(43)</w:t>
      </w:r>
      <w:r>
        <w:rPr>
          <w:b/>
          <w:bCs/>
          <w:color w:val="000000"/>
          <w:spacing w:val="0"/>
          <w:w w:val="100"/>
          <w:position w:val="0"/>
          <w:sz w:val="24"/>
          <w:szCs w:val="24"/>
        </w:rPr>
        <w:t>未分配利润</w:t>
      </w:r>
    </w:p>
    <w:p>
      <w:pPr>
        <w:pStyle w:val="Style25"/>
        <w:keepNext w:val="0"/>
        <w:keepLines w:val="0"/>
        <w:widowControl w:val="0"/>
        <w:shd w:val="clear" w:color="auto" w:fill="auto"/>
        <w:tabs>
          <w:tab w:pos="2549" w:val="left"/>
        </w:tabs>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年度</w:t>
        <w:tab/>
      </w:r>
      <w:r>
        <w:rPr>
          <w:rFonts w:ascii="Times New Roman" w:eastAsia="Times New Roman" w:hAnsi="Times New Roman" w:cs="Times New Roman"/>
          <w:color w:val="000000"/>
          <w:spacing w:val="0"/>
          <w:w w:val="100"/>
          <w:position w:val="0"/>
          <w:sz w:val="24"/>
          <w:szCs w:val="24"/>
        </w:rPr>
        <w:t>2015</w:t>
      </w:r>
      <w:r>
        <w:rPr>
          <w:color w:val="000000"/>
          <w:spacing w:val="0"/>
          <w:w w:val="100"/>
          <w:position w:val="0"/>
          <w:sz w:val="24"/>
          <w:szCs w:val="24"/>
        </w:rPr>
        <w:t>年度</w:t>
      </w:r>
    </w:p>
    <w:tbl>
      <w:tblPr>
        <w:tblOverlap w:val="never"/>
        <w:jc w:val="right"/>
        <w:tblLayout w:type="fixed"/>
      </w:tblPr>
      <w:tblGrid>
        <w:gridCol w:w="4363"/>
        <w:gridCol w:w="2371"/>
        <w:gridCol w:w="1915"/>
      </w:tblGrid>
      <w:tr>
        <w:trPr>
          <w:trHeight w:val="293"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年初未分配利润</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00"/>
              <w:jc w:val="left"/>
              <w:rPr>
                <w:sz w:val="24"/>
                <w:szCs w:val="24"/>
              </w:rPr>
            </w:pPr>
            <w:r>
              <w:rPr>
                <w:rFonts w:ascii="Times New Roman" w:eastAsia="Times New Roman" w:hAnsi="Times New Roman" w:cs="Times New Roman"/>
                <w:color w:val="000000"/>
                <w:spacing w:val="0"/>
                <w:w w:val="100"/>
                <w:position w:val="0"/>
                <w:sz w:val="24"/>
                <w:szCs w:val="24"/>
              </w:rPr>
              <w:t>16,611,341</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60"/>
              <w:jc w:val="both"/>
              <w:rPr>
                <w:sz w:val="24"/>
                <w:szCs w:val="24"/>
              </w:rPr>
            </w:pPr>
            <w:r>
              <w:rPr>
                <w:rFonts w:ascii="Times New Roman" w:eastAsia="Times New Roman" w:hAnsi="Times New Roman" w:cs="Times New Roman"/>
                <w:color w:val="000000"/>
                <w:spacing w:val="0"/>
                <w:w w:val="100"/>
                <w:position w:val="0"/>
                <w:sz w:val="24"/>
                <w:szCs w:val="24"/>
              </w:rPr>
              <w:t>16,125,532</w:t>
            </w:r>
          </w:p>
        </w:tc>
      </w:tr>
      <w:tr>
        <w:trPr>
          <w:trHeight w:val="312"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加：本年归属于本公司股东的净利润</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704,414</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140" w:firstLine="0"/>
              <w:jc w:val="right"/>
              <w:rPr>
                <w:sz w:val="24"/>
                <w:szCs w:val="24"/>
              </w:rPr>
            </w:pPr>
            <w:r>
              <w:rPr>
                <w:rFonts w:ascii="Times New Roman" w:eastAsia="Times New Roman" w:hAnsi="Times New Roman" w:cs="Times New Roman"/>
                <w:color w:val="000000"/>
                <w:spacing w:val="0"/>
                <w:w w:val="100"/>
                <w:position w:val="0"/>
                <w:sz w:val="24"/>
                <w:szCs w:val="24"/>
              </w:rPr>
              <w:t>872,504</w:t>
            </w:r>
          </w:p>
        </w:tc>
      </w:tr>
      <w:tr>
        <w:trPr>
          <w:trHeight w:val="326"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减：提取盈余公积</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附注四</w:t>
            </w:r>
            <w:r>
              <w:rPr>
                <w:rFonts w:ascii="Times New Roman" w:eastAsia="Times New Roman" w:hAnsi="Times New Roman" w:cs="Times New Roman"/>
                <w:color w:val="000000"/>
                <w:spacing w:val="0"/>
                <w:w w:val="100"/>
                <w:position w:val="0"/>
                <w:sz w:val="24"/>
                <w:szCs w:val="24"/>
              </w:rPr>
              <w:t>(42))</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(126,184)</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140" w:firstLine="0"/>
              <w:jc w:val="right"/>
              <w:rPr>
                <w:sz w:val="24"/>
                <w:szCs w:val="24"/>
              </w:rPr>
            </w:pPr>
            <w:r>
              <w:rPr>
                <w:rFonts w:ascii="Times New Roman" w:eastAsia="Times New Roman" w:hAnsi="Times New Roman" w:cs="Times New Roman"/>
                <w:color w:val="000000"/>
                <w:spacing w:val="0"/>
                <w:w w:val="100"/>
                <w:position w:val="0"/>
                <w:sz w:val="24"/>
                <w:szCs w:val="24"/>
              </w:rPr>
              <w:t>-</w:t>
            </w:r>
          </w:p>
        </w:tc>
      </w:tr>
      <w:tr>
        <w:trPr>
          <w:trHeight w:val="322"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60"/>
              <w:jc w:val="left"/>
              <w:rPr>
                <w:sz w:val="24"/>
                <w:szCs w:val="24"/>
              </w:rPr>
            </w:pPr>
            <w:r>
              <w:rPr>
                <w:color w:val="000000"/>
                <w:spacing w:val="0"/>
                <w:w w:val="100"/>
                <w:position w:val="0"/>
                <w:sz w:val="24"/>
                <w:szCs w:val="24"/>
              </w:rPr>
              <w:t>提取一般风险准备</w:t>
            </w:r>
            <w:r>
              <w:rPr>
                <w:rFonts w:ascii="Times New Roman" w:eastAsia="Times New Roman" w:hAnsi="Times New Roman" w:cs="Times New Roman"/>
                <w:color w:val="000000"/>
                <w:spacing w:val="0"/>
                <w:w w:val="100"/>
                <w:position w:val="0"/>
                <w:sz w:val="24"/>
                <w:szCs w:val="24"/>
              </w:rPr>
              <w:t>(a)</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20"/>
              <w:jc w:val="left"/>
              <w:rPr>
                <w:sz w:val="24"/>
                <w:szCs w:val="24"/>
              </w:rPr>
            </w:pPr>
            <w:r>
              <w:rPr>
                <w:rFonts w:ascii="Times New Roman" w:eastAsia="Times New Roman" w:hAnsi="Times New Roman" w:cs="Times New Roman"/>
                <w:color w:val="000000"/>
                <w:spacing w:val="0"/>
                <w:w w:val="100"/>
                <w:position w:val="0"/>
                <w:sz w:val="24"/>
                <w:szCs w:val="24"/>
              </w:rPr>
              <w:t>(103,613)</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(17,543)</w:t>
            </w:r>
          </w:p>
        </w:tc>
      </w:tr>
      <w:tr>
        <w:trPr>
          <w:trHeight w:val="293"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60"/>
              <w:jc w:val="left"/>
              <w:rPr>
                <w:sz w:val="24"/>
                <w:szCs w:val="24"/>
              </w:rPr>
            </w:pPr>
            <w:r>
              <w:rPr>
                <w:color w:val="000000"/>
                <w:spacing w:val="0"/>
                <w:w w:val="100"/>
                <w:position w:val="0"/>
                <w:sz w:val="24"/>
                <w:szCs w:val="24"/>
              </w:rPr>
              <w:t>应付普通股股利</w:t>
            </w:r>
            <w:r>
              <w:rPr>
                <w:rFonts w:ascii="Times New Roman" w:eastAsia="Times New Roman" w:hAnsi="Times New Roman" w:cs="Times New Roman"/>
                <w:color w:val="000000"/>
                <w:spacing w:val="0"/>
                <w:w w:val="100"/>
                <w:position w:val="0"/>
                <w:sz w:val="24"/>
                <w:szCs w:val="24"/>
              </w:rPr>
              <w:t>(b)</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20"/>
              <w:jc w:val="left"/>
              <w:rPr>
                <w:sz w:val="24"/>
                <w:szCs w:val="24"/>
              </w:rPr>
            </w:pPr>
            <w:r>
              <w:rPr>
                <w:rFonts w:ascii="Times New Roman" w:eastAsia="Times New Roman" w:hAnsi="Times New Roman" w:cs="Times New Roman"/>
                <w:color w:val="000000"/>
                <w:spacing w:val="0"/>
                <w:w w:val="100"/>
                <w:position w:val="0"/>
                <w:sz w:val="24"/>
                <w:szCs w:val="24"/>
              </w:rPr>
              <w:t>(442,983)</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(369,152)</w:t>
            </w:r>
          </w:p>
        </w:tc>
      </w:tr>
      <w:tr>
        <w:trPr>
          <w:trHeight w:val="341" w:hRule="exact"/>
        </w:trPr>
        <w:tc>
          <w:tcPr>
            <w:tcBorders>
              <w:top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年末未分配利润</w:t>
            </w:r>
          </w:p>
        </w:tc>
        <w:tc>
          <w:tcPr>
            <w:tcBorders>
              <w:top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00"/>
              <w:jc w:val="left"/>
              <w:rPr>
                <w:sz w:val="24"/>
                <w:szCs w:val="24"/>
              </w:rPr>
            </w:pPr>
            <w:r>
              <w:rPr>
                <w:rFonts w:ascii="Times New Roman" w:eastAsia="Times New Roman" w:hAnsi="Times New Roman" w:cs="Times New Roman"/>
                <w:color w:val="000000"/>
                <w:spacing w:val="0"/>
                <w:w w:val="100"/>
                <w:position w:val="0"/>
                <w:sz w:val="24"/>
                <w:szCs w:val="24"/>
              </w:rPr>
              <w:t>16,642,975</w:t>
            </w:r>
          </w:p>
        </w:tc>
        <w:tc>
          <w:tcPr>
            <w:tcBorders>
              <w:top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60"/>
              <w:jc w:val="both"/>
              <w:rPr>
                <w:sz w:val="24"/>
                <w:szCs w:val="24"/>
              </w:rPr>
            </w:pPr>
            <w:r>
              <w:rPr>
                <w:rFonts w:ascii="Times New Roman" w:eastAsia="Times New Roman" w:hAnsi="Times New Roman" w:cs="Times New Roman"/>
                <w:color w:val="000000"/>
                <w:spacing w:val="0"/>
                <w:w w:val="100"/>
                <w:position w:val="0"/>
                <w:sz w:val="24"/>
                <w:szCs w:val="24"/>
              </w:rPr>
              <w:t>16,611,341</w:t>
            </w:r>
          </w:p>
        </w:tc>
      </w:tr>
    </w:tbl>
    <w:p>
      <w:pPr>
        <w:widowControl w:val="0"/>
        <w:spacing w:after="239" w:line="1" w:lineRule="exact"/>
      </w:pPr>
    </w:p>
    <w:p>
      <w:pPr>
        <w:pStyle w:val="Style32"/>
        <w:keepNext w:val="0"/>
        <w:keepLines w:val="0"/>
        <w:widowControl w:val="0"/>
        <w:numPr>
          <w:ilvl w:val="0"/>
          <w:numId w:val="83"/>
        </w:numPr>
        <w:shd w:val="clear" w:color="auto" w:fill="auto"/>
        <w:tabs>
          <w:tab w:pos="672" w:val="left"/>
        </w:tabs>
        <w:bidi w:val="0"/>
        <w:spacing w:before="0" w:after="300" w:line="314" w:lineRule="exact"/>
        <w:ind w:left="660" w:right="0" w:hanging="660"/>
        <w:jc w:val="both"/>
        <w:rPr>
          <w:sz w:val="24"/>
          <w:szCs w:val="24"/>
        </w:rPr>
      </w:pPr>
      <w:bookmarkStart w:id="976" w:name="bookmark976"/>
      <w:bookmarkEnd w:id="976"/>
      <w:r>
        <w:rPr>
          <w:color w:val="000000"/>
          <w:spacing w:val="0"/>
          <w:w w:val="100"/>
          <w:position w:val="0"/>
          <w:sz w:val="24"/>
          <w:szCs w:val="24"/>
        </w:rPr>
        <w:t>根据财政部于</w:t>
      </w:r>
      <w:r>
        <w:rPr>
          <w:rFonts w:ascii="Times New Roman" w:eastAsia="Times New Roman" w:hAnsi="Times New Roman" w:cs="Times New Roman"/>
          <w:color w:val="000000"/>
          <w:spacing w:val="0"/>
          <w:w w:val="100"/>
          <w:position w:val="0"/>
          <w:sz w:val="24"/>
          <w:szCs w:val="24"/>
        </w:rPr>
        <w:t>2012</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30</w:t>
      </w:r>
      <w:r>
        <w:rPr>
          <w:color w:val="000000"/>
          <w:spacing w:val="0"/>
          <w:w w:val="100"/>
          <w:position w:val="0"/>
          <w:sz w:val="24"/>
          <w:szCs w:val="24"/>
        </w:rPr>
        <w:t>日颁布的《金融企业准备金计提管理办法》</w:t>
      </w:r>
      <w:r>
        <w:rPr>
          <w:color w:val="000000"/>
          <w:spacing w:val="0"/>
          <w:w w:val="100"/>
          <w:position w:val="0"/>
          <w:sz w:val="24"/>
          <w:szCs w:val="24"/>
        </w:rPr>
        <w:t>(</w:t>
      </w:r>
      <w:r>
        <w:rPr>
          <w:color w:val="000000"/>
          <w:spacing w:val="0"/>
          <w:w w:val="100"/>
          <w:position w:val="0"/>
          <w:sz w:val="24"/>
          <w:szCs w:val="24"/>
        </w:rPr>
        <w:t xml:space="preserve">财金 </w:t>
      </w:r>
      <w:r>
        <w:rPr>
          <w:rFonts w:ascii="Times New Roman" w:eastAsia="Times New Roman" w:hAnsi="Times New Roman" w:cs="Times New Roman"/>
          <w:color w:val="000000"/>
          <w:spacing w:val="0"/>
          <w:w w:val="100"/>
          <w:position w:val="0"/>
          <w:sz w:val="24"/>
          <w:szCs w:val="24"/>
        </w:rPr>
        <w:t>[2012]20</w:t>
      </w:r>
      <w:r>
        <w:rPr>
          <w:color w:val="000000"/>
          <w:spacing w:val="0"/>
          <w:w w:val="100"/>
          <w:position w:val="0"/>
          <w:sz w:val="24"/>
          <w:szCs w:val="24"/>
        </w:rPr>
        <w:t>号</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，要求金融企业计提的一般风险准备余额原则上不得低于风险资产期 末余额的</w:t>
      </w:r>
      <w:r>
        <w:rPr>
          <w:rFonts w:ascii="Times New Roman" w:eastAsia="Times New Roman" w:hAnsi="Times New Roman" w:cs="Times New Roman"/>
          <w:color w:val="000000"/>
          <w:spacing w:val="0"/>
          <w:w w:val="100"/>
          <w:position w:val="0"/>
          <w:sz w:val="24"/>
          <w:szCs w:val="24"/>
        </w:rPr>
        <w:t>1.5%</w:t>
      </w:r>
      <w:r>
        <w:rPr>
          <w:color w:val="000000"/>
          <w:spacing w:val="0"/>
          <w:w w:val="100"/>
          <w:position w:val="0"/>
          <w:sz w:val="24"/>
          <w:szCs w:val="24"/>
        </w:rPr>
        <w:t>,难以一次性达到</w:t>
      </w:r>
      <w:r>
        <w:rPr>
          <w:rFonts w:ascii="Times New Roman" w:eastAsia="Times New Roman" w:hAnsi="Times New Roman" w:cs="Times New Roman"/>
          <w:color w:val="000000"/>
          <w:spacing w:val="0"/>
          <w:w w:val="100"/>
          <w:position w:val="0"/>
          <w:sz w:val="24"/>
          <w:szCs w:val="24"/>
        </w:rPr>
        <w:t>1.5%</w:t>
      </w:r>
      <w:r>
        <w:rPr>
          <w:color w:val="000000"/>
          <w:spacing w:val="0"/>
          <w:w w:val="100"/>
          <w:position w:val="0"/>
          <w:sz w:val="24"/>
          <w:szCs w:val="24"/>
        </w:rPr>
        <w:t>的，于自</w:t>
      </w:r>
      <w:r>
        <w:rPr>
          <w:rFonts w:ascii="Times New Roman" w:eastAsia="Times New Roman" w:hAnsi="Times New Roman" w:cs="Times New Roman"/>
          <w:color w:val="000000"/>
          <w:spacing w:val="0"/>
          <w:w w:val="100"/>
          <w:position w:val="0"/>
          <w:sz w:val="24"/>
          <w:szCs w:val="24"/>
        </w:rPr>
        <w:t>2012</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7</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日起分</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年到位， 原则上不得超过</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年。据此，本集团下属金融企业从净利润中提取一定金额作为 一般风险准备，用于部分弥补尚未识别的可能性损失。</w:t>
      </w:r>
    </w:p>
    <w:p>
      <w:pPr>
        <w:pStyle w:val="Style32"/>
        <w:keepNext w:val="0"/>
        <w:keepLines w:val="0"/>
        <w:widowControl w:val="0"/>
        <w:numPr>
          <w:ilvl w:val="0"/>
          <w:numId w:val="83"/>
        </w:numPr>
        <w:shd w:val="clear" w:color="auto" w:fill="auto"/>
        <w:tabs>
          <w:tab w:pos="672" w:val="left"/>
        </w:tabs>
        <w:bidi w:val="0"/>
        <w:spacing w:before="0" w:after="240" w:line="310" w:lineRule="exact"/>
        <w:ind w:left="660" w:right="0" w:hanging="660"/>
        <w:jc w:val="both"/>
        <w:rPr>
          <w:sz w:val="24"/>
          <w:szCs w:val="24"/>
        </w:rPr>
      </w:pPr>
      <w:bookmarkStart w:id="977" w:name="bookmark977"/>
      <w:bookmarkEnd w:id="977"/>
      <w:r>
        <w:rPr>
          <w:color w:val="000000"/>
          <w:spacing w:val="0"/>
          <w:w w:val="100"/>
          <w:position w:val="0"/>
          <w:sz w:val="24"/>
          <w:szCs w:val="24"/>
        </w:rPr>
        <w:t>根据</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21</w:t>
      </w:r>
      <w:r>
        <w:rPr>
          <w:color w:val="000000"/>
          <w:spacing w:val="0"/>
          <w:w w:val="100"/>
          <w:position w:val="0"/>
          <w:sz w:val="24"/>
          <w:szCs w:val="24"/>
        </w:rPr>
        <w:t>日股东大会决议，本公司向全体股东派发现金股利，每</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股 派发现金股利人民币</w:t>
      </w:r>
      <w:r>
        <w:rPr>
          <w:rFonts w:ascii="Times New Roman" w:eastAsia="Times New Roman" w:hAnsi="Times New Roman" w:cs="Times New Roman"/>
          <w:color w:val="000000"/>
          <w:spacing w:val="0"/>
          <w:w w:val="100"/>
          <w:position w:val="0"/>
          <w:sz w:val="24"/>
          <w:szCs w:val="24"/>
        </w:rPr>
        <w:t>0.6</w:t>
      </w:r>
      <w:r>
        <w:rPr>
          <w:color w:val="000000"/>
          <w:spacing w:val="0"/>
          <w:w w:val="100"/>
          <w:position w:val="0"/>
          <w:sz w:val="24"/>
          <w:szCs w:val="24"/>
        </w:rPr>
        <w:t>元</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含税</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，按已发行股份</w:t>
      </w:r>
      <w:r>
        <w:rPr>
          <w:rFonts w:ascii="Times New Roman" w:eastAsia="Times New Roman" w:hAnsi="Times New Roman" w:cs="Times New Roman"/>
          <w:color w:val="000000"/>
          <w:spacing w:val="0"/>
          <w:w w:val="100"/>
          <w:position w:val="0"/>
          <w:sz w:val="24"/>
          <w:szCs w:val="24"/>
        </w:rPr>
        <w:t>7,383,043,150</w:t>
      </w:r>
      <w:r>
        <w:rPr>
          <w:color w:val="000000"/>
          <w:spacing w:val="0"/>
          <w:w w:val="100"/>
          <w:position w:val="0"/>
          <w:sz w:val="24"/>
          <w:szCs w:val="24"/>
        </w:rPr>
        <w:t>股为基数，共计 约人民币</w:t>
      </w:r>
      <w:r>
        <w:rPr>
          <w:rFonts w:ascii="Times New Roman" w:eastAsia="Times New Roman" w:hAnsi="Times New Roman" w:cs="Times New Roman"/>
          <w:color w:val="000000"/>
          <w:spacing w:val="0"/>
          <w:w w:val="100"/>
          <w:position w:val="0"/>
          <w:sz w:val="24"/>
          <w:szCs w:val="24"/>
        </w:rPr>
        <w:t>4.43</w:t>
      </w:r>
      <w:r>
        <w:rPr>
          <w:color w:val="000000"/>
          <w:spacing w:val="0"/>
          <w:w w:val="100"/>
          <w:position w:val="0"/>
          <w:sz w:val="24"/>
          <w:szCs w:val="24"/>
        </w:rPr>
        <w:t>亿元。</w:t>
      </w:r>
    </w:p>
    <w:p>
      <w:pPr>
        <w:pStyle w:val="Style32"/>
        <w:keepNext w:val="0"/>
        <w:keepLines w:val="0"/>
        <w:widowControl w:val="0"/>
        <w:shd w:val="clear" w:color="auto" w:fill="auto"/>
        <w:bidi w:val="0"/>
        <w:spacing w:before="0" w:after="240" w:line="309" w:lineRule="exact"/>
        <w:ind w:left="660" w:right="0" w:firstLine="40"/>
        <w:jc w:val="both"/>
        <w:rPr>
          <w:sz w:val="24"/>
          <w:szCs w:val="24"/>
        </w:rPr>
      </w:pPr>
      <w:r>
        <w:rPr>
          <w:color w:val="000000"/>
          <w:spacing w:val="0"/>
          <w:w w:val="100"/>
          <w:position w:val="0"/>
          <w:sz w:val="24"/>
          <w:szCs w:val="24"/>
        </w:rPr>
        <w:t>根据</w:t>
      </w:r>
      <w:r>
        <w:rPr>
          <w:rFonts w:ascii="Times New Roman" w:eastAsia="Times New Roman" w:hAnsi="Times New Roman" w:cs="Times New Roman"/>
          <w:color w:val="000000"/>
          <w:spacing w:val="0"/>
          <w:w w:val="100"/>
          <w:position w:val="0"/>
          <w:sz w:val="24"/>
          <w:szCs w:val="24"/>
        </w:rPr>
        <w:t>2017</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29</w:t>
      </w:r>
      <w:r>
        <w:rPr>
          <w:color w:val="000000"/>
          <w:spacing w:val="0"/>
          <w:w w:val="100"/>
          <w:position w:val="0"/>
          <w:sz w:val="24"/>
          <w:szCs w:val="24"/>
        </w:rPr>
        <w:t>日董事会决议，董事会提议本公司向全体股东派发现金股 利，每</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股派发现金股利人民币</w:t>
      </w:r>
      <w:r>
        <w:rPr>
          <w:rFonts w:ascii="Times New Roman" w:eastAsia="Times New Roman" w:hAnsi="Times New Roman" w:cs="Times New Roman"/>
          <w:color w:val="000000"/>
          <w:spacing w:val="0"/>
          <w:w w:val="100"/>
          <w:position w:val="0"/>
          <w:sz w:val="24"/>
          <w:szCs w:val="24"/>
        </w:rPr>
        <w:t>0.7</w:t>
      </w:r>
      <w:r>
        <w:rPr>
          <w:color w:val="000000"/>
          <w:spacing w:val="0"/>
          <w:w w:val="100"/>
          <w:position w:val="0"/>
          <w:sz w:val="24"/>
          <w:szCs w:val="24"/>
        </w:rPr>
        <w:t>元</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含税</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，按已发行股份</w:t>
      </w:r>
      <w:r>
        <w:rPr>
          <w:rFonts w:ascii="Times New Roman" w:eastAsia="Times New Roman" w:hAnsi="Times New Roman" w:cs="Times New Roman"/>
          <w:color w:val="000000"/>
          <w:spacing w:val="0"/>
          <w:w w:val="100"/>
          <w:position w:val="0"/>
          <w:sz w:val="24"/>
          <w:szCs w:val="24"/>
        </w:rPr>
        <w:t>9,310,039,655</w:t>
      </w:r>
      <w:r>
        <w:rPr>
          <w:color w:val="000000"/>
          <w:spacing w:val="0"/>
          <w:w w:val="100"/>
          <w:position w:val="0"/>
          <w:sz w:val="24"/>
          <w:szCs w:val="24"/>
        </w:rPr>
        <w:t>股为 基数，拟派发现金股利共计约人民币</w:t>
      </w:r>
      <w:r>
        <w:rPr>
          <w:rFonts w:ascii="Times New Roman" w:eastAsia="Times New Roman" w:hAnsi="Times New Roman" w:cs="Times New Roman"/>
          <w:color w:val="000000"/>
          <w:spacing w:val="0"/>
          <w:w w:val="100"/>
          <w:position w:val="0"/>
          <w:sz w:val="24"/>
          <w:szCs w:val="24"/>
        </w:rPr>
        <w:t>6.52</w:t>
      </w:r>
      <w:r>
        <w:rPr>
          <w:color w:val="000000"/>
          <w:spacing w:val="0"/>
          <w:w w:val="100"/>
          <w:position w:val="0"/>
          <w:sz w:val="24"/>
          <w:szCs w:val="24"/>
        </w:rPr>
        <w:t>亿元，上述提议尚待股东大会批准</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附 注十二</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w:t>
      </w:r>
    </w:p>
    <w:p>
      <w:pPr>
        <w:pStyle w:val="Style32"/>
        <w:keepNext w:val="0"/>
        <w:keepLines w:val="0"/>
        <w:widowControl w:val="0"/>
        <w:shd w:val="clear" w:color="auto" w:fill="auto"/>
        <w:bidi w:val="0"/>
        <w:spacing w:before="0" w:after="30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(44)</w:t>
      </w:r>
      <w:r>
        <w:rPr>
          <w:b/>
          <w:bCs/>
          <w:color w:val="000000"/>
          <w:spacing w:val="0"/>
          <w:w w:val="100"/>
          <w:position w:val="0"/>
          <w:sz w:val="24"/>
          <w:szCs w:val="24"/>
        </w:rPr>
        <w:t>营业收入和营业成本</w:t>
      </w:r>
    </w:p>
    <w:tbl>
      <w:tblPr>
        <w:tblOverlap w:val="never"/>
        <w:jc w:val="center"/>
        <w:tblLayout w:type="fixed"/>
      </w:tblPr>
      <w:tblGrid>
        <w:gridCol w:w="3158"/>
        <w:gridCol w:w="3557"/>
        <w:gridCol w:w="1882"/>
      </w:tblGrid>
      <w:tr>
        <w:trPr>
          <w:trHeight w:val="461"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1860" w:right="0" w:firstLine="0"/>
              <w:jc w:val="left"/>
              <w:rPr>
                <w:sz w:val="24"/>
                <w:szCs w:val="24"/>
              </w:rPr>
            </w:pP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年度</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2015</w:t>
            </w:r>
            <w:r>
              <w:rPr>
                <w:color w:val="000000"/>
                <w:spacing w:val="0"/>
                <w:w w:val="100"/>
                <w:position w:val="0"/>
                <w:sz w:val="24"/>
                <w:szCs w:val="24"/>
              </w:rPr>
              <w:t>年度</w:t>
            </w:r>
          </w:p>
        </w:tc>
      </w:tr>
      <w:tr>
        <w:trPr>
          <w:trHeight w:val="475"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主营业务收入</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680" w:right="0" w:firstLine="0"/>
              <w:jc w:val="left"/>
              <w:rPr>
                <w:sz w:val="24"/>
                <w:szCs w:val="24"/>
              </w:rPr>
            </w:pPr>
            <w:r>
              <w:rPr>
                <w:rFonts w:ascii="Times New Roman" w:eastAsia="Times New Roman" w:hAnsi="Times New Roman" w:cs="Times New Roman"/>
                <w:color w:val="000000"/>
                <w:spacing w:val="0"/>
                <w:w w:val="100"/>
                <w:position w:val="0"/>
                <w:sz w:val="24"/>
                <w:szCs w:val="24"/>
              </w:rPr>
              <w:t>146,452,656</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60"/>
              <w:jc w:val="both"/>
              <w:rPr>
                <w:sz w:val="24"/>
                <w:szCs w:val="24"/>
              </w:rPr>
            </w:pPr>
            <w:r>
              <w:rPr>
                <w:rFonts w:ascii="Times New Roman" w:eastAsia="Times New Roman" w:hAnsi="Times New Roman" w:cs="Times New Roman"/>
                <w:color w:val="000000"/>
                <w:spacing w:val="0"/>
                <w:w w:val="100"/>
                <w:position w:val="0"/>
                <w:sz w:val="24"/>
                <w:szCs w:val="24"/>
              </w:rPr>
              <w:t>133,894,034</w:t>
            </w:r>
          </w:p>
        </w:tc>
      </w:tr>
      <w:tr>
        <w:trPr>
          <w:trHeight w:val="302"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其他业务收入</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860" w:right="0" w:firstLine="0"/>
              <w:jc w:val="left"/>
              <w:rPr>
                <w:sz w:val="24"/>
                <w:szCs w:val="24"/>
              </w:rPr>
            </w:pPr>
            <w:r>
              <w:rPr>
                <w:rFonts w:ascii="Times New Roman" w:eastAsia="Times New Roman" w:hAnsi="Times New Roman" w:cs="Times New Roman"/>
                <w:color w:val="000000"/>
                <w:spacing w:val="0"/>
                <w:w w:val="100"/>
                <w:position w:val="0"/>
                <w:sz w:val="24"/>
                <w:szCs w:val="24"/>
              </w:rPr>
              <w:t>2,132,675</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1,653,599</w:t>
            </w:r>
          </w:p>
        </w:tc>
      </w:tr>
      <w:tr>
        <w:trPr>
          <w:trHeight w:val="446" w:hRule="exact"/>
        </w:trPr>
        <w:tc>
          <w:tcPr>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1680" w:right="0" w:firstLine="0"/>
              <w:jc w:val="left"/>
              <w:rPr>
                <w:sz w:val="24"/>
                <w:szCs w:val="24"/>
              </w:rPr>
            </w:pPr>
            <w:r>
              <w:rPr>
                <w:rFonts w:ascii="Times New Roman" w:eastAsia="Times New Roman" w:hAnsi="Times New Roman" w:cs="Times New Roman"/>
                <w:color w:val="000000"/>
                <w:spacing w:val="0"/>
                <w:w w:val="100"/>
                <w:position w:val="0"/>
                <w:sz w:val="24"/>
                <w:szCs w:val="24"/>
              </w:rPr>
              <w:t>148,585,331</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60"/>
              <w:jc w:val="both"/>
              <w:rPr>
                <w:sz w:val="24"/>
                <w:szCs w:val="24"/>
              </w:rPr>
            </w:pPr>
            <w:r>
              <w:rPr>
                <w:rFonts w:ascii="Times New Roman" w:eastAsia="Times New Roman" w:hAnsi="Times New Roman" w:cs="Times New Roman"/>
                <w:color w:val="000000"/>
                <w:spacing w:val="0"/>
                <w:w w:val="100"/>
                <w:position w:val="0"/>
                <w:sz w:val="24"/>
                <w:szCs w:val="24"/>
              </w:rPr>
              <w:t>135,547,633</w:t>
            </w:r>
          </w:p>
        </w:tc>
      </w:tr>
      <w:tr>
        <w:trPr>
          <w:trHeight w:val="595"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1860" w:right="0" w:firstLine="0"/>
              <w:jc w:val="left"/>
              <w:rPr>
                <w:sz w:val="24"/>
                <w:szCs w:val="24"/>
              </w:rPr>
            </w:pP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年度</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both"/>
              <w:rPr>
                <w:sz w:val="24"/>
                <w:szCs w:val="24"/>
              </w:rPr>
            </w:pPr>
            <w:r>
              <w:rPr>
                <w:rFonts w:ascii="Times New Roman" w:eastAsia="Times New Roman" w:hAnsi="Times New Roman" w:cs="Times New Roman"/>
                <w:color w:val="000000"/>
                <w:spacing w:val="0"/>
                <w:w w:val="100"/>
                <w:position w:val="0"/>
                <w:sz w:val="24"/>
                <w:szCs w:val="24"/>
              </w:rPr>
              <w:t>2015</w:t>
            </w:r>
            <w:r>
              <w:rPr>
                <w:color w:val="000000"/>
                <w:spacing w:val="0"/>
                <w:w w:val="100"/>
                <w:position w:val="0"/>
                <w:sz w:val="24"/>
                <w:szCs w:val="24"/>
              </w:rPr>
              <w:t>年度</w:t>
            </w:r>
          </w:p>
        </w:tc>
      </w:tr>
      <w:tr>
        <w:trPr>
          <w:trHeight w:val="446"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主营业务成本</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680" w:right="0" w:firstLine="0"/>
              <w:jc w:val="left"/>
              <w:rPr>
                <w:sz w:val="24"/>
                <w:szCs w:val="24"/>
              </w:rPr>
            </w:pPr>
            <w:r>
              <w:rPr>
                <w:rFonts w:ascii="Times New Roman" w:eastAsia="Times New Roman" w:hAnsi="Times New Roman" w:cs="Times New Roman"/>
                <w:color w:val="000000"/>
                <w:spacing w:val="0"/>
                <w:w w:val="100"/>
                <w:position w:val="0"/>
                <w:sz w:val="24"/>
                <w:szCs w:val="24"/>
              </w:rPr>
              <w:t>126,844,733</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60"/>
              <w:jc w:val="both"/>
              <w:rPr>
                <w:sz w:val="24"/>
                <w:szCs w:val="24"/>
              </w:rPr>
            </w:pPr>
            <w:r>
              <w:rPr>
                <w:rFonts w:ascii="Times New Roman" w:eastAsia="Times New Roman" w:hAnsi="Times New Roman" w:cs="Times New Roman"/>
                <w:color w:val="000000"/>
                <w:spacing w:val="0"/>
                <w:w w:val="100"/>
                <w:position w:val="0"/>
                <w:sz w:val="24"/>
                <w:szCs w:val="24"/>
              </w:rPr>
              <w:t>115,548,378</w:t>
            </w:r>
          </w:p>
        </w:tc>
      </w:tr>
      <w:tr>
        <w:trPr>
          <w:trHeight w:val="312"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其他业务成本</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660" w:firstLine="0"/>
              <w:jc w:val="right"/>
              <w:rPr>
                <w:sz w:val="24"/>
                <w:szCs w:val="24"/>
              </w:rPr>
            </w:pPr>
            <w:r>
              <w:rPr>
                <w:rFonts w:ascii="Times New Roman" w:eastAsia="Times New Roman" w:hAnsi="Times New Roman" w:cs="Times New Roman"/>
                <w:color w:val="000000"/>
                <w:spacing w:val="0"/>
                <w:w w:val="100"/>
                <w:position w:val="0"/>
                <w:sz w:val="24"/>
                <w:szCs w:val="24"/>
              </w:rPr>
              <w:t>402,808</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432,804</w:t>
            </w:r>
          </w:p>
        </w:tc>
      </w:tr>
      <w:tr>
        <w:trPr>
          <w:trHeight w:val="341" w:hRule="exact"/>
        </w:trPr>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680" w:right="0" w:firstLine="0"/>
              <w:jc w:val="left"/>
              <w:rPr>
                <w:sz w:val="24"/>
                <w:szCs w:val="24"/>
              </w:rPr>
            </w:pPr>
            <w:r>
              <w:rPr>
                <w:rFonts w:ascii="Times New Roman" w:eastAsia="Times New Roman" w:hAnsi="Times New Roman" w:cs="Times New Roman"/>
                <w:color w:val="000000"/>
                <w:spacing w:val="0"/>
                <w:w w:val="100"/>
                <w:position w:val="0"/>
                <w:sz w:val="24"/>
                <w:szCs w:val="24"/>
              </w:rPr>
              <w:t>127,247,541</w:t>
            </w:r>
          </w:p>
        </w:tc>
        <w:tc>
          <w:tcPr>
            <w:tcBorders>
              <w:top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60"/>
              <w:jc w:val="both"/>
              <w:rPr>
                <w:sz w:val="24"/>
                <w:szCs w:val="24"/>
              </w:rPr>
            </w:pPr>
            <w:r>
              <w:rPr>
                <w:rFonts w:ascii="Times New Roman" w:eastAsia="Times New Roman" w:hAnsi="Times New Roman" w:cs="Times New Roman"/>
                <w:color w:val="000000"/>
                <w:spacing w:val="0"/>
                <w:w w:val="100"/>
                <w:position w:val="0"/>
                <w:sz w:val="24"/>
                <w:szCs w:val="24"/>
              </w:rPr>
              <w:t>115,981,182</w:t>
            </w:r>
          </w:p>
        </w:tc>
      </w:tr>
    </w:tbl>
    <w:p>
      <w:pPr>
        <w:pStyle w:val="Style32"/>
        <w:keepNext w:val="0"/>
        <w:keepLines w:val="0"/>
        <w:widowControl w:val="0"/>
        <w:shd w:val="clear" w:color="auto" w:fill="auto"/>
        <w:bidi w:val="0"/>
        <w:spacing w:before="0" w:after="0" w:line="288" w:lineRule="exact"/>
        <w:ind w:left="660" w:right="0" w:firstLine="40"/>
        <w:jc w:val="left"/>
        <w:rPr>
          <w:sz w:val="24"/>
          <w:szCs w:val="24"/>
        </w:rPr>
      </w:pPr>
      <w:r>
        <w:rPr>
          <w:b/>
          <w:bCs/>
          <w:color w:val="000000"/>
          <w:spacing w:val="0"/>
          <w:w w:val="100"/>
          <w:position w:val="0"/>
          <w:sz w:val="24"/>
          <w:szCs w:val="24"/>
        </w:rPr>
        <w:t xml:space="preserve">财务报表附注 </w:t>
      </w:r>
      <w:r>
        <w:rPr>
          <w:rFonts w:ascii="Arial" w:eastAsia="Arial" w:hAnsi="Arial" w:cs="Arial"/>
          <w:color w:val="000000"/>
          <w:spacing w:val="0"/>
          <w:w w:val="100"/>
          <w:position w:val="0"/>
          <w:sz w:val="24"/>
          <w:szCs w:val="24"/>
        </w:rPr>
        <w:t>2016</w:t>
      </w:r>
      <w:r>
        <w:rPr>
          <w:b/>
          <w:bCs/>
          <w:color w:val="000000"/>
          <w:spacing w:val="0"/>
          <w:w w:val="100"/>
          <w:position w:val="0"/>
          <w:sz w:val="24"/>
          <w:szCs w:val="24"/>
        </w:rPr>
        <w:t>年度</w:t>
      </w:r>
    </w:p>
    <w:p>
      <w:pPr>
        <w:pStyle w:val="Style32"/>
        <w:keepNext w:val="0"/>
        <w:keepLines w:val="0"/>
        <w:widowControl w:val="0"/>
        <w:shd w:val="clear" w:color="auto" w:fill="auto"/>
        <w:bidi w:val="0"/>
        <w:spacing w:before="0" w:after="220" w:line="240" w:lineRule="auto"/>
        <w:ind w:left="0" w:right="0" w:firstLine="660"/>
        <w:jc w:val="left"/>
        <w:rPr>
          <w:sz w:val="20"/>
          <w:szCs w:val="20"/>
        </w:rPr>
      </w:pPr>
      <w:r>
        <w:rPr>
          <w:rFonts w:ascii="Arial" w:eastAsia="Arial" w:hAnsi="Arial" w:cs="Arial"/>
          <w:color w:val="000000"/>
          <w:spacing w:val="0"/>
          <w:w w:val="100"/>
          <w:position w:val="0"/>
          <w:sz w:val="20"/>
          <w:szCs w:val="20"/>
        </w:rPr>
        <w:t>(</w:t>
      </w:r>
      <w:r>
        <w:rPr>
          <w:color w:val="000000"/>
          <w:spacing w:val="0"/>
          <w:w w:val="100"/>
          <w:position w:val="0"/>
          <w:sz w:val="20"/>
          <w:szCs w:val="20"/>
        </w:rPr>
        <w:t>除特别注明外，金额单位为人民币千元</w:t>
      </w:r>
      <w:r>
        <w:rPr>
          <w:rFonts w:ascii="Arial" w:eastAsia="Arial" w:hAnsi="Arial" w:cs="Arial"/>
          <w:color w:val="000000"/>
          <w:spacing w:val="0"/>
          <w:w w:val="100"/>
          <w:position w:val="0"/>
          <w:sz w:val="20"/>
          <w:szCs w:val="20"/>
        </w:rPr>
        <w:t>)</w:t>
      </w:r>
    </w:p>
    <w:p>
      <w:pPr>
        <w:pStyle w:val="Style32"/>
        <w:keepNext w:val="0"/>
        <w:keepLines w:val="0"/>
        <w:widowControl w:val="0"/>
        <w:shd w:val="clear" w:color="auto" w:fill="auto"/>
        <w:tabs>
          <w:tab w:pos="626" w:val="left"/>
        </w:tabs>
        <w:bidi w:val="0"/>
        <w:spacing w:before="0" w:after="280" w:line="240" w:lineRule="auto"/>
        <w:ind w:left="0" w:right="0" w:firstLine="0"/>
        <w:jc w:val="left"/>
        <w:rPr>
          <w:sz w:val="24"/>
          <w:szCs w:val="24"/>
        </w:rPr>
      </w:pPr>
      <w:r>
        <w:rPr>
          <w:b/>
          <w:bCs/>
          <w:color w:val="000000"/>
          <w:spacing w:val="0"/>
          <w:w w:val="100"/>
          <w:position w:val="0"/>
          <w:sz w:val="24"/>
          <w:szCs w:val="24"/>
        </w:rPr>
        <w:t>四</w:t>
        <w:tab/>
        <w:t>合并财务报表项目附注</w:t>
      </w:r>
      <w:r>
        <w:rPr>
          <w:rFonts w:ascii="Times New Roman" w:eastAsia="Times New Roman" w:hAnsi="Times New Roman" w:cs="Times New Roman"/>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4"/>
          <w:szCs w:val="24"/>
        </w:rPr>
        <w:t>)</w:t>
      </w:r>
    </w:p>
    <w:p>
      <w:pPr>
        <w:pStyle w:val="Style32"/>
        <w:keepNext w:val="0"/>
        <w:keepLines w:val="0"/>
        <w:widowControl w:val="0"/>
        <w:shd w:val="clear" w:color="auto" w:fill="auto"/>
        <w:bidi w:val="0"/>
        <w:spacing w:before="0" w:after="28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(44)</w:t>
      </w:r>
      <w:r>
        <w:rPr>
          <w:b/>
          <w:bCs/>
          <w:color w:val="000000"/>
          <w:spacing w:val="0"/>
          <w:w w:val="100"/>
          <w:position w:val="0"/>
          <w:sz w:val="24"/>
          <w:szCs w:val="24"/>
        </w:rPr>
        <w:t>营业收入和营业成本</w:t>
      </w:r>
      <w:r>
        <w:rPr>
          <w:rFonts w:ascii="Times New Roman" w:eastAsia="Times New Roman" w:hAnsi="Times New Roman" w:cs="Times New Roman"/>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4"/>
          <w:szCs w:val="24"/>
        </w:rPr>
        <w:t>)</w:t>
      </w:r>
    </w:p>
    <w:p>
      <w:pPr>
        <w:pStyle w:val="Style32"/>
        <w:keepNext w:val="0"/>
        <w:keepLines w:val="0"/>
        <w:widowControl w:val="0"/>
        <w:shd w:val="clear" w:color="auto" w:fill="auto"/>
        <w:tabs>
          <w:tab w:pos="626" w:val="left"/>
        </w:tabs>
        <w:bidi w:val="0"/>
        <w:spacing w:before="0" w:after="28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(a)</w:t>
        <w:tab/>
      </w:r>
      <w:r>
        <w:rPr>
          <w:color w:val="000000"/>
          <w:spacing w:val="0"/>
          <w:w w:val="100"/>
          <w:position w:val="0"/>
          <w:sz w:val="24"/>
          <w:szCs w:val="24"/>
        </w:rPr>
        <w:t>主营业务收入和主营业务成本</w:t>
      </w:r>
    </w:p>
    <w:p>
      <w:pPr>
        <w:pStyle w:val="Style32"/>
        <w:keepNext w:val="0"/>
        <w:keepLines w:val="0"/>
        <w:widowControl w:val="0"/>
        <w:shd w:val="clear" w:color="auto" w:fill="auto"/>
        <w:bidi w:val="0"/>
        <w:spacing w:before="0" w:after="280" w:line="240" w:lineRule="auto"/>
        <w:ind w:left="0" w:right="0" w:firstLine="660"/>
        <w:jc w:val="both"/>
        <w:rPr>
          <w:sz w:val="24"/>
          <w:szCs w:val="24"/>
        </w:rPr>
      </w:pPr>
      <w:r>
        <w:rPr>
          <w:color w:val="000000"/>
          <w:spacing w:val="0"/>
          <w:w w:val="100"/>
          <w:position w:val="0"/>
          <w:sz w:val="24"/>
          <w:szCs w:val="24"/>
        </w:rPr>
        <w:t>按行业分析如下：</w:t>
      </w:r>
    </w:p>
    <w:tbl>
      <w:tblPr>
        <w:tblOverlap w:val="never"/>
        <w:jc w:val="left"/>
        <w:tblLayout w:type="fixed"/>
      </w:tblPr>
      <w:tblGrid>
        <w:gridCol w:w="1834"/>
        <w:gridCol w:w="1685"/>
        <w:gridCol w:w="1766"/>
        <w:gridCol w:w="1814"/>
        <w:gridCol w:w="1728"/>
      </w:tblGrid>
      <w:tr>
        <w:trPr>
          <w:trHeight w:val="528" w:hRule="exact"/>
        </w:trPr>
        <w:tc>
          <w:tcPr>
            <w:tcBorders/>
            <w:shd w:val="clear" w:color="auto" w:fill="FFFFFF"/>
            <w:vAlign w:val="top"/>
          </w:tcPr>
          <w:p>
            <w:pPr>
              <w:framePr w:w="8827" w:h="6552" w:vSpace="312" w:wrap="notBeside" w:vAnchor="text" w:hAnchor="text" w:x="673" w:y="313"/>
              <w:widowControl w:val="0"/>
              <w:rPr>
                <w:sz w:val="10"/>
                <w:szCs w:val="10"/>
              </w:rPr>
            </w:pPr>
          </w:p>
        </w:tc>
        <w:tc>
          <w:tcPr>
            <w:tcBorders>
              <w:top w:val="single" w:sz="4"/>
            </w:tcBorders>
            <w:shd w:val="clear" w:color="auto" w:fill="FFFFFF"/>
            <w:vAlign w:val="top"/>
          </w:tcPr>
          <w:p>
            <w:pPr>
              <w:pStyle w:val="Style28"/>
              <w:keepNext w:val="0"/>
              <w:keepLines w:val="0"/>
              <w:framePr w:w="8827" w:h="6552" w:vSpace="312" w:wrap="notBeside" w:vAnchor="text" w:hAnchor="text" w:x="673" w:y="313"/>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主营业务收入</w:t>
            </w:r>
          </w:p>
        </w:tc>
        <w:tc>
          <w:tcPr>
            <w:tcBorders>
              <w:top w:val="single" w:sz="4"/>
            </w:tcBorders>
            <w:shd w:val="clear" w:color="auto" w:fill="FFFFFF"/>
            <w:vAlign w:val="top"/>
          </w:tcPr>
          <w:p>
            <w:pPr>
              <w:pStyle w:val="Style28"/>
              <w:keepNext w:val="0"/>
              <w:keepLines w:val="0"/>
              <w:framePr w:w="8827" w:h="6552" w:vSpace="312" w:wrap="notBeside" w:vAnchor="text" w:hAnchor="text" w:x="673" w:y="313"/>
              <w:widowControl w:val="0"/>
              <w:shd w:val="clear" w:color="auto" w:fill="auto"/>
              <w:bidi w:val="0"/>
              <w:spacing w:before="0" w:after="0" w:line="240" w:lineRule="auto"/>
              <w:ind w:left="0" w:right="0" w:firstLine="140"/>
              <w:jc w:val="left"/>
              <w:rPr>
                <w:sz w:val="24"/>
                <w:szCs w:val="24"/>
              </w:rPr>
            </w:pPr>
            <w:r>
              <w:rPr>
                <w:color w:val="000000"/>
                <w:spacing w:val="0"/>
                <w:w w:val="100"/>
                <w:position w:val="0"/>
                <w:sz w:val="24"/>
                <w:szCs w:val="24"/>
              </w:rPr>
              <w:t>主营业务成本</w:t>
            </w:r>
          </w:p>
        </w:tc>
        <w:tc>
          <w:tcPr>
            <w:tcBorders>
              <w:top w:val="single" w:sz="4"/>
            </w:tcBorders>
            <w:shd w:val="clear" w:color="auto" w:fill="FFFFFF"/>
            <w:vAlign w:val="top"/>
          </w:tcPr>
          <w:p>
            <w:pPr>
              <w:pStyle w:val="Style28"/>
              <w:keepNext w:val="0"/>
              <w:keepLines w:val="0"/>
              <w:framePr w:w="8827" w:h="6552" w:vSpace="312" w:wrap="notBeside" w:vAnchor="text" w:hAnchor="text" w:x="673" w:y="313"/>
              <w:widowControl w:val="0"/>
              <w:shd w:val="clear" w:color="auto" w:fill="auto"/>
              <w:bidi w:val="0"/>
              <w:spacing w:before="0" w:after="0" w:line="240" w:lineRule="auto"/>
              <w:ind w:left="0" w:right="0" w:firstLine="140"/>
              <w:jc w:val="left"/>
              <w:rPr>
                <w:sz w:val="24"/>
                <w:szCs w:val="24"/>
              </w:rPr>
            </w:pPr>
            <w:r>
              <w:rPr>
                <w:color w:val="000000"/>
                <w:spacing w:val="0"/>
                <w:w w:val="100"/>
                <w:position w:val="0"/>
                <w:sz w:val="24"/>
                <w:szCs w:val="24"/>
              </w:rPr>
              <w:t>主营业务收入</w:t>
            </w:r>
          </w:p>
        </w:tc>
        <w:tc>
          <w:tcPr>
            <w:tcBorders>
              <w:top w:val="single" w:sz="4"/>
            </w:tcBorders>
            <w:shd w:val="clear" w:color="auto" w:fill="FFFFFF"/>
            <w:vAlign w:val="top"/>
          </w:tcPr>
          <w:p>
            <w:pPr>
              <w:pStyle w:val="Style28"/>
              <w:keepNext w:val="0"/>
              <w:keepLines w:val="0"/>
              <w:framePr w:w="8827" w:h="6552" w:vSpace="312" w:wrap="notBeside" w:vAnchor="text" w:hAnchor="text" w:x="673" w:y="313"/>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主营业务成本</w:t>
            </w:r>
          </w:p>
        </w:tc>
      </w:tr>
      <w:tr>
        <w:trPr>
          <w:trHeight w:val="499" w:hRule="exact"/>
        </w:trPr>
        <w:tc>
          <w:tcPr>
            <w:tcBorders/>
            <w:shd w:val="clear" w:color="auto" w:fill="FFFFFF"/>
            <w:vAlign w:val="bottom"/>
          </w:tcPr>
          <w:p>
            <w:pPr>
              <w:pStyle w:val="Style28"/>
              <w:keepNext w:val="0"/>
              <w:keepLines w:val="0"/>
              <w:framePr w:w="8827" w:h="6552" w:vSpace="312" w:wrap="notBeside" w:vAnchor="text" w:hAnchor="text" w:x="673" w:y="313"/>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零售批发行业</w:t>
            </w:r>
          </w:p>
        </w:tc>
        <w:tc>
          <w:tcPr>
            <w:tcBorders/>
            <w:shd w:val="clear" w:color="auto" w:fill="FFFFFF"/>
            <w:vAlign w:val="bottom"/>
          </w:tcPr>
          <w:p>
            <w:pPr>
              <w:pStyle w:val="Style28"/>
              <w:keepNext w:val="0"/>
              <w:keepLines w:val="0"/>
              <w:framePr w:w="8827" w:h="6552" w:vSpace="312" w:wrap="notBeside" w:vAnchor="text" w:hAnchor="text" w:x="673" w:y="313"/>
              <w:widowControl w:val="0"/>
              <w:shd w:val="clear" w:color="auto" w:fill="auto"/>
              <w:bidi w:val="0"/>
              <w:spacing w:before="0" w:after="0" w:line="240" w:lineRule="auto"/>
              <w:ind w:left="0" w:right="0" w:firstLine="300"/>
              <w:jc w:val="both"/>
              <w:rPr>
                <w:sz w:val="24"/>
                <w:szCs w:val="24"/>
              </w:rPr>
            </w:pPr>
            <w:r>
              <w:rPr>
                <w:rFonts w:ascii="Times New Roman" w:eastAsia="Times New Roman" w:hAnsi="Times New Roman" w:cs="Times New Roman"/>
                <w:color w:val="000000"/>
                <w:spacing w:val="0"/>
                <w:w w:val="100"/>
                <w:position w:val="0"/>
                <w:sz w:val="24"/>
                <w:szCs w:val="24"/>
              </w:rPr>
              <w:t>143,624,013</w:t>
            </w:r>
          </w:p>
        </w:tc>
        <w:tc>
          <w:tcPr>
            <w:tcBorders/>
            <w:shd w:val="clear" w:color="auto" w:fill="FFFFFF"/>
            <w:vAlign w:val="bottom"/>
          </w:tcPr>
          <w:p>
            <w:pPr>
              <w:pStyle w:val="Style28"/>
              <w:keepNext w:val="0"/>
              <w:keepLines w:val="0"/>
              <w:framePr w:w="8827" w:h="6552" w:vSpace="312" w:wrap="notBeside" w:vAnchor="text" w:hAnchor="text" w:x="673" w:y="313"/>
              <w:widowControl w:val="0"/>
              <w:shd w:val="clear" w:color="auto" w:fill="auto"/>
              <w:bidi w:val="0"/>
              <w:spacing w:before="0" w:after="0" w:line="240" w:lineRule="auto"/>
              <w:ind w:left="0" w:right="0" w:firstLine="380"/>
              <w:jc w:val="both"/>
              <w:rPr>
                <w:sz w:val="24"/>
                <w:szCs w:val="24"/>
              </w:rPr>
            </w:pPr>
            <w:r>
              <w:rPr>
                <w:rFonts w:ascii="Times New Roman" w:eastAsia="Times New Roman" w:hAnsi="Times New Roman" w:cs="Times New Roman"/>
                <w:color w:val="000000"/>
                <w:spacing w:val="0"/>
                <w:w w:val="100"/>
                <w:position w:val="0"/>
                <w:sz w:val="24"/>
                <w:szCs w:val="24"/>
              </w:rPr>
              <w:t>125,467,780</w:t>
            </w:r>
          </w:p>
        </w:tc>
        <w:tc>
          <w:tcPr>
            <w:tcBorders/>
            <w:shd w:val="clear" w:color="auto" w:fill="FFFFFF"/>
            <w:vAlign w:val="bottom"/>
          </w:tcPr>
          <w:p>
            <w:pPr>
              <w:pStyle w:val="Style28"/>
              <w:keepNext w:val="0"/>
              <w:keepLines w:val="0"/>
              <w:framePr w:w="8827" w:h="6552" w:vSpace="312" w:wrap="notBeside" w:vAnchor="text" w:hAnchor="text" w:x="673" w:y="313"/>
              <w:widowControl w:val="0"/>
              <w:shd w:val="clear" w:color="auto" w:fill="auto"/>
              <w:bidi w:val="0"/>
              <w:spacing w:before="0" w:after="0" w:line="240" w:lineRule="auto"/>
              <w:ind w:left="0" w:right="0" w:firstLine="360"/>
              <w:jc w:val="both"/>
              <w:rPr>
                <w:sz w:val="24"/>
                <w:szCs w:val="24"/>
              </w:rPr>
            </w:pPr>
            <w:r>
              <w:rPr>
                <w:rFonts w:ascii="Times New Roman" w:eastAsia="Times New Roman" w:hAnsi="Times New Roman" w:cs="Times New Roman"/>
                <w:color w:val="000000"/>
                <w:spacing w:val="0"/>
                <w:w w:val="100"/>
                <w:position w:val="0"/>
                <w:sz w:val="24"/>
                <w:szCs w:val="24"/>
              </w:rPr>
              <w:t>129,934,966</w:t>
            </w:r>
          </w:p>
        </w:tc>
        <w:tc>
          <w:tcPr>
            <w:tcBorders/>
            <w:shd w:val="clear" w:color="auto" w:fill="FFFFFF"/>
            <w:vAlign w:val="bottom"/>
          </w:tcPr>
          <w:p>
            <w:pPr>
              <w:pStyle w:val="Style28"/>
              <w:keepNext w:val="0"/>
              <w:keepLines w:val="0"/>
              <w:framePr w:w="8827" w:h="6552" w:vSpace="312" w:wrap="notBeside" w:vAnchor="text" w:hAnchor="text" w:x="673" w:y="313"/>
              <w:widowControl w:val="0"/>
              <w:shd w:val="clear" w:color="auto" w:fill="auto"/>
              <w:bidi w:val="0"/>
              <w:spacing w:before="0" w:after="0" w:line="240" w:lineRule="auto"/>
              <w:ind w:left="0" w:right="0" w:firstLine="420"/>
              <w:jc w:val="both"/>
              <w:rPr>
                <w:sz w:val="24"/>
                <w:szCs w:val="24"/>
              </w:rPr>
            </w:pPr>
            <w:r>
              <w:rPr>
                <w:rFonts w:ascii="Times New Roman" w:eastAsia="Times New Roman" w:hAnsi="Times New Roman" w:cs="Times New Roman"/>
                <w:color w:val="000000"/>
                <w:spacing w:val="0"/>
                <w:w w:val="100"/>
                <w:position w:val="0"/>
                <w:sz w:val="24"/>
                <w:szCs w:val="24"/>
              </w:rPr>
              <w:t>112,387,091</w:t>
            </w:r>
          </w:p>
        </w:tc>
      </w:tr>
      <w:tr>
        <w:trPr>
          <w:trHeight w:val="302" w:hRule="exact"/>
        </w:trPr>
        <w:tc>
          <w:tcPr>
            <w:tcBorders/>
            <w:shd w:val="clear" w:color="auto" w:fill="FFFFFF"/>
            <w:vAlign w:val="bottom"/>
          </w:tcPr>
          <w:p>
            <w:pPr>
              <w:pStyle w:val="Style28"/>
              <w:keepNext w:val="0"/>
              <w:keepLines w:val="0"/>
              <w:framePr w:w="8827" w:h="6552" w:vSpace="312" w:wrap="notBeside" w:vAnchor="text" w:hAnchor="text" w:x="673" w:y="313"/>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安装维修行业</w:t>
            </w:r>
          </w:p>
        </w:tc>
        <w:tc>
          <w:tcPr>
            <w:tcBorders/>
            <w:shd w:val="clear" w:color="auto" w:fill="FFFFFF"/>
            <w:vAlign w:val="bottom"/>
          </w:tcPr>
          <w:p>
            <w:pPr>
              <w:pStyle w:val="Style28"/>
              <w:keepNext w:val="0"/>
              <w:keepLines w:val="0"/>
              <w:framePr w:w="8827" w:h="6552" w:vSpace="312" w:wrap="notBeside" w:vAnchor="text" w:hAnchor="text" w:x="673" w:y="313"/>
              <w:widowControl w:val="0"/>
              <w:shd w:val="clear" w:color="auto" w:fill="auto"/>
              <w:bidi w:val="0"/>
              <w:spacing w:before="0" w:after="0" w:line="240" w:lineRule="auto"/>
              <w:ind w:left="0" w:right="0" w:firstLine="540"/>
              <w:jc w:val="left"/>
              <w:rPr>
                <w:sz w:val="24"/>
                <w:szCs w:val="24"/>
              </w:rPr>
            </w:pPr>
            <w:r>
              <w:rPr>
                <w:rFonts w:ascii="Times New Roman" w:eastAsia="Times New Roman" w:hAnsi="Times New Roman" w:cs="Times New Roman"/>
                <w:color w:val="000000"/>
                <w:spacing w:val="0"/>
                <w:w w:val="100"/>
                <w:position w:val="0"/>
                <w:sz w:val="24"/>
                <w:szCs w:val="24"/>
              </w:rPr>
              <w:t>1,045,118</w:t>
            </w:r>
          </w:p>
        </w:tc>
        <w:tc>
          <w:tcPr>
            <w:tcBorders/>
            <w:shd w:val="clear" w:color="auto" w:fill="FFFFFF"/>
            <w:vAlign w:val="bottom"/>
          </w:tcPr>
          <w:p>
            <w:pPr>
              <w:pStyle w:val="Style28"/>
              <w:keepNext w:val="0"/>
              <w:keepLines w:val="0"/>
              <w:framePr w:w="8827" w:h="6552" w:vSpace="312" w:wrap="notBeside" w:vAnchor="text" w:hAnchor="text" w:x="673" w:y="313"/>
              <w:widowControl w:val="0"/>
              <w:shd w:val="clear" w:color="auto" w:fill="auto"/>
              <w:bidi w:val="0"/>
              <w:spacing w:before="0" w:after="0" w:line="240" w:lineRule="auto"/>
              <w:ind w:left="0" w:right="0" w:firstLine="800"/>
              <w:jc w:val="left"/>
              <w:rPr>
                <w:sz w:val="24"/>
                <w:szCs w:val="24"/>
              </w:rPr>
            </w:pPr>
            <w:r>
              <w:rPr>
                <w:rFonts w:ascii="Times New Roman" w:eastAsia="Times New Roman" w:hAnsi="Times New Roman" w:cs="Times New Roman"/>
                <w:color w:val="000000"/>
                <w:spacing w:val="0"/>
                <w:w w:val="100"/>
                <w:position w:val="0"/>
                <w:sz w:val="24"/>
                <w:szCs w:val="24"/>
              </w:rPr>
              <w:t>891,288</w:t>
            </w:r>
          </w:p>
        </w:tc>
        <w:tc>
          <w:tcPr>
            <w:tcBorders/>
            <w:shd w:val="clear" w:color="auto" w:fill="FFFFFF"/>
            <w:vAlign w:val="bottom"/>
          </w:tcPr>
          <w:p>
            <w:pPr>
              <w:pStyle w:val="Style28"/>
              <w:keepNext w:val="0"/>
              <w:keepLines w:val="0"/>
              <w:framePr w:w="8827" w:h="6552" w:vSpace="312" w:wrap="notBeside" w:vAnchor="text" w:hAnchor="text" w:x="673" w:y="313"/>
              <w:widowControl w:val="0"/>
              <w:shd w:val="clear" w:color="auto" w:fill="auto"/>
              <w:bidi w:val="0"/>
              <w:spacing w:before="0" w:after="0" w:line="240" w:lineRule="auto"/>
              <w:ind w:left="0" w:right="0" w:firstLine="600"/>
              <w:jc w:val="both"/>
              <w:rPr>
                <w:sz w:val="24"/>
                <w:szCs w:val="24"/>
              </w:rPr>
            </w:pPr>
            <w:r>
              <w:rPr>
                <w:rFonts w:ascii="Times New Roman" w:eastAsia="Times New Roman" w:hAnsi="Times New Roman" w:cs="Times New Roman"/>
                <w:color w:val="000000"/>
                <w:spacing w:val="0"/>
                <w:w w:val="100"/>
                <w:position w:val="0"/>
                <w:sz w:val="24"/>
                <w:szCs w:val="24"/>
              </w:rPr>
              <w:t>1,127,063</w:t>
            </w:r>
          </w:p>
        </w:tc>
        <w:tc>
          <w:tcPr>
            <w:tcBorders/>
            <w:shd w:val="clear" w:color="auto" w:fill="FFFFFF"/>
            <w:vAlign w:val="bottom"/>
          </w:tcPr>
          <w:p>
            <w:pPr>
              <w:pStyle w:val="Style28"/>
              <w:keepNext w:val="0"/>
              <w:keepLines w:val="0"/>
              <w:framePr w:w="8827" w:h="6552" w:vSpace="312" w:wrap="notBeside" w:vAnchor="text" w:hAnchor="text" w:x="673" w:y="313"/>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900,056</w:t>
            </w:r>
          </w:p>
        </w:tc>
      </w:tr>
      <w:tr>
        <w:trPr>
          <w:trHeight w:val="317" w:hRule="exact"/>
        </w:trPr>
        <w:tc>
          <w:tcPr>
            <w:tcBorders/>
            <w:shd w:val="clear" w:color="auto" w:fill="FFFFFF"/>
            <w:vAlign w:val="bottom"/>
          </w:tcPr>
          <w:p>
            <w:pPr>
              <w:pStyle w:val="Style28"/>
              <w:keepNext w:val="0"/>
              <w:keepLines w:val="0"/>
              <w:framePr w:w="8827" w:h="6552" w:vSpace="312" w:wrap="notBeside" w:vAnchor="text" w:hAnchor="text" w:x="673" w:y="313"/>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其他行业</w:t>
            </w:r>
            <w:r>
              <w:rPr>
                <w:rFonts w:ascii="Times New Roman" w:eastAsia="Times New Roman" w:hAnsi="Times New Roman" w:cs="Times New Roman"/>
                <w:color w:val="000000"/>
                <w:spacing w:val="0"/>
                <w:w w:val="100"/>
                <w:position w:val="0"/>
                <w:sz w:val="24"/>
                <w:szCs w:val="24"/>
              </w:rPr>
              <w:t>(i)</w:t>
            </w:r>
          </w:p>
        </w:tc>
        <w:tc>
          <w:tcPr>
            <w:tcBorders/>
            <w:shd w:val="clear" w:color="auto" w:fill="FFFFFF"/>
            <w:vAlign w:val="bottom"/>
          </w:tcPr>
          <w:p>
            <w:pPr>
              <w:pStyle w:val="Style28"/>
              <w:keepNext w:val="0"/>
              <w:keepLines w:val="0"/>
              <w:framePr w:w="8827" w:h="6552" w:vSpace="312" w:wrap="notBeside" w:vAnchor="text" w:hAnchor="text" w:x="673" w:y="313"/>
              <w:widowControl w:val="0"/>
              <w:shd w:val="clear" w:color="auto" w:fill="auto"/>
              <w:bidi w:val="0"/>
              <w:spacing w:before="0" w:after="0" w:line="240" w:lineRule="auto"/>
              <w:ind w:left="0" w:right="0" w:firstLine="540"/>
              <w:jc w:val="left"/>
              <w:rPr>
                <w:sz w:val="24"/>
                <w:szCs w:val="24"/>
              </w:rPr>
            </w:pPr>
            <w:r>
              <w:rPr>
                <w:rFonts w:ascii="Times New Roman" w:eastAsia="Times New Roman" w:hAnsi="Times New Roman" w:cs="Times New Roman"/>
                <w:color w:val="000000"/>
                <w:spacing w:val="0"/>
                <w:w w:val="100"/>
                <w:position w:val="0"/>
                <w:sz w:val="24"/>
                <w:szCs w:val="24"/>
              </w:rPr>
              <w:t>1,783,525</w:t>
            </w:r>
          </w:p>
        </w:tc>
        <w:tc>
          <w:tcPr>
            <w:tcBorders/>
            <w:shd w:val="clear" w:color="auto" w:fill="FFFFFF"/>
            <w:vAlign w:val="bottom"/>
          </w:tcPr>
          <w:p>
            <w:pPr>
              <w:pStyle w:val="Style28"/>
              <w:keepNext w:val="0"/>
              <w:keepLines w:val="0"/>
              <w:framePr w:w="8827" w:h="6552" w:vSpace="312" w:wrap="notBeside" w:vAnchor="text" w:hAnchor="text" w:x="673" w:y="313"/>
              <w:widowControl w:val="0"/>
              <w:shd w:val="clear" w:color="auto" w:fill="auto"/>
              <w:bidi w:val="0"/>
              <w:spacing w:before="0" w:after="0" w:line="240" w:lineRule="auto"/>
              <w:ind w:left="0" w:right="0" w:firstLine="800"/>
              <w:jc w:val="left"/>
              <w:rPr>
                <w:sz w:val="24"/>
                <w:szCs w:val="24"/>
              </w:rPr>
            </w:pPr>
            <w:r>
              <w:rPr>
                <w:rFonts w:ascii="Times New Roman" w:eastAsia="Times New Roman" w:hAnsi="Times New Roman" w:cs="Times New Roman"/>
                <w:color w:val="000000"/>
                <w:spacing w:val="0"/>
                <w:w w:val="100"/>
                <w:position w:val="0"/>
                <w:sz w:val="24"/>
                <w:szCs w:val="24"/>
              </w:rPr>
              <w:t>485,665</w:t>
            </w:r>
          </w:p>
        </w:tc>
        <w:tc>
          <w:tcPr>
            <w:tcBorders/>
            <w:shd w:val="clear" w:color="auto" w:fill="FFFFFF"/>
            <w:vAlign w:val="bottom"/>
          </w:tcPr>
          <w:p>
            <w:pPr>
              <w:pStyle w:val="Style28"/>
              <w:keepNext w:val="0"/>
              <w:keepLines w:val="0"/>
              <w:framePr w:w="8827" w:h="6552" w:vSpace="312" w:wrap="notBeside" w:vAnchor="text" w:hAnchor="text" w:x="673" w:y="313"/>
              <w:widowControl w:val="0"/>
              <w:shd w:val="clear" w:color="auto" w:fill="auto"/>
              <w:bidi w:val="0"/>
              <w:spacing w:before="0" w:after="0" w:line="240" w:lineRule="auto"/>
              <w:ind w:left="0" w:right="0" w:firstLine="600"/>
              <w:jc w:val="both"/>
              <w:rPr>
                <w:sz w:val="24"/>
                <w:szCs w:val="24"/>
              </w:rPr>
            </w:pPr>
            <w:r>
              <w:rPr>
                <w:rFonts w:ascii="Times New Roman" w:eastAsia="Times New Roman" w:hAnsi="Times New Roman" w:cs="Times New Roman"/>
                <w:color w:val="000000"/>
                <w:spacing w:val="0"/>
                <w:w w:val="100"/>
                <w:position w:val="0"/>
                <w:sz w:val="24"/>
                <w:szCs w:val="24"/>
              </w:rPr>
              <w:t>2,832,005</w:t>
            </w:r>
          </w:p>
        </w:tc>
        <w:tc>
          <w:tcPr>
            <w:tcBorders/>
            <w:shd w:val="clear" w:color="auto" w:fill="FFFFFF"/>
            <w:vAlign w:val="bottom"/>
          </w:tcPr>
          <w:p>
            <w:pPr>
              <w:pStyle w:val="Style28"/>
              <w:keepNext w:val="0"/>
              <w:keepLines w:val="0"/>
              <w:framePr w:w="8827" w:h="6552" w:vSpace="312" w:wrap="notBeside" w:vAnchor="text" w:hAnchor="text" w:x="673" w:y="313"/>
              <w:widowControl w:val="0"/>
              <w:shd w:val="clear" w:color="auto" w:fill="auto"/>
              <w:bidi w:val="0"/>
              <w:spacing w:before="0" w:after="0" w:line="240" w:lineRule="auto"/>
              <w:ind w:left="0" w:right="0" w:firstLine="660"/>
              <w:jc w:val="both"/>
              <w:rPr>
                <w:sz w:val="24"/>
                <w:szCs w:val="24"/>
              </w:rPr>
            </w:pPr>
            <w:r>
              <w:rPr>
                <w:rFonts w:ascii="Times New Roman" w:eastAsia="Times New Roman" w:hAnsi="Times New Roman" w:cs="Times New Roman"/>
                <w:color w:val="000000"/>
                <w:spacing w:val="0"/>
                <w:w w:val="100"/>
                <w:position w:val="0"/>
                <w:sz w:val="24"/>
                <w:szCs w:val="24"/>
              </w:rPr>
              <w:t>2,261,231</w:t>
            </w:r>
          </w:p>
        </w:tc>
      </w:tr>
      <w:tr>
        <w:trPr>
          <w:trHeight w:val="427" w:hRule="exact"/>
        </w:trPr>
        <w:tc>
          <w:tcPr>
            <w:tcBorders/>
            <w:shd w:val="clear" w:color="auto" w:fill="FFFFFF"/>
            <w:vAlign w:val="top"/>
          </w:tcPr>
          <w:p>
            <w:pPr>
              <w:framePr w:w="8827" w:h="6552" w:vSpace="312" w:wrap="notBeside" w:vAnchor="text" w:hAnchor="text" w:x="673" w:y="313"/>
              <w:widowControl w:val="0"/>
              <w:rPr>
                <w:sz w:val="10"/>
                <w:szCs w:val="10"/>
              </w:rPr>
            </w:pPr>
          </w:p>
        </w:tc>
        <w:tc>
          <w:tcPr>
            <w:tcBorders>
              <w:top w:val="single" w:sz="4"/>
            </w:tcBorders>
            <w:shd w:val="clear" w:color="auto" w:fill="FFFFFF"/>
            <w:vAlign w:val="top"/>
          </w:tcPr>
          <w:p>
            <w:pPr>
              <w:pStyle w:val="Style28"/>
              <w:keepNext w:val="0"/>
              <w:keepLines w:val="0"/>
              <w:framePr w:w="8827" w:h="6552" w:vSpace="312" w:wrap="notBeside" w:vAnchor="text" w:hAnchor="text" w:x="673" w:y="313"/>
              <w:widowControl w:val="0"/>
              <w:shd w:val="clear" w:color="auto" w:fill="auto"/>
              <w:bidi w:val="0"/>
              <w:spacing w:before="0" w:after="0" w:line="240" w:lineRule="auto"/>
              <w:ind w:left="0" w:right="0" w:firstLine="300"/>
              <w:jc w:val="both"/>
              <w:rPr>
                <w:sz w:val="24"/>
                <w:szCs w:val="24"/>
              </w:rPr>
            </w:pPr>
            <w:r>
              <w:rPr>
                <w:rFonts w:ascii="Times New Roman" w:eastAsia="Times New Roman" w:hAnsi="Times New Roman" w:cs="Times New Roman"/>
                <w:color w:val="000000"/>
                <w:spacing w:val="0"/>
                <w:w w:val="100"/>
                <w:position w:val="0"/>
                <w:sz w:val="24"/>
                <w:szCs w:val="24"/>
              </w:rPr>
              <w:t>146,452,656</w:t>
            </w:r>
          </w:p>
        </w:tc>
        <w:tc>
          <w:tcPr>
            <w:tcBorders>
              <w:top w:val="single" w:sz="4"/>
            </w:tcBorders>
            <w:shd w:val="clear" w:color="auto" w:fill="FFFFFF"/>
            <w:vAlign w:val="top"/>
          </w:tcPr>
          <w:p>
            <w:pPr>
              <w:pStyle w:val="Style28"/>
              <w:keepNext w:val="0"/>
              <w:keepLines w:val="0"/>
              <w:framePr w:w="8827" w:h="6552" w:vSpace="312" w:wrap="notBeside" w:vAnchor="text" w:hAnchor="text" w:x="673" w:y="313"/>
              <w:widowControl w:val="0"/>
              <w:shd w:val="clear" w:color="auto" w:fill="auto"/>
              <w:bidi w:val="0"/>
              <w:spacing w:before="0" w:after="0" w:line="240" w:lineRule="auto"/>
              <w:ind w:left="0" w:right="0" w:firstLine="380"/>
              <w:jc w:val="both"/>
              <w:rPr>
                <w:sz w:val="24"/>
                <w:szCs w:val="24"/>
              </w:rPr>
            </w:pPr>
            <w:r>
              <w:rPr>
                <w:rFonts w:ascii="Times New Roman" w:eastAsia="Times New Roman" w:hAnsi="Times New Roman" w:cs="Times New Roman"/>
                <w:color w:val="000000"/>
                <w:spacing w:val="0"/>
                <w:w w:val="100"/>
                <w:position w:val="0"/>
                <w:sz w:val="24"/>
                <w:szCs w:val="24"/>
              </w:rPr>
              <w:t>126,844,733</w:t>
            </w:r>
          </w:p>
        </w:tc>
        <w:tc>
          <w:tcPr>
            <w:tcBorders>
              <w:top w:val="single" w:sz="4"/>
            </w:tcBorders>
            <w:shd w:val="clear" w:color="auto" w:fill="FFFFFF"/>
            <w:vAlign w:val="top"/>
          </w:tcPr>
          <w:p>
            <w:pPr>
              <w:pStyle w:val="Style28"/>
              <w:keepNext w:val="0"/>
              <w:keepLines w:val="0"/>
              <w:framePr w:w="8827" w:h="6552" w:vSpace="312" w:wrap="notBeside" w:vAnchor="text" w:hAnchor="text" w:x="673" w:y="313"/>
              <w:widowControl w:val="0"/>
              <w:shd w:val="clear" w:color="auto" w:fill="auto"/>
              <w:bidi w:val="0"/>
              <w:spacing w:before="0" w:after="0" w:line="240" w:lineRule="auto"/>
              <w:ind w:left="0" w:right="0" w:firstLine="360"/>
              <w:jc w:val="both"/>
              <w:rPr>
                <w:sz w:val="24"/>
                <w:szCs w:val="24"/>
              </w:rPr>
            </w:pPr>
            <w:r>
              <w:rPr>
                <w:rFonts w:ascii="Times New Roman" w:eastAsia="Times New Roman" w:hAnsi="Times New Roman" w:cs="Times New Roman"/>
                <w:color w:val="000000"/>
                <w:spacing w:val="0"/>
                <w:w w:val="100"/>
                <w:position w:val="0"/>
                <w:sz w:val="24"/>
                <w:szCs w:val="24"/>
              </w:rPr>
              <w:t>133,894,034</w:t>
            </w:r>
          </w:p>
        </w:tc>
        <w:tc>
          <w:tcPr>
            <w:tcBorders>
              <w:top w:val="single" w:sz="4"/>
            </w:tcBorders>
            <w:shd w:val="clear" w:color="auto" w:fill="FFFFFF"/>
            <w:vAlign w:val="top"/>
          </w:tcPr>
          <w:p>
            <w:pPr>
              <w:pStyle w:val="Style28"/>
              <w:keepNext w:val="0"/>
              <w:keepLines w:val="0"/>
              <w:framePr w:w="8827" w:h="6552" w:vSpace="312" w:wrap="notBeside" w:vAnchor="text" w:hAnchor="text" w:x="673" w:y="313"/>
              <w:widowControl w:val="0"/>
              <w:shd w:val="clear" w:color="auto" w:fill="auto"/>
              <w:bidi w:val="0"/>
              <w:spacing w:before="0" w:after="0" w:line="240" w:lineRule="auto"/>
              <w:ind w:left="0" w:right="0" w:firstLine="420"/>
              <w:jc w:val="both"/>
              <w:rPr>
                <w:sz w:val="24"/>
                <w:szCs w:val="24"/>
              </w:rPr>
            </w:pPr>
            <w:r>
              <w:rPr>
                <w:rFonts w:ascii="Times New Roman" w:eastAsia="Times New Roman" w:hAnsi="Times New Roman" w:cs="Times New Roman"/>
                <w:color w:val="000000"/>
                <w:spacing w:val="0"/>
                <w:w w:val="100"/>
                <w:position w:val="0"/>
                <w:sz w:val="24"/>
                <w:szCs w:val="24"/>
              </w:rPr>
              <w:t>115,548,378</w:t>
            </w:r>
          </w:p>
        </w:tc>
      </w:tr>
      <w:tr>
        <w:trPr>
          <w:trHeight w:val="590" w:hRule="exact"/>
        </w:trPr>
        <w:tc>
          <w:tcPr>
            <w:tcBorders/>
            <w:shd w:val="clear" w:color="auto" w:fill="FFFFFF"/>
            <w:vAlign w:val="center"/>
          </w:tcPr>
          <w:p>
            <w:pPr>
              <w:pStyle w:val="Style28"/>
              <w:keepNext w:val="0"/>
              <w:keepLines w:val="0"/>
              <w:framePr w:w="8827" w:h="6552" w:vSpace="312" w:wrap="notBeside" w:vAnchor="text" w:hAnchor="text" w:x="673" w:y="313"/>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按产品分析如下：</w:t>
            </w:r>
          </w:p>
        </w:tc>
        <w:tc>
          <w:tcPr>
            <w:tcBorders/>
            <w:shd w:val="clear" w:color="auto" w:fill="FFFFFF"/>
            <w:vAlign w:val="top"/>
          </w:tcPr>
          <w:p>
            <w:pPr>
              <w:framePr w:w="8827" w:h="6552" w:vSpace="312" w:wrap="notBeside" w:vAnchor="text" w:hAnchor="text" w:x="673" w:y="313"/>
              <w:widowControl w:val="0"/>
              <w:rPr>
                <w:sz w:val="10"/>
                <w:szCs w:val="10"/>
              </w:rPr>
            </w:pPr>
          </w:p>
        </w:tc>
        <w:tc>
          <w:tcPr>
            <w:tcBorders/>
            <w:shd w:val="clear" w:color="auto" w:fill="FFFFFF"/>
            <w:vAlign w:val="top"/>
          </w:tcPr>
          <w:p>
            <w:pPr>
              <w:framePr w:w="8827" w:h="6552" w:vSpace="312" w:wrap="notBeside" w:vAnchor="text" w:hAnchor="text" w:x="673" w:y="313"/>
              <w:widowControl w:val="0"/>
              <w:rPr>
                <w:sz w:val="10"/>
                <w:szCs w:val="10"/>
              </w:rPr>
            </w:pPr>
          </w:p>
        </w:tc>
        <w:tc>
          <w:tcPr>
            <w:tcBorders/>
            <w:shd w:val="clear" w:color="auto" w:fill="FFFFFF"/>
            <w:vAlign w:val="top"/>
          </w:tcPr>
          <w:p>
            <w:pPr>
              <w:framePr w:w="8827" w:h="6552" w:vSpace="312" w:wrap="notBeside" w:vAnchor="text" w:hAnchor="text" w:x="673" w:y="313"/>
              <w:widowControl w:val="0"/>
              <w:rPr>
                <w:sz w:val="10"/>
                <w:szCs w:val="10"/>
              </w:rPr>
            </w:pPr>
          </w:p>
        </w:tc>
        <w:tc>
          <w:tcPr>
            <w:tcBorders/>
            <w:shd w:val="clear" w:color="auto" w:fill="FFFFFF"/>
            <w:vAlign w:val="top"/>
          </w:tcPr>
          <w:p>
            <w:pPr>
              <w:framePr w:w="8827" w:h="6552" w:vSpace="312" w:wrap="notBeside" w:vAnchor="text" w:hAnchor="text" w:x="673" w:y="313"/>
              <w:widowControl w:val="0"/>
              <w:rPr>
                <w:sz w:val="10"/>
                <w:szCs w:val="10"/>
              </w:rPr>
            </w:pPr>
          </w:p>
        </w:tc>
      </w:tr>
      <w:tr>
        <w:trPr>
          <w:trHeight w:val="456" w:hRule="exact"/>
        </w:trPr>
        <w:tc>
          <w:tcPr>
            <w:tcBorders/>
            <w:shd w:val="clear" w:color="auto" w:fill="FFFFFF"/>
            <w:vAlign w:val="top"/>
          </w:tcPr>
          <w:p>
            <w:pPr>
              <w:framePr w:w="8827" w:h="6552" w:vSpace="312" w:wrap="notBeside" w:vAnchor="text" w:hAnchor="text" w:x="673" w:y="313"/>
              <w:widowControl w:val="0"/>
              <w:rPr>
                <w:sz w:val="10"/>
                <w:szCs w:val="10"/>
              </w:rPr>
            </w:pPr>
          </w:p>
        </w:tc>
        <w:tc>
          <w:tcPr>
            <w:gridSpan w:val="2"/>
            <w:tcBorders/>
            <w:shd w:val="clear" w:color="auto" w:fill="FFFFFF"/>
            <w:vAlign w:val="bottom"/>
          </w:tcPr>
          <w:p>
            <w:pPr>
              <w:pStyle w:val="Style28"/>
              <w:keepNext w:val="0"/>
              <w:keepLines w:val="0"/>
              <w:framePr w:w="8827" w:h="6552" w:vSpace="312" w:wrap="notBeside" w:vAnchor="text" w:hAnchor="text" w:x="673" w:y="313"/>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年度</w:t>
            </w:r>
          </w:p>
        </w:tc>
        <w:tc>
          <w:tcPr>
            <w:gridSpan w:val="2"/>
            <w:tcBorders/>
            <w:shd w:val="clear" w:color="auto" w:fill="FFFFFF"/>
            <w:vAlign w:val="bottom"/>
          </w:tcPr>
          <w:p>
            <w:pPr>
              <w:pStyle w:val="Style28"/>
              <w:keepNext w:val="0"/>
              <w:keepLines w:val="0"/>
              <w:framePr w:w="8827" w:h="6552" w:vSpace="312" w:wrap="notBeside" w:vAnchor="text" w:hAnchor="text" w:x="673" w:y="313"/>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2015</w:t>
            </w:r>
            <w:r>
              <w:rPr>
                <w:color w:val="000000"/>
                <w:spacing w:val="0"/>
                <w:w w:val="100"/>
                <w:position w:val="0"/>
                <w:sz w:val="24"/>
                <w:szCs w:val="24"/>
              </w:rPr>
              <w:t>年度</w:t>
            </w:r>
          </w:p>
        </w:tc>
      </w:tr>
      <w:tr>
        <w:trPr>
          <w:trHeight w:val="480" w:hRule="exact"/>
        </w:trPr>
        <w:tc>
          <w:tcPr>
            <w:tcBorders/>
            <w:shd w:val="clear" w:color="auto" w:fill="FFFFFF"/>
            <w:vAlign w:val="top"/>
          </w:tcPr>
          <w:p>
            <w:pPr>
              <w:framePr w:w="8827" w:h="6552" w:vSpace="312" w:wrap="notBeside" w:vAnchor="text" w:hAnchor="text" w:x="673" w:y="313"/>
              <w:widowControl w:val="0"/>
              <w:rPr>
                <w:sz w:val="10"/>
                <w:szCs w:val="10"/>
              </w:rPr>
            </w:pPr>
          </w:p>
        </w:tc>
        <w:tc>
          <w:tcPr>
            <w:tcBorders>
              <w:top w:val="single" w:sz="4"/>
            </w:tcBorders>
            <w:shd w:val="clear" w:color="auto" w:fill="FFFFFF"/>
            <w:vAlign w:val="top"/>
          </w:tcPr>
          <w:p>
            <w:pPr>
              <w:pStyle w:val="Style28"/>
              <w:keepNext w:val="0"/>
              <w:keepLines w:val="0"/>
              <w:framePr w:w="8827" w:h="6552" w:vSpace="312" w:wrap="notBeside" w:vAnchor="text" w:hAnchor="text" w:x="673" w:y="313"/>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主营业务收入</w:t>
            </w:r>
          </w:p>
        </w:tc>
        <w:tc>
          <w:tcPr>
            <w:tcBorders>
              <w:top w:val="single" w:sz="4"/>
            </w:tcBorders>
            <w:shd w:val="clear" w:color="auto" w:fill="FFFFFF"/>
            <w:vAlign w:val="top"/>
          </w:tcPr>
          <w:p>
            <w:pPr>
              <w:pStyle w:val="Style28"/>
              <w:keepNext w:val="0"/>
              <w:keepLines w:val="0"/>
              <w:framePr w:w="8827" w:h="6552" w:vSpace="312" w:wrap="notBeside" w:vAnchor="text" w:hAnchor="text" w:x="673" w:y="313"/>
              <w:widowControl w:val="0"/>
              <w:shd w:val="clear" w:color="auto" w:fill="auto"/>
              <w:bidi w:val="0"/>
              <w:spacing w:before="0" w:after="0" w:line="240" w:lineRule="auto"/>
              <w:ind w:left="0" w:right="0" w:firstLine="140"/>
              <w:jc w:val="left"/>
              <w:rPr>
                <w:sz w:val="24"/>
                <w:szCs w:val="24"/>
              </w:rPr>
            </w:pPr>
            <w:r>
              <w:rPr>
                <w:color w:val="000000"/>
                <w:spacing w:val="0"/>
                <w:w w:val="100"/>
                <w:position w:val="0"/>
                <w:sz w:val="24"/>
                <w:szCs w:val="24"/>
              </w:rPr>
              <w:t>主营业务成本</w:t>
            </w:r>
          </w:p>
        </w:tc>
        <w:tc>
          <w:tcPr>
            <w:tcBorders>
              <w:top w:val="single" w:sz="4"/>
            </w:tcBorders>
            <w:shd w:val="clear" w:color="auto" w:fill="FFFFFF"/>
            <w:vAlign w:val="top"/>
          </w:tcPr>
          <w:p>
            <w:pPr>
              <w:pStyle w:val="Style28"/>
              <w:keepNext w:val="0"/>
              <w:keepLines w:val="0"/>
              <w:framePr w:w="8827" w:h="6552" w:vSpace="312" w:wrap="notBeside" w:vAnchor="text" w:hAnchor="text" w:x="673" w:y="313"/>
              <w:widowControl w:val="0"/>
              <w:shd w:val="clear" w:color="auto" w:fill="auto"/>
              <w:bidi w:val="0"/>
              <w:spacing w:before="0" w:after="0" w:line="240" w:lineRule="auto"/>
              <w:ind w:left="0" w:right="0" w:firstLine="140"/>
              <w:jc w:val="left"/>
              <w:rPr>
                <w:sz w:val="24"/>
                <w:szCs w:val="24"/>
              </w:rPr>
            </w:pPr>
            <w:r>
              <w:rPr>
                <w:color w:val="000000"/>
                <w:spacing w:val="0"/>
                <w:w w:val="100"/>
                <w:position w:val="0"/>
                <w:sz w:val="24"/>
                <w:szCs w:val="24"/>
              </w:rPr>
              <w:t>主营业务收入</w:t>
            </w:r>
          </w:p>
        </w:tc>
        <w:tc>
          <w:tcPr>
            <w:tcBorders>
              <w:top w:val="single" w:sz="4"/>
            </w:tcBorders>
            <w:shd w:val="clear" w:color="auto" w:fill="FFFFFF"/>
            <w:vAlign w:val="top"/>
          </w:tcPr>
          <w:p>
            <w:pPr>
              <w:pStyle w:val="Style28"/>
              <w:keepNext w:val="0"/>
              <w:keepLines w:val="0"/>
              <w:framePr w:w="8827" w:h="6552" w:vSpace="312" w:wrap="notBeside" w:vAnchor="text" w:hAnchor="text" w:x="673" w:y="313"/>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主营业务成本</w:t>
            </w:r>
          </w:p>
        </w:tc>
      </w:tr>
      <w:tr>
        <w:trPr>
          <w:trHeight w:val="451" w:hRule="exact"/>
        </w:trPr>
        <w:tc>
          <w:tcPr>
            <w:tcBorders/>
            <w:shd w:val="clear" w:color="auto" w:fill="FFFFFF"/>
            <w:vAlign w:val="bottom"/>
          </w:tcPr>
          <w:p>
            <w:pPr>
              <w:pStyle w:val="Style28"/>
              <w:keepNext w:val="0"/>
              <w:keepLines w:val="0"/>
              <w:framePr w:w="8827" w:h="6552" w:vSpace="312" w:wrap="notBeside" w:vAnchor="text" w:hAnchor="text" w:x="673" w:y="313"/>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通讯产品</w:t>
            </w:r>
          </w:p>
        </w:tc>
        <w:tc>
          <w:tcPr>
            <w:tcBorders/>
            <w:shd w:val="clear" w:color="auto" w:fill="FFFFFF"/>
            <w:vAlign w:val="bottom"/>
          </w:tcPr>
          <w:p>
            <w:pPr>
              <w:pStyle w:val="Style28"/>
              <w:keepNext w:val="0"/>
              <w:keepLines w:val="0"/>
              <w:framePr w:w="8827" w:h="6552" w:vSpace="312" w:wrap="notBeside" w:vAnchor="text" w:hAnchor="text" w:x="673" w:y="313"/>
              <w:widowControl w:val="0"/>
              <w:shd w:val="clear" w:color="auto" w:fill="auto"/>
              <w:bidi w:val="0"/>
              <w:spacing w:before="0" w:after="0" w:line="240" w:lineRule="auto"/>
              <w:ind w:left="0" w:right="0" w:firstLine="420"/>
              <w:jc w:val="left"/>
              <w:rPr>
                <w:sz w:val="24"/>
                <w:szCs w:val="24"/>
              </w:rPr>
            </w:pPr>
            <w:r>
              <w:rPr>
                <w:rFonts w:ascii="Times New Roman" w:eastAsia="Times New Roman" w:hAnsi="Times New Roman" w:cs="Times New Roman"/>
                <w:color w:val="000000"/>
                <w:spacing w:val="0"/>
                <w:w w:val="100"/>
                <w:position w:val="0"/>
                <w:sz w:val="24"/>
                <w:szCs w:val="24"/>
              </w:rPr>
              <w:t>34,215,054</w:t>
            </w:r>
          </w:p>
        </w:tc>
        <w:tc>
          <w:tcPr>
            <w:tcBorders/>
            <w:shd w:val="clear" w:color="auto" w:fill="FFFFFF"/>
            <w:vAlign w:val="bottom"/>
          </w:tcPr>
          <w:p>
            <w:pPr>
              <w:pStyle w:val="Style28"/>
              <w:keepNext w:val="0"/>
              <w:keepLines w:val="0"/>
              <w:framePr w:w="8827" w:h="6552" w:vSpace="312" w:wrap="notBeside" w:vAnchor="text" w:hAnchor="text" w:x="673" w:y="313"/>
              <w:widowControl w:val="0"/>
              <w:shd w:val="clear" w:color="auto" w:fill="auto"/>
              <w:bidi w:val="0"/>
              <w:spacing w:before="0" w:after="0" w:line="240" w:lineRule="auto"/>
              <w:ind w:left="0" w:right="0" w:firstLine="500"/>
              <w:jc w:val="left"/>
              <w:rPr>
                <w:sz w:val="24"/>
                <w:szCs w:val="24"/>
              </w:rPr>
            </w:pPr>
            <w:r>
              <w:rPr>
                <w:rFonts w:ascii="Times New Roman" w:eastAsia="Times New Roman" w:hAnsi="Times New Roman" w:cs="Times New Roman"/>
                <w:color w:val="000000"/>
                <w:spacing w:val="0"/>
                <w:w w:val="100"/>
                <w:position w:val="0"/>
                <w:sz w:val="24"/>
                <w:szCs w:val="24"/>
              </w:rPr>
              <w:t>31,806,849</w:t>
            </w:r>
          </w:p>
        </w:tc>
        <w:tc>
          <w:tcPr>
            <w:tcBorders/>
            <w:shd w:val="clear" w:color="auto" w:fill="FFFFFF"/>
            <w:vAlign w:val="bottom"/>
          </w:tcPr>
          <w:p>
            <w:pPr>
              <w:pStyle w:val="Style28"/>
              <w:keepNext w:val="0"/>
              <w:keepLines w:val="0"/>
              <w:framePr w:w="8827" w:h="6552" w:vSpace="312" w:wrap="notBeside" w:vAnchor="text" w:hAnchor="text" w:x="673" w:y="313"/>
              <w:widowControl w:val="0"/>
              <w:shd w:val="clear" w:color="auto" w:fill="auto"/>
              <w:bidi w:val="0"/>
              <w:spacing w:before="0" w:after="0" w:line="240" w:lineRule="auto"/>
              <w:ind w:left="0" w:right="0" w:firstLine="480"/>
              <w:jc w:val="both"/>
              <w:rPr>
                <w:sz w:val="24"/>
                <w:szCs w:val="24"/>
              </w:rPr>
            </w:pPr>
            <w:r>
              <w:rPr>
                <w:rFonts w:ascii="Times New Roman" w:eastAsia="Times New Roman" w:hAnsi="Times New Roman" w:cs="Times New Roman"/>
                <w:color w:val="000000"/>
                <w:spacing w:val="0"/>
                <w:w w:val="100"/>
                <w:position w:val="0"/>
                <w:sz w:val="24"/>
                <w:szCs w:val="24"/>
              </w:rPr>
              <w:t>27,042,125</w:t>
            </w:r>
          </w:p>
        </w:tc>
        <w:tc>
          <w:tcPr>
            <w:tcBorders/>
            <w:shd w:val="clear" w:color="auto" w:fill="FFFFFF"/>
            <w:vAlign w:val="bottom"/>
          </w:tcPr>
          <w:p>
            <w:pPr>
              <w:pStyle w:val="Style28"/>
              <w:keepNext w:val="0"/>
              <w:keepLines w:val="0"/>
              <w:framePr w:w="8827" w:h="6552" w:vSpace="312" w:wrap="notBeside" w:vAnchor="text" w:hAnchor="text" w:x="673" w:y="313"/>
              <w:widowControl w:val="0"/>
              <w:shd w:val="clear" w:color="auto" w:fill="auto"/>
              <w:bidi w:val="0"/>
              <w:spacing w:before="0" w:after="0" w:line="240" w:lineRule="auto"/>
              <w:ind w:left="0" w:right="0" w:firstLine="540"/>
              <w:jc w:val="both"/>
              <w:rPr>
                <w:sz w:val="24"/>
                <w:szCs w:val="24"/>
              </w:rPr>
            </w:pPr>
            <w:r>
              <w:rPr>
                <w:rFonts w:ascii="Times New Roman" w:eastAsia="Times New Roman" w:hAnsi="Times New Roman" w:cs="Times New Roman"/>
                <w:color w:val="000000"/>
                <w:spacing w:val="0"/>
                <w:w w:val="100"/>
                <w:position w:val="0"/>
                <w:sz w:val="24"/>
                <w:szCs w:val="24"/>
              </w:rPr>
              <w:t>24,907,969</w:t>
            </w:r>
          </w:p>
        </w:tc>
      </w:tr>
      <w:tr>
        <w:trPr>
          <w:trHeight w:val="317" w:hRule="exact"/>
        </w:trPr>
        <w:tc>
          <w:tcPr>
            <w:tcBorders/>
            <w:shd w:val="clear" w:color="auto" w:fill="FFFFFF"/>
            <w:vAlign w:val="bottom"/>
          </w:tcPr>
          <w:p>
            <w:pPr>
              <w:pStyle w:val="Style28"/>
              <w:keepNext w:val="0"/>
              <w:keepLines w:val="0"/>
              <w:framePr w:w="8827" w:h="6552" w:vSpace="312" w:wrap="notBeside" w:vAnchor="text" w:hAnchor="text" w:x="673" w:y="313"/>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小家电等产品</w:t>
            </w:r>
            <w:r>
              <w:rPr>
                <w:rFonts w:ascii="Times New Roman" w:eastAsia="Times New Roman" w:hAnsi="Times New Roman" w:cs="Times New Roman"/>
                <w:color w:val="000000"/>
                <w:spacing w:val="0"/>
                <w:w w:val="100"/>
                <w:position w:val="0"/>
                <w:sz w:val="24"/>
                <w:szCs w:val="24"/>
              </w:rPr>
              <w:t>(ii)</w:t>
            </w:r>
          </w:p>
        </w:tc>
        <w:tc>
          <w:tcPr>
            <w:tcBorders/>
            <w:shd w:val="clear" w:color="auto" w:fill="FFFFFF"/>
            <w:vAlign w:val="bottom"/>
          </w:tcPr>
          <w:p>
            <w:pPr>
              <w:pStyle w:val="Style28"/>
              <w:keepNext w:val="0"/>
              <w:keepLines w:val="0"/>
              <w:framePr w:w="8827" w:h="6552" w:vSpace="312" w:wrap="notBeside" w:vAnchor="text" w:hAnchor="text" w:x="673" w:y="313"/>
              <w:widowControl w:val="0"/>
              <w:shd w:val="clear" w:color="auto" w:fill="auto"/>
              <w:bidi w:val="0"/>
              <w:spacing w:before="0" w:after="0" w:line="240" w:lineRule="auto"/>
              <w:ind w:left="0" w:right="0" w:firstLine="420"/>
              <w:jc w:val="left"/>
              <w:rPr>
                <w:sz w:val="24"/>
                <w:szCs w:val="24"/>
              </w:rPr>
            </w:pPr>
            <w:r>
              <w:rPr>
                <w:rFonts w:ascii="Times New Roman" w:eastAsia="Times New Roman" w:hAnsi="Times New Roman" w:cs="Times New Roman"/>
                <w:color w:val="000000"/>
                <w:spacing w:val="0"/>
                <w:w w:val="100"/>
                <w:position w:val="0"/>
                <w:sz w:val="24"/>
                <w:szCs w:val="24"/>
              </w:rPr>
              <w:t>25,682,282</w:t>
            </w:r>
          </w:p>
        </w:tc>
        <w:tc>
          <w:tcPr>
            <w:tcBorders/>
            <w:shd w:val="clear" w:color="auto" w:fill="FFFFFF"/>
            <w:vAlign w:val="bottom"/>
          </w:tcPr>
          <w:p>
            <w:pPr>
              <w:pStyle w:val="Style28"/>
              <w:keepNext w:val="0"/>
              <w:keepLines w:val="0"/>
              <w:framePr w:w="8827" w:h="6552" w:vSpace="312" w:wrap="notBeside" w:vAnchor="text" w:hAnchor="text" w:x="673" w:y="313"/>
              <w:widowControl w:val="0"/>
              <w:shd w:val="clear" w:color="auto" w:fill="auto"/>
              <w:bidi w:val="0"/>
              <w:spacing w:before="0" w:after="0" w:line="240" w:lineRule="auto"/>
              <w:ind w:left="0" w:right="0" w:firstLine="500"/>
              <w:jc w:val="left"/>
              <w:rPr>
                <w:sz w:val="24"/>
                <w:szCs w:val="24"/>
              </w:rPr>
            </w:pPr>
            <w:r>
              <w:rPr>
                <w:rFonts w:ascii="Times New Roman" w:eastAsia="Times New Roman" w:hAnsi="Times New Roman" w:cs="Times New Roman"/>
                <w:color w:val="000000"/>
                <w:spacing w:val="0"/>
                <w:w w:val="100"/>
                <w:position w:val="0"/>
                <w:sz w:val="24"/>
                <w:szCs w:val="24"/>
              </w:rPr>
              <w:t>21,002,160</w:t>
            </w:r>
          </w:p>
        </w:tc>
        <w:tc>
          <w:tcPr>
            <w:tcBorders/>
            <w:shd w:val="clear" w:color="auto" w:fill="FFFFFF"/>
            <w:vAlign w:val="bottom"/>
          </w:tcPr>
          <w:p>
            <w:pPr>
              <w:pStyle w:val="Style28"/>
              <w:keepNext w:val="0"/>
              <w:keepLines w:val="0"/>
              <w:framePr w:w="8827" w:h="6552" w:vSpace="312" w:wrap="notBeside" w:vAnchor="text" w:hAnchor="text" w:x="673" w:y="313"/>
              <w:widowControl w:val="0"/>
              <w:shd w:val="clear" w:color="auto" w:fill="auto"/>
              <w:bidi w:val="0"/>
              <w:spacing w:before="0" w:after="0" w:line="240" w:lineRule="auto"/>
              <w:ind w:left="0" w:right="0" w:firstLine="480"/>
              <w:jc w:val="both"/>
              <w:rPr>
                <w:sz w:val="24"/>
                <w:szCs w:val="24"/>
              </w:rPr>
            </w:pPr>
            <w:r>
              <w:rPr>
                <w:rFonts w:ascii="Times New Roman" w:eastAsia="Times New Roman" w:hAnsi="Times New Roman" w:cs="Times New Roman"/>
                <w:color w:val="000000"/>
                <w:spacing w:val="0"/>
                <w:w w:val="100"/>
                <w:position w:val="0"/>
                <w:sz w:val="24"/>
                <w:szCs w:val="24"/>
              </w:rPr>
              <w:t>22,929,723</w:t>
            </w:r>
          </w:p>
        </w:tc>
        <w:tc>
          <w:tcPr>
            <w:tcBorders/>
            <w:shd w:val="clear" w:color="auto" w:fill="FFFFFF"/>
            <w:vAlign w:val="bottom"/>
          </w:tcPr>
          <w:p>
            <w:pPr>
              <w:pStyle w:val="Style28"/>
              <w:keepNext w:val="0"/>
              <w:keepLines w:val="0"/>
              <w:framePr w:w="8827" w:h="6552" w:vSpace="312" w:wrap="notBeside" w:vAnchor="text" w:hAnchor="text" w:x="673" w:y="313"/>
              <w:widowControl w:val="0"/>
              <w:shd w:val="clear" w:color="auto" w:fill="auto"/>
              <w:bidi w:val="0"/>
              <w:spacing w:before="0" w:after="0" w:line="240" w:lineRule="auto"/>
              <w:ind w:left="0" w:right="0" w:firstLine="540"/>
              <w:jc w:val="both"/>
              <w:rPr>
                <w:sz w:val="24"/>
                <w:szCs w:val="24"/>
              </w:rPr>
            </w:pPr>
            <w:r>
              <w:rPr>
                <w:rFonts w:ascii="Times New Roman" w:eastAsia="Times New Roman" w:hAnsi="Times New Roman" w:cs="Times New Roman"/>
                <w:color w:val="000000"/>
                <w:spacing w:val="0"/>
                <w:w w:val="100"/>
                <w:position w:val="0"/>
                <w:sz w:val="24"/>
                <w:szCs w:val="24"/>
              </w:rPr>
              <w:t>18,691,468</w:t>
            </w:r>
          </w:p>
        </w:tc>
      </w:tr>
      <w:tr>
        <w:trPr>
          <w:trHeight w:val="298" w:hRule="exact"/>
        </w:trPr>
        <w:tc>
          <w:tcPr>
            <w:tcBorders/>
            <w:shd w:val="clear" w:color="auto" w:fill="FFFFFF"/>
            <w:vAlign w:val="bottom"/>
          </w:tcPr>
          <w:p>
            <w:pPr>
              <w:pStyle w:val="Style28"/>
              <w:keepNext w:val="0"/>
              <w:keepLines w:val="0"/>
              <w:framePr w:w="8827" w:h="6552" w:vSpace="312" w:wrap="notBeside" w:vAnchor="text" w:hAnchor="text" w:x="673" w:y="313"/>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数码及</w:t>
            </w:r>
            <w:r>
              <w:rPr>
                <w:rFonts w:ascii="Times New Roman" w:eastAsia="Times New Roman" w:hAnsi="Times New Roman" w:cs="Times New Roman"/>
                <w:color w:val="000000"/>
                <w:spacing w:val="0"/>
                <w:w w:val="100"/>
                <w:position w:val="0"/>
                <w:sz w:val="24"/>
                <w:szCs w:val="24"/>
              </w:rPr>
              <w:t>IT</w:t>
            </w:r>
            <w:r>
              <w:rPr>
                <w:color w:val="000000"/>
                <w:spacing w:val="0"/>
                <w:w w:val="100"/>
                <w:position w:val="0"/>
                <w:sz w:val="24"/>
                <w:szCs w:val="24"/>
              </w:rPr>
              <w:t>产品</w:t>
            </w:r>
          </w:p>
        </w:tc>
        <w:tc>
          <w:tcPr>
            <w:tcBorders/>
            <w:shd w:val="clear" w:color="auto" w:fill="FFFFFF"/>
            <w:vAlign w:val="bottom"/>
          </w:tcPr>
          <w:p>
            <w:pPr>
              <w:pStyle w:val="Style28"/>
              <w:keepNext w:val="0"/>
              <w:keepLines w:val="0"/>
              <w:framePr w:w="8827" w:h="6552" w:vSpace="312" w:wrap="notBeside" w:vAnchor="text" w:hAnchor="text" w:x="673" w:y="313"/>
              <w:widowControl w:val="0"/>
              <w:shd w:val="clear" w:color="auto" w:fill="auto"/>
              <w:bidi w:val="0"/>
              <w:spacing w:before="0" w:after="0" w:line="240" w:lineRule="auto"/>
              <w:ind w:left="0" w:right="0" w:firstLine="420"/>
              <w:jc w:val="left"/>
              <w:rPr>
                <w:sz w:val="24"/>
                <w:szCs w:val="24"/>
              </w:rPr>
            </w:pPr>
            <w:r>
              <w:rPr>
                <w:rFonts w:ascii="Times New Roman" w:eastAsia="Times New Roman" w:hAnsi="Times New Roman" w:cs="Times New Roman"/>
                <w:color w:val="000000"/>
                <w:spacing w:val="0"/>
                <w:w w:val="100"/>
                <w:position w:val="0"/>
                <w:sz w:val="24"/>
                <w:szCs w:val="24"/>
              </w:rPr>
              <w:t>24,137,879</w:t>
            </w:r>
          </w:p>
        </w:tc>
        <w:tc>
          <w:tcPr>
            <w:tcBorders/>
            <w:shd w:val="clear" w:color="auto" w:fill="FFFFFF"/>
            <w:vAlign w:val="bottom"/>
          </w:tcPr>
          <w:p>
            <w:pPr>
              <w:pStyle w:val="Style28"/>
              <w:keepNext w:val="0"/>
              <w:keepLines w:val="0"/>
              <w:framePr w:w="8827" w:h="6552" w:vSpace="312" w:wrap="notBeside" w:vAnchor="text" w:hAnchor="text" w:x="673" w:y="313"/>
              <w:widowControl w:val="0"/>
              <w:shd w:val="clear" w:color="auto" w:fill="auto"/>
              <w:bidi w:val="0"/>
              <w:spacing w:before="0" w:after="0" w:line="240" w:lineRule="auto"/>
              <w:ind w:left="0" w:right="0" w:firstLine="500"/>
              <w:jc w:val="left"/>
              <w:rPr>
                <w:sz w:val="24"/>
                <w:szCs w:val="24"/>
              </w:rPr>
            </w:pPr>
            <w:r>
              <w:rPr>
                <w:rFonts w:ascii="Times New Roman" w:eastAsia="Times New Roman" w:hAnsi="Times New Roman" w:cs="Times New Roman"/>
                <w:color w:val="000000"/>
                <w:spacing w:val="0"/>
                <w:w w:val="100"/>
                <w:position w:val="0"/>
                <w:sz w:val="24"/>
                <w:szCs w:val="24"/>
              </w:rPr>
              <w:t>23,179,304</w:t>
            </w:r>
          </w:p>
        </w:tc>
        <w:tc>
          <w:tcPr>
            <w:tcBorders/>
            <w:shd w:val="clear" w:color="auto" w:fill="FFFFFF"/>
            <w:vAlign w:val="bottom"/>
          </w:tcPr>
          <w:p>
            <w:pPr>
              <w:pStyle w:val="Style28"/>
              <w:keepNext w:val="0"/>
              <w:keepLines w:val="0"/>
              <w:framePr w:w="8827" w:h="6552" w:vSpace="312" w:wrap="notBeside" w:vAnchor="text" w:hAnchor="text" w:x="673" w:y="313"/>
              <w:widowControl w:val="0"/>
              <w:shd w:val="clear" w:color="auto" w:fill="auto"/>
              <w:bidi w:val="0"/>
              <w:spacing w:before="0" w:after="0" w:line="240" w:lineRule="auto"/>
              <w:ind w:left="0" w:right="0" w:firstLine="480"/>
              <w:jc w:val="both"/>
              <w:rPr>
                <w:sz w:val="24"/>
                <w:szCs w:val="24"/>
              </w:rPr>
            </w:pPr>
            <w:r>
              <w:rPr>
                <w:rFonts w:ascii="Times New Roman" w:eastAsia="Times New Roman" w:hAnsi="Times New Roman" w:cs="Times New Roman"/>
                <w:color w:val="000000"/>
                <w:spacing w:val="0"/>
                <w:w w:val="100"/>
                <w:position w:val="0"/>
                <w:sz w:val="24"/>
                <w:szCs w:val="24"/>
              </w:rPr>
              <w:t>22,083,433</w:t>
            </w:r>
          </w:p>
        </w:tc>
        <w:tc>
          <w:tcPr>
            <w:tcBorders/>
            <w:shd w:val="clear" w:color="auto" w:fill="FFFFFF"/>
            <w:vAlign w:val="bottom"/>
          </w:tcPr>
          <w:p>
            <w:pPr>
              <w:pStyle w:val="Style28"/>
              <w:keepNext w:val="0"/>
              <w:keepLines w:val="0"/>
              <w:framePr w:w="8827" w:h="6552" w:vSpace="312" w:wrap="notBeside" w:vAnchor="text" w:hAnchor="text" w:x="673" w:y="313"/>
              <w:widowControl w:val="0"/>
              <w:shd w:val="clear" w:color="auto" w:fill="auto"/>
              <w:bidi w:val="0"/>
              <w:spacing w:before="0" w:after="0" w:line="240" w:lineRule="auto"/>
              <w:ind w:left="0" w:right="0" w:firstLine="540"/>
              <w:jc w:val="both"/>
              <w:rPr>
                <w:sz w:val="24"/>
                <w:szCs w:val="24"/>
              </w:rPr>
            </w:pPr>
            <w:r>
              <w:rPr>
                <w:rFonts w:ascii="Times New Roman" w:eastAsia="Times New Roman" w:hAnsi="Times New Roman" w:cs="Times New Roman"/>
                <w:color w:val="000000"/>
                <w:spacing w:val="0"/>
                <w:w w:val="100"/>
                <w:position w:val="0"/>
                <w:sz w:val="24"/>
                <w:szCs w:val="24"/>
              </w:rPr>
              <w:t>21,041,058</w:t>
            </w:r>
          </w:p>
        </w:tc>
      </w:tr>
      <w:tr>
        <w:trPr>
          <w:trHeight w:val="322" w:hRule="exact"/>
        </w:trPr>
        <w:tc>
          <w:tcPr>
            <w:tcBorders/>
            <w:shd w:val="clear" w:color="auto" w:fill="FFFFFF"/>
            <w:vAlign w:val="bottom"/>
          </w:tcPr>
          <w:p>
            <w:pPr>
              <w:pStyle w:val="Style28"/>
              <w:keepNext w:val="0"/>
              <w:keepLines w:val="0"/>
              <w:framePr w:w="8827" w:h="6552" w:vSpace="312" w:wrap="notBeside" w:vAnchor="text" w:hAnchor="text" w:x="673" w:y="313"/>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白色电器产品</w:t>
            </w:r>
          </w:p>
        </w:tc>
        <w:tc>
          <w:tcPr>
            <w:tcBorders/>
            <w:shd w:val="clear" w:color="auto" w:fill="FFFFFF"/>
            <w:vAlign w:val="bottom"/>
          </w:tcPr>
          <w:p>
            <w:pPr>
              <w:pStyle w:val="Style28"/>
              <w:keepNext w:val="0"/>
              <w:keepLines w:val="0"/>
              <w:framePr w:w="8827" w:h="6552" w:vSpace="312" w:wrap="notBeside" w:vAnchor="text" w:hAnchor="text" w:x="673" w:y="313"/>
              <w:widowControl w:val="0"/>
              <w:shd w:val="clear" w:color="auto" w:fill="auto"/>
              <w:bidi w:val="0"/>
              <w:spacing w:before="0" w:after="0" w:line="240" w:lineRule="auto"/>
              <w:ind w:left="0" w:right="0" w:firstLine="420"/>
              <w:jc w:val="left"/>
              <w:rPr>
                <w:sz w:val="24"/>
                <w:szCs w:val="24"/>
              </w:rPr>
            </w:pPr>
            <w:r>
              <w:rPr>
                <w:rFonts w:ascii="Times New Roman" w:eastAsia="Times New Roman" w:hAnsi="Times New Roman" w:cs="Times New Roman"/>
                <w:color w:val="000000"/>
                <w:spacing w:val="0"/>
                <w:w w:val="100"/>
                <w:position w:val="0"/>
                <w:sz w:val="24"/>
                <w:szCs w:val="24"/>
              </w:rPr>
              <w:t>22,209,541</w:t>
            </w:r>
          </w:p>
        </w:tc>
        <w:tc>
          <w:tcPr>
            <w:tcBorders/>
            <w:shd w:val="clear" w:color="auto" w:fill="FFFFFF"/>
            <w:vAlign w:val="bottom"/>
          </w:tcPr>
          <w:p>
            <w:pPr>
              <w:pStyle w:val="Style28"/>
              <w:keepNext w:val="0"/>
              <w:keepLines w:val="0"/>
              <w:framePr w:w="8827" w:h="6552" w:vSpace="312" w:wrap="notBeside" w:vAnchor="text" w:hAnchor="text" w:x="673" w:y="313"/>
              <w:widowControl w:val="0"/>
              <w:shd w:val="clear" w:color="auto" w:fill="auto"/>
              <w:bidi w:val="0"/>
              <w:spacing w:before="0" w:after="0" w:line="240" w:lineRule="auto"/>
              <w:ind w:left="0" w:right="0" w:firstLine="500"/>
              <w:jc w:val="left"/>
              <w:rPr>
                <w:sz w:val="24"/>
                <w:szCs w:val="24"/>
              </w:rPr>
            </w:pPr>
            <w:r>
              <w:rPr>
                <w:rFonts w:ascii="Times New Roman" w:eastAsia="Times New Roman" w:hAnsi="Times New Roman" w:cs="Times New Roman"/>
                <w:color w:val="000000"/>
                <w:spacing w:val="0"/>
                <w:w w:val="100"/>
                <w:position w:val="0"/>
                <w:sz w:val="24"/>
                <w:szCs w:val="24"/>
              </w:rPr>
              <w:t>18,273,256</w:t>
            </w:r>
          </w:p>
        </w:tc>
        <w:tc>
          <w:tcPr>
            <w:tcBorders/>
            <w:shd w:val="clear" w:color="auto" w:fill="FFFFFF"/>
            <w:vAlign w:val="bottom"/>
          </w:tcPr>
          <w:p>
            <w:pPr>
              <w:pStyle w:val="Style28"/>
              <w:keepNext w:val="0"/>
              <w:keepLines w:val="0"/>
              <w:framePr w:w="8827" w:h="6552" w:vSpace="312" w:wrap="notBeside" w:vAnchor="text" w:hAnchor="text" w:x="673" w:y="313"/>
              <w:widowControl w:val="0"/>
              <w:shd w:val="clear" w:color="auto" w:fill="auto"/>
              <w:bidi w:val="0"/>
              <w:spacing w:before="0" w:after="0" w:line="240" w:lineRule="auto"/>
              <w:ind w:left="0" w:right="0" w:firstLine="480"/>
              <w:jc w:val="both"/>
              <w:rPr>
                <w:sz w:val="24"/>
                <w:szCs w:val="24"/>
              </w:rPr>
            </w:pPr>
            <w:r>
              <w:rPr>
                <w:rFonts w:ascii="Times New Roman" w:eastAsia="Times New Roman" w:hAnsi="Times New Roman" w:cs="Times New Roman"/>
                <w:color w:val="000000"/>
                <w:spacing w:val="0"/>
                <w:w w:val="100"/>
                <w:position w:val="0"/>
                <w:sz w:val="24"/>
                <w:szCs w:val="24"/>
              </w:rPr>
              <w:t>21,651,400</w:t>
            </w:r>
          </w:p>
        </w:tc>
        <w:tc>
          <w:tcPr>
            <w:tcBorders/>
            <w:shd w:val="clear" w:color="auto" w:fill="FFFFFF"/>
            <w:vAlign w:val="bottom"/>
          </w:tcPr>
          <w:p>
            <w:pPr>
              <w:pStyle w:val="Style28"/>
              <w:keepNext w:val="0"/>
              <w:keepLines w:val="0"/>
              <w:framePr w:w="8827" w:h="6552" w:vSpace="312" w:wrap="notBeside" w:vAnchor="text" w:hAnchor="text" w:x="673" w:y="313"/>
              <w:widowControl w:val="0"/>
              <w:shd w:val="clear" w:color="auto" w:fill="auto"/>
              <w:bidi w:val="0"/>
              <w:spacing w:before="0" w:after="0" w:line="240" w:lineRule="auto"/>
              <w:ind w:left="0" w:right="0" w:firstLine="540"/>
              <w:jc w:val="both"/>
              <w:rPr>
                <w:sz w:val="24"/>
                <w:szCs w:val="24"/>
              </w:rPr>
            </w:pPr>
            <w:r>
              <w:rPr>
                <w:rFonts w:ascii="Times New Roman" w:eastAsia="Times New Roman" w:hAnsi="Times New Roman" w:cs="Times New Roman"/>
                <w:color w:val="000000"/>
                <w:spacing w:val="0"/>
                <w:w w:val="100"/>
                <w:position w:val="0"/>
                <w:sz w:val="24"/>
                <w:szCs w:val="24"/>
              </w:rPr>
              <w:t>17,768,898</w:t>
            </w:r>
          </w:p>
        </w:tc>
      </w:tr>
      <w:tr>
        <w:trPr>
          <w:trHeight w:val="317" w:hRule="exact"/>
        </w:trPr>
        <w:tc>
          <w:tcPr>
            <w:tcBorders/>
            <w:shd w:val="clear" w:color="auto" w:fill="FFFFFF"/>
            <w:vAlign w:val="bottom"/>
          </w:tcPr>
          <w:p>
            <w:pPr>
              <w:pStyle w:val="Style28"/>
              <w:keepNext w:val="0"/>
              <w:keepLines w:val="0"/>
              <w:framePr w:w="8827" w:h="6552" w:vSpace="312" w:wrap="notBeside" w:vAnchor="text" w:hAnchor="text" w:x="673" w:y="313"/>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黑色电器产品</w:t>
            </w:r>
          </w:p>
        </w:tc>
        <w:tc>
          <w:tcPr>
            <w:tcBorders/>
            <w:shd w:val="clear" w:color="auto" w:fill="FFFFFF"/>
            <w:vAlign w:val="bottom"/>
          </w:tcPr>
          <w:p>
            <w:pPr>
              <w:pStyle w:val="Style28"/>
              <w:keepNext w:val="0"/>
              <w:keepLines w:val="0"/>
              <w:framePr w:w="8827" w:h="6552" w:vSpace="312" w:wrap="notBeside" w:vAnchor="text" w:hAnchor="text" w:x="673" w:y="313"/>
              <w:widowControl w:val="0"/>
              <w:shd w:val="clear" w:color="auto" w:fill="auto"/>
              <w:bidi w:val="0"/>
              <w:spacing w:before="0" w:after="0" w:line="240" w:lineRule="auto"/>
              <w:ind w:left="0" w:right="0" w:firstLine="420"/>
              <w:jc w:val="left"/>
              <w:rPr>
                <w:sz w:val="24"/>
                <w:szCs w:val="24"/>
              </w:rPr>
            </w:pPr>
            <w:r>
              <w:rPr>
                <w:rFonts w:ascii="Times New Roman" w:eastAsia="Times New Roman" w:hAnsi="Times New Roman" w:cs="Times New Roman"/>
                <w:color w:val="000000"/>
                <w:spacing w:val="0"/>
                <w:w w:val="100"/>
                <w:position w:val="0"/>
                <w:sz w:val="24"/>
                <w:szCs w:val="24"/>
              </w:rPr>
              <w:t>21,480,391</w:t>
            </w:r>
          </w:p>
        </w:tc>
        <w:tc>
          <w:tcPr>
            <w:tcBorders/>
            <w:shd w:val="clear" w:color="auto" w:fill="FFFFFF"/>
            <w:vAlign w:val="bottom"/>
          </w:tcPr>
          <w:p>
            <w:pPr>
              <w:pStyle w:val="Style28"/>
              <w:keepNext w:val="0"/>
              <w:keepLines w:val="0"/>
              <w:framePr w:w="8827" w:h="6552" w:vSpace="312" w:wrap="notBeside" w:vAnchor="text" w:hAnchor="text" w:x="673" w:y="313"/>
              <w:widowControl w:val="0"/>
              <w:shd w:val="clear" w:color="auto" w:fill="auto"/>
              <w:bidi w:val="0"/>
              <w:spacing w:before="0" w:after="0" w:line="240" w:lineRule="auto"/>
              <w:ind w:left="0" w:right="0" w:firstLine="500"/>
              <w:jc w:val="left"/>
              <w:rPr>
                <w:sz w:val="24"/>
                <w:szCs w:val="24"/>
              </w:rPr>
            </w:pPr>
            <w:r>
              <w:rPr>
                <w:rFonts w:ascii="Times New Roman" w:eastAsia="Times New Roman" w:hAnsi="Times New Roman" w:cs="Times New Roman"/>
                <w:color w:val="000000"/>
                <w:spacing w:val="0"/>
                <w:w w:val="100"/>
                <w:position w:val="0"/>
                <w:sz w:val="24"/>
                <w:szCs w:val="24"/>
              </w:rPr>
              <w:t>17,848,667</w:t>
            </w:r>
          </w:p>
        </w:tc>
        <w:tc>
          <w:tcPr>
            <w:tcBorders/>
            <w:shd w:val="clear" w:color="auto" w:fill="FFFFFF"/>
            <w:vAlign w:val="bottom"/>
          </w:tcPr>
          <w:p>
            <w:pPr>
              <w:pStyle w:val="Style28"/>
              <w:keepNext w:val="0"/>
              <w:keepLines w:val="0"/>
              <w:framePr w:w="8827" w:h="6552" w:vSpace="312" w:wrap="notBeside" w:vAnchor="text" w:hAnchor="text" w:x="673" w:y="313"/>
              <w:widowControl w:val="0"/>
              <w:shd w:val="clear" w:color="auto" w:fill="auto"/>
              <w:bidi w:val="0"/>
              <w:spacing w:before="0" w:after="0" w:line="240" w:lineRule="auto"/>
              <w:ind w:left="0" w:right="0" w:firstLine="480"/>
              <w:jc w:val="both"/>
              <w:rPr>
                <w:sz w:val="24"/>
                <w:szCs w:val="24"/>
              </w:rPr>
            </w:pPr>
            <w:r>
              <w:rPr>
                <w:rFonts w:ascii="Times New Roman" w:eastAsia="Times New Roman" w:hAnsi="Times New Roman" w:cs="Times New Roman"/>
                <w:color w:val="000000"/>
                <w:spacing w:val="0"/>
                <w:w w:val="100"/>
                <w:position w:val="0"/>
                <w:sz w:val="24"/>
                <w:szCs w:val="24"/>
              </w:rPr>
              <w:t>23,195,013</w:t>
            </w:r>
          </w:p>
        </w:tc>
        <w:tc>
          <w:tcPr>
            <w:tcBorders/>
            <w:shd w:val="clear" w:color="auto" w:fill="FFFFFF"/>
            <w:vAlign w:val="bottom"/>
          </w:tcPr>
          <w:p>
            <w:pPr>
              <w:pStyle w:val="Style28"/>
              <w:keepNext w:val="0"/>
              <w:keepLines w:val="0"/>
              <w:framePr w:w="8827" w:h="6552" w:vSpace="312" w:wrap="notBeside" w:vAnchor="text" w:hAnchor="text" w:x="673" w:y="313"/>
              <w:widowControl w:val="0"/>
              <w:shd w:val="clear" w:color="auto" w:fill="auto"/>
              <w:bidi w:val="0"/>
              <w:spacing w:before="0" w:after="0" w:line="240" w:lineRule="auto"/>
              <w:ind w:left="0" w:right="0" w:firstLine="540"/>
              <w:jc w:val="both"/>
              <w:rPr>
                <w:sz w:val="24"/>
                <w:szCs w:val="24"/>
              </w:rPr>
            </w:pPr>
            <w:r>
              <w:rPr>
                <w:rFonts w:ascii="Times New Roman" w:eastAsia="Times New Roman" w:hAnsi="Times New Roman" w:cs="Times New Roman"/>
                <w:color w:val="000000"/>
                <w:spacing w:val="0"/>
                <w:w w:val="100"/>
                <w:position w:val="0"/>
                <w:sz w:val="24"/>
                <w:szCs w:val="24"/>
              </w:rPr>
              <w:t>19,080,138</w:t>
            </w:r>
          </w:p>
        </w:tc>
      </w:tr>
      <w:tr>
        <w:trPr>
          <w:trHeight w:val="288" w:hRule="exact"/>
        </w:trPr>
        <w:tc>
          <w:tcPr>
            <w:tcBorders/>
            <w:shd w:val="clear" w:color="auto" w:fill="FFFFFF"/>
            <w:vAlign w:val="bottom"/>
          </w:tcPr>
          <w:p>
            <w:pPr>
              <w:pStyle w:val="Style28"/>
              <w:keepNext w:val="0"/>
              <w:keepLines w:val="0"/>
              <w:framePr w:w="8827" w:h="6552" w:vSpace="312" w:wrap="notBeside" w:vAnchor="text" w:hAnchor="text" w:x="673" w:y="313"/>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空调产品</w:t>
            </w:r>
          </w:p>
        </w:tc>
        <w:tc>
          <w:tcPr>
            <w:tcBorders/>
            <w:shd w:val="clear" w:color="auto" w:fill="FFFFFF"/>
            <w:vAlign w:val="bottom"/>
          </w:tcPr>
          <w:p>
            <w:pPr>
              <w:pStyle w:val="Style28"/>
              <w:keepNext w:val="0"/>
              <w:keepLines w:val="0"/>
              <w:framePr w:w="8827" w:h="6552" w:vSpace="312" w:wrap="notBeside" w:vAnchor="text" w:hAnchor="text" w:x="673" w:y="313"/>
              <w:widowControl w:val="0"/>
              <w:shd w:val="clear" w:color="auto" w:fill="auto"/>
              <w:bidi w:val="0"/>
              <w:spacing w:before="0" w:after="0" w:line="240" w:lineRule="auto"/>
              <w:ind w:left="0" w:right="0" w:firstLine="420"/>
              <w:jc w:val="left"/>
              <w:rPr>
                <w:sz w:val="24"/>
                <w:szCs w:val="24"/>
              </w:rPr>
            </w:pPr>
            <w:r>
              <w:rPr>
                <w:rFonts w:ascii="Times New Roman" w:eastAsia="Times New Roman" w:hAnsi="Times New Roman" w:cs="Times New Roman"/>
                <w:color w:val="000000"/>
                <w:spacing w:val="0"/>
                <w:w w:val="100"/>
                <w:position w:val="0"/>
                <w:sz w:val="24"/>
                <w:szCs w:val="24"/>
              </w:rPr>
              <w:t>15,898,866</w:t>
            </w:r>
          </w:p>
        </w:tc>
        <w:tc>
          <w:tcPr>
            <w:tcBorders/>
            <w:shd w:val="clear" w:color="auto" w:fill="FFFFFF"/>
            <w:vAlign w:val="bottom"/>
          </w:tcPr>
          <w:p>
            <w:pPr>
              <w:pStyle w:val="Style28"/>
              <w:keepNext w:val="0"/>
              <w:keepLines w:val="0"/>
              <w:framePr w:w="8827" w:h="6552" w:vSpace="312" w:wrap="notBeside" w:vAnchor="text" w:hAnchor="text" w:x="673" w:y="313"/>
              <w:widowControl w:val="0"/>
              <w:shd w:val="clear" w:color="auto" w:fill="auto"/>
              <w:bidi w:val="0"/>
              <w:spacing w:before="0" w:after="0" w:line="240" w:lineRule="auto"/>
              <w:ind w:left="0" w:right="0" w:firstLine="500"/>
              <w:jc w:val="left"/>
              <w:rPr>
                <w:sz w:val="24"/>
                <w:szCs w:val="24"/>
              </w:rPr>
            </w:pPr>
            <w:r>
              <w:rPr>
                <w:rFonts w:ascii="Times New Roman" w:eastAsia="Times New Roman" w:hAnsi="Times New Roman" w:cs="Times New Roman"/>
                <w:color w:val="000000"/>
                <w:spacing w:val="0"/>
                <w:w w:val="100"/>
                <w:position w:val="0"/>
                <w:sz w:val="24"/>
                <w:szCs w:val="24"/>
              </w:rPr>
              <w:t>13,357,544</w:t>
            </w:r>
          </w:p>
        </w:tc>
        <w:tc>
          <w:tcPr>
            <w:tcBorders/>
            <w:shd w:val="clear" w:color="auto" w:fill="FFFFFF"/>
            <w:vAlign w:val="bottom"/>
          </w:tcPr>
          <w:p>
            <w:pPr>
              <w:pStyle w:val="Style28"/>
              <w:keepNext w:val="0"/>
              <w:keepLines w:val="0"/>
              <w:framePr w:w="8827" w:h="6552" w:vSpace="312" w:wrap="notBeside" w:vAnchor="text" w:hAnchor="text" w:x="673" w:y="313"/>
              <w:widowControl w:val="0"/>
              <w:shd w:val="clear" w:color="auto" w:fill="auto"/>
              <w:bidi w:val="0"/>
              <w:spacing w:before="0" w:after="0" w:line="240" w:lineRule="auto"/>
              <w:ind w:left="0" w:right="0" w:firstLine="480"/>
              <w:jc w:val="both"/>
              <w:rPr>
                <w:sz w:val="24"/>
                <w:szCs w:val="24"/>
              </w:rPr>
            </w:pPr>
            <w:r>
              <w:rPr>
                <w:rFonts w:ascii="Times New Roman" w:eastAsia="Times New Roman" w:hAnsi="Times New Roman" w:cs="Times New Roman"/>
                <w:color w:val="000000"/>
                <w:spacing w:val="0"/>
                <w:w w:val="100"/>
                <w:position w:val="0"/>
                <w:sz w:val="24"/>
                <w:szCs w:val="24"/>
              </w:rPr>
              <w:t>13,033,272</w:t>
            </w:r>
          </w:p>
        </w:tc>
        <w:tc>
          <w:tcPr>
            <w:tcBorders/>
            <w:shd w:val="clear" w:color="auto" w:fill="FFFFFF"/>
            <w:vAlign w:val="bottom"/>
          </w:tcPr>
          <w:p>
            <w:pPr>
              <w:pStyle w:val="Style28"/>
              <w:keepNext w:val="0"/>
              <w:keepLines w:val="0"/>
              <w:framePr w:w="8827" w:h="6552" w:vSpace="312" w:wrap="notBeside" w:vAnchor="text" w:hAnchor="text" w:x="673" w:y="313"/>
              <w:widowControl w:val="0"/>
              <w:shd w:val="clear" w:color="auto" w:fill="auto"/>
              <w:bidi w:val="0"/>
              <w:spacing w:before="0" w:after="0" w:line="240" w:lineRule="auto"/>
              <w:ind w:left="0" w:right="0" w:firstLine="540"/>
              <w:jc w:val="both"/>
              <w:rPr>
                <w:sz w:val="24"/>
                <w:szCs w:val="24"/>
              </w:rPr>
            </w:pPr>
            <w:r>
              <w:rPr>
                <w:rFonts w:ascii="Times New Roman" w:eastAsia="Times New Roman" w:hAnsi="Times New Roman" w:cs="Times New Roman"/>
                <w:color w:val="000000"/>
                <w:spacing w:val="0"/>
                <w:w w:val="100"/>
                <w:position w:val="0"/>
                <w:sz w:val="24"/>
                <w:szCs w:val="24"/>
              </w:rPr>
              <w:t>10,897,560</w:t>
            </w:r>
          </w:p>
        </w:tc>
      </w:tr>
      <w:tr>
        <w:trPr>
          <w:trHeight w:val="322" w:hRule="exact"/>
        </w:trPr>
        <w:tc>
          <w:tcPr>
            <w:tcBorders/>
            <w:shd w:val="clear" w:color="auto" w:fill="FFFFFF"/>
            <w:vAlign w:val="bottom"/>
          </w:tcPr>
          <w:p>
            <w:pPr>
              <w:pStyle w:val="Style28"/>
              <w:keepNext w:val="0"/>
              <w:keepLines w:val="0"/>
              <w:framePr w:w="8827" w:h="6552" w:vSpace="312" w:wrap="notBeside" w:vAnchor="text" w:hAnchor="text" w:x="673" w:y="313"/>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安装维修业务</w:t>
            </w:r>
          </w:p>
        </w:tc>
        <w:tc>
          <w:tcPr>
            <w:tcBorders/>
            <w:shd w:val="clear" w:color="auto" w:fill="FFFFFF"/>
            <w:vAlign w:val="bottom"/>
          </w:tcPr>
          <w:p>
            <w:pPr>
              <w:pStyle w:val="Style28"/>
              <w:keepNext w:val="0"/>
              <w:keepLines w:val="0"/>
              <w:framePr w:w="8827" w:h="6552" w:vSpace="312" w:wrap="notBeside" w:vAnchor="text" w:hAnchor="text" w:x="673" w:y="313"/>
              <w:widowControl w:val="0"/>
              <w:shd w:val="clear" w:color="auto" w:fill="auto"/>
              <w:bidi w:val="0"/>
              <w:spacing w:before="0" w:after="0" w:line="240" w:lineRule="auto"/>
              <w:ind w:left="0" w:right="0" w:firstLine="540"/>
              <w:jc w:val="left"/>
              <w:rPr>
                <w:sz w:val="24"/>
                <w:szCs w:val="24"/>
              </w:rPr>
            </w:pPr>
            <w:r>
              <w:rPr>
                <w:rFonts w:ascii="Times New Roman" w:eastAsia="Times New Roman" w:hAnsi="Times New Roman" w:cs="Times New Roman"/>
                <w:color w:val="000000"/>
                <w:spacing w:val="0"/>
                <w:w w:val="100"/>
                <w:position w:val="0"/>
                <w:sz w:val="24"/>
                <w:szCs w:val="24"/>
              </w:rPr>
              <w:t>1,045,118</w:t>
            </w:r>
          </w:p>
        </w:tc>
        <w:tc>
          <w:tcPr>
            <w:tcBorders/>
            <w:shd w:val="clear" w:color="auto" w:fill="FFFFFF"/>
            <w:vAlign w:val="bottom"/>
          </w:tcPr>
          <w:p>
            <w:pPr>
              <w:pStyle w:val="Style28"/>
              <w:keepNext w:val="0"/>
              <w:keepLines w:val="0"/>
              <w:framePr w:w="8827" w:h="6552" w:vSpace="312" w:wrap="notBeside" w:vAnchor="text" w:hAnchor="text" w:x="673" w:y="313"/>
              <w:widowControl w:val="0"/>
              <w:shd w:val="clear" w:color="auto" w:fill="auto"/>
              <w:bidi w:val="0"/>
              <w:spacing w:before="0" w:after="0" w:line="240" w:lineRule="auto"/>
              <w:ind w:left="0" w:right="0" w:firstLine="800"/>
              <w:jc w:val="left"/>
              <w:rPr>
                <w:sz w:val="24"/>
                <w:szCs w:val="24"/>
              </w:rPr>
            </w:pPr>
            <w:r>
              <w:rPr>
                <w:rFonts w:ascii="Times New Roman" w:eastAsia="Times New Roman" w:hAnsi="Times New Roman" w:cs="Times New Roman"/>
                <w:color w:val="000000"/>
                <w:spacing w:val="0"/>
                <w:w w:val="100"/>
                <w:position w:val="0"/>
                <w:sz w:val="24"/>
                <w:szCs w:val="24"/>
              </w:rPr>
              <w:t>891,288</w:t>
            </w:r>
          </w:p>
        </w:tc>
        <w:tc>
          <w:tcPr>
            <w:tcBorders/>
            <w:shd w:val="clear" w:color="auto" w:fill="FFFFFF"/>
            <w:vAlign w:val="bottom"/>
          </w:tcPr>
          <w:p>
            <w:pPr>
              <w:pStyle w:val="Style28"/>
              <w:keepNext w:val="0"/>
              <w:keepLines w:val="0"/>
              <w:framePr w:w="8827" w:h="6552" w:vSpace="312" w:wrap="notBeside" w:vAnchor="text" w:hAnchor="text" w:x="673" w:y="313"/>
              <w:widowControl w:val="0"/>
              <w:shd w:val="clear" w:color="auto" w:fill="auto"/>
              <w:bidi w:val="0"/>
              <w:spacing w:before="0" w:after="0" w:line="240" w:lineRule="auto"/>
              <w:ind w:left="0" w:right="0" w:firstLine="600"/>
              <w:jc w:val="both"/>
              <w:rPr>
                <w:sz w:val="24"/>
                <w:szCs w:val="24"/>
              </w:rPr>
            </w:pPr>
            <w:r>
              <w:rPr>
                <w:rFonts w:ascii="Times New Roman" w:eastAsia="Times New Roman" w:hAnsi="Times New Roman" w:cs="Times New Roman"/>
                <w:color w:val="000000"/>
                <w:spacing w:val="0"/>
                <w:w w:val="100"/>
                <w:position w:val="0"/>
                <w:sz w:val="24"/>
                <w:szCs w:val="24"/>
              </w:rPr>
              <w:t>1,127,063</w:t>
            </w:r>
          </w:p>
        </w:tc>
        <w:tc>
          <w:tcPr>
            <w:tcBorders/>
            <w:shd w:val="clear" w:color="auto" w:fill="FFFFFF"/>
            <w:vAlign w:val="bottom"/>
          </w:tcPr>
          <w:p>
            <w:pPr>
              <w:pStyle w:val="Style28"/>
              <w:keepNext w:val="0"/>
              <w:keepLines w:val="0"/>
              <w:framePr w:w="8827" w:h="6552" w:vSpace="312" w:wrap="notBeside" w:vAnchor="text" w:hAnchor="text" w:x="673" w:y="313"/>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900,056</w:t>
            </w:r>
          </w:p>
        </w:tc>
      </w:tr>
      <w:tr>
        <w:trPr>
          <w:trHeight w:val="322" w:hRule="exact"/>
        </w:trPr>
        <w:tc>
          <w:tcPr>
            <w:tcBorders/>
            <w:shd w:val="clear" w:color="auto" w:fill="FFFFFF"/>
            <w:vAlign w:val="bottom"/>
          </w:tcPr>
          <w:p>
            <w:pPr>
              <w:pStyle w:val="Style28"/>
              <w:keepNext w:val="0"/>
              <w:keepLines w:val="0"/>
              <w:framePr w:w="8827" w:h="6552" w:vSpace="312" w:wrap="notBeside" w:vAnchor="text" w:hAnchor="text" w:x="673" w:y="313"/>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其他行业</w:t>
            </w:r>
            <w:r>
              <w:rPr>
                <w:rFonts w:ascii="Times New Roman" w:eastAsia="Times New Roman" w:hAnsi="Times New Roman" w:cs="Times New Roman"/>
                <w:color w:val="000000"/>
                <w:spacing w:val="0"/>
                <w:w w:val="100"/>
                <w:position w:val="0"/>
                <w:sz w:val="24"/>
                <w:szCs w:val="24"/>
              </w:rPr>
              <w:t>(i)</w:t>
            </w:r>
          </w:p>
        </w:tc>
        <w:tc>
          <w:tcPr>
            <w:tcBorders/>
            <w:shd w:val="clear" w:color="auto" w:fill="FFFFFF"/>
            <w:vAlign w:val="bottom"/>
          </w:tcPr>
          <w:p>
            <w:pPr>
              <w:pStyle w:val="Style28"/>
              <w:keepNext w:val="0"/>
              <w:keepLines w:val="0"/>
              <w:framePr w:w="8827" w:h="6552" w:vSpace="312" w:wrap="notBeside" w:vAnchor="text" w:hAnchor="text" w:x="673" w:y="313"/>
              <w:widowControl w:val="0"/>
              <w:shd w:val="clear" w:color="auto" w:fill="auto"/>
              <w:bidi w:val="0"/>
              <w:spacing w:before="0" w:after="0" w:line="240" w:lineRule="auto"/>
              <w:ind w:left="0" w:right="0" w:firstLine="540"/>
              <w:jc w:val="left"/>
              <w:rPr>
                <w:sz w:val="24"/>
                <w:szCs w:val="24"/>
              </w:rPr>
            </w:pPr>
            <w:r>
              <w:rPr>
                <w:rFonts w:ascii="Times New Roman" w:eastAsia="Times New Roman" w:hAnsi="Times New Roman" w:cs="Times New Roman"/>
                <w:color w:val="000000"/>
                <w:spacing w:val="0"/>
                <w:w w:val="100"/>
                <w:position w:val="0"/>
                <w:sz w:val="24"/>
                <w:szCs w:val="24"/>
              </w:rPr>
              <w:t>1,783,525</w:t>
            </w:r>
          </w:p>
        </w:tc>
        <w:tc>
          <w:tcPr>
            <w:tcBorders/>
            <w:shd w:val="clear" w:color="auto" w:fill="FFFFFF"/>
            <w:vAlign w:val="bottom"/>
          </w:tcPr>
          <w:p>
            <w:pPr>
              <w:pStyle w:val="Style28"/>
              <w:keepNext w:val="0"/>
              <w:keepLines w:val="0"/>
              <w:framePr w:w="8827" w:h="6552" w:vSpace="312" w:wrap="notBeside" w:vAnchor="text" w:hAnchor="text" w:x="673" w:y="313"/>
              <w:widowControl w:val="0"/>
              <w:shd w:val="clear" w:color="auto" w:fill="auto"/>
              <w:bidi w:val="0"/>
              <w:spacing w:before="0" w:after="0" w:line="240" w:lineRule="auto"/>
              <w:ind w:left="0" w:right="0" w:firstLine="800"/>
              <w:jc w:val="left"/>
              <w:rPr>
                <w:sz w:val="24"/>
                <w:szCs w:val="24"/>
              </w:rPr>
            </w:pPr>
            <w:r>
              <w:rPr>
                <w:rFonts w:ascii="Times New Roman" w:eastAsia="Times New Roman" w:hAnsi="Times New Roman" w:cs="Times New Roman"/>
                <w:color w:val="000000"/>
                <w:spacing w:val="0"/>
                <w:w w:val="100"/>
                <w:position w:val="0"/>
                <w:sz w:val="24"/>
                <w:szCs w:val="24"/>
              </w:rPr>
              <w:t>485,665</w:t>
            </w:r>
          </w:p>
        </w:tc>
        <w:tc>
          <w:tcPr>
            <w:tcBorders/>
            <w:shd w:val="clear" w:color="auto" w:fill="FFFFFF"/>
            <w:vAlign w:val="bottom"/>
          </w:tcPr>
          <w:p>
            <w:pPr>
              <w:pStyle w:val="Style28"/>
              <w:keepNext w:val="0"/>
              <w:keepLines w:val="0"/>
              <w:framePr w:w="8827" w:h="6552" w:vSpace="312" w:wrap="notBeside" w:vAnchor="text" w:hAnchor="text" w:x="673" w:y="313"/>
              <w:widowControl w:val="0"/>
              <w:shd w:val="clear" w:color="auto" w:fill="auto"/>
              <w:bidi w:val="0"/>
              <w:spacing w:before="0" w:after="0" w:line="240" w:lineRule="auto"/>
              <w:ind w:left="0" w:right="0" w:firstLine="600"/>
              <w:jc w:val="both"/>
              <w:rPr>
                <w:sz w:val="24"/>
                <w:szCs w:val="24"/>
              </w:rPr>
            </w:pPr>
            <w:r>
              <w:rPr>
                <w:rFonts w:ascii="Times New Roman" w:eastAsia="Times New Roman" w:hAnsi="Times New Roman" w:cs="Times New Roman"/>
                <w:color w:val="000000"/>
                <w:spacing w:val="0"/>
                <w:w w:val="100"/>
                <w:position w:val="0"/>
                <w:sz w:val="24"/>
                <w:szCs w:val="24"/>
              </w:rPr>
              <w:t>2,832,005</w:t>
            </w:r>
          </w:p>
        </w:tc>
        <w:tc>
          <w:tcPr>
            <w:tcBorders/>
            <w:shd w:val="clear" w:color="auto" w:fill="FFFFFF"/>
            <w:vAlign w:val="bottom"/>
          </w:tcPr>
          <w:p>
            <w:pPr>
              <w:pStyle w:val="Style28"/>
              <w:keepNext w:val="0"/>
              <w:keepLines w:val="0"/>
              <w:framePr w:w="8827" w:h="6552" w:vSpace="312" w:wrap="notBeside" w:vAnchor="text" w:hAnchor="text" w:x="673" w:y="313"/>
              <w:widowControl w:val="0"/>
              <w:shd w:val="clear" w:color="auto" w:fill="auto"/>
              <w:bidi w:val="0"/>
              <w:spacing w:before="0" w:after="0" w:line="240" w:lineRule="auto"/>
              <w:ind w:left="0" w:right="0" w:firstLine="660"/>
              <w:jc w:val="both"/>
              <w:rPr>
                <w:sz w:val="24"/>
                <w:szCs w:val="24"/>
              </w:rPr>
            </w:pPr>
            <w:r>
              <w:rPr>
                <w:rFonts w:ascii="Times New Roman" w:eastAsia="Times New Roman" w:hAnsi="Times New Roman" w:cs="Times New Roman"/>
                <w:color w:val="000000"/>
                <w:spacing w:val="0"/>
                <w:w w:val="100"/>
                <w:position w:val="0"/>
                <w:sz w:val="24"/>
                <w:szCs w:val="24"/>
              </w:rPr>
              <w:t>2,261,231</w:t>
            </w:r>
          </w:p>
        </w:tc>
      </w:tr>
      <w:tr>
        <w:trPr>
          <w:trHeight w:val="317" w:hRule="exact"/>
        </w:trPr>
        <w:tc>
          <w:tcPr>
            <w:tcBorders/>
            <w:shd w:val="clear" w:color="auto" w:fill="FFFFFF"/>
            <w:vAlign w:val="top"/>
          </w:tcPr>
          <w:p>
            <w:pPr>
              <w:framePr w:w="8827" w:h="6552" w:vSpace="312" w:wrap="notBeside" w:vAnchor="text" w:hAnchor="text" w:x="673" w:y="313"/>
              <w:widowControl w:val="0"/>
              <w:rPr>
                <w:sz w:val="10"/>
                <w:szCs w:val="10"/>
              </w:rPr>
            </w:pPr>
          </w:p>
        </w:tc>
        <w:tc>
          <w:tcPr>
            <w:tcBorders>
              <w:top w:val="single" w:sz="4"/>
              <w:bottom w:val="single" w:sz="4"/>
            </w:tcBorders>
            <w:shd w:val="clear" w:color="auto" w:fill="FFFFFF"/>
            <w:vAlign w:val="top"/>
          </w:tcPr>
          <w:p>
            <w:pPr>
              <w:pStyle w:val="Style28"/>
              <w:keepNext w:val="0"/>
              <w:keepLines w:val="0"/>
              <w:framePr w:w="8827" w:h="6552" w:vSpace="312" w:wrap="notBeside" w:vAnchor="text" w:hAnchor="text" w:x="673" w:y="313"/>
              <w:widowControl w:val="0"/>
              <w:shd w:val="clear" w:color="auto" w:fill="auto"/>
              <w:bidi w:val="0"/>
              <w:spacing w:before="0" w:after="0" w:line="240" w:lineRule="auto"/>
              <w:ind w:left="0" w:right="0" w:firstLine="300"/>
              <w:jc w:val="both"/>
              <w:rPr>
                <w:sz w:val="24"/>
                <w:szCs w:val="24"/>
              </w:rPr>
            </w:pPr>
            <w:r>
              <w:rPr>
                <w:rFonts w:ascii="Times New Roman" w:eastAsia="Times New Roman" w:hAnsi="Times New Roman" w:cs="Times New Roman"/>
                <w:color w:val="000000"/>
                <w:spacing w:val="0"/>
                <w:w w:val="100"/>
                <w:position w:val="0"/>
                <w:sz w:val="24"/>
                <w:szCs w:val="24"/>
              </w:rPr>
              <w:t>146,452,656</w:t>
            </w:r>
          </w:p>
        </w:tc>
        <w:tc>
          <w:tcPr>
            <w:tcBorders>
              <w:top w:val="single" w:sz="4"/>
              <w:bottom w:val="single" w:sz="4"/>
            </w:tcBorders>
            <w:shd w:val="clear" w:color="auto" w:fill="FFFFFF"/>
            <w:vAlign w:val="top"/>
          </w:tcPr>
          <w:p>
            <w:pPr>
              <w:pStyle w:val="Style28"/>
              <w:keepNext w:val="0"/>
              <w:keepLines w:val="0"/>
              <w:framePr w:w="8827" w:h="6552" w:vSpace="312" w:wrap="notBeside" w:vAnchor="text" w:hAnchor="text" w:x="673" w:y="313"/>
              <w:widowControl w:val="0"/>
              <w:shd w:val="clear" w:color="auto" w:fill="auto"/>
              <w:bidi w:val="0"/>
              <w:spacing w:before="0" w:after="0" w:line="240" w:lineRule="auto"/>
              <w:ind w:left="0" w:right="0" w:firstLine="380"/>
              <w:jc w:val="both"/>
              <w:rPr>
                <w:sz w:val="24"/>
                <w:szCs w:val="24"/>
              </w:rPr>
            </w:pPr>
            <w:r>
              <w:rPr>
                <w:rFonts w:ascii="Times New Roman" w:eastAsia="Times New Roman" w:hAnsi="Times New Roman" w:cs="Times New Roman"/>
                <w:color w:val="000000"/>
                <w:spacing w:val="0"/>
                <w:w w:val="100"/>
                <w:position w:val="0"/>
                <w:sz w:val="24"/>
                <w:szCs w:val="24"/>
              </w:rPr>
              <w:t>126,844,733</w:t>
            </w:r>
          </w:p>
        </w:tc>
        <w:tc>
          <w:tcPr>
            <w:tcBorders>
              <w:top w:val="single" w:sz="4"/>
              <w:bottom w:val="single" w:sz="4"/>
            </w:tcBorders>
            <w:shd w:val="clear" w:color="auto" w:fill="FFFFFF"/>
            <w:vAlign w:val="top"/>
          </w:tcPr>
          <w:p>
            <w:pPr>
              <w:pStyle w:val="Style28"/>
              <w:keepNext w:val="0"/>
              <w:keepLines w:val="0"/>
              <w:framePr w:w="8827" w:h="6552" w:vSpace="312" w:wrap="notBeside" w:vAnchor="text" w:hAnchor="text" w:x="673" w:y="313"/>
              <w:widowControl w:val="0"/>
              <w:shd w:val="clear" w:color="auto" w:fill="auto"/>
              <w:bidi w:val="0"/>
              <w:spacing w:before="0" w:after="0" w:line="240" w:lineRule="auto"/>
              <w:ind w:left="0" w:right="0" w:firstLine="360"/>
              <w:jc w:val="both"/>
              <w:rPr>
                <w:sz w:val="24"/>
                <w:szCs w:val="24"/>
              </w:rPr>
            </w:pPr>
            <w:r>
              <w:rPr>
                <w:rFonts w:ascii="Times New Roman" w:eastAsia="Times New Roman" w:hAnsi="Times New Roman" w:cs="Times New Roman"/>
                <w:color w:val="000000"/>
                <w:spacing w:val="0"/>
                <w:w w:val="100"/>
                <w:position w:val="0"/>
                <w:sz w:val="24"/>
                <w:szCs w:val="24"/>
              </w:rPr>
              <w:t>133,894,034</w:t>
            </w:r>
          </w:p>
        </w:tc>
        <w:tc>
          <w:tcPr>
            <w:tcBorders>
              <w:top w:val="single" w:sz="4"/>
              <w:bottom w:val="single" w:sz="4"/>
            </w:tcBorders>
            <w:shd w:val="clear" w:color="auto" w:fill="FFFFFF"/>
            <w:vAlign w:val="top"/>
          </w:tcPr>
          <w:p>
            <w:pPr>
              <w:pStyle w:val="Style28"/>
              <w:keepNext w:val="0"/>
              <w:keepLines w:val="0"/>
              <w:framePr w:w="8827" w:h="6552" w:vSpace="312" w:wrap="notBeside" w:vAnchor="text" w:hAnchor="text" w:x="673" w:y="313"/>
              <w:widowControl w:val="0"/>
              <w:shd w:val="clear" w:color="auto" w:fill="auto"/>
              <w:bidi w:val="0"/>
              <w:spacing w:before="0" w:after="0" w:line="240" w:lineRule="auto"/>
              <w:ind w:left="0" w:right="0" w:firstLine="420"/>
              <w:jc w:val="both"/>
              <w:rPr>
                <w:sz w:val="24"/>
                <w:szCs w:val="24"/>
              </w:rPr>
            </w:pPr>
            <w:r>
              <w:rPr>
                <w:rFonts w:ascii="Times New Roman" w:eastAsia="Times New Roman" w:hAnsi="Times New Roman" w:cs="Times New Roman"/>
                <w:color w:val="000000"/>
                <w:spacing w:val="0"/>
                <w:w w:val="100"/>
                <w:position w:val="0"/>
                <w:sz w:val="24"/>
                <w:szCs w:val="24"/>
              </w:rPr>
              <w:t>115,548,378</w:t>
            </w:r>
          </w:p>
        </w:tc>
      </w:tr>
    </w:tbl>
    <w:p>
      <w:pPr>
        <w:pStyle w:val="Style25"/>
        <w:keepNext w:val="0"/>
        <w:keepLines w:val="0"/>
        <w:framePr w:w="1051" w:h="307" w:hSpace="672" w:wrap="notBeside" w:vAnchor="text" w:hAnchor="text" w:x="3659" w:y="1"/>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年度</w:t>
      </w:r>
    </w:p>
    <w:p>
      <w:pPr>
        <w:pStyle w:val="Style25"/>
        <w:keepNext w:val="0"/>
        <w:keepLines w:val="0"/>
        <w:framePr w:w="1051" w:h="307" w:hSpace="672" w:wrap="notBeside" w:vAnchor="text" w:hAnchor="text" w:x="7201" w:y="1"/>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2015</w:t>
      </w:r>
      <w:r>
        <w:rPr>
          <w:color w:val="000000"/>
          <w:spacing w:val="0"/>
          <w:w w:val="100"/>
          <w:position w:val="0"/>
          <w:sz w:val="24"/>
          <w:szCs w:val="24"/>
        </w:rPr>
        <w:t>年度</w:t>
      </w:r>
    </w:p>
    <w:p>
      <w:pPr>
        <w:widowControl w:val="0"/>
        <w:spacing w:line="1" w:lineRule="exact"/>
      </w:pPr>
    </w:p>
    <w:p>
      <w:pPr>
        <w:pStyle w:val="Style32"/>
        <w:keepNext w:val="0"/>
        <w:keepLines w:val="0"/>
        <w:widowControl w:val="0"/>
        <w:shd w:val="clear" w:color="auto" w:fill="auto"/>
        <w:bidi w:val="0"/>
        <w:spacing w:before="0" w:after="280" w:line="314" w:lineRule="exact"/>
        <w:ind w:left="1180" w:right="0" w:hanging="480"/>
        <w:jc w:val="both"/>
        <w:rPr>
          <w:sz w:val="24"/>
          <w:szCs w:val="24"/>
        </w:rPr>
      </w:pPr>
      <w:r>
        <w:rPr>
          <w:color w:val="000000"/>
          <w:spacing w:val="0"/>
          <w:w w:val="100"/>
          <w:position w:val="0"/>
          <w:sz w:val="24"/>
          <w:szCs w:val="24"/>
        </w:rPr>
        <w:t>⑴其他行业收入主要包括易购网站开放平台的佣金收入、信息技术服务费收入、 小额贷款和商业保理公司的利息收入、房地产销售收入及移动转售业务收入 等。</w:t>
      </w:r>
    </w:p>
    <w:p>
      <w:pPr>
        <w:pStyle w:val="Style32"/>
        <w:keepNext w:val="0"/>
        <w:keepLines w:val="0"/>
        <w:widowControl w:val="0"/>
        <w:shd w:val="clear" w:color="auto" w:fill="auto"/>
        <w:bidi w:val="0"/>
        <w:spacing w:before="0" w:after="280" w:line="312" w:lineRule="exact"/>
        <w:ind w:left="1180" w:right="0" w:hanging="480"/>
        <w:jc w:val="both"/>
        <w:rPr>
          <w:sz w:val="24"/>
          <w:szCs w:val="24"/>
        </w:rPr>
      </w:pPr>
      <w:r>
        <w:rPr>
          <w:rFonts w:ascii="Times New Roman" w:eastAsia="Times New Roman" w:hAnsi="Times New Roman" w:cs="Times New Roman"/>
          <w:color w:val="000000"/>
          <w:spacing w:val="0"/>
          <w:w w:val="100"/>
          <w:position w:val="0"/>
          <w:sz w:val="24"/>
          <w:szCs w:val="24"/>
        </w:rPr>
        <w:t>(ii)</w:t>
      </w:r>
      <w:r>
        <w:rPr>
          <w:color w:val="000000"/>
          <w:spacing w:val="0"/>
          <w:w w:val="100"/>
          <w:position w:val="0"/>
          <w:sz w:val="24"/>
          <w:szCs w:val="24"/>
        </w:rPr>
        <w:t>小家电等产品包括小家电、红孩子母婴及美妆、家居食品和其他日用百货类产 品等。</w:t>
      </w:r>
      <w:r>
        <w:br w:type="page"/>
      </w:r>
    </w:p>
    <w:p>
      <w:pPr>
        <w:pStyle w:val="Style32"/>
        <w:keepNext w:val="0"/>
        <w:keepLines w:val="0"/>
        <w:widowControl w:val="0"/>
        <w:shd w:val="clear" w:color="auto" w:fill="auto"/>
        <w:bidi w:val="0"/>
        <w:spacing w:before="0" w:after="0" w:line="288" w:lineRule="exact"/>
        <w:ind w:left="720" w:right="0" w:firstLine="20"/>
        <w:jc w:val="left"/>
        <w:rPr>
          <w:sz w:val="24"/>
          <w:szCs w:val="24"/>
        </w:rPr>
      </w:pPr>
      <w:r>
        <w:rPr>
          <w:b/>
          <w:bCs/>
          <w:color w:val="000000"/>
          <w:spacing w:val="0"/>
          <w:w w:val="100"/>
          <w:position w:val="0"/>
          <w:sz w:val="24"/>
          <w:szCs w:val="24"/>
        </w:rPr>
        <w:t xml:space="preserve">财务报表附注 </w:t>
      </w:r>
      <w:r>
        <w:rPr>
          <w:rFonts w:ascii="Arial" w:eastAsia="Arial" w:hAnsi="Arial" w:cs="Arial"/>
          <w:color w:val="000000"/>
          <w:spacing w:val="0"/>
          <w:w w:val="100"/>
          <w:position w:val="0"/>
          <w:sz w:val="24"/>
          <w:szCs w:val="24"/>
        </w:rPr>
        <w:t>2016</w:t>
      </w:r>
      <w:r>
        <w:rPr>
          <w:b/>
          <w:bCs/>
          <w:color w:val="000000"/>
          <w:spacing w:val="0"/>
          <w:w w:val="100"/>
          <w:position w:val="0"/>
          <w:sz w:val="24"/>
          <w:szCs w:val="24"/>
        </w:rPr>
        <w:t>年度</w:t>
      </w:r>
    </w:p>
    <w:p>
      <w:pPr>
        <w:pStyle w:val="Style32"/>
        <w:keepNext w:val="0"/>
        <w:keepLines w:val="0"/>
        <w:widowControl w:val="0"/>
        <w:shd w:val="clear" w:color="auto" w:fill="auto"/>
        <w:bidi w:val="0"/>
        <w:spacing w:before="0" w:after="220" w:line="240" w:lineRule="auto"/>
        <w:ind w:left="0" w:right="0" w:firstLine="720"/>
        <w:jc w:val="left"/>
        <w:rPr>
          <w:sz w:val="20"/>
          <w:szCs w:val="20"/>
        </w:rPr>
      </w:pPr>
      <w:r>
        <w:rPr>
          <w:rFonts w:ascii="Arial" w:eastAsia="Arial" w:hAnsi="Arial" w:cs="Arial"/>
          <w:color w:val="000000"/>
          <w:spacing w:val="0"/>
          <w:w w:val="100"/>
          <w:position w:val="0"/>
          <w:sz w:val="20"/>
          <w:szCs w:val="20"/>
        </w:rPr>
        <w:t>(</w:t>
      </w:r>
      <w:r>
        <w:rPr>
          <w:color w:val="000000"/>
          <w:spacing w:val="0"/>
          <w:w w:val="100"/>
          <w:position w:val="0"/>
          <w:sz w:val="20"/>
          <w:szCs w:val="20"/>
        </w:rPr>
        <w:t>除特别注明外，金额单位为人民币千元</w:t>
      </w:r>
      <w:r>
        <w:rPr>
          <w:rFonts w:ascii="Arial" w:eastAsia="Arial" w:hAnsi="Arial" w:cs="Arial"/>
          <w:color w:val="000000"/>
          <w:spacing w:val="0"/>
          <w:w w:val="100"/>
          <w:position w:val="0"/>
          <w:sz w:val="20"/>
          <w:szCs w:val="20"/>
        </w:rPr>
        <w:t>)</w:t>
      </w:r>
    </w:p>
    <w:p>
      <w:pPr>
        <w:pStyle w:val="Style32"/>
        <w:keepNext w:val="0"/>
        <w:keepLines w:val="0"/>
        <w:widowControl w:val="0"/>
        <w:shd w:val="clear" w:color="auto" w:fill="auto"/>
        <w:tabs>
          <w:tab w:pos="665" w:val="left"/>
        </w:tabs>
        <w:bidi w:val="0"/>
        <w:spacing w:before="0" w:after="220" w:line="240" w:lineRule="auto"/>
        <w:ind w:left="0" w:right="0" w:firstLine="0"/>
        <w:jc w:val="left"/>
        <w:rPr>
          <w:sz w:val="24"/>
          <w:szCs w:val="24"/>
        </w:rPr>
      </w:pPr>
      <w:r>
        <w:rPr>
          <w:b/>
          <w:bCs/>
          <w:color w:val="000000"/>
          <w:spacing w:val="0"/>
          <w:w w:val="100"/>
          <w:position w:val="0"/>
          <w:sz w:val="24"/>
          <w:szCs w:val="24"/>
        </w:rPr>
        <w:t>四</w:t>
        <w:tab/>
        <w:t>合并财务报表项目附注</w:t>
      </w:r>
      <w:r>
        <w:rPr>
          <w:rFonts w:ascii="Times New Roman" w:eastAsia="Times New Roman" w:hAnsi="Times New Roman" w:cs="Times New Roman"/>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4"/>
          <w:szCs w:val="24"/>
        </w:rPr>
        <w:t>)</w:t>
      </w:r>
    </w:p>
    <w:p>
      <w:pPr>
        <w:pStyle w:val="Style32"/>
        <w:keepNext w:val="0"/>
        <w:keepLines w:val="0"/>
        <w:widowControl w:val="0"/>
        <w:shd w:val="clear" w:color="auto" w:fill="auto"/>
        <w:bidi w:val="0"/>
        <w:spacing w:before="0" w:after="22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(44)</w:t>
      </w:r>
      <w:r>
        <w:rPr>
          <w:b/>
          <w:bCs/>
          <w:color w:val="000000"/>
          <w:spacing w:val="0"/>
          <w:w w:val="100"/>
          <w:position w:val="0"/>
          <w:sz w:val="24"/>
          <w:szCs w:val="24"/>
        </w:rPr>
        <w:t>营业收入和营业成本</w:t>
      </w:r>
      <w:r>
        <w:rPr>
          <w:rFonts w:ascii="Times New Roman" w:eastAsia="Times New Roman" w:hAnsi="Times New Roman" w:cs="Times New Roman"/>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4"/>
          <w:szCs w:val="24"/>
        </w:rPr>
        <w:t>)</w:t>
      </w:r>
    </w:p>
    <w:p>
      <w:pPr>
        <w:pStyle w:val="Style32"/>
        <w:keepNext w:val="0"/>
        <w:keepLines w:val="0"/>
        <w:widowControl w:val="0"/>
        <w:shd w:val="clear" w:color="auto" w:fill="auto"/>
        <w:tabs>
          <w:tab w:pos="665" w:val="left"/>
        </w:tabs>
        <w:bidi w:val="0"/>
        <w:spacing w:before="0" w:after="28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(b)</w:t>
        <w:tab/>
      </w:r>
      <w:r>
        <w:rPr>
          <w:color w:val="000000"/>
          <w:spacing w:val="0"/>
          <w:w w:val="100"/>
          <w:position w:val="0"/>
          <w:sz w:val="24"/>
          <w:szCs w:val="24"/>
        </w:rPr>
        <w:t>其他业务收入和其他业务成本</w:t>
      </w:r>
    </w:p>
    <w:p>
      <w:pPr>
        <w:pStyle w:val="Style25"/>
        <w:keepNext w:val="0"/>
        <w:keepLines w:val="0"/>
        <w:widowControl w:val="0"/>
        <w:shd w:val="clear" w:color="auto" w:fill="auto"/>
        <w:tabs>
          <w:tab w:pos="3086" w:val="left"/>
        </w:tabs>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年度</w:t>
        <w:tab/>
      </w:r>
      <w:r>
        <w:rPr>
          <w:rFonts w:ascii="Times New Roman" w:eastAsia="Times New Roman" w:hAnsi="Times New Roman" w:cs="Times New Roman"/>
          <w:color w:val="000000"/>
          <w:spacing w:val="0"/>
          <w:w w:val="100"/>
          <w:position w:val="0"/>
          <w:sz w:val="20"/>
          <w:szCs w:val="20"/>
        </w:rPr>
        <w:t>2015</w:t>
      </w:r>
      <w:r>
        <w:rPr>
          <w:color w:val="000000"/>
          <w:spacing w:val="0"/>
          <w:w w:val="100"/>
          <w:position w:val="0"/>
          <w:sz w:val="20"/>
          <w:szCs w:val="20"/>
        </w:rPr>
        <w:t>年度</w:t>
      </w:r>
    </w:p>
    <w:tbl>
      <w:tblPr>
        <w:tblOverlap w:val="never"/>
        <w:jc w:val="center"/>
        <w:tblLayout w:type="fixed"/>
      </w:tblPr>
      <w:tblGrid>
        <w:gridCol w:w="1958"/>
        <w:gridCol w:w="1704"/>
        <w:gridCol w:w="1531"/>
        <w:gridCol w:w="1536"/>
        <w:gridCol w:w="1454"/>
      </w:tblGrid>
      <w:tr>
        <w:trPr>
          <w:trHeight w:val="451" w:hRule="exact"/>
        </w:trPr>
        <w:tc>
          <w:tcPr>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其他业务收入</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其他业务成本</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其他业务收入</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其他业务成本</w:t>
            </w:r>
          </w:p>
        </w:tc>
      </w:tr>
      <w:tr>
        <w:trPr>
          <w:trHeight w:val="432"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租赁收入</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40"/>
              <w:jc w:val="left"/>
              <w:rPr>
                <w:sz w:val="20"/>
                <w:szCs w:val="20"/>
              </w:rPr>
            </w:pPr>
            <w:r>
              <w:rPr>
                <w:rFonts w:ascii="Times New Roman" w:eastAsia="Times New Roman" w:hAnsi="Times New Roman" w:cs="Times New Roman"/>
                <w:color w:val="000000"/>
                <w:spacing w:val="0"/>
                <w:w w:val="100"/>
                <w:position w:val="0"/>
                <w:sz w:val="20"/>
                <w:szCs w:val="20"/>
              </w:rPr>
              <w:t>742,430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60"/>
              <w:jc w:val="left"/>
              <w:rPr>
                <w:sz w:val="20"/>
                <w:szCs w:val="20"/>
              </w:rPr>
            </w:pPr>
            <w:r>
              <w:rPr>
                <w:rFonts w:ascii="Times New Roman" w:eastAsia="Times New Roman" w:hAnsi="Times New Roman" w:cs="Times New Roman"/>
                <w:color w:val="000000"/>
                <w:spacing w:val="0"/>
                <w:w w:val="100"/>
                <w:position w:val="0"/>
                <w:sz w:val="20"/>
                <w:szCs w:val="20"/>
              </w:rPr>
              <w:t>390,949</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577,278</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389,762</w:t>
            </w:r>
          </w:p>
        </w:tc>
      </w:tr>
      <w:tr>
        <w:trPr>
          <w:trHeight w:val="283"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连锁店服务收入</w:t>
            </w:r>
            <w:r>
              <w:rPr>
                <w:rFonts w:ascii="Times New Roman" w:eastAsia="Times New Roman" w:hAnsi="Times New Roman" w:cs="Times New Roman"/>
                <w:color w:val="000000"/>
                <w:spacing w:val="0"/>
                <w:w w:val="100"/>
                <w:position w:val="0"/>
                <w:sz w:val="20"/>
                <w:szCs w:val="20"/>
              </w:rPr>
              <w:t>(i)</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40"/>
              <w:jc w:val="left"/>
              <w:rPr>
                <w:sz w:val="20"/>
                <w:szCs w:val="20"/>
              </w:rPr>
            </w:pPr>
            <w:r>
              <w:rPr>
                <w:rFonts w:ascii="Times New Roman" w:eastAsia="Times New Roman" w:hAnsi="Times New Roman" w:cs="Times New Roman"/>
                <w:color w:val="000000"/>
                <w:spacing w:val="0"/>
                <w:w w:val="100"/>
                <w:position w:val="0"/>
                <w:sz w:val="20"/>
                <w:szCs w:val="20"/>
              </w:rPr>
              <w:t>613,970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24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458,594</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22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r>
      <w:tr>
        <w:trPr>
          <w:trHeight w:val="274"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代理费收入</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40"/>
              <w:jc w:val="left"/>
              <w:rPr>
                <w:sz w:val="20"/>
                <w:szCs w:val="20"/>
              </w:rPr>
            </w:pPr>
            <w:r>
              <w:rPr>
                <w:rFonts w:ascii="Times New Roman" w:eastAsia="Times New Roman" w:hAnsi="Times New Roman" w:cs="Times New Roman"/>
                <w:color w:val="000000"/>
                <w:spacing w:val="0"/>
                <w:w w:val="100"/>
                <w:position w:val="0"/>
                <w:sz w:val="20"/>
                <w:szCs w:val="20"/>
              </w:rPr>
              <w:t>582,590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24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386,556</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22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r>
      <w:tr>
        <w:trPr>
          <w:trHeight w:val="288"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广告位使用费收入</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40"/>
              <w:jc w:val="left"/>
              <w:rPr>
                <w:sz w:val="20"/>
                <w:szCs w:val="20"/>
              </w:rPr>
            </w:pPr>
            <w:r>
              <w:rPr>
                <w:rFonts w:ascii="Times New Roman" w:eastAsia="Times New Roman" w:hAnsi="Times New Roman" w:cs="Times New Roman"/>
                <w:color w:val="000000"/>
                <w:spacing w:val="0"/>
                <w:w w:val="100"/>
                <w:position w:val="0"/>
                <w:sz w:val="20"/>
                <w:szCs w:val="20"/>
              </w:rPr>
              <w:t>112,981</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24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111,106</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22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r>
      <w:tr>
        <w:trPr>
          <w:trHeight w:val="250"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r>
              <w:rPr>
                <w:rFonts w:ascii="Times New Roman" w:eastAsia="Times New Roman" w:hAnsi="Times New Roman" w:cs="Times New Roman"/>
                <w:color w:val="000000"/>
                <w:spacing w:val="0"/>
                <w:w w:val="100"/>
                <w:position w:val="0"/>
                <w:sz w:val="20"/>
                <w:szCs w:val="20"/>
              </w:rPr>
              <w:t>(ii)</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40"/>
              <w:jc w:val="both"/>
              <w:rPr>
                <w:sz w:val="20"/>
                <w:szCs w:val="20"/>
              </w:rPr>
            </w:pPr>
            <w:r>
              <w:rPr>
                <w:rFonts w:ascii="Times New Roman" w:eastAsia="Times New Roman" w:hAnsi="Times New Roman" w:cs="Times New Roman"/>
                <w:color w:val="000000"/>
                <w:spacing w:val="0"/>
                <w:w w:val="100"/>
                <w:position w:val="0"/>
                <w:sz w:val="20"/>
                <w:szCs w:val="20"/>
              </w:rPr>
              <w:t>80,704</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60"/>
              <w:jc w:val="left"/>
              <w:rPr>
                <w:sz w:val="20"/>
                <w:szCs w:val="20"/>
              </w:rPr>
            </w:pPr>
            <w:r>
              <w:rPr>
                <w:rFonts w:ascii="Times New Roman" w:eastAsia="Times New Roman" w:hAnsi="Times New Roman" w:cs="Times New Roman"/>
                <w:color w:val="000000"/>
                <w:spacing w:val="0"/>
                <w:w w:val="100"/>
                <w:position w:val="0"/>
                <w:sz w:val="20"/>
                <w:szCs w:val="20"/>
              </w:rPr>
              <w:t>11,859</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120,065</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140" w:firstLine="0"/>
              <w:jc w:val="right"/>
              <w:rPr>
                <w:sz w:val="20"/>
                <w:szCs w:val="20"/>
              </w:rPr>
            </w:pPr>
            <w:r>
              <w:rPr>
                <w:rFonts w:ascii="Times New Roman" w:eastAsia="Times New Roman" w:hAnsi="Times New Roman" w:cs="Times New Roman"/>
                <w:color w:val="000000"/>
                <w:spacing w:val="0"/>
                <w:w w:val="100"/>
                <w:position w:val="0"/>
                <w:sz w:val="20"/>
                <w:szCs w:val="20"/>
              </w:rPr>
              <w:t>43,042</w:t>
            </w:r>
          </w:p>
        </w:tc>
      </w:tr>
      <w:tr>
        <w:trPr>
          <w:trHeight w:val="312" w:hRule="exact"/>
        </w:trPr>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80"/>
              <w:jc w:val="left"/>
              <w:rPr>
                <w:sz w:val="20"/>
                <w:szCs w:val="20"/>
              </w:rPr>
            </w:pPr>
            <w:r>
              <w:rPr>
                <w:rFonts w:ascii="Times New Roman" w:eastAsia="Times New Roman" w:hAnsi="Times New Roman" w:cs="Times New Roman"/>
                <w:color w:val="000000"/>
                <w:spacing w:val="0"/>
                <w:w w:val="100"/>
                <w:position w:val="0"/>
                <w:sz w:val="20"/>
                <w:szCs w:val="20"/>
              </w:rPr>
              <w:t>2,132,675</w:t>
            </w:r>
          </w:p>
        </w:tc>
        <w:tc>
          <w:tcPr>
            <w:tcBorders>
              <w:top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60"/>
              <w:jc w:val="left"/>
              <w:rPr>
                <w:sz w:val="20"/>
                <w:szCs w:val="20"/>
              </w:rPr>
            </w:pPr>
            <w:r>
              <w:rPr>
                <w:rFonts w:ascii="Times New Roman" w:eastAsia="Times New Roman" w:hAnsi="Times New Roman" w:cs="Times New Roman"/>
                <w:color w:val="000000"/>
                <w:spacing w:val="0"/>
                <w:w w:val="100"/>
                <w:position w:val="0"/>
                <w:sz w:val="20"/>
                <w:szCs w:val="20"/>
              </w:rPr>
              <w:t>402,808</w:t>
            </w:r>
          </w:p>
        </w:tc>
        <w:tc>
          <w:tcPr>
            <w:tcBorders>
              <w:top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1,653,599</w:t>
            </w:r>
          </w:p>
        </w:tc>
        <w:tc>
          <w:tcPr>
            <w:tcBorders>
              <w:top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432,804</w:t>
            </w:r>
          </w:p>
        </w:tc>
      </w:tr>
    </w:tbl>
    <w:p>
      <w:pPr>
        <w:pStyle w:val="Style25"/>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(i)</w:t>
      </w:r>
      <w:r>
        <w:rPr>
          <w:color w:val="000000"/>
          <w:spacing w:val="0"/>
          <w:w w:val="100"/>
          <w:position w:val="0"/>
          <w:sz w:val="24"/>
          <w:szCs w:val="24"/>
        </w:rPr>
        <w:t>连锁店服务收入主要包括供应商支付的促销服务收入及广告服务收入等。</w:t>
      </w:r>
    </w:p>
    <w:p>
      <w:pPr>
        <w:widowControl w:val="0"/>
        <w:spacing w:after="219" w:line="1" w:lineRule="exact"/>
      </w:pPr>
    </w:p>
    <w:p>
      <w:pPr>
        <w:pStyle w:val="Style32"/>
        <w:keepNext w:val="0"/>
        <w:keepLines w:val="0"/>
        <w:widowControl w:val="0"/>
        <w:shd w:val="clear" w:color="auto" w:fill="auto"/>
        <w:bidi w:val="0"/>
        <w:spacing w:before="0" w:after="280" w:line="317" w:lineRule="exact"/>
        <w:ind w:left="1140" w:right="0" w:hanging="400"/>
        <w:jc w:val="left"/>
        <w:rPr>
          <w:sz w:val="24"/>
          <w:szCs w:val="24"/>
        </w:rPr>
      </w:pPr>
      <w:r>
        <w:rPr>
          <w:rFonts w:ascii="Times New Roman" w:eastAsia="Times New Roman" w:hAnsi="Times New Roman" w:cs="Times New Roman"/>
          <w:color w:val="000000"/>
          <w:spacing w:val="0"/>
          <w:w w:val="100"/>
          <w:position w:val="0"/>
          <w:sz w:val="24"/>
          <w:szCs w:val="24"/>
        </w:rPr>
        <w:t>(ii)</w:t>
      </w:r>
      <w:r>
        <w:rPr>
          <w:color w:val="000000"/>
          <w:spacing w:val="0"/>
          <w:w w:val="100"/>
          <w:position w:val="0"/>
          <w:sz w:val="24"/>
          <w:szCs w:val="24"/>
        </w:rPr>
        <w:t>其他主要包括向供应商以及第三方提供场地使用服务和物流增值服务收入 等。</w:t>
      </w:r>
    </w:p>
    <w:p>
      <w:pPr>
        <w:pStyle w:val="Style32"/>
        <w:keepNext w:val="0"/>
        <w:keepLines w:val="0"/>
        <w:widowControl w:val="0"/>
        <w:shd w:val="clear" w:color="auto" w:fill="auto"/>
        <w:bidi w:val="0"/>
        <w:spacing w:before="0" w:after="28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(45)</w:t>
      </w:r>
      <w:r>
        <w:rPr>
          <w:b/>
          <w:bCs/>
          <w:color w:val="000000"/>
          <w:spacing w:val="0"/>
          <w:w w:val="100"/>
          <w:position w:val="0"/>
          <w:sz w:val="24"/>
          <w:szCs w:val="24"/>
        </w:rPr>
        <w:t>税金及附加</w:t>
      </w:r>
    </w:p>
    <w:tbl>
      <w:tblPr>
        <w:tblOverlap w:val="never"/>
        <w:jc w:val="center"/>
        <w:tblLayout w:type="fixed"/>
      </w:tblPr>
      <w:tblGrid>
        <w:gridCol w:w="2554"/>
        <w:gridCol w:w="1488"/>
        <w:gridCol w:w="1589"/>
        <w:gridCol w:w="2424"/>
      </w:tblGrid>
      <w:tr>
        <w:trPr>
          <w:trHeight w:val="432"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4"/>
                <w:szCs w:val="24"/>
              </w:rPr>
            </w:pP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年度</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both"/>
              <w:rPr>
                <w:sz w:val="24"/>
                <w:szCs w:val="24"/>
              </w:rPr>
            </w:pPr>
            <w:r>
              <w:rPr>
                <w:rFonts w:ascii="Times New Roman" w:eastAsia="Times New Roman" w:hAnsi="Times New Roman" w:cs="Times New Roman"/>
                <w:color w:val="000000"/>
                <w:spacing w:val="0"/>
                <w:w w:val="100"/>
                <w:position w:val="0"/>
                <w:sz w:val="24"/>
                <w:szCs w:val="24"/>
              </w:rPr>
              <w:t>2015</w:t>
            </w:r>
            <w:r>
              <w:rPr>
                <w:color w:val="000000"/>
                <w:spacing w:val="0"/>
                <w:w w:val="100"/>
                <w:position w:val="0"/>
                <w:sz w:val="24"/>
                <w:szCs w:val="24"/>
              </w:rPr>
              <w:t>年度</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计缴标准</w:t>
            </w:r>
          </w:p>
        </w:tc>
      </w:tr>
      <w:tr>
        <w:trPr>
          <w:trHeight w:val="763"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城市维护建设税</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157,283</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both"/>
              <w:rPr>
                <w:sz w:val="24"/>
                <w:szCs w:val="24"/>
              </w:rPr>
            </w:pPr>
            <w:r>
              <w:rPr>
                <w:rFonts w:ascii="Times New Roman" w:eastAsia="Times New Roman" w:hAnsi="Times New Roman" w:cs="Times New Roman"/>
                <w:color w:val="000000"/>
                <w:spacing w:val="0"/>
                <w:w w:val="100"/>
                <w:position w:val="0"/>
                <w:sz w:val="24"/>
                <w:szCs w:val="24"/>
              </w:rPr>
              <w:t>192,606</w:t>
            </w:r>
          </w:p>
        </w:tc>
        <w:tc>
          <w:tcPr>
            <w:tcBorders/>
            <w:shd w:val="clear" w:color="auto" w:fill="FFFFFF"/>
            <w:vAlign w:val="bottom"/>
          </w:tcPr>
          <w:p>
            <w:pPr>
              <w:pStyle w:val="Style28"/>
              <w:keepNext w:val="0"/>
              <w:keepLines w:val="0"/>
              <w:widowControl w:val="0"/>
              <w:shd w:val="clear" w:color="auto" w:fill="auto"/>
              <w:bidi w:val="0"/>
              <w:spacing w:before="0" w:after="0" w:line="322" w:lineRule="exact"/>
              <w:ind w:left="0" w:right="0" w:firstLine="0"/>
              <w:jc w:val="right"/>
              <w:rPr>
                <w:sz w:val="24"/>
                <w:szCs w:val="24"/>
              </w:rPr>
            </w:pPr>
            <w:r>
              <w:rPr>
                <w:color w:val="000000"/>
                <w:spacing w:val="0"/>
                <w:w w:val="100"/>
                <w:position w:val="0"/>
                <w:sz w:val="24"/>
                <w:szCs w:val="24"/>
              </w:rPr>
              <w:t>营业税</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增值税</w:t>
            </w:r>
            <w:r>
              <w:rPr>
                <w:rFonts w:ascii="Times New Roman" w:eastAsia="Times New Roman" w:hAnsi="Times New Roman" w:cs="Times New Roman"/>
                <w:color w:val="000000"/>
                <w:spacing w:val="0"/>
                <w:w w:val="100"/>
                <w:position w:val="0"/>
                <w:sz w:val="24"/>
                <w:szCs w:val="24"/>
              </w:rPr>
              <w:t xml:space="preserve">/ </w:t>
            </w:r>
            <w:r>
              <w:rPr>
                <w:color w:val="000000"/>
                <w:spacing w:val="0"/>
                <w:w w:val="100"/>
                <w:position w:val="0"/>
                <w:sz w:val="24"/>
                <w:szCs w:val="24"/>
              </w:rPr>
              <w:t>消费税的缴纳税额</w:t>
            </w:r>
          </w:p>
        </w:tc>
      </w:tr>
      <w:tr>
        <w:trPr>
          <w:trHeight w:val="634"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教育费附加</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40"/>
              <w:jc w:val="left"/>
              <w:rPr>
                <w:sz w:val="24"/>
                <w:szCs w:val="24"/>
              </w:rPr>
            </w:pPr>
            <w:r>
              <w:rPr>
                <w:rFonts w:ascii="Times New Roman" w:eastAsia="Times New Roman" w:hAnsi="Times New Roman" w:cs="Times New Roman"/>
                <w:color w:val="000000"/>
                <w:spacing w:val="0"/>
                <w:w w:val="100"/>
                <w:position w:val="0"/>
                <w:sz w:val="24"/>
                <w:szCs w:val="24"/>
              </w:rPr>
              <w:t>114,781</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both"/>
              <w:rPr>
                <w:sz w:val="24"/>
                <w:szCs w:val="24"/>
              </w:rPr>
            </w:pPr>
            <w:r>
              <w:rPr>
                <w:rFonts w:ascii="Times New Roman" w:eastAsia="Times New Roman" w:hAnsi="Times New Roman" w:cs="Times New Roman"/>
                <w:color w:val="000000"/>
                <w:spacing w:val="0"/>
                <w:w w:val="100"/>
                <w:position w:val="0"/>
                <w:sz w:val="24"/>
                <w:szCs w:val="24"/>
              </w:rPr>
              <w:t>160,401</w:t>
            </w:r>
          </w:p>
        </w:tc>
        <w:tc>
          <w:tcPr>
            <w:tcBorders/>
            <w:shd w:val="clear" w:color="auto" w:fill="FFFFFF"/>
            <w:vAlign w:val="top"/>
          </w:tcPr>
          <w:p>
            <w:pPr>
              <w:pStyle w:val="Style28"/>
              <w:keepNext w:val="0"/>
              <w:keepLines w:val="0"/>
              <w:widowControl w:val="0"/>
              <w:shd w:val="clear" w:color="auto" w:fill="auto"/>
              <w:bidi w:val="0"/>
              <w:spacing w:before="0" w:after="0" w:line="312" w:lineRule="exact"/>
              <w:ind w:left="0" w:right="0" w:firstLine="0"/>
              <w:jc w:val="right"/>
              <w:rPr>
                <w:sz w:val="24"/>
                <w:szCs w:val="24"/>
              </w:rPr>
            </w:pPr>
            <w:r>
              <w:rPr>
                <w:color w:val="000000"/>
                <w:spacing w:val="0"/>
                <w:w w:val="100"/>
                <w:position w:val="0"/>
                <w:sz w:val="24"/>
                <w:szCs w:val="24"/>
              </w:rPr>
              <w:t>营业税</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增值税</w:t>
            </w:r>
            <w:r>
              <w:rPr>
                <w:rFonts w:ascii="Times New Roman" w:eastAsia="Times New Roman" w:hAnsi="Times New Roman" w:cs="Times New Roman"/>
                <w:color w:val="000000"/>
                <w:spacing w:val="0"/>
                <w:w w:val="100"/>
                <w:position w:val="0"/>
                <w:sz w:val="24"/>
                <w:szCs w:val="24"/>
              </w:rPr>
              <w:t xml:space="preserve">/ </w:t>
            </w:r>
            <w:r>
              <w:rPr>
                <w:color w:val="000000"/>
                <w:spacing w:val="0"/>
                <w:w w:val="100"/>
                <w:position w:val="0"/>
                <w:sz w:val="24"/>
                <w:szCs w:val="24"/>
              </w:rPr>
              <w:t>消费税的缴纳税额</w:t>
            </w:r>
          </w:p>
        </w:tc>
      </w:tr>
      <w:tr>
        <w:trPr>
          <w:trHeight w:val="298"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房产税</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60"/>
              <w:jc w:val="left"/>
              <w:rPr>
                <w:sz w:val="24"/>
                <w:szCs w:val="24"/>
              </w:rPr>
            </w:pPr>
            <w:r>
              <w:rPr>
                <w:rFonts w:ascii="Times New Roman" w:eastAsia="Times New Roman" w:hAnsi="Times New Roman" w:cs="Times New Roman"/>
                <w:color w:val="000000"/>
                <w:spacing w:val="0"/>
                <w:w w:val="100"/>
                <w:position w:val="0"/>
                <w:sz w:val="24"/>
                <w:szCs w:val="24"/>
              </w:rPr>
              <w:t>86,752</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220" w:firstLine="0"/>
              <w:jc w:val="right"/>
              <w:rPr>
                <w:sz w:val="24"/>
                <w:szCs w:val="24"/>
              </w:rPr>
            </w:pPr>
            <w:r>
              <w:rPr>
                <w:rFonts w:ascii="Times New Roman" w:eastAsia="Times New Roman" w:hAnsi="Times New Roman" w:cs="Times New Roman"/>
                <w:color w:val="000000"/>
                <w:spacing w:val="0"/>
                <w:w w:val="100"/>
                <w:position w:val="0"/>
                <w:sz w:val="24"/>
                <w:szCs w:val="24"/>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房屋租金</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房产原值</w:t>
            </w:r>
          </w:p>
        </w:tc>
      </w:tr>
      <w:tr>
        <w:trPr>
          <w:trHeight w:val="1560"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印花税</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60"/>
              <w:jc w:val="left"/>
              <w:rPr>
                <w:sz w:val="24"/>
                <w:szCs w:val="24"/>
              </w:rPr>
            </w:pPr>
            <w:r>
              <w:rPr>
                <w:rFonts w:ascii="Times New Roman" w:eastAsia="Times New Roman" w:hAnsi="Times New Roman" w:cs="Times New Roman"/>
                <w:color w:val="000000"/>
                <w:spacing w:val="0"/>
                <w:w w:val="100"/>
                <w:position w:val="0"/>
                <w:sz w:val="24"/>
                <w:szCs w:val="24"/>
              </w:rPr>
              <w:t>80,347</w:t>
            </w:r>
          </w:p>
        </w:tc>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306" w:lineRule="exact"/>
              <w:ind w:left="0" w:right="0" w:firstLine="0"/>
              <w:jc w:val="right"/>
              <w:rPr>
                <w:sz w:val="24"/>
                <w:szCs w:val="24"/>
              </w:rPr>
            </w:pPr>
            <w:r>
              <w:rPr>
                <w:color w:val="000000"/>
                <w:spacing w:val="0"/>
                <w:w w:val="100"/>
                <w:position w:val="0"/>
                <w:sz w:val="24"/>
                <w:szCs w:val="24"/>
              </w:rPr>
              <w:t>应税合同、产权转移 凭证、记载资金的账 簿等帐载金额以及其 他营业账簿、权利、</w:t>
            </w:r>
          </w:p>
          <w:p>
            <w:pPr>
              <w:pStyle w:val="Style28"/>
              <w:keepNext w:val="0"/>
              <w:keepLines w:val="0"/>
              <w:widowControl w:val="0"/>
              <w:shd w:val="clear" w:color="auto" w:fill="auto"/>
              <w:bidi w:val="0"/>
              <w:spacing w:before="0" w:after="0" w:line="306" w:lineRule="exact"/>
              <w:ind w:left="0" w:right="0" w:firstLine="0"/>
              <w:jc w:val="right"/>
              <w:rPr>
                <w:sz w:val="24"/>
                <w:szCs w:val="24"/>
              </w:rPr>
            </w:pPr>
            <w:r>
              <w:rPr>
                <w:color w:val="000000"/>
                <w:spacing w:val="0"/>
                <w:w w:val="100"/>
                <w:position w:val="0"/>
                <w:sz w:val="24"/>
                <w:szCs w:val="24"/>
              </w:rPr>
              <w:t>许可证照的件数</w:t>
            </w:r>
          </w:p>
        </w:tc>
      </w:tr>
      <w:tr>
        <w:trPr>
          <w:trHeight w:val="312"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营业税</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60"/>
              <w:jc w:val="left"/>
              <w:rPr>
                <w:sz w:val="24"/>
                <w:szCs w:val="24"/>
              </w:rPr>
            </w:pPr>
            <w:r>
              <w:rPr>
                <w:rFonts w:ascii="Times New Roman" w:eastAsia="Times New Roman" w:hAnsi="Times New Roman" w:cs="Times New Roman"/>
                <w:color w:val="000000"/>
                <w:spacing w:val="0"/>
                <w:w w:val="100"/>
                <w:position w:val="0"/>
                <w:sz w:val="24"/>
                <w:szCs w:val="24"/>
              </w:rPr>
              <w:t>45,712</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both"/>
              <w:rPr>
                <w:sz w:val="24"/>
                <w:szCs w:val="24"/>
              </w:rPr>
            </w:pPr>
            <w:r>
              <w:rPr>
                <w:rFonts w:ascii="Times New Roman" w:eastAsia="Times New Roman" w:hAnsi="Times New Roman" w:cs="Times New Roman"/>
                <w:color w:val="000000"/>
                <w:spacing w:val="0"/>
                <w:w w:val="100"/>
                <w:position w:val="0"/>
                <w:sz w:val="24"/>
                <w:szCs w:val="24"/>
              </w:rPr>
              <w:t>209,138</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应纳税营业额</w:t>
            </w:r>
          </w:p>
        </w:tc>
      </w:tr>
      <w:tr>
        <w:trPr>
          <w:trHeight w:val="312"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土地使用税</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60"/>
              <w:jc w:val="left"/>
              <w:rPr>
                <w:sz w:val="24"/>
                <w:szCs w:val="24"/>
              </w:rPr>
            </w:pPr>
            <w:r>
              <w:rPr>
                <w:rFonts w:ascii="Times New Roman" w:eastAsia="Times New Roman" w:hAnsi="Times New Roman" w:cs="Times New Roman"/>
                <w:color w:val="000000"/>
                <w:spacing w:val="0"/>
                <w:w w:val="100"/>
                <w:position w:val="0"/>
                <w:sz w:val="24"/>
                <w:szCs w:val="24"/>
              </w:rPr>
              <w:t>34,178</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220" w:firstLine="0"/>
              <w:jc w:val="right"/>
              <w:rPr>
                <w:sz w:val="24"/>
                <w:szCs w:val="24"/>
              </w:rPr>
            </w:pPr>
            <w:r>
              <w:rPr>
                <w:rFonts w:ascii="Times New Roman" w:eastAsia="Times New Roman" w:hAnsi="Times New Roman" w:cs="Times New Roman"/>
                <w:color w:val="000000"/>
                <w:spacing w:val="0"/>
                <w:w w:val="100"/>
                <w:position w:val="0"/>
                <w:sz w:val="24"/>
                <w:szCs w:val="24"/>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both"/>
              <w:rPr>
                <w:sz w:val="24"/>
                <w:szCs w:val="24"/>
              </w:rPr>
            </w:pPr>
            <w:r>
              <w:rPr>
                <w:color w:val="000000"/>
                <w:spacing w:val="0"/>
                <w:w w:val="100"/>
                <w:position w:val="0"/>
                <w:sz w:val="24"/>
                <w:szCs w:val="24"/>
              </w:rPr>
              <w:t>应纳税土地占用面积</w:t>
            </w:r>
          </w:p>
        </w:tc>
      </w:tr>
      <w:tr>
        <w:trPr>
          <w:trHeight w:val="317"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防洪、水利、安保基金</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60"/>
              <w:jc w:val="left"/>
              <w:rPr>
                <w:sz w:val="24"/>
                <w:szCs w:val="24"/>
              </w:rPr>
            </w:pPr>
            <w:r>
              <w:rPr>
                <w:rFonts w:ascii="Times New Roman" w:eastAsia="Times New Roman" w:hAnsi="Times New Roman" w:cs="Times New Roman"/>
                <w:color w:val="000000"/>
                <w:spacing w:val="0"/>
                <w:w w:val="100"/>
                <w:position w:val="0"/>
                <w:sz w:val="24"/>
                <w:szCs w:val="24"/>
              </w:rPr>
              <w:t>32,316</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220" w:firstLine="0"/>
              <w:jc w:val="right"/>
              <w:rPr>
                <w:sz w:val="24"/>
                <w:szCs w:val="24"/>
              </w:rPr>
            </w:pPr>
            <w:r>
              <w:rPr>
                <w:rFonts w:ascii="Times New Roman" w:eastAsia="Times New Roman" w:hAnsi="Times New Roman" w:cs="Times New Roman"/>
                <w:color w:val="000000"/>
                <w:spacing w:val="0"/>
                <w:w w:val="100"/>
                <w:position w:val="0"/>
                <w:sz w:val="24"/>
                <w:szCs w:val="24"/>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应纳税营业收入</w:t>
            </w:r>
          </w:p>
        </w:tc>
      </w:tr>
      <w:tr>
        <w:trPr>
          <w:trHeight w:val="322"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其他税费</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60"/>
              <w:jc w:val="left"/>
              <w:rPr>
                <w:sz w:val="24"/>
                <w:szCs w:val="24"/>
              </w:rPr>
            </w:pPr>
            <w:r>
              <w:rPr>
                <w:rFonts w:ascii="Times New Roman" w:eastAsia="Times New Roman" w:hAnsi="Times New Roman" w:cs="Times New Roman"/>
                <w:color w:val="000000"/>
                <w:spacing w:val="0"/>
                <w:w w:val="100"/>
                <w:position w:val="0"/>
                <w:sz w:val="24"/>
                <w:szCs w:val="24"/>
              </w:rPr>
              <w:t>32,086</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00"/>
              <w:jc w:val="both"/>
              <w:rPr>
                <w:sz w:val="24"/>
                <w:szCs w:val="24"/>
              </w:rPr>
            </w:pPr>
            <w:r>
              <w:rPr>
                <w:rFonts w:ascii="Times New Roman" w:eastAsia="Times New Roman" w:hAnsi="Times New Roman" w:cs="Times New Roman"/>
                <w:color w:val="000000"/>
                <w:spacing w:val="0"/>
                <w:w w:val="100"/>
                <w:position w:val="0"/>
                <w:sz w:val="24"/>
                <w:szCs w:val="24"/>
              </w:rPr>
              <w:t>23,651</w:t>
            </w:r>
          </w:p>
        </w:tc>
        <w:tc>
          <w:tcPr>
            <w:tcBorders/>
            <w:shd w:val="clear" w:color="auto" w:fill="FFFFFF"/>
            <w:vAlign w:val="top"/>
          </w:tcPr>
          <w:p>
            <w:pPr>
              <w:widowControl w:val="0"/>
              <w:rPr>
                <w:sz w:val="10"/>
                <w:szCs w:val="10"/>
              </w:rPr>
            </w:pPr>
          </w:p>
        </w:tc>
      </w:tr>
      <w:tr>
        <w:trPr>
          <w:trHeight w:val="326" w:hRule="exact"/>
        </w:trPr>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left"/>
              <w:rPr>
                <w:sz w:val="24"/>
                <w:szCs w:val="24"/>
              </w:rPr>
            </w:pPr>
            <w:r>
              <w:rPr>
                <w:rFonts w:ascii="Times New Roman" w:eastAsia="Times New Roman" w:hAnsi="Times New Roman" w:cs="Times New Roman"/>
                <w:color w:val="000000"/>
                <w:spacing w:val="0"/>
                <w:w w:val="100"/>
                <w:position w:val="0"/>
                <w:sz w:val="24"/>
                <w:szCs w:val="24"/>
              </w:rPr>
              <w:t>583,455</w:t>
            </w:r>
          </w:p>
        </w:tc>
        <w:tc>
          <w:tcPr>
            <w:tcBorders>
              <w:top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60"/>
              <w:jc w:val="both"/>
              <w:rPr>
                <w:sz w:val="24"/>
                <w:szCs w:val="24"/>
              </w:rPr>
            </w:pPr>
            <w:r>
              <w:rPr>
                <w:rFonts w:ascii="Times New Roman" w:eastAsia="Times New Roman" w:hAnsi="Times New Roman" w:cs="Times New Roman"/>
                <w:color w:val="000000"/>
                <w:spacing w:val="0"/>
                <w:w w:val="100"/>
                <w:position w:val="0"/>
                <w:sz w:val="24"/>
                <w:szCs w:val="24"/>
              </w:rPr>
              <w:t>585,796</w:t>
            </w:r>
          </w:p>
        </w:tc>
        <w:tc>
          <w:tcPr>
            <w:tcBorders/>
            <w:shd w:val="clear" w:color="auto" w:fill="FFFFFF"/>
            <w:vAlign w:val="top"/>
          </w:tcPr>
          <w:p>
            <w:pPr>
              <w:widowControl w:val="0"/>
              <w:rPr>
                <w:sz w:val="10"/>
                <w:szCs w:val="10"/>
              </w:rPr>
            </w:pPr>
          </w:p>
        </w:tc>
      </w:tr>
    </w:tbl>
    <w:p>
      <w:pPr>
        <w:pStyle w:val="Style32"/>
        <w:keepNext w:val="0"/>
        <w:keepLines w:val="0"/>
        <w:widowControl w:val="0"/>
        <w:shd w:val="clear" w:color="auto" w:fill="auto"/>
        <w:bidi w:val="0"/>
        <w:spacing w:before="0" w:after="0" w:line="240" w:lineRule="auto"/>
        <w:ind w:left="0" w:right="0" w:firstLine="720"/>
        <w:jc w:val="left"/>
        <w:rPr>
          <w:sz w:val="24"/>
          <w:szCs w:val="24"/>
        </w:rPr>
      </w:pPr>
      <w:r>
        <w:rPr>
          <w:b/>
          <w:bCs/>
          <w:color w:val="000000"/>
          <w:spacing w:val="0"/>
          <w:w w:val="100"/>
          <w:position w:val="0"/>
          <w:sz w:val="24"/>
          <w:szCs w:val="24"/>
        </w:rPr>
        <w:t>财务报表附注</w:t>
      </w:r>
    </w:p>
    <w:p>
      <w:pPr>
        <w:pStyle w:val="Style88"/>
        <w:keepNext/>
        <w:keepLines/>
        <w:widowControl w:val="0"/>
        <w:shd w:val="clear" w:color="auto" w:fill="auto"/>
        <w:bidi w:val="0"/>
        <w:spacing w:before="0" w:after="0" w:line="240" w:lineRule="auto"/>
        <w:ind w:left="0" w:right="0" w:firstLine="720"/>
        <w:jc w:val="left"/>
      </w:pPr>
      <w:bookmarkStart w:id="978" w:name="bookmark978"/>
      <w:bookmarkStart w:id="979" w:name="bookmark979"/>
      <w:bookmarkStart w:id="980" w:name="bookmark980"/>
      <w:r>
        <w:rPr>
          <w:color w:val="000000"/>
          <w:spacing w:val="0"/>
          <w:w w:val="100"/>
          <w:position w:val="0"/>
          <w:sz w:val="24"/>
          <w:szCs w:val="24"/>
        </w:rPr>
        <w:t>2016</w:t>
      </w:r>
      <w:r>
        <w:rPr>
          <w:rFonts w:ascii="SimSun" w:eastAsia="SimSun" w:hAnsi="SimSun" w:cs="SimSun"/>
          <w:b/>
          <w:bCs/>
          <w:color w:val="000000"/>
          <w:spacing w:val="0"/>
          <w:w w:val="100"/>
          <w:position w:val="0"/>
          <w:sz w:val="24"/>
          <w:szCs w:val="24"/>
        </w:rPr>
        <w:t>年度</w:t>
      </w:r>
      <w:bookmarkEnd w:id="978"/>
      <w:bookmarkEnd w:id="979"/>
      <w:bookmarkEnd w:id="980"/>
    </w:p>
    <w:p>
      <w:pPr>
        <w:pStyle w:val="Style32"/>
        <w:keepNext w:val="0"/>
        <w:keepLines w:val="0"/>
        <w:widowControl w:val="0"/>
        <w:shd w:val="clear" w:color="auto" w:fill="auto"/>
        <w:bidi w:val="0"/>
        <w:spacing w:before="0" w:after="260" w:line="240" w:lineRule="auto"/>
        <w:ind w:left="0" w:right="0" w:firstLine="720"/>
        <w:jc w:val="left"/>
        <w:rPr>
          <w:sz w:val="24"/>
          <w:szCs w:val="24"/>
        </w:rPr>
      </w:pPr>
      <w:r>
        <w:rPr>
          <w:rFonts w:ascii="Arial" w:eastAsia="Arial" w:hAnsi="Arial" w:cs="Arial"/>
          <w:color w:val="000000"/>
          <w:spacing w:val="0"/>
          <w:w w:val="100"/>
          <w:position w:val="0"/>
          <w:sz w:val="20"/>
          <w:szCs w:val="20"/>
        </w:rPr>
        <w:t>（</w:t>
      </w:r>
      <w:r>
        <w:rPr>
          <w:color w:val="000000"/>
          <w:spacing w:val="0"/>
          <w:w w:val="100"/>
          <w:position w:val="0"/>
          <w:sz w:val="20"/>
          <w:szCs w:val="20"/>
        </w:rPr>
        <w:t>除特别注明外，金额单位为人民币千元</w:t>
      </w:r>
      <w:r>
        <w:rPr>
          <w:color w:val="000000"/>
          <w:spacing w:val="0"/>
          <w:w w:val="100"/>
          <w:position w:val="0"/>
          <w:sz w:val="24"/>
          <w:szCs w:val="24"/>
        </w:rPr>
        <w:t>）</w:t>
      </w:r>
    </w:p>
    <w:p>
      <w:pPr>
        <w:pStyle w:val="Style32"/>
        <w:keepNext w:val="0"/>
        <w:keepLines w:val="0"/>
        <w:widowControl w:val="0"/>
        <w:shd w:val="clear" w:color="auto" w:fill="auto"/>
        <w:tabs>
          <w:tab w:pos="571" w:val="left"/>
        </w:tabs>
        <w:bidi w:val="0"/>
        <w:spacing w:before="0" w:after="260" w:line="240" w:lineRule="auto"/>
        <w:ind w:left="0" w:right="0" w:firstLine="0"/>
        <w:jc w:val="left"/>
        <w:rPr>
          <w:sz w:val="24"/>
          <w:szCs w:val="24"/>
        </w:rPr>
      </w:pPr>
      <w:r>
        <w:rPr>
          <w:b/>
          <w:bCs/>
          <w:color w:val="000000"/>
          <w:spacing w:val="0"/>
          <w:w w:val="100"/>
          <w:position w:val="0"/>
          <w:sz w:val="24"/>
          <w:szCs w:val="24"/>
        </w:rPr>
        <w:t>四</w:t>
        <w:tab/>
        <w:t>合并财务报表项目附注</w:t>
      </w:r>
      <w:r>
        <w:rPr>
          <w:rFonts w:ascii="Times New Roman" w:eastAsia="Times New Roman" w:hAnsi="Times New Roman" w:cs="Times New Roman"/>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4"/>
          <w:szCs w:val="24"/>
        </w:rPr>
        <w:t>）</w:t>
      </w:r>
    </w:p>
    <w:p>
      <w:pPr>
        <w:pStyle w:val="Style53"/>
        <w:keepNext w:val="0"/>
        <w:keepLines w:val="0"/>
        <w:widowControl w:val="0"/>
        <w:shd w:val="clear" w:color="auto" w:fill="auto"/>
        <w:bidi w:val="0"/>
        <w:spacing w:before="0" w:after="260" w:line="314" w:lineRule="exact"/>
        <w:ind w:left="0" w:right="0" w:firstLine="0"/>
        <w:jc w:val="left"/>
        <w:rPr>
          <w:sz w:val="24"/>
          <w:szCs w:val="24"/>
        </w:rPr>
      </w:pPr>
      <w:r>
        <w:rPr>
          <w:color w:val="000000"/>
          <w:spacing w:val="0"/>
          <w:w w:val="100"/>
          <w:position w:val="0"/>
          <w:sz w:val="24"/>
          <w:szCs w:val="24"/>
        </w:rPr>
        <w:t>（45）</w:t>
      </w:r>
      <w:r>
        <w:rPr>
          <w:rFonts w:ascii="SimSun" w:eastAsia="SimSun" w:hAnsi="SimSun" w:cs="SimSun"/>
          <w:b/>
          <w:bCs/>
          <w:color w:val="000000"/>
          <w:spacing w:val="0"/>
          <w:w w:val="100"/>
          <w:position w:val="0"/>
          <w:sz w:val="24"/>
          <w:szCs w:val="24"/>
        </w:rPr>
        <w:t>税金及附加</w:t>
      </w:r>
      <w:r>
        <w:rPr>
          <w:color w:val="000000"/>
          <w:spacing w:val="0"/>
          <w:w w:val="100"/>
          <w:position w:val="0"/>
          <w:sz w:val="24"/>
          <w:szCs w:val="24"/>
        </w:rPr>
        <w:t>（</w:t>
      </w:r>
      <w:r>
        <w:rPr>
          <w:rFonts w:ascii="SimSun" w:eastAsia="SimSun" w:hAnsi="SimSun" w:cs="SimSun"/>
          <w:b/>
          <w:bCs/>
          <w:color w:val="000000"/>
          <w:spacing w:val="0"/>
          <w:w w:val="100"/>
          <w:position w:val="0"/>
          <w:sz w:val="24"/>
          <w:szCs w:val="24"/>
        </w:rPr>
        <w:t>续</w:t>
      </w:r>
      <w:r>
        <w:rPr>
          <w:rFonts w:ascii="SimSun" w:eastAsia="SimSun" w:hAnsi="SimSun" w:cs="SimSun"/>
          <w:color w:val="000000"/>
          <w:spacing w:val="0"/>
          <w:w w:val="100"/>
          <w:position w:val="0"/>
          <w:sz w:val="24"/>
          <w:szCs w:val="24"/>
        </w:rPr>
        <w:t>）</w:t>
      </w:r>
    </w:p>
    <w:p>
      <w:pPr>
        <w:pStyle w:val="Style32"/>
        <w:keepNext w:val="0"/>
        <w:keepLines w:val="0"/>
        <w:widowControl w:val="0"/>
        <w:shd w:val="clear" w:color="auto" w:fill="auto"/>
        <w:bidi w:val="0"/>
        <w:spacing w:before="0" w:after="260" w:line="314" w:lineRule="exact"/>
        <w:ind w:left="720" w:right="0" w:firstLine="60"/>
        <w:jc w:val="both"/>
        <w:rPr>
          <w:sz w:val="24"/>
          <w:szCs w:val="24"/>
        </w:rPr>
      </w:pPr>
      <w:r>
        <w:rPr>
          <w:color w:val="000000"/>
          <w:spacing w:val="0"/>
          <w:w w:val="100"/>
          <w:position w:val="0"/>
          <w:sz w:val="24"/>
          <w:szCs w:val="24"/>
        </w:rPr>
        <w:t>财政部于</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月颁布了财会</w:t>
      </w:r>
      <w:r>
        <w:rPr>
          <w:rFonts w:ascii="Times New Roman" w:eastAsia="Times New Roman" w:hAnsi="Times New Roman" w:cs="Times New Roman"/>
          <w:color w:val="000000"/>
          <w:spacing w:val="0"/>
          <w:w w:val="100"/>
          <w:position w:val="0"/>
          <w:sz w:val="24"/>
          <w:szCs w:val="24"/>
        </w:rPr>
        <w:t>[2016]22</w:t>
      </w:r>
      <w:r>
        <w:rPr>
          <w:color w:val="000000"/>
          <w:spacing w:val="0"/>
          <w:w w:val="100"/>
          <w:position w:val="0"/>
          <w:sz w:val="24"/>
          <w:szCs w:val="24"/>
        </w:rPr>
        <w:t>号《增值税会计处理规定》，要 求自发布之日起施行。</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日至该规定施行之间发生的交易按该规 定调整。按照该规定的相关要求，本集团将</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月至</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月发生的房产 税、土地使用税、印花税、车船使用税等约人民币</w:t>
      </w:r>
      <w:r>
        <w:rPr>
          <w:rFonts w:ascii="Times New Roman" w:eastAsia="Times New Roman" w:hAnsi="Times New Roman" w:cs="Times New Roman"/>
          <w:color w:val="000000"/>
          <w:spacing w:val="0"/>
          <w:w w:val="100"/>
          <w:position w:val="0"/>
          <w:sz w:val="24"/>
          <w:szCs w:val="24"/>
        </w:rPr>
        <w:t>2.67</w:t>
      </w:r>
      <w:r>
        <w:rPr>
          <w:color w:val="000000"/>
          <w:spacing w:val="0"/>
          <w:w w:val="100"/>
          <w:position w:val="0"/>
          <w:sz w:val="24"/>
          <w:szCs w:val="24"/>
        </w:rPr>
        <w:t>亿元列示在税金及附 加项目中，</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月至</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月发生的房产税、土地使用税、印花税、车船使 用税等人民币</w:t>
      </w:r>
      <w:r>
        <w:rPr>
          <w:rFonts w:ascii="Times New Roman" w:eastAsia="Times New Roman" w:hAnsi="Times New Roman" w:cs="Times New Roman"/>
          <w:color w:val="000000"/>
          <w:spacing w:val="0"/>
          <w:w w:val="100"/>
          <w:position w:val="0"/>
          <w:sz w:val="24"/>
          <w:szCs w:val="24"/>
        </w:rPr>
        <w:t>7,353</w:t>
      </w:r>
      <w:r>
        <w:rPr>
          <w:color w:val="000000"/>
          <w:spacing w:val="0"/>
          <w:w w:val="100"/>
          <w:position w:val="0"/>
          <w:sz w:val="24"/>
          <w:szCs w:val="24"/>
        </w:rPr>
        <w:t>万元仍然列示在原费用项目中，</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sz w:val="24"/>
          <w:szCs w:val="24"/>
        </w:rPr>
        <w:t>年的比较数字不追 溯调整，该规定其他事项对本集团财务报表影响并不重大。</w:t>
      </w:r>
    </w:p>
    <w:p>
      <w:pPr>
        <w:pStyle w:val="Style32"/>
        <w:keepNext w:val="0"/>
        <w:keepLines w:val="0"/>
        <w:widowControl w:val="0"/>
        <w:shd w:val="clear" w:color="auto" w:fill="auto"/>
        <w:bidi w:val="0"/>
        <w:spacing w:before="0" w:after="32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（46）</w:t>
      </w:r>
      <w:r>
        <w:rPr>
          <w:b/>
          <w:bCs/>
          <w:color w:val="000000"/>
          <w:spacing w:val="0"/>
          <w:w w:val="100"/>
          <w:position w:val="0"/>
          <w:sz w:val="24"/>
          <w:szCs w:val="24"/>
        </w:rPr>
        <w:t>销售费用</w:t>
      </w:r>
    </w:p>
    <w:tbl>
      <w:tblPr>
        <w:tblOverlap w:val="never"/>
        <w:jc w:val="center"/>
        <w:tblLayout w:type="fixed"/>
      </w:tblPr>
      <w:tblGrid>
        <w:gridCol w:w="3840"/>
        <w:gridCol w:w="2693"/>
        <w:gridCol w:w="1589"/>
      </w:tblGrid>
      <w:tr>
        <w:trPr>
          <w:trHeight w:val="446"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460" w:firstLine="0"/>
              <w:jc w:val="right"/>
              <w:rPr>
                <w:sz w:val="24"/>
                <w:szCs w:val="24"/>
              </w:rPr>
            </w:pP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年度</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both"/>
              <w:rPr>
                <w:sz w:val="24"/>
                <w:szCs w:val="24"/>
              </w:rPr>
            </w:pPr>
            <w:r>
              <w:rPr>
                <w:rFonts w:ascii="Times New Roman" w:eastAsia="Times New Roman" w:hAnsi="Times New Roman" w:cs="Times New Roman"/>
                <w:color w:val="000000"/>
                <w:spacing w:val="0"/>
                <w:w w:val="100"/>
                <w:position w:val="0"/>
                <w:sz w:val="24"/>
                <w:szCs w:val="24"/>
              </w:rPr>
              <w:t>2015</w:t>
            </w:r>
            <w:r>
              <w:rPr>
                <w:color w:val="000000"/>
                <w:spacing w:val="0"/>
                <w:w w:val="100"/>
                <w:position w:val="0"/>
                <w:sz w:val="24"/>
                <w:szCs w:val="24"/>
              </w:rPr>
              <w:t>年度</w:t>
            </w:r>
          </w:p>
        </w:tc>
      </w:tr>
      <w:tr>
        <w:trPr>
          <w:trHeight w:val="446"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租赁费</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200" w:right="0" w:firstLine="0"/>
              <w:jc w:val="both"/>
              <w:rPr>
                <w:sz w:val="24"/>
                <w:szCs w:val="24"/>
              </w:rPr>
            </w:pPr>
            <w:r>
              <w:rPr>
                <w:rFonts w:ascii="Times New Roman" w:eastAsia="Times New Roman" w:hAnsi="Times New Roman" w:cs="Times New Roman"/>
                <w:color w:val="000000"/>
                <w:spacing w:val="0"/>
                <w:w w:val="100"/>
                <w:position w:val="0"/>
                <w:sz w:val="24"/>
                <w:szCs w:val="24"/>
              </w:rPr>
              <w:t>5,553,800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both"/>
              <w:rPr>
                <w:sz w:val="24"/>
                <w:szCs w:val="24"/>
              </w:rPr>
            </w:pPr>
            <w:r>
              <w:rPr>
                <w:rFonts w:ascii="Times New Roman" w:eastAsia="Times New Roman" w:hAnsi="Times New Roman" w:cs="Times New Roman"/>
                <w:color w:val="000000"/>
                <w:spacing w:val="0"/>
                <w:w w:val="100"/>
                <w:position w:val="0"/>
                <w:sz w:val="24"/>
                <w:szCs w:val="24"/>
              </w:rPr>
              <w:t>5,204,671</w:t>
            </w:r>
          </w:p>
        </w:tc>
      </w:tr>
      <w:tr>
        <w:trPr>
          <w:trHeight w:val="302"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工资、奖金、津贴和补贴</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200" w:right="0" w:firstLine="0"/>
              <w:jc w:val="both"/>
              <w:rPr>
                <w:sz w:val="24"/>
                <w:szCs w:val="24"/>
              </w:rPr>
            </w:pPr>
            <w:r>
              <w:rPr>
                <w:rFonts w:ascii="Times New Roman" w:eastAsia="Times New Roman" w:hAnsi="Times New Roman" w:cs="Times New Roman"/>
                <w:color w:val="000000"/>
                <w:spacing w:val="0"/>
                <w:w w:val="100"/>
                <w:position w:val="0"/>
                <w:sz w:val="24"/>
                <w:szCs w:val="24"/>
              </w:rPr>
              <w:t>3,499,868</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both"/>
              <w:rPr>
                <w:sz w:val="24"/>
                <w:szCs w:val="24"/>
              </w:rPr>
            </w:pPr>
            <w:r>
              <w:rPr>
                <w:rFonts w:ascii="Times New Roman" w:eastAsia="Times New Roman" w:hAnsi="Times New Roman" w:cs="Times New Roman"/>
                <w:color w:val="000000"/>
                <w:spacing w:val="0"/>
                <w:w w:val="100"/>
                <w:position w:val="0"/>
                <w:sz w:val="24"/>
                <w:szCs w:val="24"/>
              </w:rPr>
              <w:t>3,521,498</w:t>
            </w:r>
          </w:p>
        </w:tc>
      </w:tr>
      <w:tr>
        <w:trPr>
          <w:trHeight w:val="317"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广告费及市场推广费</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200" w:right="0" w:firstLine="0"/>
              <w:jc w:val="both"/>
              <w:rPr>
                <w:sz w:val="24"/>
                <w:szCs w:val="24"/>
              </w:rPr>
            </w:pPr>
            <w:r>
              <w:rPr>
                <w:rFonts w:ascii="Times New Roman" w:eastAsia="Times New Roman" w:hAnsi="Times New Roman" w:cs="Times New Roman"/>
                <w:color w:val="000000"/>
                <w:spacing w:val="0"/>
                <w:w w:val="100"/>
                <w:position w:val="0"/>
                <w:sz w:val="24"/>
                <w:szCs w:val="24"/>
              </w:rPr>
              <w:t>3,213,898</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both"/>
              <w:rPr>
                <w:sz w:val="24"/>
                <w:szCs w:val="24"/>
              </w:rPr>
            </w:pPr>
            <w:r>
              <w:rPr>
                <w:rFonts w:ascii="Times New Roman" w:eastAsia="Times New Roman" w:hAnsi="Times New Roman" w:cs="Times New Roman"/>
                <w:color w:val="000000"/>
                <w:spacing w:val="0"/>
                <w:w w:val="100"/>
                <w:position w:val="0"/>
                <w:sz w:val="24"/>
                <w:szCs w:val="24"/>
              </w:rPr>
              <w:t>2,963,255</w:t>
            </w:r>
          </w:p>
        </w:tc>
      </w:tr>
      <w:tr>
        <w:trPr>
          <w:trHeight w:val="322"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运输费</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200" w:right="0" w:firstLine="0"/>
              <w:jc w:val="both"/>
              <w:rPr>
                <w:sz w:val="24"/>
                <w:szCs w:val="24"/>
              </w:rPr>
            </w:pPr>
            <w:r>
              <w:rPr>
                <w:rFonts w:ascii="Times New Roman" w:eastAsia="Times New Roman" w:hAnsi="Times New Roman" w:cs="Times New Roman"/>
                <w:color w:val="000000"/>
                <w:spacing w:val="0"/>
                <w:w w:val="100"/>
                <w:position w:val="0"/>
                <w:sz w:val="24"/>
                <w:szCs w:val="24"/>
              </w:rPr>
              <w:t>1,864,247</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both"/>
              <w:rPr>
                <w:sz w:val="24"/>
                <w:szCs w:val="24"/>
              </w:rPr>
            </w:pPr>
            <w:r>
              <w:rPr>
                <w:rFonts w:ascii="Times New Roman" w:eastAsia="Times New Roman" w:hAnsi="Times New Roman" w:cs="Times New Roman"/>
                <w:color w:val="000000"/>
                <w:spacing w:val="0"/>
                <w:w w:val="100"/>
                <w:position w:val="0"/>
                <w:sz w:val="24"/>
                <w:szCs w:val="24"/>
              </w:rPr>
              <w:t>1,443,951</w:t>
            </w:r>
          </w:p>
        </w:tc>
      </w:tr>
      <w:tr>
        <w:trPr>
          <w:trHeight w:val="307"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水电能源费</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440" w:right="0" w:firstLine="0"/>
              <w:jc w:val="both"/>
              <w:rPr>
                <w:sz w:val="24"/>
                <w:szCs w:val="24"/>
              </w:rPr>
            </w:pPr>
            <w:r>
              <w:rPr>
                <w:rFonts w:ascii="Times New Roman" w:eastAsia="Times New Roman" w:hAnsi="Times New Roman" w:cs="Times New Roman"/>
                <w:color w:val="000000"/>
                <w:spacing w:val="0"/>
                <w:w w:val="100"/>
                <w:position w:val="0"/>
                <w:sz w:val="24"/>
                <w:szCs w:val="24"/>
              </w:rPr>
              <w:t>669,564</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00"/>
              <w:jc w:val="both"/>
              <w:rPr>
                <w:sz w:val="24"/>
                <w:szCs w:val="24"/>
              </w:rPr>
            </w:pPr>
            <w:r>
              <w:rPr>
                <w:rFonts w:ascii="Times New Roman" w:eastAsia="Times New Roman" w:hAnsi="Times New Roman" w:cs="Times New Roman"/>
                <w:color w:val="000000"/>
                <w:spacing w:val="0"/>
                <w:w w:val="100"/>
                <w:position w:val="0"/>
                <w:sz w:val="24"/>
                <w:szCs w:val="24"/>
              </w:rPr>
              <w:t>706,475</w:t>
            </w:r>
          </w:p>
        </w:tc>
      </w:tr>
      <w:tr>
        <w:trPr>
          <w:trHeight w:val="307"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固定资产折旧费</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440" w:right="0" w:firstLine="0"/>
              <w:jc w:val="both"/>
              <w:rPr>
                <w:sz w:val="24"/>
                <w:szCs w:val="24"/>
              </w:rPr>
            </w:pPr>
            <w:r>
              <w:rPr>
                <w:rFonts w:ascii="Times New Roman" w:eastAsia="Times New Roman" w:hAnsi="Times New Roman" w:cs="Times New Roman"/>
                <w:color w:val="000000"/>
                <w:spacing w:val="0"/>
                <w:w w:val="100"/>
                <w:position w:val="0"/>
                <w:sz w:val="24"/>
                <w:szCs w:val="24"/>
              </w:rPr>
              <w:t>437,754</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00"/>
              <w:jc w:val="both"/>
              <w:rPr>
                <w:sz w:val="24"/>
                <w:szCs w:val="24"/>
              </w:rPr>
            </w:pPr>
            <w:r>
              <w:rPr>
                <w:rFonts w:ascii="Times New Roman" w:eastAsia="Times New Roman" w:hAnsi="Times New Roman" w:cs="Times New Roman"/>
                <w:color w:val="000000"/>
                <w:spacing w:val="0"/>
                <w:w w:val="100"/>
                <w:position w:val="0"/>
                <w:sz w:val="24"/>
                <w:szCs w:val="24"/>
              </w:rPr>
              <w:t>440,581</w:t>
            </w:r>
          </w:p>
        </w:tc>
      </w:tr>
      <w:tr>
        <w:trPr>
          <w:trHeight w:val="312"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门店装修费摊销</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440" w:right="0" w:firstLine="0"/>
              <w:jc w:val="both"/>
              <w:rPr>
                <w:sz w:val="24"/>
                <w:szCs w:val="24"/>
              </w:rPr>
            </w:pPr>
            <w:r>
              <w:rPr>
                <w:rFonts w:ascii="Times New Roman" w:eastAsia="Times New Roman" w:hAnsi="Times New Roman" w:cs="Times New Roman"/>
                <w:color w:val="000000"/>
                <w:spacing w:val="0"/>
                <w:w w:val="100"/>
                <w:position w:val="0"/>
                <w:sz w:val="24"/>
                <w:szCs w:val="24"/>
              </w:rPr>
              <w:t>433,409</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00"/>
              <w:jc w:val="both"/>
              <w:rPr>
                <w:sz w:val="24"/>
                <w:szCs w:val="24"/>
              </w:rPr>
            </w:pPr>
            <w:r>
              <w:rPr>
                <w:rFonts w:ascii="Times New Roman" w:eastAsia="Times New Roman" w:hAnsi="Times New Roman" w:cs="Times New Roman"/>
                <w:color w:val="000000"/>
                <w:spacing w:val="0"/>
                <w:w w:val="100"/>
                <w:position w:val="0"/>
                <w:sz w:val="24"/>
                <w:szCs w:val="24"/>
              </w:rPr>
              <w:t>476,343</w:t>
            </w:r>
          </w:p>
        </w:tc>
      </w:tr>
      <w:tr>
        <w:trPr>
          <w:trHeight w:val="317"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社会保险费</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440" w:right="0" w:firstLine="0"/>
              <w:jc w:val="both"/>
              <w:rPr>
                <w:sz w:val="24"/>
                <w:szCs w:val="24"/>
              </w:rPr>
            </w:pPr>
            <w:r>
              <w:rPr>
                <w:rFonts w:ascii="Times New Roman" w:eastAsia="Times New Roman" w:hAnsi="Times New Roman" w:cs="Times New Roman"/>
                <w:color w:val="000000"/>
                <w:spacing w:val="0"/>
                <w:w w:val="100"/>
                <w:position w:val="0"/>
                <w:sz w:val="24"/>
                <w:szCs w:val="24"/>
              </w:rPr>
              <w:t>399,247</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00"/>
              <w:jc w:val="both"/>
              <w:rPr>
                <w:sz w:val="24"/>
                <w:szCs w:val="24"/>
              </w:rPr>
            </w:pPr>
            <w:r>
              <w:rPr>
                <w:rFonts w:ascii="Times New Roman" w:eastAsia="Times New Roman" w:hAnsi="Times New Roman" w:cs="Times New Roman"/>
                <w:color w:val="000000"/>
                <w:spacing w:val="0"/>
                <w:w w:val="100"/>
                <w:position w:val="0"/>
                <w:sz w:val="24"/>
                <w:szCs w:val="24"/>
              </w:rPr>
              <w:t>464,173</w:t>
            </w:r>
          </w:p>
        </w:tc>
      </w:tr>
      <w:tr>
        <w:trPr>
          <w:trHeight w:val="322"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办公费用</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440" w:right="0" w:firstLine="0"/>
              <w:jc w:val="both"/>
              <w:rPr>
                <w:sz w:val="24"/>
                <w:szCs w:val="24"/>
              </w:rPr>
            </w:pPr>
            <w:r>
              <w:rPr>
                <w:rFonts w:ascii="Times New Roman" w:eastAsia="Times New Roman" w:hAnsi="Times New Roman" w:cs="Times New Roman"/>
                <w:color w:val="000000"/>
                <w:spacing w:val="0"/>
                <w:w w:val="100"/>
                <w:position w:val="0"/>
                <w:sz w:val="24"/>
                <w:szCs w:val="24"/>
              </w:rPr>
              <w:t>284,486</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00"/>
              <w:jc w:val="both"/>
              <w:rPr>
                <w:sz w:val="24"/>
                <w:szCs w:val="24"/>
              </w:rPr>
            </w:pPr>
            <w:r>
              <w:rPr>
                <w:rFonts w:ascii="Times New Roman" w:eastAsia="Times New Roman" w:hAnsi="Times New Roman" w:cs="Times New Roman"/>
                <w:color w:val="000000"/>
                <w:spacing w:val="0"/>
                <w:w w:val="100"/>
                <w:position w:val="0"/>
                <w:sz w:val="24"/>
                <w:szCs w:val="24"/>
              </w:rPr>
              <w:t>300,297</w:t>
            </w:r>
          </w:p>
        </w:tc>
      </w:tr>
      <w:tr>
        <w:trPr>
          <w:trHeight w:val="288"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保险费</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440" w:right="0" w:firstLine="0"/>
              <w:jc w:val="both"/>
              <w:rPr>
                <w:sz w:val="24"/>
                <w:szCs w:val="24"/>
              </w:rPr>
            </w:pPr>
            <w:r>
              <w:rPr>
                <w:rFonts w:ascii="Times New Roman" w:eastAsia="Times New Roman" w:hAnsi="Times New Roman" w:cs="Times New Roman"/>
                <w:color w:val="000000"/>
                <w:spacing w:val="0"/>
                <w:w w:val="100"/>
                <w:position w:val="0"/>
                <w:sz w:val="24"/>
                <w:szCs w:val="24"/>
              </w:rPr>
              <w:t>126,569</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00"/>
              <w:jc w:val="both"/>
              <w:rPr>
                <w:sz w:val="24"/>
                <w:szCs w:val="24"/>
              </w:rPr>
            </w:pPr>
            <w:r>
              <w:rPr>
                <w:rFonts w:ascii="Times New Roman" w:eastAsia="Times New Roman" w:hAnsi="Times New Roman" w:cs="Times New Roman"/>
                <w:color w:val="000000"/>
                <w:spacing w:val="0"/>
                <w:w w:val="100"/>
                <w:position w:val="0"/>
                <w:sz w:val="24"/>
                <w:szCs w:val="24"/>
              </w:rPr>
              <w:t>109,197</w:t>
            </w:r>
          </w:p>
        </w:tc>
      </w:tr>
      <w:tr>
        <w:trPr>
          <w:trHeight w:val="322"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住房公积金</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560" w:right="0" w:firstLine="0"/>
              <w:jc w:val="both"/>
              <w:rPr>
                <w:sz w:val="24"/>
                <w:szCs w:val="24"/>
              </w:rPr>
            </w:pPr>
            <w:r>
              <w:rPr>
                <w:rFonts w:ascii="Times New Roman" w:eastAsia="Times New Roman" w:hAnsi="Times New Roman" w:cs="Times New Roman"/>
                <w:color w:val="000000"/>
                <w:spacing w:val="0"/>
                <w:w w:val="100"/>
                <w:position w:val="0"/>
                <w:sz w:val="24"/>
                <w:szCs w:val="24"/>
              </w:rPr>
              <w:t>66,296</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20"/>
              <w:jc w:val="both"/>
              <w:rPr>
                <w:sz w:val="24"/>
                <w:szCs w:val="24"/>
              </w:rPr>
            </w:pPr>
            <w:r>
              <w:rPr>
                <w:rFonts w:ascii="Times New Roman" w:eastAsia="Times New Roman" w:hAnsi="Times New Roman" w:cs="Times New Roman"/>
                <w:color w:val="000000"/>
                <w:spacing w:val="0"/>
                <w:w w:val="100"/>
                <w:position w:val="0"/>
                <w:sz w:val="24"/>
                <w:szCs w:val="24"/>
              </w:rPr>
              <w:t>88,092</w:t>
            </w:r>
          </w:p>
        </w:tc>
      </w:tr>
      <w:tr>
        <w:trPr>
          <w:trHeight w:val="312"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无形资产摊销</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560" w:right="0" w:firstLine="0"/>
              <w:jc w:val="both"/>
              <w:rPr>
                <w:sz w:val="24"/>
                <w:szCs w:val="24"/>
              </w:rPr>
            </w:pPr>
            <w:r>
              <w:rPr>
                <w:rFonts w:ascii="Times New Roman" w:eastAsia="Times New Roman" w:hAnsi="Times New Roman" w:cs="Times New Roman"/>
                <w:color w:val="000000"/>
                <w:spacing w:val="0"/>
                <w:w w:val="100"/>
                <w:position w:val="0"/>
                <w:sz w:val="24"/>
                <w:szCs w:val="24"/>
              </w:rPr>
              <w:t>60,244</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20"/>
              <w:jc w:val="both"/>
              <w:rPr>
                <w:sz w:val="24"/>
                <w:szCs w:val="24"/>
              </w:rPr>
            </w:pPr>
            <w:r>
              <w:rPr>
                <w:rFonts w:ascii="Times New Roman" w:eastAsia="Times New Roman" w:hAnsi="Times New Roman" w:cs="Times New Roman"/>
                <w:color w:val="000000"/>
                <w:spacing w:val="0"/>
                <w:w w:val="100"/>
                <w:position w:val="0"/>
                <w:sz w:val="24"/>
                <w:szCs w:val="24"/>
              </w:rPr>
              <w:t>48,738</w:t>
            </w:r>
          </w:p>
        </w:tc>
      </w:tr>
      <w:tr>
        <w:trPr>
          <w:trHeight w:val="302"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促销费</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560" w:right="0" w:firstLine="0"/>
              <w:jc w:val="both"/>
              <w:rPr>
                <w:sz w:val="24"/>
                <w:szCs w:val="24"/>
              </w:rPr>
            </w:pPr>
            <w:r>
              <w:rPr>
                <w:rFonts w:ascii="Times New Roman" w:eastAsia="Times New Roman" w:hAnsi="Times New Roman" w:cs="Times New Roman"/>
                <w:color w:val="000000"/>
                <w:spacing w:val="0"/>
                <w:w w:val="100"/>
                <w:position w:val="0"/>
                <w:sz w:val="24"/>
                <w:szCs w:val="24"/>
              </w:rPr>
              <w:t>60,114</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20"/>
              <w:jc w:val="both"/>
              <w:rPr>
                <w:sz w:val="24"/>
                <w:szCs w:val="24"/>
              </w:rPr>
            </w:pPr>
            <w:r>
              <w:rPr>
                <w:rFonts w:ascii="Times New Roman" w:eastAsia="Times New Roman" w:hAnsi="Times New Roman" w:cs="Times New Roman"/>
                <w:color w:val="000000"/>
                <w:spacing w:val="0"/>
                <w:w w:val="100"/>
                <w:position w:val="0"/>
                <w:sz w:val="24"/>
                <w:szCs w:val="24"/>
              </w:rPr>
              <w:t>22,117</w:t>
            </w:r>
          </w:p>
        </w:tc>
      </w:tr>
      <w:tr>
        <w:trPr>
          <w:trHeight w:val="317"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职工福利费</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560" w:right="0" w:firstLine="0"/>
              <w:jc w:val="both"/>
              <w:rPr>
                <w:sz w:val="24"/>
                <w:szCs w:val="24"/>
              </w:rPr>
            </w:pPr>
            <w:r>
              <w:rPr>
                <w:rFonts w:ascii="Times New Roman" w:eastAsia="Times New Roman" w:hAnsi="Times New Roman" w:cs="Times New Roman"/>
                <w:color w:val="000000"/>
                <w:spacing w:val="0"/>
                <w:w w:val="100"/>
                <w:position w:val="0"/>
                <w:sz w:val="24"/>
                <w:szCs w:val="24"/>
              </w:rPr>
              <w:t>47,106</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20"/>
              <w:jc w:val="both"/>
              <w:rPr>
                <w:sz w:val="24"/>
                <w:szCs w:val="24"/>
              </w:rPr>
            </w:pPr>
            <w:r>
              <w:rPr>
                <w:rFonts w:ascii="Times New Roman" w:eastAsia="Times New Roman" w:hAnsi="Times New Roman" w:cs="Times New Roman"/>
                <w:color w:val="000000"/>
                <w:spacing w:val="0"/>
                <w:w w:val="100"/>
                <w:position w:val="0"/>
                <w:sz w:val="24"/>
                <w:szCs w:val="24"/>
              </w:rPr>
              <w:t>73,869</w:t>
            </w:r>
          </w:p>
        </w:tc>
      </w:tr>
      <w:tr>
        <w:trPr>
          <w:trHeight w:val="312"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差旅费</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560" w:right="0" w:firstLine="0"/>
              <w:jc w:val="both"/>
              <w:rPr>
                <w:sz w:val="24"/>
                <w:szCs w:val="24"/>
              </w:rPr>
            </w:pPr>
            <w:r>
              <w:rPr>
                <w:rFonts w:ascii="Times New Roman" w:eastAsia="Times New Roman" w:hAnsi="Times New Roman" w:cs="Times New Roman"/>
                <w:color w:val="000000"/>
                <w:spacing w:val="0"/>
                <w:w w:val="100"/>
                <w:position w:val="0"/>
                <w:sz w:val="24"/>
                <w:szCs w:val="24"/>
              </w:rPr>
              <w:t>34,035</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20"/>
              <w:jc w:val="both"/>
              <w:rPr>
                <w:sz w:val="24"/>
                <w:szCs w:val="24"/>
              </w:rPr>
            </w:pPr>
            <w:r>
              <w:rPr>
                <w:rFonts w:ascii="Times New Roman" w:eastAsia="Times New Roman" w:hAnsi="Times New Roman" w:cs="Times New Roman"/>
                <w:color w:val="000000"/>
                <w:spacing w:val="0"/>
                <w:w w:val="100"/>
                <w:position w:val="0"/>
                <w:sz w:val="24"/>
                <w:szCs w:val="24"/>
              </w:rPr>
              <w:t>37,859</w:t>
            </w:r>
          </w:p>
        </w:tc>
      </w:tr>
      <w:tr>
        <w:trPr>
          <w:trHeight w:val="322"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业务招待费</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460" w:firstLine="0"/>
              <w:jc w:val="right"/>
              <w:rPr>
                <w:sz w:val="24"/>
                <w:szCs w:val="24"/>
              </w:rPr>
            </w:pPr>
            <w:r>
              <w:rPr>
                <w:rFonts w:ascii="Times New Roman" w:eastAsia="Times New Roman" w:hAnsi="Times New Roman" w:cs="Times New Roman"/>
                <w:color w:val="000000"/>
                <w:spacing w:val="0"/>
                <w:w w:val="100"/>
                <w:position w:val="0"/>
                <w:sz w:val="24"/>
                <w:szCs w:val="24"/>
              </w:rPr>
              <w:t>9,275</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20"/>
              <w:jc w:val="both"/>
              <w:rPr>
                <w:sz w:val="24"/>
                <w:szCs w:val="24"/>
              </w:rPr>
            </w:pPr>
            <w:r>
              <w:rPr>
                <w:rFonts w:ascii="Times New Roman" w:eastAsia="Times New Roman" w:hAnsi="Times New Roman" w:cs="Times New Roman"/>
                <w:color w:val="000000"/>
                <w:spacing w:val="0"/>
                <w:w w:val="100"/>
                <w:position w:val="0"/>
                <w:sz w:val="24"/>
                <w:szCs w:val="24"/>
              </w:rPr>
              <w:t>22,478</w:t>
            </w:r>
          </w:p>
        </w:tc>
      </w:tr>
      <w:tr>
        <w:trPr>
          <w:trHeight w:val="312"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税费</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460" w:firstLine="0"/>
              <w:jc w:val="right"/>
              <w:rPr>
                <w:sz w:val="24"/>
                <w:szCs w:val="24"/>
              </w:rPr>
            </w:pPr>
            <w:r>
              <w:rPr>
                <w:rFonts w:ascii="Times New Roman" w:eastAsia="Times New Roman" w:hAnsi="Times New Roman" w:cs="Times New Roman"/>
                <w:color w:val="000000"/>
                <w:spacing w:val="0"/>
                <w:w w:val="100"/>
                <w:position w:val="0"/>
                <w:sz w:val="24"/>
                <w:szCs w:val="24"/>
              </w:rPr>
              <w:t>8,863</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20"/>
              <w:jc w:val="both"/>
              <w:rPr>
                <w:sz w:val="24"/>
                <w:szCs w:val="24"/>
              </w:rPr>
            </w:pPr>
            <w:r>
              <w:rPr>
                <w:rFonts w:ascii="Times New Roman" w:eastAsia="Times New Roman" w:hAnsi="Times New Roman" w:cs="Times New Roman"/>
                <w:color w:val="000000"/>
                <w:spacing w:val="0"/>
                <w:w w:val="100"/>
                <w:position w:val="0"/>
                <w:sz w:val="24"/>
                <w:szCs w:val="24"/>
              </w:rPr>
              <w:t>18,343</w:t>
            </w:r>
          </w:p>
        </w:tc>
      </w:tr>
      <w:tr>
        <w:trPr>
          <w:trHeight w:val="312"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其他</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440" w:right="0" w:firstLine="0"/>
              <w:jc w:val="both"/>
              <w:rPr>
                <w:sz w:val="24"/>
                <w:szCs w:val="24"/>
              </w:rPr>
            </w:pPr>
            <w:r>
              <w:rPr>
                <w:rFonts w:ascii="Times New Roman" w:eastAsia="Times New Roman" w:hAnsi="Times New Roman" w:cs="Times New Roman"/>
                <w:color w:val="000000"/>
                <w:spacing w:val="0"/>
                <w:w w:val="100"/>
                <w:position w:val="0"/>
                <w:sz w:val="24"/>
                <w:szCs w:val="24"/>
              </w:rPr>
              <w:t>682,641</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00"/>
              <w:jc w:val="both"/>
              <w:rPr>
                <w:sz w:val="24"/>
                <w:szCs w:val="24"/>
              </w:rPr>
            </w:pPr>
            <w:r>
              <w:rPr>
                <w:rFonts w:ascii="Times New Roman" w:eastAsia="Times New Roman" w:hAnsi="Times New Roman" w:cs="Times New Roman"/>
                <w:color w:val="000000"/>
                <w:spacing w:val="0"/>
                <w:w w:val="100"/>
                <w:position w:val="0"/>
                <w:sz w:val="24"/>
                <w:szCs w:val="24"/>
              </w:rPr>
              <w:t>702,739</w:t>
            </w:r>
          </w:p>
        </w:tc>
      </w:tr>
      <w:tr>
        <w:trPr>
          <w:trHeight w:val="322" w:hRule="exact"/>
        </w:trPr>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460" w:firstLine="0"/>
              <w:jc w:val="right"/>
              <w:rPr>
                <w:sz w:val="24"/>
                <w:szCs w:val="24"/>
              </w:rPr>
            </w:pPr>
            <w:r>
              <w:rPr>
                <w:rFonts w:ascii="Times New Roman" w:eastAsia="Times New Roman" w:hAnsi="Times New Roman" w:cs="Times New Roman"/>
                <w:color w:val="000000"/>
                <w:spacing w:val="0"/>
                <w:w w:val="100"/>
                <w:position w:val="0"/>
                <w:sz w:val="24"/>
                <w:szCs w:val="24"/>
              </w:rPr>
              <w:t>17,451,416</w:t>
            </w:r>
          </w:p>
        </w:tc>
        <w:tc>
          <w:tcPr>
            <w:tcBorders>
              <w:top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16,644,676</w:t>
            </w:r>
          </w:p>
        </w:tc>
      </w:tr>
    </w:tbl>
    <w:p>
      <w:pPr>
        <w:sectPr>
          <w:footnotePr>
            <w:pos w:val="pageBottom"/>
            <w:numFmt w:val="decimal"/>
            <w:numRestart w:val="continuous"/>
          </w:footnotePr>
          <w:pgSz w:w="11900" w:h="16840"/>
          <w:pgMar w:top="1326" w:right="691" w:bottom="2046" w:left="1709" w:header="0" w:footer="3" w:gutter="0"/>
          <w:cols w:space="720"/>
          <w:noEndnote/>
          <w:rtlGutter w:val="0"/>
          <w:docGrid w:linePitch="360"/>
        </w:sectPr>
      </w:pPr>
    </w:p>
    <w:p>
      <w:pPr>
        <w:widowControl w:val="0"/>
        <w:spacing w:line="219" w:lineRule="exact"/>
        <w:rPr>
          <w:sz w:val="18"/>
          <w:szCs w:val="18"/>
        </w:rPr>
      </w:pPr>
    </w:p>
    <w:p>
      <w:pPr>
        <w:widowControl w:val="0"/>
        <w:spacing w:line="1" w:lineRule="exact"/>
        <w:sectPr>
          <w:footnotePr>
            <w:pos w:val="pageBottom"/>
            <w:numFmt w:val="decimal"/>
            <w:numRestart w:val="continuous"/>
          </w:footnotePr>
          <w:pgSz w:w="11900" w:h="16840"/>
          <w:pgMar w:top="1085" w:right="1259" w:bottom="1085" w:left="1766" w:header="0" w:footer="3" w:gutter="0"/>
          <w:cols w:space="720"/>
          <w:noEndnote/>
          <w:rtlGutter w:val="0"/>
          <w:docGrid w:linePitch="360"/>
        </w:sectPr>
      </w:pPr>
    </w:p>
    <w:p>
      <w:pPr>
        <w:pStyle w:val="Style32"/>
        <w:keepNext w:val="0"/>
        <w:keepLines w:val="0"/>
        <w:framePr w:w="4229" w:h="1968" w:wrap="none" w:vAnchor="text" w:hAnchor="page" w:x="1767" w:y="21"/>
        <w:widowControl w:val="0"/>
        <w:shd w:val="clear" w:color="auto" w:fill="auto"/>
        <w:bidi w:val="0"/>
        <w:spacing w:before="0" w:after="0" w:line="288" w:lineRule="exact"/>
        <w:ind w:left="660" w:right="0" w:firstLine="0"/>
        <w:jc w:val="left"/>
        <w:rPr>
          <w:sz w:val="24"/>
          <w:szCs w:val="24"/>
        </w:rPr>
      </w:pPr>
      <w:r>
        <w:rPr>
          <w:b/>
          <w:bCs/>
          <w:color w:val="000000"/>
          <w:spacing w:val="0"/>
          <w:w w:val="100"/>
          <w:position w:val="0"/>
          <w:sz w:val="24"/>
          <w:szCs w:val="24"/>
        </w:rPr>
        <w:t xml:space="preserve">财务报表附注 </w:t>
      </w:r>
      <w:r>
        <w:rPr>
          <w:rFonts w:ascii="Arial" w:eastAsia="Arial" w:hAnsi="Arial" w:cs="Arial"/>
          <w:color w:val="000000"/>
          <w:spacing w:val="0"/>
          <w:w w:val="100"/>
          <w:position w:val="0"/>
          <w:sz w:val="24"/>
          <w:szCs w:val="24"/>
        </w:rPr>
        <w:t>2016</w:t>
      </w:r>
      <w:r>
        <w:rPr>
          <w:b/>
          <w:bCs/>
          <w:color w:val="000000"/>
          <w:spacing w:val="0"/>
          <w:w w:val="100"/>
          <w:position w:val="0"/>
          <w:sz w:val="24"/>
          <w:szCs w:val="24"/>
        </w:rPr>
        <w:t>年度</w:t>
      </w:r>
    </w:p>
    <w:p>
      <w:pPr>
        <w:pStyle w:val="Style32"/>
        <w:keepNext w:val="0"/>
        <w:keepLines w:val="0"/>
        <w:framePr w:w="4229" w:h="1968" w:wrap="none" w:vAnchor="text" w:hAnchor="page" w:x="1767" w:y="21"/>
        <w:widowControl w:val="0"/>
        <w:shd w:val="clear" w:color="auto" w:fill="auto"/>
        <w:bidi w:val="0"/>
        <w:spacing w:before="0" w:after="220" w:line="240" w:lineRule="auto"/>
        <w:ind w:left="0" w:right="0" w:firstLine="660"/>
        <w:jc w:val="left"/>
        <w:rPr>
          <w:sz w:val="20"/>
          <w:szCs w:val="20"/>
        </w:rPr>
      </w:pPr>
      <w:r>
        <w:rPr>
          <w:rFonts w:ascii="Arial" w:eastAsia="Arial" w:hAnsi="Arial" w:cs="Arial"/>
          <w:color w:val="000000"/>
          <w:spacing w:val="0"/>
          <w:w w:val="100"/>
          <w:position w:val="0"/>
          <w:sz w:val="20"/>
          <w:szCs w:val="20"/>
        </w:rPr>
        <w:t>(</w:t>
      </w:r>
      <w:r>
        <w:rPr>
          <w:color w:val="000000"/>
          <w:spacing w:val="0"/>
          <w:w w:val="100"/>
          <w:position w:val="0"/>
          <w:sz w:val="20"/>
          <w:szCs w:val="20"/>
        </w:rPr>
        <w:t>除特别注明外，金额单位为人民币千元</w:t>
      </w:r>
      <w:r>
        <w:rPr>
          <w:rFonts w:ascii="Arial" w:eastAsia="Arial" w:hAnsi="Arial" w:cs="Arial"/>
          <w:color w:val="000000"/>
          <w:spacing w:val="0"/>
          <w:w w:val="100"/>
          <w:position w:val="0"/>
          <w:sz w:val="20"/>
          <w:szCs w:val="20"/>
        </w:rPr>
        <w:t>)</w:t>
      </w:r>
    </w:p>
    <w:p>
      <w:pPr>
        <w:pStyle w:val="Style32"/>
        <w:keepNext w:val="0"/>
        <w:keepLines w:val="0"/>
        <w:framePr w:w="4229" w:h="1968" w:wrap="none" w:vAnchor="text" w:hAnchor="page" w:x="1767" w:y="21"/>
        <w:widowControl w:val="0"/>
        <w:shd w:val="clear" w:color="auto" w:fill="auto"/>
        <w:tabs>
          <w:tab w:pos="658" w:val="left"/>
        </w:tabs>
        <w:bidi w:val="0"/>
        <w:spacing w:before="0" w:after="260" w:line="240" w:lineRule="auto"/>
        <w:ind w:left="0" w:right="0" w:firstLine="0"/>
        <w:jc w:val="left"/>
        <w:rPr>
          <w:sz w:val="24"/>
          <w:szCs w:val="24"/>
        </w:rPr>
      </w:pPr>
      <w:r>
        <w:rPr>
          <w:b/>
          <w:bCs/>
          <w:color w:val="000000"/>
          <w:spacing w:val="0"/>
          <w:w w:val="100"/>
          <w:position w:val="0"/>
          <w:sz w:val="24"/>
          <w:szCs w:val="24"/>
        </w:rPr>
        <w:t>四</w:t>
        <w:tab/>
        <w:t>合并财务报表项目附注</w:t>
      </w:r>
      <w:r>
        <w:rPr>
          <w:rFonts w:ascii="Times New Roman" w:eastAsia="Times New Roman" w:hAnsi="Times New Roman" w:cs="Times New Roman"/>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4"/>
          <w:szCs w:val="24"/>
        </w:rPr>
        <w:t>)</w:t>
      </w:r>
    </w:p>
    <w:p>
      <w:pPr>
        <w:pStyle w:val="Style32"/>
        <w:keepNext w:val="0"/>
        <w:keepLines w:val="0"/>
        <w:framePr w:w="4229" w:h="1968" w:wrap="none" w:vAnchor="text" w:hAnchor="page" w:x="1767" w:y="21"/>
        <w:widowControl w:val="0"/>
        <w:shd w:val="clear" w:color="auto" w:fill="auto"/>
        <w:bidi w:val="0"/>
        <w:spacing w:before="0" w:after="22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(47)</w:t>
      </w:r>
      <w:r>
        <w:rPr>
          <w:b/>
          <w:bCs/>
          <w:color w:val="000000"/>
          <w:spacing w:val="0"/>
          <w:w w:val="100"/>
          <w:position w:val="0"/>
          <w:sz w:val="24"/>
          <w:szCs w:val="24"/>
        </w:rPr>
        <w:t>管理费用</w:t>
      </w:r>
    </w:p>
    <w:p>
      <w:pPr>
        <w:pStyle w:val="Style32"/>
        <w:keepNext w:val="0"/>
        <w:keepLines w:val="0"/>
        <w:framePr w:w="2683" w:h="5002" w:wrap="none" w:vAnchor="text" w:hAnchor="page" w:x="2487" w:y="2809"/>
        <w:widowControl w:val="0"/>
        <w:shd w:val="clear" w:color="auto" w:fill="auto"/>
        <w:bidi w:val="0"/>
        <w:spacing w:before="0" w:after="0" w:line="313" w:lineRule="exact"/>
        <w:ind w:left="0" w:right="0" w:firstLine="0"/>
        <w:jc w:val="both"/>
        <w:rPr>
          <w:sz w:val="24"/>
          <w:szCs w:val="24"/>
        </w:rPr>
      </w:pPr>
      <w:r>
        <w:rPr>
          <w:color w:val="000000"/>
          <w:spacing w:val="0"/>
          <w:w w:val="100"/>
          <w:position w:val="0"/>
          <w:sz w:val="24"/>
          <w:szCs w:val="24"/>
        </w:rPr>
        <w:t>工资、奖金、津贴和补贴 无形资产摊销 固定资产折旧费 社会保险费 咨询费</w:t>
      </w:r>
    </w:p>
    <w:p>
      <w:pPr>
        <w:pStyle w:val="Style32"/>
        <w:keepNext w:val="0"/>
        <w:keepLines w:val="0"/>
        <w:framePr w:w="2683" w:h="5002" w:wrap="none" w:vAnchor="text" w:hAnchor="page" w:x="2487" w:y="2809"/>
        <w:widowControl w:val="0"/>
        <w:shd w:val="clear" w:color="auto" w:fill="auto"/>
        <w:bidi w:val="0"/>
        <w:spacing w:before="0" w:after="0" w:line="313" w:lineRule="exact"/>
        <w:ind w:left="0" w:right="0" w:firstLine="0"/>
        <w:jc w:val="both"/>
        <w:rPr>
          <w:sz w:val="24"/>
          <w:szCs w:val="24"/>
        </w:rPr>
      </w:pPr>
      <w:r>
        <w:rPr>
          <w:color w:val="000000"/>
          <w:spacing w:val="0"/>
          <w:w w:val="100"/>
          <w:position w:val="0"/>
          <w:sz w:val="24"/>
          <w:szCs w:val="24"/>
        </w:rPr>
        <w:t>职工福利费 办公费用 税费 住房公积金 差旅费 水电能源费 租赁费 业务招待费 保险费 办公区装修费摊销 其他</w:t>
      </w:r>
    </w:p>
    <w:p>
      <w:pPr>
        <w:pStyle w:val="Style32"/>
        <w:keepNext w:val="0"/>
        <w:keepLines w:val="0"/>
        <w:framePr w:w="2290" w:h="350" w:wrap="none" w:vAnchor="text" w:hAnchor="page" w:x="1767" w:y="8382"/>
        <w:widowControl w:val="0"/>
        <w:shd w:val="clear" w:color="auto" w:fill="auto"/>
        <w:tabs>
          <w:tab w:pos="696" w:val="left"/>
        </w:tabs>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(48)</w:t>
        <w:tab/>
      </w:r>
      <w:r>
        <w:rPr>
          <w:b/>
          <w:bCs/>
          <w:color w:val="000000"/>
          <w:spacing w:val="0"/>
          <w:w w:val="100"/>
          <w:position w:val="0"/>
          <w:sz w:val="24"/>
          <w:szCs w:val="24"/>
        </w:rPr>
        <w:t>财务费用</w:t>
      </w:r>
      <w:r>
        <w:rPr>
          <w:rFonts w:ascii="Times New Roman" w:eastAsia="Times New Roman" w:hAnsi="Times New Roman" w:cs="Times New Roman"/>
          <w:color w:val="000000"/>
          <w:spacing w:val="0"/>
          <w:w w:val="100"/>
          <w:position w:val="0"/>
          <w:sz w:val="24"/>
          <w:szCs w:val="24"/>
        </w:rPr>
        <w:t>-</w:t>
      </w:r>
      <w:r>
        <w:rPr>
          <w:b/>
          <w:bCs/>
          <w:color w:val="000000"/>
          <w:spacing w:val="0"/>
          <w:w w:val="100"/>
          <w:position w:val="0"/>
          <w:sz w:val="24"/>
          <w:szCs w:val="24"/>
        </w:rPr>
        <w:t>净额</w:t>
      </w:r>
    </w:p>
    <w:p>
      <w:pPr>
        <w:pStyle w:val="Style32"/>
        <w:keepNext w:val="0"/>
        <w:keepLines w:val="0"/>
        <w:framePr w:w="1718" w:h="1896" w:wrap="none" w:vAnchor="text" w:hAnchor="page" w:x="2434" w:y="9558"/>
        <w:widowControl w:val="0"/>
        <w:shd w:val="clear" w:color="auto" w:fill="auto"/>
        <w:bidi w:val="0"/>
        <w:spacing w:before="0" w:after="0" w:line="313" w:lineRule="exact"/>
        <w:ind w:left="0" w:right="0" w:firstLine="0"/>
        <w:jc w:val="left"/>
        <w:rPr>
          <w:sz w:val="24"/>
          <w:szCs w:val="24"/>
        </w:rPr>
      </w:pPr>
      <w:r>
        <w:rPr>
          <w:color w:val="000000"/>
          <w:spacing w:val="0"/>
          <w:w w:val="100"/>
          <w:position w:val="0"/>
          <w:sz w:val="24"/>
          <w:szCs w:val="24"/>
        </w:rPr>
        <w:t>利息支出 减：资本化利息 利息费用 减：利息收入 银行手续费 汇兑净损失</w:t>
      </w:r>
    </w:p>
    <w:tbl>
      <w:tblPr>
        <w:tblOverlap w:val="never"/>
        <w:jc w:val="left"/>
        <w:tblLayout w:type="fixed"/>
      </w:tblPr>
      <w:tblGrid>
        <w:gridCol w:w="2165"/>
        <w:gridCol w:w="1584"/>
      </w:tblGrid>
      <w:tr>
        <w:trPr>
          <w:trHeight w:val="461" w:hRule="exact"/>
        </w:trPr>
        <w:tc>
          <w:tcPr>
            <w:tcBorders/>
            <w:shd w:val="clear" w:color="auto" w:fill="FFFFFF"/>
            <w:vAlign w:val="top"/>
          </w:tcPr>
          <w:p>
            <w:pPr>
              <w:pStyle w:val="Style28"/>
              <w:keepNext w:val="0"/>
              <w:keepLines w:val="0"/>
              <w:framePr w:w="3749" w:h="9499" w:wrap="none" w:vAnchor="text" w:hAnchor="page" w:x="6893" w:y="2257"/>
              <w:widowControl w:val="0"/>
              <w:shd w:val="clear" w:color="auto" w:fill="auto"/>
              <w:bidi w:val="0"/>
              <w:spacing w:before="0" w:after="0" w:line="240" w:lineRule="auto"/>
              <w:ind w:left="0" w:right="0" w:firstLine="660"/>
              <w:jc w:val="both"/>
              <w:rPr>
                <w:sz w:val="24"/>
                <w:szCs w:val="24"/>
              </w:rPr>
            </w:pP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年度</w:t>
            </w:r>
          </w:p>
        </w:tc>
        <w:tc>
          <w:tcPr>
            <w:tcBorders/>
            <w:shd w:val="clear" w:color="auto" w:fill="FFFFFF"/>
            <w:vAlign w:val="top"/>
          </w:tcPr>
          <w:p>
            <w:pPr>
              <w:pStyle w:val="Style28"/>
              <w:keepNext w:val="0"/>
              <w:keepLines w:val="0"/>
              <w:framePr w:w="3749" w:h="9499" w:wrap="none" w:vAnchor="text" w:hAnchor="page" w:x="6893" w:y="2257"/>
              <w:widowControl w:val="0"/>
              <w:shd w:val="clear" w:color="auto" w:fill="auto"/>
              <w:bidi w:val="0"/>
              <w:spacing w:before="0" w:after="0" w:line="240" w:lineRule="auto"/>
              <w:ind w:left="0" w:right="0" w:firstLine="420"/>
              <w:jc w:val="both"/>
              <w:rPr>
                <w:sz w:val="24"/>
                <w:szCs w:val="24"/>
              </w:rPr>
            </w:pPr>
            <w:r>
              <w:rPr>
                <w:rFonts w:ascii="Times New Roman" w:eastAsia="Times New Roman" w:hAnsi="Times New Roman" w:cs="Times New Roman"/>
                <w:color w:val="000000"/>
                <w:spacing w:val="0"/>
                <w:w w:val="100"/>
                <w:position w:val="0"/>
                <w:sz w:val="24"/>
                <w:szCs w:val="24"/>
              </w:rPr>
              <w:t>2015</w:t>
            </w:r>
            <w:r>
              <w:rPr>
                <w:color w:val="000000"/>
                <w:spacing w:val="0"/>
                <w:w w:val="100"/>
                <w:position w:val="0"/>
                <w:sz w:val="24"/>
                <w:szCs w:val="24"/>
              </w:rPr>
              <w:t>年度</w:t>
            </w:r>
          </w:p>
        </w:tc>
      </w:tr>
      <w:tr>
        <w:trPr>
          <w:trHeight w:val="466" w:hRule="exact"/>
        </w:trPr>
        <w:tc>
          <w:tcPr>
            <w:tcBorders/>
            <w:shd w:val="clear" w:color="auto" w:fill="FFFFFF"/>
            <w:vAlign w:val="bottom"/>
          </w:tcPr>
          <w:p>
            <w:pPr>
              <w:pStyle w:val="Style28"/>
              <w:keepNext w:val="0"/>
              <w:keepLines w:val="0"/>
              <w:framePr w:w="3749" w:h="9499" w:wrap="none" w:vAnchor="text" w:hAnchor="page" w:x="6893" w:y="2257"/>
              <w:widowControl w:val="0"/>
              <w:shd w:val="clear" w:color="auto" w:fill="auto"/>
              <w:bidi w:val="0"/>
              <w:spacing w:before="0" w:after="0" w:line="240" w:lineRule="auto"/>
              <w:ind w:left="0" w:right="0" w:firstLine="660"/>
              <w:jc w:val="both"/>
              <w:rPr>
                <w:sz w:val="24"/>
                <w:szCs w:val="24"/>
              </w:rPr>
            </w:pPr>
            <w:r>
              <w:rPr>
                <w:rFonts w:ascii="Times New Roman" w:eastAsia="Times New Roman" w:hAnsi="Times New Roman" w:cs="Times New Roman"/>
                <w:color w:val="000000"/>
                <w:spacing w:val="0"/>
                <w:w w:val="100"/>
                <w:position w:val="0"/>
                <w:sz w:val="24"/>
                <w:szCs w:val="24"/>
              </w:rPr>
              <w:t>1,835,100</w:t>
            </w:r>
          </w:p>
        </w:tc>
        <w:tc>
          <w:tcPr>
            <w:tcBorders/>
            <w:shd w:val="clear" w:color="auto" w:fill="FFFFFF"/>
            <w:vAlign w:val="bottom"/>
          </w:tcPr>
          <w:p>
            <w:pPr>
              <w:pStyle w:val="Style28"/>
              <w:keepNext w:val="0"/>
              <w:keepLines w:val="0"/>
              <w:framePr w:w="3749" w:h="9499" w:wrap="none" w:vAnchor="text" w:hAnchor="page" w:x="6893" w:y="2257"/>
              <w:widowControl w:val="0"/>
              <w:shd w:val="clear" w:color="auto" w:fill="auto"/>
              <w:bidi w:val="0"/>
              <w:spacing w:before="0" w:after="0" w:line="240" w:lineRule="auto"/>
              <w:ind w:left="0" w:right="0" w:firstLine="420"/>
              <w:jc w:val="both"/>
              <w:rPr>
                <w:sz w:val="24"/>
                <w:szCs w:val="24"/>
              </w:rPr>
            </w:pPr>
            <w:r>
              <w:rPr>
                <w:rFonts w:ascii="Times New Roman" w:eastAsia="Times New Roman" w:hAnsi="Times New Roman" w:cs="Times New Roman"/>
                <w:color w:val="000000"/>
                <w:spacing w:val="0"/>
                <w:w w:val="100"/>
                <w:position w:val="0"/>
                <w:sz w:val="24"/>
                <w:szCs w:val="24"/>
              </w:rPr>
              <w:t>1,907,425</w:t>
            </w:r>
          </w:p>
        </w:tc>
      </w:tr>
      <w:tr>
        <w:trPr>
          <w:trHeight w:val="312" w:hRule="exact"/>
        </w:trPr>
        <w:tc>
          <w:tcPr>
            <w:tcBorders/>
            <w:shd w:val="clear" w:color="auto" w:fill="FFFFFF"/>
            <w:vAlign w:val="bottom"/>
          </w:tcPr>
          <w:p>
            <w:pPr>
              <w:pStyle w:val="Style28"/>
              <w:keepNext w:val="0"/>
              <w:keepLines w:val="0"/>
              <w:framePr w:w="3749" w:h="9499" w:wrap="none" w:vAnchor="text" w:hAnchor="page" w:x="6893" w:y="2257"/>
              <w:widowControl w:val="0"/>
              <w:shd w:val="clear" w:color="auto" w:fill="auto"/>
              <w:bidi w:val="0"/>
              <w:spacing w:before="0" w:after="0" w:line="240" w:lineRule="auto"/>
              <w:ind w:left="0" w:right="0" w:firstLine="880"/>
              <w:jc w:val="both"/>
              <w:rPr>
                <w:sz w:val="24"/>
                <w:szCs w:val="24"/>
              </w:rPr>
            </w:pPr>
            <w:r>
              <w:rPr>
                <w:rFonts w:ascii="Times New Roman" w:eastAsia="Times New Roman" w:hAnsi="Times New Roman" w:cs="Times New Roman"/>
                <w:color w:val="000000"/>
                <w:spacing w:val="0"/>
                <w:w w:val="100"/>
                <w:position w:val="0"/>
                <w:sz w:val="24"/>
                <w:szCs w:val="24"/>
              </w:rPr>
              <w:t>299,966</w:t>
            </w:r>
          </w:p>
        </w:tc>
        <w:tc>
          <w:tcPr>
            <w:tcBorders/>
            <w:shd w:val="clear" w:color="auto" w:fill="FFFFFF"/>
            <w:vAlign w:val="bottom"/>
          </w:tcPr>
          <w:p>
            <w:pPr>
              <w:pStyle w:val="Style28"/>
              <w:keepNext w:val="0"/>
              <w:keepLines w:val="0"/>
              <w:framePr w:w="3749" w:h="9499" w:wrap="none" w:vAnchor="text" w:hAnchor="page" w:x="6893" w:y="2257"/>
              <w:widowControl w:val="0"/>
              <w:shd w:val="clear" w:color="auto" w:fill="auto"/>
              <w:bidi w:val="0"/>
              <w:spacing w:before="0" w:after="0" w:line="240" w:lineRule="auto"/>
              <w:ind w:left="0" w:right="0" w:firstLine="620"/>
              <w:jc w:val="both"/>
              <w:rPr>
                <w:sz w:val="24"/>
                <w:szCs w:val="24"/>
              </w:rPr>
            </w:pPr>
            <w:r>
              <w:rPr>
                <w:rFonts w:ascii="Times New Roman" w:eastAsia="Times New Roman" w:hAnsi="Times New Roman" w:cs="Times New Roman"/>
                <w:color w:val="000000"/>
                <w:spacing w:val="0"/>
                <w:w w:val="100"/>
                <w:position w:val="0"/>
                <w:sz w:val="24"/>
                <w:szCs w:val="24"/>
              </w:rPr>
              <w:t>334,689</w:t>
            </w:r>
          </w:p>
        </w:tc>
      </w:tr>
      <w:tr>
        <w:trPr>
          <w:trHeight w:val="288" w:hRule="exact"/>
        </w:trPr>
        <w:tc>
          <w:tcPr>
            <w:tcBorders/>
            <w:shd w:val="clear" w:color="auto" w:fill="FFFFFF"/>
            <w:vAlign w:val="bottom"/>
          </w:tcPr>
          <w:p>
            <w:pPr>
              <w:pStyle w:val="Style28"/>
              <w:keepNext w:val="0"/>
              <w:keepLines w:val="0"/>
              <w:framePr w:w="3749" w:h="9499" w:wrap="none" w:vAnchor="text" w:hAnchor="page" w:x="6893" w:y="2257"/>
              <w:widowControl w:val="0"/>
              <w:shd w:val="clear" w:color="auto" w:fill="auto"/>
              <w:bidi w:val="0"/>
              <w:spacing w:before="0" w:after="0" w:line="240" w:lineRule="auto"/>
              <w:ind w:left="0" w:right="0" w:firstLine="880"/>
              <w:jc w:val="both"/>
              <w:rPr>
                <w:sz w:val="24"/>
                <w:szCs w:val="24"/>
              </w:rPr>
            </w:pPr>
            <w:r>
              <w:rPr>
                <w:rFonts w:ascii="Times New Roman" w:eastAsia="Times New Roman" w:hAnsi="Times New Roman" w:cs="Times New Roman"/>
                <w:color w:val="000000"/>
                <w:spacing w:val="0"/>
                <w:w w:val="100"/>
                <w:position w:val="0"/>
                <w:sz w:val="24"/>
                <w:szCs w:val="24"/>
              </w:rPr>
              <w:t>283,397</w:t>
            </w:r>
          </w:p>
        </w:tc>
        <w:tc>
          <w:tcPr>
            <w:tcBorders/>
            <w:shd w:val="clear" w:color="auto" w:fill="FFFFFF"/>
            <w:vAlign w:val="bottom"/>
          </w:tcPr>
          <w:p>
            <w:pPr>
              <w:pStyle w:val="Style28"/>
              <w:keepNext w:val="0"/>
              <w:keepLines w:val="0"/>
              <w:framePr w:w="3749" w:h="9499" w:wrap="none" w:vAnchor="text" w:hAnchor="page" w:x="6893" w:y="2257"/>
              <w:widowControl w:val="0"/>
              <w:shd w:val="clear" w:color="auto" w:fill="auto"/>
              <w:bidi w:val="0"/>
              <w:spacing w:before="0" w:after="0" w:line="240" w:lineRule="auto"/>
              <w:ind w:left="0" w:right="0" w:firstLine="620"/>
              <w:jc w:val="both"/>
              <w:rPr>
                <w:sz w:val="24"/>
                <w:szCs w:val="24"/>
              </w:rPr>
            </w:pPr>
            <w:r>
              <w:rPr>
                <w:rFonts w:ascii="Times New Roman" w:eastAsia="Times New Roman" w:hAnsi="Times New Roman" w:cs="Times New Roman"/>
                <w:color w:val="000000"/>
                <w:spacing w:val="0"/>
                <w:w w:val="100"/>
                <w:position w:val="0"/>
                <w:sz w:val="24"/>
                <w:szCs w:val="24"/>
              </w:rPr>
              <w:t>305,117</w:t>
            </w:r>
          </w:p>
        </w:tc>
      </w:tr>
      <w:tr>
        <w:trPr>
          <w:trHeight w:val="331" w:hRule="exact"/>
        </w:trPr>
        <w:tc>
          <w:tcPr>
            <w:tcBorders/>
            <w:shd w:val="clear" w:color="auto" w:fill="FFFFFF"/>
            <w:vAlign w:val="bottom"/>
          </w:tcPr>
          <w:p>
            <w:pPr>
              <w:pStyle w:val="Style28"/>
              <w:keepNext w:val="0"/>
              <w:keepLines w:val="0"/>
              <w:framePr w:w="3749" w:h="9499" w:wrap="none" w:vAnchor="text" w:hAnchor="page" w:x="6893" w:y="2257"/>
              <w:widowControl w:val="0"/>
              <w:shd w:val="clear" w:color="auto" w:fill="auto"/>
              <w:bidi w:val="0"/>
              <w:spacing w:before="0" w:after="0" w:line="240" w:lineRule="auto"/>
              <w:ind w:left="0" w:right="0" w:firstLine="880"/>
              <w:jc w:val="both"/>
              <w:rPr>
                <w:sz w:val="24"/>
                <w:szCs w:val="24"/>
              </w:rPr>
            </w:pPr>
            <w:r>
              <w:rPr>
                <w:rFonts w:ascii="Times New Roman" w:eastAsia="Times New Roman" w:hAnsi="Times New Roman" w:cs="Times New Roman"/>
                <w:color w:val="000000"/>
                <w:spacing w:val="0"/>
                <w:w w:val="100"/>
                <w:position w:val="0"/>
                <w:sz w:val="24"/>
                <w:szCs w:val="24"/>
              </w:rPr>
              <w:t>276,033</w:t>
            </w:r>
          </w:p>
        </w:tc>
        <w:tc>
          <w:tcPr>
            <w:tcBorders/>
            <w:shd w:val="clear" w:color="auto" w:fill="FFFFFF"/>
            <w:vAlign w:val="bottom"/>
          </w:tcPr>
          <w:p>
            <w:pPr>
              <w:pStyle w:val="Style28"/>
              <w:keepNext w:val="0"/>
              <w:keepLines w:val="0"/>
              <w:framePr w:w="3749" w:h="9499" w:wrap="none" w:vAnchor="text" w:hAnchor="page" w:x="6893" w:y="2257"/>
              <w:widowControl w:val="0"/>
              <w:shd w:val="clear" w:color="auto" w:fill="auto"/>
              <w:bidi w:val="0"/>
              <w:spacing w:before="0" w:after="0" w:line="240" w:lineRule="auto"/>
              <w:ind w:left="0" w:right="0" w:firstLine="620"/>
              <w:jc w:val="both"/>
              <w:rPr>
                <w:sz w:val="24"/>
                <w:szCs w:val="24"/>
              </w:rPr>
            </w:pPr>
            <w:r>
              <w:rPr>
                <w:rFonts w:ascii="Times New Roman" w:eastAsia="Times New Roman" w:hAnsi="Times New Roman" w:cs="Times New Roman"/>
                <w:color w:val="000000"/>
                <w:spacing w:val="0"/>
                <w:w w:val="100"/>
                <w:position w:val="0"/>
                <w:sz w:val="24"/>
                <w:szCs w:val="24"/>
              </w:rPr>
              <w:t>319,383</w:t>
            </w:r>
          </w:p>
        </w:tc>
      </w:tr>
      <w:tr>
        <w:trPr>
          <w:trHeight w:val="312" w:hRule="exact"/>
        </w:trPr>
        <w:tc>
          <w:tcPr>
            <w:tcBorders/>
            <w:shd w:val="clear" w:color="auto" w:fill="FFFFFF"/>
            <w:vAlign w:val="bottom"/>
          </w:tcPr>
          <w:p>
            <w:pPr>
              <w:pStyle w:val="Style28"/>
              <w:keepNext w:val="0"/>
              <w:keepLines w:val="0"/>
              <w:framePr w:w="3749" w:h="9499" w:wrap="none" w:vAnchor="text" w:hAnchor="page" w:x="6893" w:y="2257"/>
              <w:widowControl w:val="0"/>
              <w:shd w:val="clear" w:color="auto" w:fill="auto"/>
              <w:bidi w:val="0"/>
              <w:spacing w:before="0" w:after="0" w:line="240" w:lineRule="auto"/>
              <w:ind w:left="0" w:right="0" w:firstLine="880"/>
              <w:jc w:val="both"/>
              <w:rPr>
                <w:sz w:val="24"/>
                <w:szCs w:val="24"/>
              </w:rPr>
            </w:pPr>
            <w:r>
              <w:rPr>
                <w:rFonts w:ascii="Times New Roman" w:eastAsia="Times New Roman" w:hAnsi="Times New Roman" w:cs="Times New Roman"/>
                <w:color w:val="000000"/>
                <w:spacing w:val="0"/>
                <w:w w:val="100"/>
                <w:position w:val="0"/>
                <w:sz w:val="24"/>
                <w:szCs w:val="24"/>
              </w:rPr>
              <w:t>200,277</w:t>
            </w:r>
          </w:p>
        </w:tc>
        <w:tc>
          <w:tcPr>
            <w:tcBorders/>
            <w:shd w:val="clear" w:color="auto" w:fill="FFFFFF"/>
            <w:vAlign w:val="bottom"/>
          </w:tcPr>
          <w:p>
            <w:pPr>
              <w:pStyle w:val="Style28"/>
              <w:keepNext w:val="0"/>
              <w:keepLines w:val="0"/>
              <w:framePr w:w="3749" w:h="9499" w:wrap="none" w:vAnchor="text" w:hAnchor="page" w:x="6893" w:y="2257"/>
              <w:widowControl w:val="0"/>
              <w:shd w:val="clear" w:color="auto" w:fill="auto"/>
              <w:bidi w:val="0"/>
              <w:spacing w:before="0" w:after="0" w:line="240" w:lineRule="auto"/>
              <w:ind w:left="0" w:right="0" w:firstLine="620"/>
              <w:jc w:val="both"/>
              <w:rPr>
                <w:sz w:val="24"/>
                <w:szCs w:val="24"/>
              </w:rPr>
            </w:pPr>
            <w:r>
              <w:rPr>
                <w:rFonts w:ascii="Times New Roman" w:eastAsia="Times New Roman" w:hAnsi="Times New Roman" w:cs="Times New Roman"/>
                <w:color w:val="000000"/>
                <w:spacing w:val="0"/>
                <w:w w:val="100"/>
                <w:position w:val="0"/>
                <w:sz w:val="24"/>
                <w:szCs w:val="24"/>
              </w:rPr>
              <w:t>101,348</w:t>
            </w:r>
          </w:p>
        </w:tc>
      </w:tr>
      <w:tr>
        <w:trPr>
          <w:trHeight w:val="312" w:hRule="exact"/>
        </w:trPr>
        <w:tc>
          <w:tcPr>
            <w:tcBorders/>
            <w:shd w:val="clear" w:color="auto" w:fill="FFFFFF"/>
            <w:vAlign w:val="bottom"/>
          </w:tcPr>
          <w:p>
            <w:pPr>
              <w:pStyle w:val="Style28"/>
              <w:keepNext w:val="0"/>
              <w:keepLines w:val="0"/>
              <w:framePr w:w="3749" w:h="9499" w:wrap="none" w:vAnchor="text" w:hAnchor="page" w:x="6893" w:y="2257"/>
              <w:widowControl w:val="0"/>
              <w:shd w:val="clear" w:color="auto" w:fill="auto"/>
              <w:bidi w:val="0"/>
              <w:spacing w:before="0" w:after="0" w:line="240" w:lineRule="auto"/>
              <w:ind w:left="0" w:right="0" w:firstLine="880"/>
              <w:jc w:val="both"/>
              <w:rPr>
                <w:sz w:val="24"/>
                <w:szCs w:val="24"/>
              </w:rPr>
            </w:pPr>
            <w:r>
              <w:rPr>
                <w:rFonts w:ascii="Times New Roman" w:eastAsia="Times New Roman" w:hAnsi="Times New Roman" w:cs="Times New Roman"/>
                <w:color w:val="000000"/>
                <w:spacing w:val="0"/>
                <w:w w:val="100"/>
                <w:position w:val="0"/>
                <w:sz w:val="24"/>
                <w:szCs w:val="24"/>
              </w:rPr>
              <w:t>107,073</w:t>
            </w:r>
          </w:p>
        </w:tc>
        <w:tc>
          <w:tcPr>
            <w:tcBorders/>
            <w:shd w:val="clear" w:color="auto" w:fill="FFFFFF"/>
            <w:vAlign w:val="bottom"/>
          </w:tcPr>
          <w:p>
            <w:pPr>
              <w:pStyle w:val="Style28"/>
              <w:keepNext w:val="0"/>
              <w:keepLines w:val="0"/>
              <w:framePr w:w="3749" w:h="9499" w:wrap="none" w:vAnchor="text" w:hAnchor="page" w:x="6893" w:y="2257"/>
              <w:widowControl w:val="0"/>
              <w:shd w:val="clear" w:color="auto" w:fill="auto"/>
              <w:bidi w:val="0"/>
              <w:spacing w:before="0" w:after="0" w:line="240" w:lineRule="auto"/>
              <w:ind w:left="0" w:right="0" w:firstLine="620"/>
              <w:jc w:val="both"/>
              <w:rPr>
                <w:sz w:val="24"/>
                <w:szCs w:val="24"/>
              </w:rPr>
            </w:pPr>
            <w:r>
              <w:rPr>
                <w:rFonts w:ascii="Times New Roman" w:eastAsia="Times New Roman" w:hAnsi="Times New Roman" w:cs="Times New Roman"/>
                <w:color w:val="000000"/>
                <w:spacing w:val="0"/>
                <w:w w:val="100"/>
                <w:position w:val="0"/>
                <w:sz w:val="24"/>
                <w:szCs w:val="24"/>
              </w:rPr>
              <w:t>115,071</w:t>
            </w:r>
          </w:p>
        </w:tc>
      </w:tr>
      <w:tr>
        <w:trPr>
          <w:trHeight w:val="312" w:hRule="exact"/>
        </w:trPr>
        <w:tc>
          <w:tcPr>
            <w:tcBorders/>
            <w:shd w:val="clear" w:color="auto" w:fill="FFFFFF"/>
            <w:vAlign w:val="bottom"/>
          </w:tcPr>
          <w:p>
            <w:pPr>
              <w:pStyle w:val="Style28"/>
              <w:keepNext w:val="0"/>
              <w:keepLines w:val="0"/>
              <w:framePr w:w="3749" w:h="9499" w:wrap="none" w:vAnchor="text" w:hAnchor="page" w:x="6893" w:y="2257"/>
              <w:widowControl w:val="0"/>
              <w:shd w:val="clear" w:color="auto" w:fill="auto"/>
              <w:bidi w:val="0"/>
              <w:spacing w:before="0" w:after="0" w:line="240" w:lineRule="auto"/>
              <w:ind w:left="0" w:right="0" w:firstLine="1000"/>
              <w:jc w:val="both"/>
              <w:rPr>
                <w:sz w:val="24"/>
                <w:szCs w:val="24"/>
              </w:rPr>
            </w:pPr>
            <w:r>
              <w:rPr>
                <w:rFonts w:ascii="Times New Roman" w:eastAsia="Times New Roman" w:hAnsi="Times New Roman" w:cs="Times New Roman"/>
                <w:color w:val="000000"/>
                <w:spacing w:val="0"/>
                <w:w w:val="100"/>
                <w:position w:val="0"/>
                <w:sz w:val="24"/>
                <w:szCs w:val="24"/>
              </w:rPr>
              <w:t>81,917</w:t>
            </w:r>
          </w:p>
        </w:tc>
        <w:tc>
          <w:tcPr>
            <w:tcBorders/>
            <w:shd w:val="clear" w:color="auto" w:fill="FFFFFF"/>
            <w:vAlign w:val="bottom"/>
          </w:tcPr>
          <w:p>
            <w:pPr>
              <w:pStyle w:val="Style28"/>
              <w:keepNext w:val="0"/>
              <w:keepLines w:val="0"/>
              <w:framePr w:w="3749" w:h="9499" w:wrap="none" w:vAnchor="text" w:hAnchor="page" w:x="6893" w:y="2257"/>
              <w:widowControl w:val="0"/>
              <w:shd w:val="clear" w:color="auto" w:fill="auto"/>
              <w:bidi w:val="0"/>
              <w:spacing w:before="0" w:after="0" w:line="240" w:lineRule="auto"/>
              <w:ind w:left="0" w:right="0" w:firstLine="740"/>
              <w:jc w:val="both"/>
              <w:rPr>
                <w:sz w:val="24"/>
                <w:szCs w:val="24"/>
              </w:rPr>
            </w:pPr>
            <w:r>
              <w:rPr>
                <w:rFonts w:ascii="Times New Roman" w:eastAsia="Times New Roman" w:hAnsi="Times New Roman" w:cs="Times New Roman"/>
                <w:color w:val="000000"/>
                <w:spacing w:val="0"/>
                <w:w w:val="100"/>
                <w:position w:val="0"/>
                <w:sz w:val="24"/>
                <w:szCs w:val="24"/>
              </w:rPr>
              <w:t>40,156</w:t>
            </w:r>
          </w:p>
        </w:tc>
      </w:tr>
      <w:tr>
        <w:trPr>
          <w:trHeight w:val="307" w:hRule="exact"/>
        </w:trPr>
        <w:tc>
          <w:tcPr>
            <w:tcBorders/>
            <w:shd w:val="clear" w:color="auto" w:fill="FFFFFF"/>
            <w:vAlign w:val="bottom"/>
          </w:tcPr>
          <w:p>
            <w:pPr>
              <w:pStyle w:val="Style28"/>
              <w:keepNext w:val="0"/>
              <w:keepLines w:val="0"/>
              <w:framePr w:w="3749" w:h="9499" w:wrap="none" w:vAnchor="text" w:hAnchor="page" w:x="6893" w:y="2257"/>
              <w:widowControl w:val="0"/>
              <w:shd w:val="clear" w:color="auto" w:fill="auto"/>
              <w:bidi w:val="0"/>
              <w:spacing w:before="0" w:after="0" w:line="240" w:lineRule="auto"/>
              <w:ind w:left="0" w:right="0" w:firstLine="1000"/>
              <w:jc w:val="both"/>
              <w:rPr>
                <w:sz w:val="24"/>
                <w:szCs w:val="24"/>
              </w:rPr>
            </w:pPr>
            <w:r>
              <w:rPr>
                <w:rFonts w:ascii="Times New Roman" w:eastAsia="Times New Roman" w:hAnsi="Times New Roman" w:cs="Times New Roman"/>
                <w:color w:val="000000"/>
                <w:spacing w:val="0"/>
                <w:w w:val="100"/>
                <w:position w:val="0"/>
                <w:sz w:val="24"/>
                <w:szCs w:val="24"/>
              </w:rPr>
              <w:t>64,662</w:t>
            </w:r>
          </w:p>
        </w:tc>
        <w:tc>
          <w:tcPr>
            <w:tcBorders/>
            <w:shd w:val="clear" w:color="auto" w:fill="FFFFFF"/>
            <w:vAlign w:val="bottom"/>
          </w:tcPr>
          <w:p>
            <w:pPr>
              <w:pStyle w:val="Style28"/>
              <w:keepNext w:val="0"/>
              <w:keepLines w:val="0"/>
              <w:framePr w:w="3749" w:h="9499" w:wrap="none" w:vAnchor="text" w:hAnchor="page" w:x="6893" w:y="2257"/>
              <w:widowControl w:val="0"/>
              <w:shd w:val="clear" w:color="auto" w:fill="auto"/>
              <w:bidi w:val="0"/>
              <w:spacing w:before="0" w:after="0" w:line="240" w:lineRule="auto"/>
              <w:ind w:left="0" w:right="0" w:firstLine="620"/>
              <w:jc w:val="both"/>
              <w:rPr>
                <w:sz w:val="24"/>
                <w:szCs w:val="24"/>
              </w:rPr>
            </w:pPr>
            <w:r>
              <w:rPr>
                <w:rFonts w:ascii="Times New Roman" w:eastAsia="Times New Roman" w:hAnsi="Times New Roman" w:cs="Times New Roman"/>
                <w:color w:val="000000"/>
                <w:spacing w:val="0"/>
                <w:w w:val="100"/>
                <w:position w:val="0"/>
                <w:sz w:val="24"/>
                <w:szCs w:val="24"/>
              </w:rPr>
              <w:t>236,093</w:t>
            </w:r>
          </w:p>
        </w:tc>
      </w:tr>
      <w:tr>
        <w:trPr>
          <w:trHeight w:val="298" w:hRule="exact"/>
        </w:trPr>
        <w:tc>
          <w:tcPr>
            <w:tcBorders/>
            <w:shd w:val="clear" w:color="auto" w:fill="FFFFFF"/>
            <w:vAlign w:val="bottom"/>
          </w:tcPr>
          <w:p>
            <w:pPr>
              <w:pStyle w:val="Style28"/>
              <w:keepNext w:val="0"/>
              <w:keepLines w:val="0"/>
              <w:framePr w:w="3749" w:h="9499" w:wrap="none" w:vAnchor="text" w:hAnchor="page" w:x="6893" w:y="2257"/>
              <w:widowControl w:val="0"/>
              <w:shd w:val="clear" w:color="auto" w:fill="auto"/>
              <w:bidi w:val="0"/>
              <w:spacing w:before="0" w:after="0" w:line="240" w:lineRule="auto"/>
              <w:ind w:left="0" w:right="0" w:firstLine="1000"/>
              <w:jc w:val="both"/>
              <w:rPr>
                <w:sz w:val="24"/>
                <w:szCs w:val="24"/>
              </w:rPr>
            </w:pPr>
            <w:r>
              <w:rPr>
                <w:rFonts w:ascii="Times New Roman" w:eastAsia="Times New Roman" w:hAnsi="Times New Roman" w:cs="Times New Roman"/>
                <w:color w:val="000000"/>
                <w:spacing w:val="0"/>
                <w:w w:val="100"/>
                <w:position w:val="0"/>
                <w:sz w:val="24"/>
                <w:szCs w:val="24"/>
              </w:rPr>
              <w:t>63,615</w:t>
            </w:r>
          </w:p>
        </w:tc>
        <w:tc>
          <w:tcPr>
            <w:tcBorders/>
            <w:shd w:val="clear" w:color="auto" w:fill="FFFFFF"/>
            <w:vAlign w:val="bottom"/>
          </w:tcPr>
          <w:p>
            <w:pPr>
              <w:pStyle w:val="Style28"/>
              <w:keepNext w:val="0"/>
              <w:keepLines w:val="0"/>
              <w:framePr w:w="3749" w:h="9499" w:wrap="none" w:vAnchor="text" w:hAnchor="page" w:x="6893" w:y="2257"/>
              <w:widowControl w:val="0"/>
              <w:shd w:val="clear" w:color="auto" w:fill="auto"/>
              <w:bidi w:val="0"/>
              <w:spacing w:before="0" w:after="0" w:line="240" w:lineRule="auto"/>
              <w:ind w:left="0" w:right="0" w:firstLine="740"/>
              <w:jc w:val="both"/>
              <w:rPr>
                <w:sz w:val="24"/>
                <w:szCs w:val="24"/>
              </w:rPr>
            </w:pPr>
            <w:r>
              <w:rPr>
                <w:rFonts w:ascii="Times New Roman" w:eastAsia="Times New Roman" w:hAnsi="Times New Roman" w:cs="Times New Roman"/>
                <w:color w:val="000000"/>
                <w:spacing w:val="0"/>
                <w:w w:val="100"/>
                <w:position w:val="0"/>
                <w:sz w:val="24"/>
                <w:szCs w:val="24"/>
              </w:rPr>
              <w:t>69,645</w:t>
            </w:r>
          </w:p>
        </w:tc>
      </w:tr>
      <w:tr>
        <w:trPr>
          <w:trHeight w:val="326" w:hRule="exact"/>
        </w:trPr>
        <w:tc>
          <w:tcPr>
            <w:tcBorders/>
            <w:shd w:val="clear" w:color="auto" w:fill="FFFFFF"/>
            <w:vAlign w:val="bottom"/>
          </w:tcPr>
          <w:p>
            <w:pPr>
              <w:pStyle w:val="Style28"/>
              <w:keepNext w:val="0"/>
              <w:keepLines w:val="0"/>
              <w:framePr w:w="3749" w:h="9499" w:wrap="none" w:vAnchor="text" w:hAnchor="page" w:x="6893" w:y="2257"/>
              <w:widowControl w:val="0"/>
              <w:shd w:val="clear" w:color="auto" w:fill="auto"/>
              <w:bidi w:val="0"/>
              <w:spacing w:before="0" w:after="0" w:line="240" w:lineRule="auto"/>
              <w:ind w:left="0" w:right="0" w:firstLine="1000"/>
              <w:jc w:val="both"/>
              <w:rPr>
                <w:sz w:val="24"/>
                <w:szCs w:val="24"/>
              </w:rPr>
            </w:pPr>
            <w:r>
              <w:rPr>
                <w:rFonts w:ascii="Times New Roman" w:eastAsia="Times New Roman" w:hAnsi="Times New Roman" w:cs="Times New Roman"/>
                <w:color w:val="000000"/>
                <w:spacing w:val="0"/>
                <w:w w:val="100"/>
                <w:position w:val="0"/>
                <w:sz w:val="24"/>
                <w:szCs w:val="24"/>
              </w:rPr>
              <w:t>56,651</w:t>
            </w:r>
          </w:p>
        </w:tc>
        <w:tc>
          <w:tcPr>
            <w:tcBorders/>
            <w:shd w:val="clear" w:color="auto" w:fill="FFFFFF"/>
            <w:vAlign w:val="bottom"/>
          </w:tcPr>
          <w:p>
            <w:pPr>
              <w:pStyle w:val="Style28"/>
              <w:keepNext w:val="0"/>
              <w:keepLines w:val="0"/>
              <w:framePr w:w="3749" w:h="9499" w:wrap="none" w:vAnchor="text" w:hAnchor="page" w:x="6893" w:y="2257"/>
              <w:widowControl w:val="0"/>
              <w:shd w:val="clear" w:color="auto" w:fill="auto"/>
              <w:bidi w:val="0"/>
              <w:spacing w:before="0" w:after="0" w:line="240" w:lineRule="auto"/>
              <w:ind w:left="0" w:right="0" w:firstLine="740"/>
              <w:jc w:val="both"/>
              <w:rPr>
                <w:sz w:val="24"/>
                <w:szCs w:val="24"/>
              </w:rPr>
            </w:pPr>
            <w:r>
              <w:rPr>
                <w:rFonts w:ascii="Times New Roman" w:eastAsia="Times New Roman" w:hAnsi="Times New Roman" w:cs="Times New Roman"/>
                <w:color w:val="000000"/>
                <w:spacing w:val="0"/>
                <w:w w:val="100"/>
                <w:position w:val="0"/>
                <w:sz w:val="24"/>
                <w:szCs w:val="24"/>
              </w:rPr>
              <w:t>64,151</w:t>
            </w:r>
          </w:p>
        </w:tc>
      </w:tr>
      <w:tr>
        <w:trPr>
          <w:trHeight w:val="312" w:hRule="exact"/>
        </w:trPr>
        <w:tc>
          <w:tcPr>
            <w:tcBorders/>
            <w:shd w:val="clear" w:color="auto" w:fill="FFFFFF"/>
            <w:vAlign w:val="bottom"/>
          </w:tcPr>
          <w:p>
            <w:pPr>
              <w:pStyle w:val="Style28"/>
              <w:keepNext w:val="0"/>
              <w:keepLines w:val="0"/>
              <w:framePr w:w="3749" w:h="9499" w:wrap="none" w:vAnchor="text" w:hAnchor="page" w:x="6893" w:y="2257"/>
              <w:widowControl w:val="0"/>
              <w:shd w:val="clear" w:color="auto" w:fill="auto"/>
              <w:bidi w:val="0"/>
              <w:spacing w:before="0" w:after="0" w:line="240" w:lineRule="auto"/>
              <w:ind w:left="0" w:right="0" w:firstLine="1000"/>
              <w:jc w:val="both"/>
              <w:rPr>
                <w:sz w:val="24"/>
                <w:szCs w:val="24"/>
              </w:rPr>
            </w:pPr>
            <w:r>
              <w:rPr>
                <w:rFonts w:ascii="Times New Roman" w:eastAsia="Times New Roman" w:hAnsi="Times New Roman" w:cs="Times New Roman"/>
                <w:color w:val="000000"/>
                <w:spacing w:val="0"/>
                <w:w w:val="100"/>
                <w:position w:val="0"/>
                <w:sz w:val="24"/>
                <w:szCs w:val="24"/>
              </w:rPr>
              <w:t>40,788</w:t>
            </w:r>
          </w:p>
        </w:tc>
        <w:tc>
          <w:tcPr>
            <w:tcBorders/>
            <w:shd w:val="clear" w:color="auto" w:fill="FFFFFF"/>
            <w:vAlign w:val="bottom"/>
          </w:tcPr>
          <w:p>
            <w:pPr>
              <w:pStyle w:val="Style28"/>
              <w:keepNext w:val="0"/>
              <w:keepLines w:val="0"/>
              <w:framePr w:w="3749" w:h="9499" w:wrap="none" w:vAnchor="text" w:hAnchor="page" w:x="6893" w:y="2257"/>
              <w:widowControl w:val="0"/>
              <w:shd w:val="clear" w:color="auto" w:fill="auto"/>
              <w:bidi w:val="0"/>
              <w:spacing w:before="0" w:after="0" w:line="240" w:lineRule="auto"/>
              <w:ind w:left="0" w:right="0" w:firstLine="740"/>
              <w:jc w:val="both"/>
              <w:rPr>
                <w:sz w:val="24"/>
                <w:szCs w:val="24"/>
              </w:rPr>
            </w:pPr>
            <w:r>
              <w:rPr>
                <w:rFonts w:ascii="Times New Roman" w:eastAsia="Times New Roman" w:hAnsi="Times New Roman" w:cs="Times New Roman"/>
                <w:color w:val="000000"/>
                <w:spacing w:val="0"/>
                <w:w w:val="100"/>
                <w:position w:val="0"/>
                <w:sz w:val="24"/>
                <w:szCs w:val="24"/>
              </w:rPr>
              <w:t>49,981</w:t>
            </w:r>
          </w:p>
        </w:tc>
      </w:tr>
      <w:tr>
        <w:trPr>
          <w:trHeight w:val="312" w:hRule="exact"/>
        </w:trPr>
        <w:tc>
          <w:tcPr>
            <w:tcBorders/>
            <w:shd w:val="clear" w:color="auto" w:fill="FFFFFF"/>
            <w:vAlign w:val="bottom"/>
          </w:tcPr>
          <w:p>
            <w:pPr>
              <w:pStyle w:val="Style28"/>
              <w:keepNext w:val="0"/>
              <w:keepLines w:val="0"/>
              <w:framePr w:w="3749" w:h="9499" w:wrap="none" w:vAnchor="text" w:hAnchor="page" w:x="6893" w:y="2257"/>
              <w:widowControl w:val="0"/>
              <w:shd w:val="clear" w:color="auto" w:fill="auto"/>
              <w:bidi w:val="0"/>
              <w:spacing w:before="0" w:after="0" w:line="240" w:lineRule="auto"/>
              <w:ind w:left="0" w:right="0" w:firstLine="1000"/>
              <w:jc w:val="both"/>
              <w:rPr>
                <w:sz w:val="24"/>
                <w:szCs w:val="24"/>
              </w:rPr>
            </w:pPr>
            <w:r>
              <w:rPr>
                <w:rFonts w:ascii="Times New Roman" w:eastAsia="Times New Roman" w:hAnsi="Times New Roman" w:cs="Times New Roman"/>
                <w:color w:val="000000"/>
                <w:spacing w:val="0"/>
                <w:w w:val="100"/>
                <w:position w:val="0"/>
                <w:sz w:val="24"/>
                <w:szCs w:val="24"/>
              </w:rPr>
              <w:t>32,384</w:t>
            </w:r>
          </w:p>
        </w:tc>
        <w:tc>
          <w:tcPr>
            <w:tcBorders/>
            <w:shd w:val="clear" w:color="auto" w:fill="FFFFFF"/>
            <w:vAlign w:val="bottom"/>
          </w:tcPr>
          <w:p>
            <w:pPr>
              <w:pStyle w:val="Style28"/>
              <w:keepNext w:val="0"/>
              <w:keepLines w:val="0"/>
              <w:framePr w:w="3749" w:h="9499" w:wrap="none" w:vAnchor="text" w:hAnchor="page" w:x="6893" w:y="2257"/>
              <w:widowControl w:val="0"/>
              <w:shd w:val="clear" w:color="auto" w:fill="auto"/>
              <w:bidi w:val="0"/>
              <w:spacing w:before="0" w:after="0" w:line="240" w:lineRule="auto"/>
              <w:ind w:left="0" w:right="0" w:firstLine="740"/>
              <w:jc w:val="both"/>
              <w:rPr>
                <w:sz w:val="24"/>
                <w:szCs w:val="24"/>
              </w:rPr>
            </w:pPr>
            <w:r>
              <w:rPr>
                <w:rFonts w:ascii="Times New Roman" w:eastAsia="Times New Roman" w:hAnsi="Times New Roman" w:cs="Times New Roman"/>
                <w:color w:val="000000"/>
                <w:spacing w:val="0"/>
                <w:w w:val="100"/>
                <w:position w:val="0"/>
                <w:sz w:val="24"/>
                <w:szCs w:val="24"/>
              </w:rPr>
              <w:t>72,121</w:t>
            </w:r>
          </w:p>
        </w:tc>
      </w:tr>
      <w:tr>
        <w:trPr>
          <w:trHeight w:val="293" w:hRule="exact"/>
        </w:trPr>
        <w:tc>
          <w:tcPr>
            <w:tcBorders/>
            <w:shd w:val="clear" w:color="auto" w:fill="FFFFFF"/>
            <w:vAlign w:val="bottom"/>
          </w:tcPr>
          <w:p>
            <w:pPr>
              <w:pStyle w:val="Style28"/>
              <w:keepNext w:val="0"/>
              <w:keepLines w:val="0"/>
              <w:framePr w:w="3749" w:h="9499" w:wrap="none" w:vAnchor="text" w:hAnchor="page" w:x="6893" w:y="2257"/>
              <w:widowControl w:val="0"/>
              <w:shd w:val="clear" w:color="auto" w:fill="auto"/>
              <w:bidi w:val="0"/>
              <w:spacing w:before="0" w:after="0" w:line="240" w:lineRule="auto"/>
              <w:ind w:left="0" w:right="0" w:firstLine="1000"/>
              <w:jc w:val="both"/>
              <w:rPr>
                <w:sz w:val="24"/>
                <w:szCs w:val="24"/>
              </w:rPr>
            </w:pPr>
            <w:r>
              <w:rPr>
                <w:rFonts w:ascii="Times New Roman" w:eastAsia="Times New Roman" w:hAnsi="Times New Roman" w:cs="Times New Roman"/>
                <w:color w:val="000000"/>
                <w:spacing w:val="0"/>
                <w:w w:val="100"/>
                <w:position w:val="0"/>
                <w:sz w:val="24"/>
                <w:szCs w:val="24"/>
              </w:rPr>
              <w:t>20,181</w:t>
            </w:r>
          </w:p>
        </w:tc>
        <w:tc>
          <w:tcPr>
            <w:tcBorders/>
            <w:shd w:val="clear" w:color="auto" w:fill="FFFFFF"/>
            <w:vAlign w:val="bottom"/>
          </w:tcPr>
          <w:p>
            <w:pPr>
              <w:pStyle w:val="Style28"/>
              <w:keepNext w:val="0"/>
              <w:keepLines w:val="0"/>
              <w:framePr w:w="3749" w:h="9499" w:wrap="none" w:vAnchor="text" w:hAnchor="page" w:x="6893" w:y="2257"/>
              <w:widowControl w:val="0"/>
              <w:shd w:val="clear" w:color="auto" w:fill="auto"/>
              <w:bidi w:val="0"/>
              <w:spacing w:before="0" w:after="0" w:line="240" w:lineRule="auto"/>
              <w:ind w:left="0" w:right="0" w:firstLine="740"/>
              <w:jc w:val="both"/>
              <w:rPr>
                <w:sz w:val="24"/>
                <w:szCs w:val="24"/>
              </w:rPr>
            </w:pPr>
            <w:r>
              <w:rPr>
                <w:rFonts w:ascii="Times New Roman" w:eastAsia="Times New Roman" w:hAnsi="Times New Roman" w:cs="Times New Roman"/>
                <w:color w:val="000000"/>
                <w:spacing w:val="0"/>
                <w:w w:val="100"/>
                <w:position w:val="0"/>
                <w:sz w:val="24"/>
                <w:szCs w:val="24"/>
              </w:rPr>
              <w:t>22,117</w:t>
            </w:r>
          </w:p>
        </w:tc>
      </w:tr>
      <w:tr>
        <w:trPr>
          <w:trHeight w:val="331" w:hRule="exact"/>
        </w:trPr>
        <w:tc>
          <w:tcPr>
            <w:tcBorders/>
            <w:shd w:val="clear" w:color="auto" w:fill="FFFFFF"/>
            <w:vAlign w:val="bottom"/>
          </w:tcPr>
          <w:p>
            <w:pPr>
              <w:pStyle w:val="Style28"/>
              <w:keepNext w:val="0"/>
              <w:keepLines w:val="0"/>
              <w:framePr w:w="3749" w:h="9499" w:wrap="none" w:vAnchor="text" w:hAnchor="page" w:x="6893" w:y="2257"/>
              <w:widowControl w:val="0"/>
              <w:shd w:val="clear" w:color="auto" w:fill="auto"/>
              <w:bidi w:val="0"/>
              <w:spacing w:before="0" w:after="0" w:line="240" w:lineRule="auto"/>
              <w:ind w:left="0" w:right="0" w:firstLine="1000"/>
              <w:jc w:val="both"/>
              <w:rPr>
                <w:sz w:val="24"/>
                <w:szCs w:val="24"/>
              </w:rPr>
            </w:pPr>
            <w:r>
              <w:rPr>
                <w:rFonts w:ascii="Times New Roman" w:eastAsia="Times New Roman" w:hAnsi="Times New Roman" w:cs="Times New Roman"/>
                <w:color w:val="000000"/>
                <w:spacing w:val="0"/>
                <w:w w:val="100"/>
                <w:position w:val="0"/>
                <w:sz w:val="24"/>
                <w:szCs w:val="24"/>
              </w:rPr>
              <w:t>15,097</w:t>
            </w:r>
          </w:p>
        </w:tc>
        <w:tc>
          <w:tcPr>
            <w:tcBorders/>
            <w:shd w:val="clear" w:color="auto" w:fill="FFFFFF"/>
            <w:vAlign w:val="bottom"/>
          </w:tcPr>
          <w:p>
            <w:pPr>
              <w:pStyle w:val="Style28"/>
              <w:keepNext w:val="0"/>
              <w:keepLines w:val="0"/>
              <w:framePr w:w="3749" w:h="9499" w:wrap="none" w:vAnchor="text" w:hAnchor="page" w:x="6893" w:y="2257"/>
              <w:widowControl w:val="0"/>
              <w:shd w:val="clear" w:color="auto" w:fill="auto"/>
              <w:bidi w:val="0"/>
              <w:spacing w:before="0" w:after="0" w:line="240" w:lineRule="auto"/>
              <w:ind w:left="0" w:right="0" w:firstLine="740"/>
              <w:jc w:val="both"/>
              <w:rPr>
                <w:sz w:val="24"/>
                <w:szCs w:val="24"/>
              </w:rPr>
            </w:pPr>
            <w:r>
              <w:rPr>
                <w:rFonts w:ascii="Times New Roman" w:eastAsia="Times New Roman" w:hAnsi="Times New Roman" w:cs="Times New Roman"/>
                <w:color w:val="000000"/>
                <w:spacing w:val="0"/>
                <w:w w:val="100"/>
                <w:position w:val="0"/>
                <w:sz w:val="24"/>
                <w:szCs w:val="24"/>
              </w:rPr>
              <w:t>27,272</w:t>
            </w:r>
          </w:p>
        </w:tc>
      </w:tr>
      <w:tr>
        <w:trPr>
          <w:trHeight w:val="293" w:hRule="exact"/>
        </w:trPr>
        <w:tc>
          <w:tcPr>
            <w:tcBorders/>
            <w:shd w:val="clear" w:color="auto" w:fill="FFFFFF"/>
            <w:vAlign w:val="bottom"/>
          </w:tcPr>
          <w:p>
            <w:pPr>
              <w:pStyle w:val="Style28"/>
              <w:keepNext w:val="0"/>
              <w:keepLines w:val="0"/>
              <w:framePr w:w="3749" w:h="9499" w:wrap="none" w:vAnchor="text" w:hAnchor="page" w:x="6893" w:y="2257"/>
              <w:widowControl w:val="0"/>
              <w:shd w:val="clear" w:color="auto" w:fill="auto"/>
              <w:bidi w:val="0"/>
              <w:spacing w:before="0" w:after="0" w:line="240" w:lineRule="auto"/>
              <w:ind w:left="0" w:right="0" w:firstLine="1000"/>
              <w:jc w:val="both"/>
              <w:rPr>
                <w:sz w:val="24"/>
                <w:szCs w:val="24"/>
              </w:rPr>
            </w:pPr>
            <w:r>
              <w:rPr>
                <w:rFonts w:ascii="Times New Roman" w:eastAsia="Times New Roman" w:hAnsi="Times New Roman" w:cs="Times New Roman"/>
                <w:color w:val="000000"/>
                <w:spacing w:val="0"/>
                <w:w w:val="100"/>
                <w:position w:val="0"/>
                <w:sz w:val="24"/>
                <w:szCs w:val="24"/>
              </w:rPr>
              <w:t>13,146</w:t>
            </w:r>
          </w:p>
        </w:tc>
        <w:tc>
          <w:tcPr>
            <w:tcBorders/>
            <w:shd w:val="clear" w:color="auto" w:fill="FFFFFF"/>
            <w:vAlign w:val="bottom"/>
          </w:tcPr>
          <w:p>
            <w:pPr>
              <w:pStyle w:val="Style28"/>
              <w:keepNext w:val="0"/>
              <w:keepLines w:val="0"/>
              <w:framePr w:w="3749" w:h="9499" w:wrap="none" w:vAnchor="text" w:hAnchor="page" w:x="6893" w:y="2257"/>
              <w:widowControl w:val="0"/>
              <w:shd w:val="clear" w:color="auto" w:fill="auto"/>
              <w:bidi w:val="0"/>
              <w:spacing w:before="0" w:after="0" w:line="240" w:lineRule="auto"/>
              <w:ind w:left="0" w:right="0" w:firstLine="740"/>
              <w:jc w:val="both"/>
              <w:rPr>
                <w:sz w:val="24"/>
                <w:szCs w:val="24"/>
              </w:rPr>
            </w:pPr>
            <w:r>
              <w:rPr>
                <w:rFonts w:ascii="Times New Roman" w:eastAsia="Times New Roman" w:hAnsi="Times New Roman" w:cs="Times New Roman"/>
                <w:color w:val="000000"/>
                <w:spacing w:val="0"/>
                <w:w w:val="100"/>
                <w:position w:val="0"/>
                <w:sz w:val="24"/>
                <w:szCs w:val="24"/>
              </w:rPr>
              <w:t>12,670</w:t>
            </w:r>
          </w:p>
        </w:tc>
      </w:tr>
      <w:tr>
        <w:trPr>
          <w:trHeight w:val="317" w:hRule="exact"/>
        </w:trPr>
        <w:tc>
          <w:tcPr>
            <w:tcBorders/>
            <w:shd w:val="clear" w:color="auto" w:fill="FFFFFF"/>
            <w:vAlign w:val="bottom"/>
          </w:tcPr>
          <w:p>
            <w:pPr>
              <w:pStyle w:val="Style28"/>
              <w:keepNext w:val="0"/>
              <w:keepLines w:val="0"/>
              <w:framePr w:w="3749" w:h="9499" w:wrap="none" w:vAnchor="text" w:hAnchor="page" w:x="6893" w:y="2257"/>
              <w:widowControl w:val="0"/>
              <w:shd w:val="clear" w:color="auto" w:fill="auto"/>
              <w:bidi w:val="0"/>
              <w:spacing w:before="0" w:after="0" w:line="240" w:lineRule="auto"/>
              <w:ind w:left="0" w:right="0" w:firstLine="880"/>
              <w:jc w:val="both"/>
              <w:rPr>
                <w:sz w:val="24"/>
                <w:szCs w:val="24"/>
              </w:rPr>
            </w:pPr>
            <w:r>
              <w:rPr>
                <w:rFonts w:ascii="Times New Roman" w:eastAsia="Times New Roman" w:hAnsi="Times New Roman" w:cs="Times New Roman"/>
                <w:color w:val="000000"/>
                <w:spacing w:val="0"/>
                <w:w w:val="100"/>
                <w:position w:val="0"/>
                <w:sz w:val="24"/>
                <w:szCs w:val="24"/>
              </w:rPr>
              <w:t>555,987</w:t>
            </w:r>
          </w:p>
        </w:tc>
        <w:tc>
          <w:tcPr>
            <w:tcBorders/>
            <w:shd w:val="clear" w:color="auto" w:fill="FFFFFF"/>
            <w:vAlign w:val="bottom"/>
          </w:tcPr>
          <w:p>
            <w:pPr>
              <w:pStyle w:val="Style28"/>
              <w:keepNext w:val="0"/>
              <w:keepLines w:val="0"/>
              <w:framePr w:w="3749" w:h="9499" w:wrap="none" w:vAnchor="text" w:hAnchor="page" w:x="6893" w:y="2257"/>
              <w:widowControl w:val="0"/>
              <w:shd w:val="clear" w:color="auto" w:fill="auto"/>
              <w:bidi w:val="0"/>
              <w:spacing w:before="0" w:after="0" w:line="240" w:lineRule="auto"/>
              <w:ind w:left="0" w:right="0" w:firstLine="620"/>
              <w:jc w:val="both"/>
              <w:rPr>
                <w:sz w:val="24"/>
                <w:szCs w:val="24"/>
              </w:rPr>
            </w:pPr>
            <w:r>
              <w:rPr>
                <w:rFonts w:ascii="Times New Roman" w:eastAsia="Times New Roman" w:hAnsi="Times New Roman" w:cs="Times New Roman"/>
                <w:color w:val="000000"/>
                <w:spacing w:val="0"/>
                <w:w w:val="100"/>
                <w:position w:val="0"/>
                <w:sz w:val="24"/>
                <w:szCs w:val="24"/>
              </w:rPr>
              <w:t>614,236</w:t>
            </w:r>
          </w:p>
        </w:tc>
      </w:tr>
      <w:tr>
        <w:trPr>
          <w:trHeight w:val="715" w:hRule="exact"/>
        </w:trPr>
        <w:tc>
          <w:tcPr>
            <w:tcBorders>
              <w:top w:val="single" w:sz="4"/>
            </w:tcBorders>
            <w:shd w:val="clear" w:color="auto" w:fill="FFFFFF"/>
            <w:vAlign w:val="top"/>
          </w:tcPr>
          <w:p>
            <w:pPr>
              <w:pStyle w:val="Style28"/>
              <w:keepNext w:val="0"/>
              <w:keepLines w:val="0"/>
              <w:framePr w:w="3749" w:h="9499" w:wrap="none" w:vAnchor="text" w:hAnchor="page" w:x="6893" w:y="2257"/>
              <w:widowControl w:val="0"/>
              <w:shd w:val="clear" w:color="auto" w:fill="auto"/>
              <w:bidi w:val="0"/>
              <w:spacing w:before="0" w:after="0" w:line="240" w:lineRule="auto"/>
              <w:ind w:left="0" w:right="0" w:firstLine="660"/>
              <w:jc w:val="both"/>
              <w:rPr>
                <w:sz w:val="24"/>
                <w:szCs w:val="24"/>
              </w:rPr>
            </w:pPr>
            <w:r>
              <w:rPr>
                <w:rFonts w:ascii="Times New Roman" w:eastAsia="Times New Roman" w:hAnsi="Times New Roman" w:cs="Times New Roman"/>
                <w:color w:val="000000"/>
                <w:spacing w:val="0"/>
                <w:w w:val="100"/>
                <w:position w:val="0"/>
                <w:sz w:val="24"/>
                <w:szCs w:val="24"/>
              </w:rPr>
              <w:t>3,946,274</w:t>
            </w:r>
          </w:p>
        </w:tc>
        <w:tc>
          <w:tcPr>
            <w:tcBorders>
              <w:top w:val="single" w:sz="4"/>
            </w:tcBorders>
            <w:shd w:val="clear" w:color="auto" w:fill="FFFFFF"/>
            <w:vAlign w:val="top"/>
          </w:tcPr>
          <w:p>
            <w:pPr>
              <w:pStyle w:val="Style28"/>
              <w:keepNext w:val="0"/>
              <w:keepLines w:val="0"/>
              <w:framePr w:w="3749" w:h="9499" w:wrap="none" w:vAnchor="text" w:hAnchor="page" w:x="6893" w:y="2257"/>
              <w:widowControl w:val="0"/>
              <w:shd w:val="clear" w:color="auto" w:fill="auto"/>
              <w:bidi w:val="0"/>
              <w:spacing w:before="0" w:after="0" w:line="240" w:lineRule="auto"/>
              <w:ind w:left="0" w:right="0" w:firstLine="420"/>
              <w:jc w:val="both"/>
              <w:rPr>
                <w:sz w:val="24"/>
                <w:szCs w:val="24"/>
              </w:rPr>
            </w:pPr>
            <w:r>
              <w:rPr>
                <w:rFonts w:ascii="Times New Roman" w:eastAsia="Times New Roman" w:hAnsi="Times New Roman" w:cs="Times New Roman"/>
                <w:color w:val="000000"/>
                <w:spacing w:val="0"/>
                <w:w w:val="100"/>
                <w:position w:val="0"/>
                <w:sz w:val="24"/>
                <w:szCs w:val="24"/>
              </w:rPr>
              <w:t>4,291,475</w:t>
            </w:r>
          </w:p>
        </w:tc>
      </w:tr>
      <w:tr>
        <w:trPr>
          <w:trHeight w:val="907" w:hRule="exact"/>
        </w:trPr>
        <w:tc>
          <w:tcPr>
            <w:tcBorders/>
            <w:shd w:val="clear" w:color="auto" w:fill="FFFFFF"/>
            <w:vAlign w:val="bottom"/>
          </w:tcPr>
          <w:p>
            <w:pPr>
              <w:pStyle w:val="Style28"/>
              <w:keepNext w:val="0"/>
              <w:keepLines w:val="0"/>
              <w:framePr w:w="3749" w:h="9499" w:wrap="none" w:vAnchor="text" w:hAnchor="page" w:x="6893" w:y="2257"/>
              <w:widowControl w:val="0"/>
              <w:shd w:val="clear" w:color="auto" w:fill="auto"/>
              <w:bidi w:val="0"/>
              <w:spacing w:before="0" w:after="0" w:line="240" w:lineRule="auto"/>
              <w:ind w:left="0" w:right="0" w:firstLine="660"/>
              <w:jc w:val="both"/>
              <w:rPr>
                <w:sz w:val="24"/>
                <w:szCs w:val="24"/>
              </w:rPr>
            </w:pP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年度</w:t>
            </w:r>
          </w:p>
        </w:tc>
        <w:tc>
          <w:tcPr>
            <w:tcBorders/>
            <w:shd w:val="clear" w:color="auto" w:fill="FFFFFF"/>
            <w:vAlign w:val="bottom"/>
          </w:tcPr>
          <w:p>
            <w:pPr>
              <w:pStyle w:val="Style28"/>
              <w:keepNext w:val="0"/>
              <w:keepLines w:val="0"/>
              <w:framePr w:w="3749" w:h="9499" w:wrap="none" w:vAnchor="text" w:hAnchor="page" w:x="6893" w:y="2257"/>
              <w:widowControl w:val="0"/>
              <w:shd w:val="clear" w:color="auto" w:fill="auto"/>
              <w:bidi w:val="0"/>
              <w:spacing w:before="0" w:after="0" w:line="240" w:lineRule="auto"/>
              <w:ind w:left="0" w:right="0" w:firstLine="420"/>
              <w:jc w:val="both"/>
              <w:rPr>
                <w:sz w:val="24"/>
                <w:szCs w:val="24"/>
              </w:rPr>
            </w:pPr>
            <w:r>
              <w:rPr>
                <w:rFonts w:ascii="Times New Roman" w:eastAsia="Times New Roman" w:hAnsi="Times New Roman" w:cs="Times New Roman"/>
                <w:color w:val="000000"/>
                <w:spacing w:val="0"/>
                <w:w w:val="100"/>
                <w:position w:val="0"/>
                <w:sz w:val="24"/>
                <w:szCs w:val="24"/>
              </w:rPr>
              <w:t>2015</w:t>
            </w:r>
            <w:r>
              <w:rPr>
                <w:color w:val="000000"/>
                <w:spacing w:val="0"/>
                <w:w w:val="100"/>
                <w:position w:val="0"/>
                <w:sz w:val="24"/>
                <w:szCs w:val="24"/>
              </w:rPr>
              <w:t>年度</w:t>
            </w:r>
          </w:p>
        </w:tc>
      </w:tr>
      <w:tr>
        <w:trPr>
          <w:trHeight w:val="442" w:hRule="exact"/>
        </w:trPr>
        <w:tc>
          <w:tcPr>
            <w:tcBorders/>
            <w:shd w:val="clear" w:color="auto" w:fill="FFFFFF"/>
            <w:vAlign w:val="bottom"/>
          </w:tcPr>
          <w:p>
            <w:pPr>
              <w:pStyle w:val="Style28"/>
              <w:keepNext w:val="0"/>
              <w:keepLines w:val="0"/>
              <w:framePr w:w="3749" w:h="9499" w:wrap="none" w:vAnchor="text" w:hAnchor="page" w:x="6893" w:y="2257"/>
              <w:widowControl w:val="0"/>
              <w:shd w:val="clear" w:color="auto" w:fill="auto"/>
              <w:bidi w:val="0"/>
              <w:spacing w:before="0" w:after="0" w:line="240" w:lineRule="auto"/>
              <w:ind w:left="0" w:right="0" w:firstLine="880"/>
              <w:jc w:val="both"/>
              <w:rPr>
                <w:sz w:val="24"/>
                <w:szCs w:val="24"/>
              </w:rPr>
            </w:pPr>
            <w:r>
              <w:rPr>
                <w:rFonts w:ascii="Times New Roman" w:eastAsia="Times New Roman" w:hAnsi="Times New Roman" w:cs="Times New Roman"/>
                <w:color w:val="000000"/>
                <w:spacing w:val="0"/>
                <w:w w:val="100"/>
                <w:position w:val="0"/>
                <w:sz w:val="24"/>
                <w:szCs w:val="24"/>
              </w:rPr>
              <w:t>678,053</w:t>
            </w:r>
          </w:p>
        </w:tc>
        <w:tc>
          <w:tcPr>
            <w:tcBorders/>
            <w:shd w:val="clear" w:color="auto" w:fill="FFFFFF"/>
            <w:vAlign w:val="bottom"/>
          </w:tcPr>
          <w:p>
            <w:pPr>
              <w:pStyle w:val="Style28"/>
              <w:keepNext w:val="0"/>
              <w:keepLines w:val="0"/>
              <w:framePr w:w="3749" w:h="9499" w:wrap="none" w:vAnchor="text" w:hAnchor="page" w:x="6893" w:y="2257"/>
              <w:widowControl w:val="0"/>
              <w:shd w:val="clear" w:color="auto" w:fill="auto"/>
              <w:bidi w:val="0"/>
              <w:spacing w:before="0" w:after="0" w:line="240" w:lineRule="auto"/>
              <w:ind w:left="0" w:right="0" w:firstLine="620"/>
              <w:jc w:val="both"/>
              <w:rPr>
                <w:sz w:val="24"/>
                <w:szCs w:val="24"/>
              </w:rPr>
            </w:pPr>
            <w:r>
              <w:rPr>
                <w:rFonts w:ascii="Times New Roman" w:eastAsia="Times New Roman" w:hAnsi="Times New Roman" w:cs="Times New Roman"/>
                <w:color w:val="000000"/>
                <w:spacing w:val="0"/>
                <w:w w:val="100"/>
                <w:position w:val="0"/>
                <w:sz w:val="24"/>
                <w:szCs w:val="24"/>
              </w:rPr>
              <w:t>567,932</w:t>
            </w:r>
          </w:p>
        </w:tc>
      </w:tr>
      <w:tr>
        <w:trPr>
          <w:trHeight w:val="346" w:hRule="exact"/>
        </w:trPr>
        <w:tc>
          <w:tcPr>
            <w:tcBorders/>
            <w:shd w:val="clear" w:color="auto" w:fill="FFFFFF"/>
            <w:vAlign w:val="bottom"/>
          </w:tcPr>
          <w:p>
            <w:pPr>
              <w:pStyle w:val="Style28"/>
              <w:keepNext w:val="0"/>
              <w:keepLines w:val="0"/>
              <w:framePr w:w="3749" w:h="9499" w:wrap="none" w:vAnchor="text" w:hAnchor="page" w:x="6893" w:y="2257"/>
              <w:widowControl w:val="0"/>
              <w:shd w:val="clear" w:color="auto" w:fill="auto"/>
              <w:bidi w:val="0"/>
              <w:spacing w:before="0" w:after="0" w:line="240" w:lineRule="auto"/>
              <w:ind w:left="0" w:right="0" w:firstLine="880"/>
              <w:jc w:val="left"/>
              <w:rPr>
                <w:sz w:val="24"/>
                <w:szCs w:val="24"/>
              </w:rPr>
            </w:pPr>
            <w:r>
              <w:rPr>
                <w:rFonts w:ascii="Times New Roman" w:eastAsia="Times New Roman" w:hAnsi="Times New Roman" w:cs="Times New Roman"/>
                <w:color w:val="000000"/>
                <w:spacing w:val="0"/>
                <w:w w:val="100"/>
                <w:position w:val="0"/>
                <w:sz w:val="24"/>
                <w:szCs w:val="24"/>
              </w:rPr>
              <w:t>(97,823)</w:t>
            </w:r>
          </w:p>
        </w:tc>
        <w:tc>
          <w:tcPr>
            <w:tcBorders/>
            <w:shd w:val="clear" w:color="auto" w:fill="FFFFFF"/>
            <w:vAlign w:val="bottom"/>
          </w:tcPr>
          <w:p>
            <w:pPr>
              <w:pStyle w:val="Style28"/>
              <w:keepNext w:val="0"/>
              <w:keepLines w:val="0"/>
              <w:framePr w:w="3749" w:h="9499" w:wrap="none" w:vAnchor="text" w:hAnchor="page" w:x="6893" w:y="2257"/>
              <w:widowControl w:val="0"/>
              <w:shd w:val="clear" w:color="auto" w:fill="auto"/>
              <w:bidi w:val="0"/>
              <w:spacing w:before="0" w:after="0" w:line="240" w:lineRule="auto"/>
              <w:ind w:left="0" w:right="0" w:firstLine="560"/>
              <w:jc w:val="left"/>
              <w:rPr>
                <w:sz w:val="24"/>
                <w:szCs w:val="24"/>
              </w:rPr>
            </w:pPr>
            <w:r>
              <w:rPr>
                <w:rFonts w:ascii="Times New Roman" w:eastAsia="Times New Roman" w:hAnsi="Times New Roman" w:cs="Times New Roman"/>
                <w:color w:val="000000"/>
                <w:spacing w:val="0"/>
                <w:w w:val="100"/>
                <w:position w:val="0"/>
                <w:sz w:val="24"/>
                <w:szCs w:val="24"/>
              </w:rPr>
              <w:t>(145,401)</w:t>
            </w:r>
          </w:p>
        </w:tc>
      </w:tr>
      <w:tr>
        <w:trPr>
          <w:trHeight w:val="307" w:hRule="exact"/>
        </w:trPr>
        <w:tc>
          <w:tcPr>
            <w:tcBorders>
              <w:top w:val="single" w:sz="4"/>
            </w:tcBorders>
            <w:shd w:val="clear" w:color="auto" w:fill="FFFFFF"/>
            <w:vAlign w:val="bottom"/>
          </w:tcPr>
          <w:p>
            <w:pPr>
              <w:pStyle w:val="Style28"/>
              <w:keepNext w:val="0"/>
              <w:keepLines w:val="0"/>
              <w:framePr w:w="3749" w:h="9499" w:wrap="none" w:vAnchor="text" w:hAnchor="page" w:x="6893" w:y="2257"/>
              <w:widowControl w:val="0"/>
              <w:shd w:val="clear" w:color="auto" w:fill="auto"/>
              <w:bidi w:val="0"/>
              <w:spacing w:before="0" w:after="0" w:line="240" w:lineRule="auto"/>
              <w:ind w:left="0" w:right="0" w:firstLine="880"/>
              <w:jc w:val="both"/>
              <w:rPr>
                <w:sz w:val="24"/>
                <w:szCs w:val="24"/>
              </w:rPr>
            </w:pPr>
            <w:r>
              <w:rPr>
                <w:rFonts w:ascii="Times New Roman" w:eastAsia="Times New Roman" w:hAnsi="Times New Roman" w:cs="Times New Roman"/>
                <w:color w:val="000000"/>
                <w:spacing w:val="0"/>
                <w:w w:val="100"/>
                <w:position w:val="0"/>
                <w:sz w:val="24"/>
                <w:szCs w:val="24"/>
              </w:rPr>
              <w:t>580,230</w:t>
            </w:r>
          </w:p>
        </w:tc>
        <w:tc>
          <w:tcPr>
            <w:tcBorders>
              <w:top w:val="single" w:sz="4"/>
            </w:tcBorders>
            <w:shd w:val="clear" w:color="auto" w:fill="FFFFFF"/>
            <w:vAlign w:val="bottom"/>
          </w:tcPr>
          <w:p>
            <w:pPr>
              <w:pStyle w:val="Style28"/>
              <w:keepNext w:val="0"/>
              <w:keepLines w:val="0"/>
              <w:framePr w:w="3749" w:h="9499" w:wrap="none" w:vAnchor="text" w:hAnchor="page" w:x="6893" w:y="2257"/>
              <w:widowControl w:val="0"/>
              <w:shd w:val="clear" w:color="auto" w:fill="auto"/>
              <w:bidi w:val="0"/>
              <w:spacing w:before="0" w:after="0" w:line="240" w:lineRule="auto"/>
              <w:ind w:left="0" w:right="0" w:firstLine="620"/>
              <w:jc w:val="left"/>
              <w:rPr>
                <w:sz w:val="24"/>
                <w:szCs w:val="24"/>
              </w:rPr>
            </w:pPr>
            <w:r>
              <w:rPr>
                <w:rFonts w:ascii="Times New Roman" w:eastAsia="Times New Roman" w:hAnsi="Times New Roman" w:cs="Times New Roman"/>
                <w:color w:val="000000"/>
                <w:spacing w:val="0"/>
                <w:w w:val="100"/>
                <w:position w:val="0"/>
                <w:sz w:val="24"/>
                <w:szCs w:val="24"/>
              </w:rPr>
              <w:t>422,531</w:t>
            </w:r>
          </w:p>
        </w:tc>
      </w:tr>
      <w:tr>
        <w:trPr>
          <w:trHeight w:val="322" w:hRule="exact"/>
        </w:trPr>
        <w:tc>
          <w:tcPr>
            <w:tcBorders/>
            <w:shd w:val="clear" w:color="auto" w:fill="FFFFFF"/>
            <w:vAlign w:val="bottom"/>
          </w:tcPr>
          <w:p>
            <w:pPr>
              <w:pStyle w:val="Style28"/>
              <w:keepNext w:val="0"/>
              <w:keepLines w:val="0"/>
              <w:framePr w:w="3749" w:h="9499" w:wrap="none" w:vAnchor="text" w:hAnchor="page" w:x="6893" w:y="2257"/>
              <w:widowControl w:val="0"/>
              <w:shd w:val="clear" w:color="auto" w:fill="auto"/>
              <w:bidi w:val="0"/>
              <w:spacing w:before="0" w:after="0" w:line="240" w:lineRule="auto"/>
              <w:ind w:left="0" w:right="0" w:firstLine="780"/>
              <w:jc w:val="left"/>
              <w:rPr>
                <w:sz w:val="24"/>
                <w:szCs w:val="24"/>
              </w:rPr>
            </w:pPr>
            <w:r>
              <w:rPr>
                <w:rFonts w:ascii="Times New Roman" w:eastAsia="Times New Roman" w:hAnsi="Times New Roman" w:cs="Times New Roman"/>
                <w:color w:val="000000"/>
                <w:spacing w:val="0"/>
                <w:w w:val="100"/>
                <w:position w:val="0"/>
                <w:sz w:val="24"/>
                <w:szCs w:val="24"/>
              </w:rPr>
              <w:t>(660,187)</w:t>
            </w:r>
          </w:p>
        </w:tc>
        <w:tc>
          <w:tcPr>
            <w:tcBorders/>
            <w:shd w:val="clear" w:color="auto" w:fill="FFFFFF"/>
            <w:vAlign w:val="bottom"/>
          </w:tcPr>
          <w:p>
            <w:pPr>
              <w:pStyle w:val="Style28"/>
              <w:keepNext w:val="0"/>
              <w:keepLines w:val="0"/>
              <w:framePr w:w="3749" w:h="9499" w:wrap="none" w:vAnchor="text" w:hAnchor="page" w:x="6893" w:y="2257"/>
              <w:widowControl w:val="0"/>
              <w:shd w:val="clear" w:color="auto" w:fill="auto"/>
              <w:bidi w:val="0"/>
              <w:spacing w:before="0" w:after="0" w:line="240" w:lineRule="auto"/>
              <w:ind w:left="0" w:right="0" w:firstLine="620"/>
              <w:jc w:val="left"/>
              <w:rPr>
                <w:sz w:val="24"/>
                <w:szCs w:val="24"/>
              </w:rPr>
            </w:pPr>
            <w:r>
              <w:rPr>
                <w:rFonts w:ascii="Times New Roman" w:eastAsia="Times New Roman" w:hAnsi="Times New Roman" w:cs="Times New Roman"/>
                <w:color w:val="000000"/>
                <w:spacing w:val="0"/>
                <w:w w:val="100"/>
                <w:position w:val="0"/>
                <w:sz w:val="24"/>
                <w:szCs w:val="24"/>
              </w:rPr>
              <w:t>(730,861)</w:t>
            </w:r>
          </w:p>
        </w:tc>
      </w:tr>
      <w:tr>
        <w:trPr>
          <w:trHeight w:val="288" w:hRule="exact"/>
        </w:trPr>
        <w:tc>
          <w:tcPr>
            <w:tcBorders/>
            <w:shd w:val="clear" w:color="auto" w:fill="FFFFFF"/>
            <w:vAlign w:val="bottom"/>
          </w:tcPr>
          <w:p>
            <w:pPr>
              <w:pStyle w:val="Style28"/>
              <w:keepNext w:val="0"/>
              <w:keepLines w:val="0"/>
              <w:framePr w:w="3749" w:h="9499" w:wrap="none" w:vAnchor="text" w:hAnchor="page" w:x="6893" w:y="2257"/>
              <w:widowControl w:val="0"/>
              <w:shd w:val="clear" w:color="auto" w:fill="auto"/>
              <w:bidi w:val="0"/>
              <w:spacing w:before="0" w:after="0" w:line="240" w:lineRule="auto"/>
              <w:ind w:left="0" w:right="0" w:firstLine="880"/>
              <w:jc w:val="both"/>
              <w:rPr>
                <w:sz w:val="24"/>
                <w:szCs w:val="24"/>
              </w:rPr>
            </w:pPr>
            <w:r>
              <w:rPr>
                <w:rFonts w:ascii="Times New Roman" w:eastAsia="Times New Roman" w:hAnsi="Times New Roman" w:cs="Times New Roman"/>
                <w:color w:val="000000"/>
                <w:spacing w:val="0"/>
                <w:w w:val="100"/>
                <w:position w:val="0"/>
                <w:sz w:val="24"/>
                <w:szCs w:val="24"/>
              </w:rPr>
              <w:t>395,751</w:t>
            </w:r>
          </w:p>
        </w:tc>
        <w:tc>
          <w:tcPr>
            <w:tcBorders/>
            <w:shd w:val="clear" w:color="auto" w:fill="FFFFFF"/>
            <w:vAlign w:val="bottom"/>
          </w:tcPr>
          <w:p>
            <w:pPr>
              <w:pStyle w:val="Style28"/>
              <w:keepNext w:val="0"/>
              <w:keepLines w:val="0"/>
              <w:framePr w:w="3749" w:h="9499" w:wrap="none" w:vAnchor="text" w:hAnchor="page" w:x="6893" w:y="2257"/>
              <w:widowControl w:val="0"/>
              <w:shd w:val="clear" w:color="auto" w:fill="auto"/>
              <w:bidi w:val="0"/>
              <w:spacing w:before="0" w:after="0" w:line="240" w:lineRule="auto"/>
              <w:ind w:left="0" w:right="0" w:firstLine="620"/>
              <w:jc w:val="both"/>
              <w:rPr>
                <w:sz w:val="24"/>
                <w:szCs w:val="24"/>
              </w:rPr>
            </w:pPr>
            <w:r>
              <w:rPr>
                <w:rFonts w:ascii="Times New Roman" w:eastAsia="Times New Roman" w:hAnsi="Times New Roman" w:cs="Times New Roman"/>
                <w:color w:val="000000"/>
                <w:spacing w:val="0"/>
                <w:w w:val="100"/>
                <w:position w:val="0"/>
                <w:sz w:val="24"/>
                <w:szCs w:val="24"/>
              </w:rPr>
              <w:t>401,388</w:t>
            </w:r>
          </w:p>
        </w:tc>
      </w:tr>
      <w:tr>
        <w:trPr>
          <w:trHeight w:val="293" w:hRule="exact"/>
        </w:trPr>
        <w:tc>
          <w:tcPr>
            <w:tcBorders/>
            <w:shd w:val="clear" w:color="auto" w:fill="FFFFFF"/>
            <w:vAlign w:val="bottom"/>
          </w:tcPr>
          <w:p>
            <w:pPr>
              <w:pStyle w:val="Style28"/>
              <w:keepNext w:val="0"/>
              <w:keepLines w:val="0"/>
              <w:framePr w:w="3749" w:h="9499" w:wrap="none" w:vAnchor="text" w:hAnchor="page" w:x="6893" w:y="2257"/>
              <w:widowControl w:val="0"/>
              <w:shd w:val="clear" w:color="auto" w:fill="auto"/>
              <w:bidi w:val="0"/>
              <w:spacing w:before="0" w:after="0" w:line="240" w:lineRule="auto"/>
              <w:ind w:left="0" w:right="0" w:firstLine="880"/>
              <w:jc w:val="both"/>
              <w:rPr>
                <w:sz w:val="24"/>
                <w:szCs w:val="24"/>
              </w:rPr>
            </w:pPr>
            <w:r>
              <w:rPr>
                <w:rFonts w:ascii="Times New Roman" w:eastAsia="Times New Roman" w:hAnsi="Times New Roman" w:cs="Times New Roman"/>
                <w:color w:val="000000"/>
                <w:spacing w:val="0"/>
                <w:w w:val="100"/>
                <w:position w:val="0"/>
                <w:sz w:val="24"/>
                <w:szCs w:val="24"/>
              </w:rPr>
              <w:t>100,034</w:t>
            </w:r>
          </w:p>
        </w:tc>
        <w:tc>
          <w:tcPr>
            <w:tcBorders/>
            <w:shd w:val="clear" w:color="auto" w:fill="FFFFFF"/>
            <w:vAlign w:val="bottom"/>
          </w:tcPr>
          <w:p>
            <w:pPr>
              <w:pStyle w:val="Style28"/>
              <w:keepNext w:val="0"/>
              <w:keepLines w:val="0"/>
              <w:framePr w:w="3749" w:h="9499" w:wrap="none" w:vAnchor="text" w:hAnchor="page" w:x="6893" w:y="2257"/>
              <w:widowControl w:val="0"/>
              <w:shd w:val="clear" w:color="auto" w:fill="auto"/>
              <w:bidi w:val="0"/>
              <w:spacing w:before="0" w:after="0" w:line="240" w:lineRule="auto"/>
              <w:ind w:left="0" w:right="0" w:firstLine="740"/>
              <w:jc w:val="both"/>
              <w:rPr>
                <w:sz w:val="24"/>
                <w:szCs w:val="24"/>
              </w:rPr>
            </w:pPr>
            <w:r>
              <w:rPr>
                <w:rFonts w:ascii="Times New Roman" w:eastAsia="Times New Roman" w:hAnsi="Times New Roman" w:cs="Times New Roman"/>
                <w:color w:val="000000"/>
                <w:spacing w:val="0"/>
                <w:w w:val="100"/>
                <w:position w:val="0"/>
                <w:sz w:val="24"/>
                <w:szCs w:val="24"/>
              </w:rPr>
              <w:t>11,224</w:t>
            </w:r>
          </w:p>
        </w:tc>
      </w:tr>
      <w:tr>
        <w:trPr>
          <w:trHeight w:val="298" w:hRule="exact"/>
        </w:trPr>
        <w:tc>
          <w:tcPr>
            <w:tcBorders>
              <w:top w:val="single" w:sz="4"/>
              <w:bottom w:val="single" w:sz="4"/>
            </w:tcBorders>
            <w:shd w:val="clear" w:color="auto" w:fill="FFFFFF"/>
            <w:vAlign w:val="bottom"/>
          </w:tcPr>
          <w:p>
            <w:pPr>
              <w:pStyle w:val="Style28"/>
              <w:keepNext w:val="0"/>
              <w:keepLines w:val="0"/>
              <w:framePr w:w="3749" w:h="9499" w:wrap="none" w:vAnchor="text" w:hAnchor="page" w:x="6893" w:y="2257"/>
              <w:widowControl w:val="0"/>
              <w:shd w:val="clear" w:color="auto" w:fill="auto"/>
              <w:bidi w:val="0"/>
              <w:spacing w:before="0" w:after="0" w:line="240" w:lineRule="auto"/>
              <w:ind w:left="0" w:right="0" w:firstLine="880"/>
              <w:jc w:val="both"/>
              <w:rPr>
                <w:sz w:val="24"/>
                <w:szCs w:val="24"/>
              </w:rPr>
            </w:pPr>
            <w:r>
              <w:rPr>
                <w:rFonts w:ascii="Times New Roman" w:eastAsia="Times New Roman" w:hAnsi="Times New Roman" w:cs="Times New Roman"/>
                <w:color w:val="000000"/>
                <w:spacing w:val="0"/>
                <w:w w:val="100"/>
                <w:position w:val="0"/>
                <w:sz w:val="24"/>
                <w:szCs w:val="24"/>
              </w:rPr>
              <w:t>415,828</w:t>
            </w:r>
          </w:p>
        </w:tc>
        <w:tc>
          <w:tcPr>
            <w:tcBorders>
              <w:top w:val="single" w:sz="4"/>
              <w:bottom w:val="single" w:sz="4"/>
            </w:tcBorders>
            <w:shd w:val="clear" w:color="auto" w:fill="FFFFFF"/>
            <w:vAlign w:val="bottom"/>
          </w:tcPr>
          <w:p>
            <w:pPr>
              <w:pStyle w:val="Style28"/>
              <w:keepNext w:val="0"/>
              <w:keepLines w:val="0"/>
              <w:framePr w:w="3749" w:h="9499" w:wrap="none" w:vAnchor="text" w:hAnchor="page" w:x="6893" w:y="2257"/>
              <w:widowControl w:val="0"/>
              <w:shd w:val="clear" w:color="auto" w:fill="auto"/>
              <w:bidi w:val="0"/>
              <w:spacing w:before="0" w:after="0" w:line="240" w:lineRule="auto"/>
              <w:ind w:left="0" w:right="0" w:firstLine="620"/>
              <w:jc w:val="both"/>
              <w:rPr>
                <w:sz w:val="24"/>
                <w:szCs w:val="24"/>
              </w:rPr>
            </w:pPr>
            <w:r>
              <w:rPr>
                <w:rFonts w:ascii="Times New Roman" w:eastAsia="Times New Roman" w:hAnsi="Times New Roman" w:cs="Times New Roman"/>
                <w:color w:val="000000"/>
                <w:spacing w:val="0"/>
                <w:w w:val="100"/>
                <w:position w:val="0"/>
                <w:sz w:val="24"/>
                <w:szCs w:val="24"/>
              </w:rPr>
              <w:t>104,282</w:t>
            </w:r>
          </w:p>
        </w:tc>
      </w:tr>
    </w:tbl>
    <w:p>
      <w:pPr>
        <w:framePr w:w="3749" w:h="9499" w:wrap="none" w:vAnchor="text" w:hAnchor="page" w:x="6893" w:y="2257"/>
        <w:widowControl w:val="0"/>
        <w:spacing w:line="1"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94" w:line="1" w:lineRule="exact"/>
      </w:pPr>
    </w:p>
    <w:p>
      <w:pPr>
        <w:widowControl w:val="0"/>
        <w:spacing w:line="1" w:lineRule="exact"/>
        <w:sectPr>
          <w:footnotePr>
            <w:pos w:val="pageBottom"/>
            <w:numFmt w:val="decimal"/>
            <w:numRestart w:val="continuous"/>
          </w:footnotePr>
          <w:type w:val="continuous"/>
          <w:pgSz w:w="11900" w:h="16840"/>
          <w:pgMar w:top="1085" w:right="1259" w:bottom="1085" w:left="1766" w:header="0" w:footer="3" w:gutter="0"/>
          <w:cols w:space="720"/>
          <w:noEndnote/>
          <w:rtlGutter w:val="0"/>
          <w:docGrid w:linePitch="360"/>
        </w:sectPr>
      </w:pPr>
    </w:p>
    <w:p>
      <w:pPr>
        <w:pStyle w:val="Style32"/>
        <w:keepNext w:val="0"/>
        <w:keepLines w:val="0"/>
        <w:widowControl w:val="0"/>
        <w:shd w:val="clear" w:color="auto" w:fill="auto"/>
        <w:bidi w:val="0"/>
        <w:spacing w:before="0" w:after="0" w:line="240" w:lineRule="auto"/>
        <w:ind w:left="0" w:right="0" w:firstLine="640"/>
        <w:jc w:val="left"/>
        <w:rPr>
          <w:sz w:val="24"/>
          <w:szCs w:val="24"/>
        </w:rPr>
      </w:pPr>
      <w:r>
        <w:rPr>
          <w:b/>
          <w:bCs/>
          <w:color w:val="000000"/>
          <w:spacing w:val="0"/>
          <w:w w:val="100"/>
          <w:position w:val="0"/>
          <w:sz w:val="24"/>
          <w:szCs w:val="24"/>
        </w:rPr>
        <w:t>财务报表附注</w:t>
      </w:r>
    </w:p>
    <w:p>
      <w:pPr>
        <w:pStyle w:val="Style88"/>
        <w:keepNext/>
        <w:keepLines/>
        <w:widowControl w:val="0"/>
        <w:shd w:val="clear" w:color="auto" w:fill="auto"/>
        <w:bidi w:val="0"/>
        <w:spacing w:before="0" w:after="0" w:line="240" w:lineRule="auto"/>
        <w:ind w:left="0" w:right="0" w:firstLine="640"/>
        <w:jc w:val="left"/>
      </w:pPr>
      <w:bookmarkStart w:id="981" w:name="bookmark981"/>
      <w:bookmarkStart w:id="982" w:name="bookmark982"/>
      <w:bookmarkStart w:id="983" w:name="bookmark983"/>
      <w:r>
        <w:rPr>
          <w:color w:val="000000"/>
          <w:spacing w:val="0"/>
          <w:w w:val="100"/>
          <w:position w:val="0"/>
          <w:sz w:val="24"/>
          <w:szCs w:val="24"/>
        </w:rPr>
        <w:t>2016</w:t>
      </w:r>
      <w:r>
        <w:rPr>
          <w:rFonts w:ascii="SimSun" w:eastAsia="SimSun" w:hAnsi="SimSun" w:cs="SimSun"/>
          <w:b/>
          <w:bCs/>
          <w:color w:val="000000"/>
          <w:spacing w:val="0"/>
          <w:w w:val="100"/>
          <w:position w:val="0"/>
          <w:sz w:val="24"/>
          <w:szCs w:val="24"/>
        </w:rPr>
        <w:t>年度</w:t>
      </w:r>
      <w:bookmarkEnd w:id="981"/>
      <w:bookmarkEnd w:id="982"/>
      <w:bookmarkEnd w:id="983"/>
    </w:p>
    <w:p>
      <w:pPr>
        <w:pStyle w:val="Style32"/>
        <w:keepNext w:val="0"/>
        <w:keepLines w:val="0"/>
        <w:widowControl w:val="0"/>
        <w:shd w:val="clear" w:color="auto" w:fill="auto"/>
        <w:bidi w:val="0"/>
        <w:spacing w:before="0" w:after="260" w:line="240" w:lineRule="auto"/>
        <w:ind w:left="0" w:right="0" w:firstLine="640"/>
        <w:jc w:val="left"/>
        <w:rPr>
          <w:sz w:val="24"/>
          <w:szCs w:val="24"/>
        </w:rPr>
      </w:pPr>
      <w:r>
        <w:rPr>
          <w:rFonts w:ascii="Arial" w:eastAsia="Arial" w:hAnsi="Arial" w:cs="Arial"/>
          <w:color w:val="000000"/>
          <w:spacing w:val="0"/>
          <w:w w:val="100"/>
          <w:position w:val="0"/>
          <w:sz w:val="20"/>
          <w:szCs w:val="20"/>
        </w:rPr>
        <w:t>(</w:t>
      </w:r>
      <w:r>
        <w:rPr>
          <w:color w:val="000000"/>
          <w:spacing w:val="0"/>
          <w:w w:val="100"/>
          <w:position w:val="0"/>
          <w:sz w:val="20"/>
          <w:szCs w:val="20"/>
        </w:rPr>
        <w:t>除特别注明外，金额单位为人民币千元</w:t>
      </w:r>
      <w:r>
        <w:rPr>
          <w:color w:val="000000"/>
          <w:spacing w:val="0"/>
          <w:w w:val="100"/>
          <w:position w:val="0"/>
          <w:sz w:val="24"/>
          <w:szCs w:val="24"/>
        </w:rPr>
        <w:t>)</w:t>
      </w:r>
    </w:p>
    <w:p>
      <w:pPr>
        <w:pStyle w:val="Style32"/>
        <w:keepNext w:val="0"/>
        <w:keepLines w:val="0"/>
        <w:widowControl w:val="0"/>
        <w:shd w:val="clear" w:color="auto" w:fill="auto"/>
        <w:tabs>
          <w:tab w:pos="595" w:val="left"/>
        </w:tabs>
        <w:bidi w:val="0"/>
        <w:spacing w:before="0" w:after="260" w:line="240" w:lineRule="auto"/>
        <w:ind w:left="0" w:right="0" w:firstLine="0"/>
        <w:jc w:val="left"/>
        <w:rPr>
          <w:sz w:val="24"/>
          <w:szCs w:val="24"/>
        </w:rPr>
      </w:pPr>
      <w:r>
        <w:rPr>
          <w:b/>
          <w:bCs/>
          <w:color w:val="000000"/>
          <w:spacing w:val="0"/>
          <w:w w:val="100"/>
          <w:position w:val="0"/>
          <w:sz w:val="24"/>
          <w:szCs w:val="24"/>
        </w:rPr>
        <w:t>四</w:t>
        <w:tab/>
        <w:t>合并财务报表项目附注</w:t>
      </w:r>
      <w:r>
        <w:rPr>
          <w:rFonts w:ascii="Times New Roman" w:eastAsia="Times New Roman" w:hAnsi="Times New Roman" w:cs="Times New Roman"/>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4"/>
          <w:szCs w:val="24"/>
        </w:rPr>
        <w:t>)</w:t>
      </w:r>
    </w:p>
    <w:p>
      <w:pPr>
        <w:pStyle w:val="Style32"/>
        <w:keepNext w:val="0"/>
        <w:keepLines w:val="0"/>
        <w:widowControl w:val="0"/>
        <w:shd w:val="clear" w:color="auto" w:fill="auto"/>
        <w:bidi w:val="0"/>
        <w:spacing w:before="0" w:after="26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(49)</w:t>
      </w:r>
      <w:r>
        <w:rPr>
          <w:b/>
          <w:bCs/>
          <w:color w:val="000000"/>
          <w:spacing w:val="0"/>
          <w:w w:val="100"/>
          <w:position w:val="0"/>
          <w:sz w:val="24"/>
          <w:szCs w:val="24"/>
        </w:rPr>
        <w:t>费用按性质分类</w:t>
      </w:r>
    </w:p>
    <w:p>
      <w:pPr>
        <w:pStyle w:val="Style32"/>
        <w:keepNext w:val="0"/>
        <w:keepLines w:val="0"/>
        <w:widowControl w:val="0"/>
        <w:shd w:val="clear" w:color="auto" w:fill="auto"/>
        <w:bidi w:val="0"/>
        <w:spacing w:before="0" w:after="260" w:line="240" w:lineRule="auto"/>
        <w:ind w:left="0" w:right="0" w:firstLine="640"/>
        <w:jc w:val="left"/>
        <w:rPr>
          <w:sz w:val="24"/>
          <w:szCs w:val="24"/>
        </w:rPr>
      </w:pPr>
      <w:r>
        <w:rPr>
          <w:color w:val="000000"/>
          <w:spacing w:val="0"/>
          <w:w w:val="100"/>
          <w:position w:val="0"/>
          <w:sz w:val="24"/>
          <w:szCs w:val="24"/>
        </w:rPr>
        <w:t>利润表中的营业成本、销售费用和管理费用按照性质分类，列示如下:</w:t>
      </w:r>
    </w:p>
    <w:p>
      <w:pPr>
        <w:pStyle w:val="Style25"/>
        <w:keepNext w:val="0"/>
        <w:keepLines w:val="0"/>
        <w:widowControl w:val="0"/>
        <w:shd w:val="clear" w:color="auto" w:fill="auto"/>
        <w:tabs>
          <w:tab w:pos="1949" w:val="left"/>
        </w:tabs>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年度</w:t>
        <w:tab/>
      </w:r>
      <w:r>
        <w:rPr>
          <w:rFonts w:ascii="Times New Roman" w:eastAsia="Times New Roman" w:hAnsi="Times New Roman" w:cs="Times New Roman"/>
          <w:color w:val="000000"/>
          <w:spacing w:val="0"/>
          <w:w w:val="100"/>
          <w:position w:val="0"/>
          <w:sz w:val="24"/>
          <w:szCs w:val="24"/>
        </w:rPr>
        <w:t>2015</w:t>
      </w:r>
      <w:r>
        <w:rPr>
          <w:color w:val="000000"/>
          <w:spacing w:val="0"/>
          <w:w w:val="100"/>
          <w:position w:val="0"/>
          <w:sz w:val="24"/>
          <w:szCs w:val="24"/>
        </w:rPr>
        <w:t>年度</w:t>
      </w:r>
    </w:p>
    <w:tbl>
      <w:tblPr>
        <w:tblOverlap w:val="never"/>
        <w:jc w:val="right"/>
        <w:tblLayout w:type="fixed"/>
      </w:tblPr>
      <w:tblGrid>
        <w:gridCol w:w="4147"/>
        <w:gridCol w:w="2381"/>
        <w:gridCol w:w="1685"/>
      </w:tblGrid>
      <w:tr>
        <w:trPr>
          <w:trHeight w:val="312"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存货变动</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340" w:firstLine="0"/>
              <w:jc w:val="right"/>
              <w:rPr>
                <w:sz w:val="24"/>
                <w:szCs w:val="24"/>
              </w:rPr>
            </w:pPr>
            <w:r>
              <w:rPr>
                <w:rFonts w:ascii="Times New Roman" w:eastAsia="Times New Roman" w:hAnsi="Times New Roman" w:cs="Times New Roman"/>
                <w:color w:val="000000"/>
                <w:spacing w:val="0"/>
                <w:w w:val="100"/>
                <w:position w:val="0"/>
                <w:sz w:val="24"/>
                <w:szCs w:val="24"/>
              </w:rPr>
              <w:t>(652,882)</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80"/>
              <w:jc w:val="both"/>
              <w:rPr>
                <w:sz w:val="24"/>
                <w:szCs w:val="24"/>
              </w:rPr>
            </w:pPr>
            <w:r>
              <w:rPr>
                <w:rFonts w:ascii="Times New Roman" w:eastAsia="Times New Roman" w:hAnsi="Times New Roman" w:cs="Times New Roman"/>
                <w:color w:val="000000"/>
                <w:spacing w:val="0"/>
                <w:w w:val="100"/>
                <w:position w:val="0"/>
                <w:sz w:val="24"/>
                <w:szCs w:val="24"/>
              </w:rPr>
              <w:t>2,099,553</w:t>
            </w:r>
          </w:p>
        </w:tc>
      </w:tr>
      <w:tr>
        <w:trPr>
          <w:trHeight w:val="302"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耗用的原材料和安装维修用备件</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60"/>
              <w:jc w:val="left"/>
              <w:rPr>
                <w:sz w:val="24"/>
                <w:szCs w:val="24"/>
              </w:rPr>
            </w:pPr>
            <w:r>
              <w:rPr>
                <w:rFonts w:ascii="Times New Roman" w:eastAsia="Times New Roman" w:hAnsi="Times New Roman" w:cs="Times New Roman"/>
                <w:color w:val="000000"/>
                <w:spacing w:val="0"/>
                <w:w w:val="100"/>
                <w:position w:val="0"/>
                <w:sz w:val="24"/>
                <w:szCs w:val="24"/>
              </w:rPr>
              <w:t>126,156,928</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40"/>
              <w:jc w:val="both"/>
              <w:rPr>
                <w:sz w:val="24"/>
                <w:szCs w:val="24"/>
              </w:rPr>
            </w:pPr>
            <w:r>
              <w:rPr>
                <w:rFonts w:ascii="Times New Roman" w:eastAsia="Times New Roman" w:hAnsi="Times New Roman" w:cs="Times New Roman"/>
                <w:color w:val="000000"/>
                <w:spacing w:val="0"/>
                <w:w w:val="100"/>
                <w:position w:val="0"/>
                <w:sz w:val="24"/>
                <w:szCs w:val="24"/>
              </w:rPr>
              <w:t>110,379,388</w:t>
            </w:r>
          </w:p>
        </w:tc>
      </w:tr>
      <w:tr>
        <w:trPr>
          <w:trHeight w:val="312"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增加的房地产项目开发成本</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340" w:firstLine="0"/>
              <w:jc w:val="right"/>
              <w:rPr>
                <w:sz w:val="24"/>
                <w:szCs w:val="24"/>
              </w:rPr>
            </w:pPr>
            <w:r>
              <w:rPr>
                <w:rFonts w:ascii="Times New Roman" w:eastAsia="Times New Roman" w:hAnsi="Times New Roman" w:cs="Times New Roman"/>
                <w:color w:val="000000"/>
                <w:spacing w:val="0"/>
                <w:w w:val="100"/>
                <w:position w:val="0"/>
                <w:sz w:val="24"/>
                <w:szCs w:val="24"/>
              </w:rPr>
              <w:t>328,249</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60"/>
              <w:jc w:val="both"/>
              <w:rPr>
                <w:sz w:val="24"/>
                <w:szCs w:val="24"/>
              </w:rPr>
            </w:pPr>
            <w:r>
              <w:rPr>
                <w:rFonts w:ascii="Times New Roman" w:eastAsia="Times New Roman" w:hAnsi="Times New Roman" w:cs="Times New Roman"/>
                <w:color w:val="000000"/>
                <w:spacing w:val="0"/>
                <w:w w:val="100"/>
                <w:position w:val="0"/>
                <w:sz w:val="24"/>
                <w:szCs w:val="24"/>
              </w:rPr>
              <w:t>606,666</w:t>
            </w:r>
          </w:p>
        </w:tc>
      </w:tr>
      <w:tr>
        <w:trPr>
          <w:trHeight w:val="322"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职工薪酬费用</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000"/>
              <w:jc w:val="both"/>
              <w:rPr>
                <w:sz w:val="24"/>
                <w:szCs w:val="24"/>
              </w:rPr>
            </w:pPr>
            <w:r>
              <w:rPr>
                <w:rFonts w:ascii="Times New Roman" w:eastAsia="Times New Roman" w:hAnsi="Times New Roman" w:cs="Times New Roman"/>
                <w:color w:val="000000"/>
                <w:spacing w:val="0"/>
                <w:w w:val="100"/>
                <w:position w:val="0"/>
                <w:sz w:val="24"/>
                <w:szCs w:val="24"/>
              </w:rPr>
              <w:t>6,334,643</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80"/>
              <w:jc w:val="both"/>
              <w:rPr>
                <w:sz w:val="24"/>
                <w:szCs w:val="24"/>
              </w:rPr>
            </w:pPr>
            <w:r>
              <w:rPr>
                <w:rFonts w:ascii="Times New Roman" w:eastAsia="Times New Roman" w:hAnsi="Times New Roman" w:cs="Times New Roman"/>
                <w:color w:val="000000"/>
                <w:spacing w:val="0"/>
                <w:w w:val="100"/>
                <w:position w:val="0"/>
                <w:sz w:val="24"/>
                <w:szCs w:val="24"/>
              </w:rPr>
              <w:t>6,703,356</w:t>
            </w:r>
          </w:p>
        </w:tc>
      </w:tr>
      <w:tr>
        <w:trPr>
          <w:trHeight w:val="298"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租赁费</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000"/>
              <w:jc w:val="both"/>
              <w:rPr>
                <w:sz w:val="24"/>
                <w:szCs w:val="24"/>
              </w:rPr>
            </w:pPr>
            <w:r>
              <w:rPr>
                <w:rFonts w:ascii="Times New Roman" w:eastAsia="Times New Roman" w:hAnsi="Times New Roman" w:cs="Times New Roman"/>
                <w:color w:val="000000"/>
                <w:spacing w:val="0"/>
                <w:w w:val="100"/>
                <w:position w:val="0"/>
                <w:sz w:val="24"/>
                <w:szCs w:val="24"/>
              </w:rPr>
              <w:t>5,825,788</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80"/>
              <w:jc w:val="both"/>
              <w:rPr>
                <w:sz w:val="24"/>
                <w:szCs w:val="24"/>
              </w:rPr>
            </w:pPr>
            <w:r>
              <w:rPr>
                <w:rFonts w:ascii="Times New Roman" w:eastAsia="Times New Roman" w:hAnsi="Times New Roman" w:cs="Times New Roman"/>
                <w:color w:val="000000"/>
                <w:spacing w:val="0"/>
                <w:w w:val="100"/>
                <w:position w:val="0"/>
                <w:sz w:val="24"/>
                <w:szCs w:val="24"/>
              </w:rPr>
              <w:t>5,525,269</w:t>
            </w:r>
          </w:p>
        </w:tc>
      </w:tr>
      <w:tr>
        <w:trPr>
          <w:trHeight w:val="312"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广告费及市场推广费</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000"/>
              <w:jc w:val="both"/>
              <w:rPr>
                <w:sz w:val="24"/>
                <w:szCs w:val="24"/>
              </w:rPr>
            </w:pPr>
            <w:r>
              <w:rPr>
                <w:rFonts w:ascii="Times New Roman" w:eastAsia="Times New Roman" w:hAnsi="Times New Roman" w:cs="Times New Roman"/>
                <w:color w:val="000000"/>
                <w:spacing w:val="0"/>
                <w:w w:val="100"/>
                <w:position w:val="0"/>
                <w:sz w:val="24"/>
                <w:szCs w:val="24"/>
              </w:rPr>
              <w:t>3,213,898</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80"/>
              <w:jc w:val="both"/>
              <w:rPr>
                <w:sz w:val="24"/>
                <w:szCs w:val="24"/>
              </w:rPr>
            </w:pPr>
            <w:r>
              <w:rPr>
                <w:rFonts w:ascii="Times New Roman" w:eastAsia="Times New Roman" w:hAnsi="Times New Roman" w:cs="Times New Roman"/>
                <w:color w:val="000000"/>
                <w:spacing w:val="0"/>
                <w:w w:val="100"/>
                <w:position w:val="0"/>
                <w:sz w:val="24"/>
                <w:szCs w:val="24"/>
              </w:rPr>
              <w:t>2,963,255</w:t>
            </w:r>
          </w:p>
        </w:tc>
      </w:tr>
      <w:tr>
        <w:trPr>
          <w:trHeight w:val="317"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运输费用</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000"/>
              <w:jc w:val="both"/>
              <w:rPr>
                <w:sz w:val="24"/>
                <w:szCs w:val="24"/>
              </w:rPr>
            </w:pPr>
            <w:r>
              <w:rPr>
                <w:rFonts w:ascii="Times New Roman" w:eastAsia="Times New Roman" w:hAnsi="Times New Roman" w:cs="Times New Roman"/>
                <w:color w:val="000000"/>
                <w:spacing w:val="0"/>
                <w:w w:val="100"/>
                <w:position w:val="0"/>
                <w:sz w:val="24"/>
                <w:szCs w:val="24"/>
              </w:rPr>
              <w:t>1,864,247</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80"/>
              <w:jc w:val="both"/>
              <w:rPr>
                <w:sz w:val="24"/>
                <w:szCs w:val="24"/>
              </w:rPr>
            </w:pPr>
            <w:r>
              <w:rPr>
                <w:rFonts w:ascii="Times New Roman" w:eastAsia="Times New Roman" w:hAnsi="Times New Roman" w:cs="Times New Roman"/>
                <w:color w:val="000000"/>
                <w:spacing w:val="0"/>
                <w:w w:val="100"/>
                <w:position w:val="0"/>
                <w:sz w:val="24"/>
                <w:szCs w:val="24"/>
              </w:rPr>
              <w:t>1,443,951</w:t>
            </w:r>
          </w:p>
        </w:tc>
      </w:tr>
      <w:tr>
        <w:trPr>
          <w:trHeight w:val="322"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安装维修劳务支出</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340" w:firstLine="0"/>
              <w:jc w:val="right"/>
              <w:rPr>
                <w:sz w:val="24"/>
                <w:szCs w:val="24"/>
              </w:rPr>
            </w:pPr>
            <w:r>
              <w:rPr>
                <w:rFonts w:ascii="Times New Roman" w:eastAsia="Times New Roman" w:hAnsi="Times New Roman" w:cs="Times New Roman"/>
                <w:color w:val="000000"/>
                <w:spacing w:val="0"/>
                <w:w w:val="100"/>
                <w:position w:val="0"/>
                <w:sz w:val="24"/>
                <w:szCs w:val="24"/>
              </w:rPr>
              <w:t>996,288</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80"/>
              <w:jc w:val="both"/>
              <w:rPr>
                <w:sz w:val="24"/>
                <w:szCs w:val="24"/>
              </w:rPr>
            </w:pPr>
            <w:r>
              <w:rPr>
                <w:rFonts w:ascii="Times New Roman" w:eastAsia="Times New Roman" w:hAnsi="Times New Roman" w:cs="Times New Roman"/>
                <w:color w:val="000000"/>
                <w:spacing w:val="0"/>
                <w:w w:val="100"/>
                <w:position w:val="0"/>
                <w:sz w:val="24"/>
                <w:szCs w:val="24"/>
              </w:rPr>
              <w:t>1,040,056</w:t>
            </w:r>
          </w:p>
        </w:tc>
      </w:tr>
      <w:tr>
        <w:trPr>
          <w:trHeight w:val="312"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折旧费用</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340" w:firstLine="0"/>
              <w:jc w:val="right"/>
              <w:rPr>
                <w:sz w:val="24"/>
                <w:szCs w:val="24"/>
              </w:rPr>
            </w:pPr>
            <w:r>
              <w:rPr>
                <w:rFonts w:ascii="Times New Roman" w:eastAsia="Times New Roman" w:hAnsi="Times New Roman" w:cs="Times New Roman"/>
                <w:color w:val="000000"/>
                <w:spacing w:val="0"/>
                <w:w w:val="100"/>
                <w:position w:val="0"/>
                <w:sz w:val="24"/>
                <w:szCs w:val="24"/>
              </w:rPr>
              <w:t>872,496</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60"/>
              <w:jc w:val="both"/>
              <w:rPr>
                <w:sz w:val="24"/>
                <w:szCs w:val="24"/>
              </w:rPr>
            </w:pPr>
            <w:r>
              <w:rPr>
                <w:rFonts w:ascii="Times New Roman" w:eastAsia="Times New Roman" w:hAnsi="Times New Roman" w:cs="Times New Roman"/>
                <w:color w:val="000000"/>
                <w:spacing w:val="0"/>
                <w:w w:val="100"/>
                <w:position w:val="0"/>
                <w:sz w:val="24"/>
                <w:szCs w:val="24"/>
              </w:rPr>
              <w:t>886,983</w:t>
            </w:r>
          </w:p>
        </w:tc>
      </w:tr>
      <w:tr>
        <w:trPr>
          <w:trHeight w:val="302"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摊销费用</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340" w:firstLine="0"/>
              <w:jc w:val="right"/>
              <w:rPr>
                <w:sz w:val="24"/>
                <w:szCs w:val="24"/>
              </w:rPr>
            </w:pPr>
            <w:r>
              <w:rPr>
                <w:rFonts w:ascii="Times New Roman" w:eastAsia="Times New Roman" w:hAnsi="Times New Roman" w:cs="Times New Roman"/>
                <w:color w:val="000000"/>
                <w:spacing w:val="0"/>
                <w:w w:val="100"/>
                <w:position w:val="0"/>
                <w:sz w:val="24"/>
                <w:szCs w:val="24"/>
              </w:rPr>
              <w:t>806,765</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80"/>
              <w:jc w:val="both"/>
              <w:rPr>
                <w:sz w:val="24"/>
                <w:szCs w:val="24"/>
              </w:rPr>
            </w:pPr>
            <w:r>
              <w:rPr>
                <w:rFonts w:ascii="Times New Roman" w:eastAsia="Times New Roman" w:hAnsi="Times New Roman" w:cs="Times New Roman"/>
                <w:color w:val="000000"/>
                <w:spacing w:val="0"/>
                <w:w w:val="100"/>
                <w:position w:val="0"/>
                <w:sz w:val="24"/>
                <w:szCs w:val="24"/>
              </w:rPr>
              <w:t>1,551,023</w:t>
            </w:r>
          </w:p>
        </w:tc>
      </w:tr>
      <w:tr>
        <w:trPr>
          <w:trHeight w:val="317"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水电能源费</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340" w:firstLine="0"/>
              <w:jc w:val="right"/>
              <w:rPr>
                <w:sz w:val="24"/>
                <w:szCs w:val="24"/>
              </w:rPr>
            </w:pPr>
            <w:r>
              <w:rPr>
                <w:rFonts w:ascii="Times New Roman" w:eastAsia="Times New Roman" w:hAnsi="Times New Roman" w:cs="Times New Roman"/>
                <w:color w:val="000000"/>
                <w:spacing w:val="0"/>
                <w:w w:val="100"/>
                <w:position w:val="0"/>
                <w:sz w:val="24"/>
                <w:szCs w:val="24"/>
              </w:rPr>
              <w:t>710,352</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60"/>
              <w:jc w:val="both"/>
              <w:rPr>
                <w:sz w:val="24"/>
                <w:szCs w:val="24"/>
              </w:rPr>
            </w:pPr>
            <w:r>
              <w:rPr>
                <w:rFonts w:ascii="Times New Roman" w:eastAsia="Times New Roman" w:hAnsi="Times New Roman" w:cs="Times New Roman"/>
                <w:color w:val="000000"/>
                <w:spacing w:val="0"/>
                <w:w w:val="100"/>
                <w:position w:val="0"/>
                <w:sz w:val="24"/>
                <w:szCs w:val="24"/>
              </w:rPr>
              <w:t>756,456</w:t>
            </w:r>
          </w:p>
        </w:tc>
      </w:tr>
      <w:tr>
        <w:trPr>
          <w:trHeight w:val="322"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办公费用</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340" w:firstLine="0"/>
              <w:jc w:val="right"/>
              <w:rPr>
                <w:sz w:val="24"/>
                <w:szCs w:val="24"/>
              </w:rPr>
            </w:pPr>
            <w:r>
              <w:rPr>
                <w:rFonts w:ascii="Times New Roman" w:eastAsia="Times New Roman" w:hAnsi="Times New Roman" w:cs="Times New Roman"/>
                <w:color w:val="000000"/>
                <w:spacing w:val="0"/>
                <w:w w:val="100"/>
                <w:position w:val="0"/>
                <w:sz w:val="24"/>
                <w:szCs w:val="24"/>
              </w:rPr>
              <w:t>366,403</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60"/>
              <w:jc w:val="both"/>
              <w:rPr>
                <w:sz w:val="24"/>
                <w:szCs w:val="24"/>
              </w:rPr>
            </w:pPr>
            <w:r>
              <w:rPr>
                <w:rFonts w:ascii="Times New Roman" w:eastAsia="Times New Roman" w:hAnsi="Times New Roman" w:cs="Times New Roman"/>
                <w:color w:val="000000"/>
                <w:spacing w:val="0"/>
                <w:w w:val="100"/>
                <w:position w:val="0"/>
                <w:sz w:val="24"/>
                <w:szCs w:val="24"/>
              </w:rPr>
              <w:t>340,453</w:t>
            </w:r>
          </w:p>
        </w:tc>
      </w:tr>
      <w:tr>
        <w:trPr>
          <w:trHeight w:val="302"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税费</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340" w:firstLine="0"/>
              <w:jc w:val="right"/>
              <w:rPr>
                <w:sz w:val="24"/>
                <w:szCs w:val="24"/>
              </w:rPr>
            </w:pPr>
            <w:r>
              <w:rPr>
                <w:rFonts w:ascii="Times New Roman" w:eastAsia="Times New Roman" w:hAnsi="Times New Roman" w:cs="Times New Roman"/>
                <w:color w:val="000000"/>
                <w:spacing w:val="0"/>
                <w:w w:val="100"/>
                <w:position w:val="0"/>
                <w:sz w:val="24"/>
                <w:szCs w:val="24"/>
              </w:rPr>
              <w:t>73,525</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60"/>
              <w:jc w:val="both"/>
              <w:rPr>
                <w:sz w:val="24"/>
                <w:szCs w:val="24"/>
              </w:rPr>
            </w:pPr>
            <w:r>
              <w:rPr>
                <w:rFonts w:ascii="Times New Roman" w:eastAsia="Times New Roman" w:hAnsi="Times New Roman" w:cs="Times New Roman"/>
                <w:color w:val="000000"/>
                <w:spacing w:val="0"/>
                <w:w w:val="100"/>
                <w:position w:val="0"/>
                <w:sz w:val="24"/>
                <w:szCs w:val="24"/>
              </w:rPr>
              <w:t>254,436</w:t>
            </w:r>
          </w:p>
        </w:tc>
      </w:tr>
      <w:tr>
        <w:trPr>
          <w:trHeight w:val="298"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促销费</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340" w:firstLine="0"/>
              <w:jc w:val="right"/>
              <w:rPr>
                <w:sz w:val="24"/>
                <w:szCs w:val="24"/>
              </w:rPr>
            </w:pPr>
            <w:r>
              <w:rPr>
                <w:rFonts w:ascii="Times New Roman" w:eastAsia="Times New Roman" w:hAnsi="Times New Roman" w:cs="Times New Roman"/>
                <w:color w:val="000000"/>
                <w:spacing w:val="0"/>
                <w:w w:val="100"/>
                <w:position w:val="0"/>
                <w:sz w:val="24"/>
                <w:szCs w:val="24"/>
              </w:rPr>
              <w:t>60,114</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22,117</w:t>
            </w:r>
          </w:p>
        </w:tc>
      </w:tr>
      <w:tr>
        <w:trPr>
          <w:trHeight w:val="312"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其他</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000"/>
              <w:jc w:val="both"/>
              <w:rPr>
                <w:sz w:val="24"/>
                <w:szCs w:val="24"/>
              </w:rPr>
            </w:pPr>
            <w:r>
              <w:rPr>
                <w:rFonts w:ascii="Times New Roman" w:eastAsia="Times New Roman" w:hAnsi="Times New Roman" w:cs="Times New Roman"/>
                <w:color w:val="000000"/>
                <w:spacing w:val="0"/>
                <w:w w:val="100"/>
                <w:position w:val="0"/>
                <w:sz w:val="24"/>
                <w:szCs w:val="24"/>
              </w:rPr>
              <w:t>1,688,417</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80"/>
              <w:jc w:val="both"/>
              <w:rPr>
                <w:sz w:val="24"/>
                <w:szCs w:val="24"/>
              </w:rPr>
            </w:pPr>
            <w:r>
              <w:rPr>
                <w:rFonts w:ascii="Times New Roman" w:eastAsia="Times New Roman" w:hAnsi="Times New Roman" w:cs="Times New Roman"/>
                <w:color w:val="000000"/>
                <w:spacing w:val="0"/>
                <w:w w:val="100"/>
                <w:position w:val="0"/>
                <w:sz w:val="24"/>
                <w:szCs w:val="24"/>
              </w:rPr>
              <w:t>2,344,371</w:t>
            </w:r>
          </w:p>
        </w:tc>
      </w:tr>
      <w:tr>
        <w:trPr>
          <w:trHeight w:val="307" w:hRule="exact"/>
        </w:trPr>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60"/>
              <w:jc w:val="left"/>
              <w:rPr>
                <w:sz w:val="24"/>
                <w:szCs w:val="24"/>
              </w:rPr>
            </w:pPr>
            <w:r>
              <w:rPr>
                <w:rFonts w:ascii="Times New Roman" w:eastAsia="Times New Roman" w:hAnsi="Times New Roman" w:cs="Times New Roman"/>
                <w:color w:val="000000"/>
                <w:spacing w:val="0"/>
                <w:w w:val="100"/>
                <w:position w:val="0"/>
                <w:sz w:val="24"/>
                <w:szCs w:val="24"/>
              </w:rPr>
              <w:t>148,645,231</w:t>
            </w:r>
          </w:p>
        </w:tc>
        <w:tc>
          <w:tcPr>
            <w:tcBorders>
              <w:top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40"/>
              <w:jc w:val="both"/>
              <w:rPr>
                <w:sz w:val="24"/>
                <w:szCs w:val="24"/>
              </w:rPr>
            </w:pPr>
            <w:r>
              <w:rPr>
                <w:rFonts w:ascii="Times New Roman" w:eastAsia="Times New Roman" w:hAnsi="Times New Roman" w:cs="Times New Roman"/>
                <w:color w:val="000000"/>
                <w:spacing w:val="0"/>
                <w:w w:val="100"/>
                <w:position w:val="0"/>
                <w:sz w:val="24"/>
                <w:szCs w:val="24"/>
              </w:rPr>
              <w:t>136,917,333</w:t>
            </w:r>
          </w:p>
        </w:tc>
      </w:tr>
    </w:tbl>
    <w:p>
      <w:pPr>
        <w:widowControl w:val="0"/>
        <w:spacing w:after="259" w:line="1" w:lineRule="exact"/>
      </w:pPr>
    </w:p>
    <w:p>
      <w:pPr>
        <w:pStyle w:val="Style32"/>
        <w:keepNext w:val="0"/>
        <w:keepLines w:val="0"/>
        <w:widowControl w:val="0"/>
        <w:shd w:val="clear" w:color="auto" w:fill="auto"/>
        <w:bidi w:val="0"/>
        <w:spacing w:before="0" w:after="26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(50)</w:t>
      </w:r>
      <w:r>
        <w:rPr>
          <w:b/>
          <w:bCs/>
          <w:color w:val="000000"/>
          <w:spacing w:val="0"/>
          <w:w w:val="100"/>
          <w:position w:val="0"/>
          <w:sz w:val="24"/>
          <w:szCs w:val="24"/>
        </w:rPr>
        <w:t>公允价值变动损失</w:t>
      </w:r>
    </w:p>
    <w:p>
      <w:pPr>
        <w:pStyle w:val="Style25"/>
        <w:keepNext w:val="0"/>
        <w:keepLines w:val="0"/>
        <w:widowControl w:val="0"/>
        <w:shd w:val="clear" w:color="auto" w:fill="auto"/>
        <w:tabs>
          <w:tab w:pos="1949" w:val="left"/>
        </w:tabs>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年度</w:t>
        <w:tab/>
      </w:r>
      <w:r>
        <w:rPr>
          <w:rFonts w:ascii="Times New Roman" w:eastAsia="Times New Roman" w:hAnsi="Times New Roman" w:cs="Times New Roman"/>
          <w:color w:val="000000"/>
          <w:spacing w:val="0"/>
          <w:w w:val="100"/>
          <w:position w:val="0"/>
          <w:sz w:val="24"/>
          <w:szCs w:val="24"/>
        </w:rPr>
        <w:t>2015</w:t>
      </w:r>
      <w:r>
        <w:rPr>
          <w:color w:val="000000"/>
          <w:spacing w:val="0"/>
          <w:w w:val="100"/>
          <w:position w:val="0"/>
          <w:sz w:val="24"/>
          <w:szCs w:val="24"/>
        </w:rPr>
        <w:t>年度</w:t>
      </w:r>
    </w:p>
    <w:tbl>
      <w:tblPr>
        <w:tblOverlap w:val="never"/>
        <w:jc w:val="center"/>
        <w:tblLayout w:type="fixed"/>
      </w:tblPr>
      <w:tblGrid>
        <w:gridCol w:w="4848"/>
        <w:gridCol w:w="1901"/>
        <w:gridCol w:w="1363"/>
      </w:tblGrid>
      <w:tr>
        <w:trPr>
          <w:trHeight w:val="293" w:hRule="exact"/>
        </w:trPr>
        <w:tc>
          <w:tcPr>
            <w:gridSpan w:val="3"/>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以公允价值计量且其变动计入当期损益的</w:t>
            </w:r>
          </w:p>
        </w:tc>
      </w:tr>
      <w:tr>
        <w:trPr>
          <w:trHeight w:val="322"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20"/>
              <w:jc w:val="left"/>
              <w:rPr>
                <w:sz w:val="24"/>
                <w:szCs w:val="24"/>
              </w:rPr>
            </w:pPr>
            <w:r>
              <w:rPr>
                <w:color w:val="000000"/>
                <w:spacing w:val="0"/>
                <w:w w:val="100"/>
                <w:position w:val="0"/>
                <w:sz w:val="24"/>
                <w:szCs w:val="24"/>
              </w:rPr>
              <w:t>金融资产</w:t>
            </w:r>
            <w:r>
              <w:rPr>
                <w:rFonts w:ascii="Times New Roman" w:eastAsia="Times New Roman" w:hAnsi="Times New Roman" w:cs="Times New Roman"/>
                <w:color w:val="000000"/>
                <w:spacing w:val="0"/>
                <w:w w:val="100"/>
                <w:position w:val="0"/>
                <w:sz w:val="24"/>
                <w:szCs w:val="24"/>
              </w:rPr>
              <w: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26"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left"/>
              <w:rPr>
                <w:sz w:val="24"/>
                <w:szCs w:val="24"/>
              </w:rPr>
            </w:pPr>
            <w:r>
              <w:rPr>
                <w:color w:val="000000"/>
                <w:spacing w:val="0"/>
                <w:w w:val="100"/>
                <w:position w:val="0"/>
                <w:sz w:val="24"/>
                <w:szCs w:val="24"/>
              </w:rPr>
              <w:t>理财产品</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4,855</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both"/>
              <w:rPr>
                <w:sz w:val="24"/>
                <w:szCs w:val="24"/>
              </w:rPr>
            </w:pPr>
            <w:r>
              <w:rPr>
                <w:rFonts w:ascii="Times New Roman" w:eastAsia="Times New Roman" w:hAnsi="Times New Roman" w:cs="Times New Roman"/>
                <w:color w:val="000000"/>
                <w:spacing w:val="0"/>
                <w:w w:val="100"/>
                <w:position w:val="0"/>
                <w:sz w:val="24"/>
                <w:szCs w:val="24"/>
              </w:rPr>
              <w:t>(67,217)</w:t>
            </w:r>
          </w:p>
        </w:tc>
      </w:tr>
      <w:tr>
        <w:trPr>
          <w:trHeight w:val="307"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left"/>
              <w:rPr>
                <w:sz w:val="24"/>
                <w:szCs w:val="24"/>
              </w:rPr>
            </w:pPr>
            <w:r>
              <w:rPr>
                <w:color w:val="000000"/>
                <w:spacing w:val="0"/>
                <w:w w:val="100"/>
                <w:position w:val="0"/>
                <w:sz w:val="24"/>
                <w:szCs w:val="24"/>
              </w:rPr>
              <w:t>新股预约权</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(20,132)</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17,599</w:t>
            </w:r>
          </w:p>
        </w:tc>
      </w:tr>
      <w:tr>
        <w:trPr>
          <w:trHeight w:val="298"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(15,277)</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both"/>
              <w:rPr>
                <w:sz w:val="24"/>
                <w:szCs w:val="24"/>
              </w:rPr>
            </w:pPr>
            <w:r>
              <w:rPr>
                <w:rFonts w:ascii="Times New Roman" w:eastAsia="Times New Roman" w:hAnsi="Times New Roman" w:cs="Times New Roman"/>
                <w:color w:val="000000"/>
                <w:spacing w:val="0"/>
                <w:w w:val="100"/>
                <w:position w:val="0"/>
                <w:sz w:val="24"/>
                <w:szCs w:val="24"/>
              </w:rPr>
              <w:t>(49,618)</w:t>
            </w:r>
          </w:p>
        </w:tc>
      </w:tr>
    </w:tbl>
    <w:p>
      <w:pPr>
        <w:widowControl w:val="0"/>
        <w:spacing w:after="259" w:line="1" w:lineRule="exact"/>
      </w:pPr>
    </w:p>
    <w:p>
      <w:pPr>
        <w:widowControl w:val="0"/>
        <w:spacing w:line="1" w:lineRule="exact"/>
      </w:pPr>
    </w:p>
    <w:tbl>
      <w:tblPr>
        <w:tblOverlap w:val="never"/>
        <w:jc w:val="center"/>
        <w:tblLayout w:type="fixed"/>
      </w:tblPr>
      <w:tblGrid>
        <w:gridCol w:w="4877"/>
        <w:gridCol w:w="1944"/>
        <w:gridCol w:w="1402"/>
      </w:tblGrid>
      <w:tr>
        <w:trPr>
          <w:trHeight w:val="293" w:hRule="exact"/>
        </w:trPr>
        <w:tc>
          <w:tcPr>
            <w:gridSpan w:val="3"/>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以公允价值计量且其变动计入当期损益的</w:t>
            </w:r>
          </w:p>
        </w:tc>
      </w:tr>
      <w:tr>
        <w:trPr>
          <w:trHeight w:val="768"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left"/>
              <w:rPr>
                <w:sz w:val="24"/>
                <w:szCs w:val="24"/>
              </w:rPr>
            </w:pPr>
            <w:r>
              <w:rPr>
                <w:color w:val="000000"/>
                <w:spacing w:val="0"/>
                <w:w w:val="100"/>
                <w:position w:val="0"/>
                <w:sz w:val="24"/>
                <w:szCs w:val="24"/>
              </w:rPr>
              <w:t>金融负债</w:t>
            </w:r>
            <w:r>
              <w:rPr>
                <w:rFonts w:ascii="Times New Roman" w:eastAsia="Times New Roman" w:hAnsi="Times New Roman" w:cs="Times New Roman"/>
                <w:color w:val="000000"/>
                <w:spacing w:val="0"/>
                <w:w w:val="100"/>
                <w:position w:val="0"/>
                <w:sz w:val="24"/>
                <w:szCs w:val="24"/>
              </w:rPr>
              <w:t>-</w:t>
            </w:r>
          </w:p>
          <w:p>
            <w:pPr>
              <w:pStyle w:val="Style28"/>
              <w:keepNext w:val="0"/>
              <w:keepLines w:val="0"/>
              <w:widowControl w:val="0"/>
              <w:shd w:val="clear" w:color="auto" w:fill="auto"/>
              <w:tabs>
                <w:tab w:pos="4464" w:val="left"/>
              </w:tabs>
              <w:bidi w:val="0"/>
              <w:spacing w:before="0" w:after="0" w:line="240" w:lineRule="auto"/>
              <w:ind w:left="0" w:right="0" w:firstLine="240"/>
              <w:jc w:val="left"/>
              <w:rPr>
                <w:sz w:val="24"/>
                <w:szCs w:val="24"/>
              </w:rPr>
            </w:pPr>
            <w:r>
              <w:rPr>
                <w:color w:val="000000"/>
                <w:spacing w:val="0"/>
                <w:w w:val="100"/>
                <w:position w:val="0"/>
                <w:sz w:val="24"/>
                <w:szCs w:val="24"/>
              </w:rPr>
              <w:t>投资者回售选择权</w:t>
              <w:tab/>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(23,740)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40"/>
              <w:jc w:val="both"/>
              <w:rPr>
                <w:sz w:val="24"/>
                <w:szCs w:val="24"/>
              </w:rPr>
            </w:pPr>
            <w:r>
              <w:rPr>
                <w:rFonts w:ascii="Times New Roman" w:eastAsia="Times New Roman" w:hAnsi="Times New Roman" w:cs="Times New Roman"/>
                <w:color w:val="000000"/>
                <w:spacing w:val="0"/>
                <w:w w:val="100"/>
                <w:position w:val="0"/>
                <w:sz w:val="24"/>
                <w:szCs w:val="24"/>
              </w:rPr>
              <w:t>58,020</w:t>
            </w:r>
          </w:p>
        </w:tc>
      </w:tr>
      <w:tr>
        <w:trPr>
          <w:trHeight w:val="461"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其他非流动负债</w:t>
            </w:r>
            <w:r>
              <w:rPr>
                <w:rFonts w:ascii="Times New Roman" w:eastAsia="Times New Roman" w:hAnsi="Times New Roman" w:cs="Times New Roman"/>
                <w:color w:val="000000"/>
                <w:spacing w:val="0"/>
                <w:w w:val="100"/>
                <w:position w:val="0"/>
                <w:sz w:val="24"/>
                <w:szCs w:val="24"/>
              </w:rPr>
              <w: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07"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left"/>
              <w:rPr>
                <w:sz w:val="24"/>
                <w:szCs w:val="24"/>
              </w:rPr>
            </w:pPr>
            <w:r>
              <w:rPr>
                <w:color w:val="000000"/>
                <w:spacing w:val="0"/>
                <w:w w:val="100"/>
                <w:position w:val="0"/>
                <w:sz w:val="24"/>
                <w:szCs w:val="24"/>
              </w:rPr>
              <w:t>远期外汇合同</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5,331</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(15,322)</w:t>
            </w:r>
          </w:p>
        </w:tc>
      </w:tr>
      <w:tr>
        <w:trPr>
          <w:trHeight w:val="341" w:hRule="exact"/>
        </w:trPr>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(33,686)</w:t>
            </w:r>
          </w:p>
        </w:tc>
        <w:tc>
          <w:tcPr>
            <w:tcBorders>
              <w:top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40"/>
              <w:jc w:val="both"/>
              <w:rPr>
                <w:sz w:val="24"/>
                <w:szCs w:val="24"/>
              </w:rPr>
            </w:pPr>
            <w:r>
              <w:rPr>
                <w:rFonts w:ascii="Times New Roman" w:eastAsia="Times New Roman" w:hAnsi="Times New Roman" w:cs="Times New Roman"/>
                <w:color w:val="000000"/>
                <w:spacing w:val="0"/>
                <w:w w:val="100"/>
                <w:position w:val="0"/>
                <w:sz w:val="24"/>
                <w:szCs w:val="24"/>
              </w:rPr>
              <w:t>(6,920)</w:t>
            </w:r>
          </w:p>
        </w:tc>
      </w:tr>
    </w:tbl>
    <w:p>
      <w:pPr>
        <w:pStyle w:val="Style32"/>
        <w:keepNext w:val="0"/>
        <w:keepLines w:val="0"/>
        <w:widowControl w:val="0"/>
        <w:shd w:val="clear" w:color="auto" w:fill="auto"/>
        <w:bidi w:val="0"/>
        <w:spacing w:before="0" w:after="0" w:line="288" w:lineRule="exact"/>
        <w:ind w:left="720" w:right="0" w:firstLine="40"/>
        <w:jc w:val="both"/>
        <w:rPr>
          <w:sz w:val="24"/>
          <w:szCs w:val="24"/>
        </w:rPr>
      </w:pPr>
      <w:r>
        <w:rPr>
          <w:b/>
          <w:bCs/>
          <w:color w:val="000000"/>
          <w:spacing w:val="0"/>
          <w:w w:val="100"/>
          <w:position w:val="0"/>
          <w:sz w:val="24"/>
          <w:szCs w:val="24"/>
        </w:rPr>
        <w:t xml:space="preserve">财务报表附注 </w:t>
      </w:r>
      <w:r>
        <w:rPr>
          <w:rFonts w:ascii="Arial" w:eastAsia="Arial" w:hAnsi="Arial" w:cs="Arial"/>
          <w:color w:val="000000"/>
          <w:spacing w:val="0"/>
          <w:w w:val="100"/>
          <w:position w:val="0"/>
          <w:sz w:val="24"/>
          <w:szCs w:val="24"/>
        </w:rPr>
        <w:t>2016</w:t>
      </w:r>
      <w:r>
        <w:rPr>
          <w:b/>
          <w:bCs/>
          <w:color w:val="000000"/>
          <w:spacing w:val="0"/>
          <w:w w:val="100"/>
          <w:position w:val="0"/>
          <w:sz w:val="24"/>
          <w:szCs w:val="24"/>
        </w:rPr>
        <w:t>年度</w:t>
      </w:r>
    </w:p>
    <w:p>
      <w:pPr>
        <w:pStyle w:val="Style32"/>
        <w:keepNext w:val="0"/>
        <w:keepLines w:val="0"/>
        <w:widowControl w:val="0"/>
        <w:shd w:val="clear" w:color="auto" w:fill="auto"/>
        <w:bidi w:val="0"/>
        <w:spacing w:before="0" w:after="280" w:line="240" w:lineRule="auto"/>
        <w:ind w:left="0" w:right="0" w:firstLine="720"/>
        <w:jc w:val="left"/>
        <w:rPr>
          <w:sz w:val="20"/>
          <w:szCs w:val="20"/>
        </w:rPr>
      </w:pPr>
      <w:r>
        <w:rPr>
          <w:rFonts w:ascii="Arial" w:eastAsia="Arial" w:hAnsi="Arial" w:cs="Arial"/>
          <w:color w:val="000000"/>
          <w:spacing w:val="0"/>
          <w:w w:val="100"/>
          <w:position w:val="0"/>
          <w:sz w:val="20"/>
          <w:szCs w:val="20"/>
        </w:rPr>
        <w:t>(</w:t>
      </w:r>
      <w:r>
        <w:rPr>
          <w:color w:val="000000"/>
          <w:spacing w:val="0"/>
          <w:w w:val="100"/>
          <w:position w:val="0"/>
          <w:sz w:val="20"/>
          <w:szCs w:val="20"/>
        </w:rPr>
        <w:t>除特别注明外，金额单位为人民币千元</w:t>
      </w:r>
      <w:r>
        <w:rPr>
          <w:rFonts w:ascii="Arial" w:eastAsia="Arial" w:hAnsi="Arial" w:cs="Arial"/>
          <w:color w:val="000000"/>
          <w:spacing w:val="0"/>
          <w:w w:val="100"/>
          <w:position w:val="0"/>
          <w:sz w:val="20"/>
          <w:szCs w:val="20"/>
        </w:rPr>
        <w:t>)</w:t>
      </w:r>
    </w:p>
    <w:p>
      <w:pPr>
        <w:pStyle w:val="Style32"/>
        <w:keepNext w:val="0"/>
        <w:keepLines w:val="0"/>
        <w:widowControl w:val="0"/>
        <w:shd w:val="clear" w:color="auto" w:fill="auto"/>
        <w:tabs>
          <w:tab w:pos="658" w:val="left"/>
        </w:tabs>
        <w:bidi w:val="0"/>
        <w:spacing w:before="0" w:after="280" w:line="240" w:lineRule="auto"/>
        <w:ind w:left="0" w:right="0" w:firstLine="0"/>
        <w:jc w:val="left"/>
        <w:rPr>
          <w:sz w:val="24"/>
          <w:szCs w:val="24"/>
        </w:rPr>
      </w:pPr>
      <w:r>
        <w:rPr>
          <w:b/>
          <w:bCs/>
          <w:color w:val="000000"/>
          <w:spacing w:val="0"/>
          <w:w w:val="100"/>
          <w:position w:val="0"/>
          <w:sz w:val="24"/>
          <w:szCs w:val="24"/>
        </w:rPr>
        <w:t>四</w:t>
        <w:tab/>
        <w:t>合并财务报表项目附注</w:t>
      </w:r>
      <w:r>
        <w:rPr>
          <w:rFonts w:ascii="Times New Roman" w:eastAsia="Times New Roman" w:hAnsi="Times New Roman" w:cs="Times New Roman"/>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4"/>
          <w:szCs w:val="24"/>
        </w:rPr>
        <w:t>)</w:t>
      </w:r>
    </w:p>
    <w:p>
      <w:pPr>
        <w:pStyle w:val="Style32"/>
        <w:keepNext w:val="0"/>
        <w:keepLines w:val="0"/>
        <w:widowControl w:val="0"/>
        <w:shd w:val="clear" w:color="auto" w:fill="auto"/>
        <w:bidi w:val="0"/>
        <w:spacing w:before="0" w:after="28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(51)</w:t>
      </w:r>
      <w:r>
        <w:rPr>
          <w:b/>
          <w:bCs/>
          <w:color w:val="000000"/>
          <w:spacing w:val="0"/>
          <w:w w:val="100"/>
          <w:position w:val="0"/>
          <w:sz w:val="24"/>
          <w:szCs w:val="24"/>
        </w:rPr>
        <w:t>投资收益</w:t>
      </w:r>
    </w:p>
    <w:p>
      <w:pPr>
        <w:pStyle w:val="Style53"/>
        <w:keepNext w:val="0"/>
        <w:keepLines w:val="0"/>
        <w:widowControl w:val="0"/>
        <w:shd w:val="clear" w:color="auto" w:fill="auto"/>
        <w:tabs>
          <w:tab w:pos="1843" w:val="left"/>
        </w:tabs>
        <w:bidi w:val="0"/>
        <w:spacing w:before="0" w:after="280" w:line="240" w:lineRule="auto"/>
        <w:ind w:left="0" w:right="0" w:firstLine="0"/>
        <w:jc w:val="right"/>
        <w:rPr>
          <w:sz w:val="24"/>
          <w:szCs w:val="24"/>
        </w:rPr>
      </w:pPr>
      <w:r>
        <w:rPr>
          <w:color w:val="000000"/>
          <w:spacing w:val="0"/>
          <w:w w:val="100"/>
          <w:position w:val="0"/>
          <w:sz w:val="24"/>
          <w:szCs w:val="24"/>
        </w:rPr>
        <w:t>2016</w:t>
      </w:r>
      <w:r>
        <w:rPr>
          <w:rFonts w:ascii="SimSun" w:eastAsia="SimSun" w:hAnsi="SimSun" w:cs="SimSun"/>
          <w:color w:val="000000"/>
          <w:spacing w:val="0"/>
          <w:w w:val="100"/>
          <w:position w:val="0"/>
          <w:sz w:val="24"/>
          <w:szCs w:val="24"/>
        </w:rPr>
        <w:t>年度</w:t>
        <w:tab/>
      </w:r>
      <w:r>
        <w:rPr>
          <w:color w:val="000000"/>
          <w:spacing w:val="0"/>
          <w:w w:val="100"/>
          <w:position w:val="0"/>
          <w:sz w:val="24"/>
          <w:szCs w:val="24"/>
        </w:rPr>
        <w:t>2015</w:t>
      </w:r>
      <w:r>
        <w:rPr>
          <w:rFonts w:ascii="SimSun" w:eastAsia="SimSun" w:hAnsi="SimSun" w:cs="SimSun"/>
          <w:color w:val="000000"/>
          <w:spacing w:val="0"/>
          <w:w w:val="100"/>
          <w:position w:val="0"/>
          <w:sz w:val="24"/>
          <w:szCs w:val="24"/>
        </w:rPr>
        <w:t>年度</w:t>
      </w:r>
    </w:p>
    <w:p>
      <w:pPr>
        <w:pStyle w:val="Style53"/>
        <w:keepNext w:val="0"/>
        <w:keepLines w:val="0"/>
        <w:widowControl w:val="0"/>
        <w:shd w:val="clear" w:color="auto" w:fill="auto"/>
        <w:tabs>
          <w:tab w:pos="5846" w:val="left"/>
          <w:tab w:pos="7819" w:val="left"/>
        </w:tabs>
        <w:bidi w:val="0"/>
        <w:spacing w:before="0" w:after="0" w:line="240" w:lineRule="auto"/>
        <w:ind w:left="0" w:right="0" w:firstLine="720"/>
        <w:jc w:val="both"/>
        <w:rPr>
          <w:sz w:val="24"/>
          <w:szCs w:val="24"/>
        </w:rPr>
      </w:pPr>
      <w:r>
        <w:rPr>
          <w:rFonts w:ascii="SimSun" w:eastAsia="SimSun" w:hAnsi="SimSun" w:cs="SimSun"/>
          <w:color w:val="000000"/>
          <w:spacing w:val="0"/>
          <w:w w:val="100"/>
          <w:position w:val="0"/>
          <w:sz w:val="24"/>
          <w:szCs w:val="24"/>
        </w:rPr>
        <w:t>处置子公司产生的投资收益</w:t>
      </w:r>
      <w:r>
        <w:rPr>
          <w:color w:val="000000"/>
          <w:spacing w:val="0"/>
          <w:w w:val="100"/>
          <w:position w:val="0"/>
          <w:sz w:val="24"/>
          <w:szCs w:val="24"/>
        </w:rPr>
        <w:t>(a)</w:t>
        <w:tab/>
      </w:r>
      <w:r>
        <w:rPr>
          <w:color w:val="000000"/>
          <w:spacing w:val="0"/>
          <w:w w:val="100"/>
          <w:position w:val="0"/>
          <w:sz w:val="24"/>
          <w:szCs w:val="24"/>
        </w:rPr>
        <w:t>1,304,071</w:t>
        <w:tab/>
        <w:t>1,447,503</w:t>
      </w:r>
    </w:p>
    <w:p>
      <w:pPr>
        <w:pStyle w:val="Style32"/>
        <w:keepNext w:val="0"/>
        <w:keepLines w:val="0"/>
        <w:widowControl w:val="0"/>
        <w:shd w:val="clear" w:color="auto" w:fill="auto"/>
        <w:tabs>
          <w:tab w:pos="6075" w:val="left"/>
          <w:tab w:pos="8060" w:val="left"/>
        </w:tabs>
        <w:bidi w:val="0"/>
        <w:spacing w:before="0" w:after="0" w:line="240" w:lineRule="auto"/>
        <w:ind w:left="0" w:right="0" w:firstLine="720"/>
        <w:jc w:val="both"/>
        <w:rPr>
          <w:sz w:val="24"/>
          <w:szCs w:val="24"/>
        </w:rPr>
      </w:pPr>
      <w:r>
        <w:rPr>
          <w:color w:val="000000"/>
          <w:spacing w:val="0"/>
          <w:w w:val="100"/>
          <w:position w:val="0"/>
          <w:sz w:val="24"/>
          <w:szCs w:val="24"/>
        </w:rPr>
        <w:t>处置可供出售金融资产取得的投资收益</w:t>
        <w:tab/>
      </w:r>
      <w:r>
        <w:rPr>
          <w:rFonts w:ascii="Times New Roman" w:eastAsia="Times New Roman" w:hAnsi="Times New Roman" w:cs="Times New Roman"/>
          <w:color w:val="000000"/>
          <w:spacing w:val="0"/>
          <w:w w:val="100"/>
          <w:position w:val="0"/>
          <w:sz w:val="24"/>
          <w:szCs w:val="24"/>
        </w:rPr>
        <w:t>220,428</w:t>
        <w:tab/>
        <w:t>62,398</w:t>
      </w:r>
    </w:p>
    <w:p>
      <w:pPr>
        <w:pStyle w:val="Style32"/>
        <w:keepNext w:val="0"/>
        <w:keepLines w:val="0"/>
        <w:widowControl w:val="0"/>
        <w:shd w:val="clear" w:color="auto" w:fill="auto"/>
        <w:bidi w:val="0"/>
        <w:spacing w:before="0" w:after="0" w:line="240" w:lineRule="auto"/>
        <w:ind w:left="0" w:right="0" w:firstLine="720"/>
        <w:jc w:val="both"/>
        <w:rPr>
          <w:sz w:val="24"/>
          <w:szCs w:val="24"/>
        </w:rPr>
      </w:pPr>
      <w:r>
        <w:rPr>
          <w:color w:val="000000"/>
          <w:spacing w:val="0"/>
          <w:w w:val="100"/>
          <w:position w:val="0"/>
          <w:sz w:val="24"/>
          <w:szCs w:val="24"/>
        </w:rPr>
        <w:t>处置以公允价值计量且其变动计入当期损益</w:t>
      </w:r>
    </w:p>
    <w:p>
      <w:pPr>
        <w:pStyle w:val="Style53"/>
        <w:keepNext w:val="0"/>
        <w:keepLines w:val="0"/>
        <w:widowControl w:val="0"/>
        <w:shd w:val="clear" w:color="auto" w:fill="auto"/>
        <w:tabs>
          <w:tab w:pos="6075" w:val="left"/>
          <w:tab w:pos="7819" w:val="left"/>
        </w:tabs>
        <w:bidi w:val="0"/>
        <w:spacing w:before="0" w:after="0" w:line="240" w:lineRule="auto"/>
        <w:ind w:left="0" w:right="0" w:firstLine="980"/>
        <w:jc w:val="left"/>
        <w:rPr>
          <w:sz w:val="24"/>
          <w:szCs w:val="24"/>
        </w:rPr>
      </w:pPr>
      <w:r>
        <w:rPr>
          <w:rFonts w:ascii="SimSun" w:eastAsia="SimSun" w:hAnsi="SimSun" w:cs="SimSun"/>
          <w:color w:val="000000"/>
          <w:spacing w:val="0"/>
          <w:w w:val="100"/>
          <w:position w:val="0"/>
          <w:sz w:val="24"/>
          <w:szCs w:val="24"/>
        </w:rPr>
        <w:t>的金融资产取得的投资收益</w:t>
        <w:tab/>
      </w:r>
      <w:r>
        <w:rPr>
          <w:color w:val="000000"/>
          <w:spacing w:val="0"/>
          <w:w w:val="100"/>
          <w:position w:val="0"/>
          <w:sz w:val="24"/>
          <w:szCs w:val="24"/>
        </w:rPr>
        <w:t>24,291</w:t>
        <w:tab/>
        <w:t>174,246</w:t>
      </w:r>
    </w:p>
    <w:p>
      <w:pPr>
        <w:pStyle w:val="Style32"/>
        <w:keepNext w:val="0"/>
        <w:keepLines w:val="0"/>
        <w:widowControl w:val="0"/>
        <w:shd w:val="clear" w:color="auto" w:fill="auto"/>
        <w:bidi w:val="0"/>
        <w:spacing w:before="0" w:after="0" w:line="240" w:lineRule="auto"/>
        <w:ind w:left="0" w:right="0" w:firstLine="720"/>
        <w:jc w:val="both"/>
        <w:rPr>
          <w:sz w:val="24"/>
          <w:szCs w:val="24"/>
        </w:rPr>
      </w:pPr>
      <w:r>
        <w:rPr>
          <w:color w:val="000000"/>
          <w:spacing w:val="0"/>
          <w:w w:val="100"/>
          <w:position w:val="0"/>
          <w:sz w:val="24"/>
          <w:szCs w:val="24"/>
        </w:rPr>
        <w:t>可供出售金融资产在持有期间取得的投资收</w:t>
      </w:r>
    </w:p>
    <w:p>
      <w:pPr>
        <w:pStyle w:val="Style53"/>
        <w:keepNext w:val="0"/>
        <w:keepLines w:val="0"/>
        <w:widowControl w:val="0"/>
        <w:shd w:val="clear" w:color="auto" w:fill="auto"/>
        <w:tabs>
          <w:tab w:pos="6370" w:val="left"/>
          <w:tab w:pos="8060" w:val="left"/>
        </w:tabs>
        <w:bidi w:val="0"/>
        <w:spacing w:before="0" w:after="0" w:line="240" w:lineRule="auto"/>
        <w:ind w:left="0" w:right="0" w:firstLine="980"/>
        <w:jc w:val="left"/>
        <w:rPr>
          <w:sz w:val="24"/>
          <w:szCs w:val="24"/>
        </w:rPr>
      </w:pPr>
      <w:r>
        <w:rPr>
          <w:rFonts w:ascii="SimSun" w:eastAsia="SimSun" w:hAnsi="SimSun" w:cs="SimSun"/>
          <w:color w:val="000000"/>
          <w:spacing w:val="0"/>
          <w:w w:val="100"/>
          <w:position w:val="0"/>
          <w:sz w:val="24"/>
          <w:szCs w:val="24"/>
        </w:rPr>
        <w:t>益</w:t>
        <w:tab/>
      </w:r>
      <w:r>
        <w:rPr>
          <w:color w:val="000000"/>
          <w:spacing w:val="0"/>
          <w:w w:val="100"/>
          <w:position w:val="0"/>
          <w:sz w:val="24"/>
          <w:szCs w:val="24"/>
        </w:rPr>
        <w:t>5,819</w:t>
        <w:tab/>
        <w:t>12,000</w:t>
      </w:r>
    </w:p>
    <w:p>
      <w:pPr>
        <w:pStyle w:val="Style53"/>
        <w:keepNext w:val="0"/>
        <w:keepLines w:val="0"/>
        <w:widowControl w:val="0"/>
        <w:shd w:val="clear" w:color="auto" w:fill="auto"/>
        <w:tabs>
          <w:tab w:pos="6075" w:val="left"/>
          <w:tab w:pos="7819" w:val="left"/>
        </w:tabs>
        <w:bidi w:val="0"/>
        <w:spacing w:before="0" w:after="0" w:line="240" w:lineRule="auto"/>
        <w:ind w:left="0" w:right="0" w:firstLine="720"/>
        <w:jc w:val="both"/>
        <w:rPr>
          <w:sz w:val="24"/>
          <w:szCs w:val="24"/>
        </w:rPr>
      </w:pPr>
      <w:r>
        <w:rPr>
          <w:rFonts w:ascii="SimSun" w:eastAsia="SimSun" w:hAnsi="SimSun" w:cs="SimSun"/>
          <w:color w:val="000000"/>
          <w:spacing w:val="0"/>
          <w:w w:val="100"/>
          <w:position w:val="0"/>
          <w:sz w:val="24"/>
          <w:szCs w:val="24"/>
        </w:rPr>
        <w:t>权益法核算的长期股权投资损失</w:t>
        <w:tab/>
      </w:r>
      <w:r>
        <w:rPr>
          <w:color w:val="000000"/>
          <w:spacing w:val="0"/>
          <w:w w:val="100"/>
          <w:position w:val="0"/>
          <w:sz w:val="24"/>
          <w:szCs w:val="24"/>
          <w:u w:val="single"/>
        </w:rPr>
        <w:t>(109,189)</w:t>
        <w:tab/>
        <w:t>(41,383)</w:t>
      </w:r>
    </w:p>
    <w:p>
      <w:pPr>
        <w:pStyle w:val="Style53"/>
        <w:keepNext w:val="0"/>
        <w:keepLines w:val="0"/>
        <w:widowControl w:val="0"/>
        <w:shd w:val="clear" w:color="auto" w:fill="auto"/>
        <w:tabs>
          <w:tab w:pos="1843" w:val="left"/>
        </w:tabs>
        <w:bidi w:val="0"/>
        <w:spacing w:before="0" w:after="280" w:line="240" w:lineRule="auto"/>
        <w:ind w:left="0" w:right="0" w:firstLine="0"/>
        <w:jc w:val="right"/>
        <w:rPr>
          <w:sz w:val="24"/>
          <w:szCs w:val="24"/>
        </w:rPr>
      </w:pPr>
      <w:r>
        <w:rPr>
          <w:color w:val="000000"/>
          <w:spacing w:val="0"/>
          <w:w w:val="100"/>
          <w:position w:val="0"/>
          <w:sz w:val="24"/>
          <w:szCs w:val="24"/>
          <w:u w:val="single"/>
        </w:rPr>
        <w:t>1,445,420</w:t>
        <w:tab/>
        <w:t>1,654,764</w:t>
      </w:r>
    </w:p>
    <w:p>
      <w:pPr>
        <w:pStyle w:val="Style32"/>
        <w:keepNext w:val="0"/>
        <w:keepLines w:val="0"/>
        <w:widowControl w:val="0"/>
        <w:shd w:val="clear" w:color="auto" w:fill="auto"/>
        <w:bidi w:val="0"/>
        <w:spacing w:before="0" w:after="280" w:line="315" w:lineRule="exact"/>
        <w:ind w:left="720" w:right="0" w:hanging="720"/>
        <w:jc w:val="both"/>
        <w:rPr>
          <w:sz w:val="24"/>
          <w:szCs w:val="24"/>
        </w:rPr>
      </w:pPr>
      <w:r>
        <w:rPr>
          <w:rFonts w:ascii="Times New Roman" w:eastAsia="Times New Roman" w:hAnsi="Times New Roman" w:cs="Times New Roman"/>
          <w:color w:val="000000"/>
          <w:spacing w:val="0"/>
          <w:w w:val="100"/>
          <w:position w:val="0"/>
          <w:sz w:val="24"/>
          <w:szCs w:val="24"/>
        </w:rPr>
        <w:t xml:space="preserve">(a) </w:t>
      </w:r>
      <w:r>
        <w:rPr>
          <w:color w:val="000000"/>
          <w:spacing w:val="0"/>
          <w:w w:val="100"/>
          <w:position w:val="0"/>
          <w:sz w:val="24"/>
          <w:szCs w:val="24"/>
        </w:rPr>
        <w:t>于</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月，本集团处置子公司北京京朝</w:t>
      </w:r>
      <w:r>
        <w:rPr>
          <w:rFonts w:ascii="Times New Roman" w:eastAsia="Times New Roman" w:hAnsi="Times New Roman" w:cs="Times New Roman"/>
          <w:color w:val="000000"/>
          <w:spacing w:val="0"/>
          <w:w w:val="100"/>
          <w:position w:val="0"/>
          <w:sz w:val="24"/>
          <w:szCs w:val="24"/>
        </w:rPr>
        <w:t>100%</w:t>
      </w:r>
      <w:r>
        <w:rPr>
          <w:color w:val="000000"/>
          <w:spacing w:val="0"/>
          <w:w w:val="100"/>
          <w:position w:val="0"/>
          <w:sz w:val="24"/>
          <w:szCs w:val="24"/>
        </w:rPr>
        <w:t>股权产生的收益约人民 币</w:t>
      </w:r>
      <w:r>
        <w:rPr>
          <w:rFonts w:ascii="Times New Roman" w:eastAsia="Times New Roman" w:hAnsi="Times New Roman" w:cs="Times New Roman"/>
          <w:color w:val="000000"/>
          <w:spacing w:val="0"/>
          <w:w w:val="100"/>
          <w:position w:val="0"/>
          <w:sz w:val="24"/>
          <w:szCs w:val="24"/>
        </w:rPr>
        <w:t>13.04</w:t>
      </w:r>
      <w:r>
        <w:rPr>
          <w:color w:val="000000"/>
          <w:spacing w:val="0"/>
          <w:w w:val="100"/>
          <w:position w:val="0"/>
          <w:sz w:val="24"/>
          <w:szCs w:val="24"/>
        </w:rPr>
        <w:t>亿元</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附注五</w:t>
      </w:r>
      <w:r>
        <w:rPr>
          <w:rFonts w:ascii="Times New Roman" w:eastAsia="Times New Roman" w:hAnsi="Times New Roman" w:cs="Times New Roman"/>
          <w:color w:val="000000"/>
          <w:spacing w:val="0"/>
          <w:w w:val="100"/>
          <w:position w:val="0"/>
          <w:sz w:val="24"/>
          <w:szCs w:val="24"/>
        </w:rPr>
        <w:t>(2)</w:t>
      </w:r>
      <w:r>
        <w:rPr>
          <w:rFonts w:ascii="Times New Roman" w:eastAsia="Times New Roman" w:hAnsi="Times New Roman" w:cs="Times New Roman"/>
          <w:color w:val="000000"/>
          <w:spacing w:val="0"/>
          <w:w w:val="100"/>
          <w:position w:val="0"/>
          <w:sz w:val="24"/>
          <w:szCs w:val="24"/>
        </w:rPr>
        <w:t>(b))</w:t>
      </w:r>
      <w:r>
        <w:rPr>
          <w:color w:val="000000"/>
          <w:spacing w:val="0"/>
          <w:w w:val="100"/>
          <w:position w:val="0"/>
          <w:sz w:val="24"/>
          <w:szCs w:val="24"/>
        </w:rPr>
        <w:t>。</w:t>
      </w:r>
      <w:r>
        <w:rPr>
          <w:color w:val="000000"/>
          <w:spacing w:val="0"/>
          <w:w w:val="100"/>
          <w:position w:val="0"/>
          <w:sz w:val="24"/>
          <w:szCs w:val="24"/>
        </w:rPr>
        <w:t>截止至</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日，本集团已收回转让 价款约人民币</w:t>
      </w:r>
      <w:r>
        <w:rPr>
          <w:rFonts w:ascii="Times New Roman" w:eastAsia="Times New Roman" w:hAnsi="Times New Roman" w:cs="Times New Roman"/>
          <w:color w:val="000000"/>
          <w:spacing w:val="0"/>
          <w:w w:val="100"/>
          <w:position w:val="0"/>
          <w:sz w:val="24"/>
          <w:szCs w:val="24"/>
        </w:rPr>
        <w:t>8.02</w:t>
      </w:r>
      <w:r>
        <w:rPr>
          <w:color w:val="000000"/>
          <w:spacing w:val="0"/>
          <w:w w:val="100"/>
          <w:position w:val="0"/>
          <w:sz w:val="24"/>
          <w:szCs w:val="24"/>
        </w:rPr>
        <w:t>亿元，剩余转让价款约人民币</w:t>
      </w:r>
      <w:r>
        <w:rPr>
          <w:rFonts w:ascii="Times New Roman" w:eastAsia="Times New Roman" w:hAnsi="Times New Roman" w:cs="Times New Roman"/>
          <w:color w:val="000000"/>
          <w:spacing w:val="0"/>
          <w:w w:val="100"/>
          <w:position w:val="0"/>
          <w:sz w:val="24"/>
          <w:szCs w:val="24"/>
        </w:rPr>
        <w:t>5.02</w:t>
      </w:r>
      <w:r>
        <w:rPr>
          <w:color w:val="000000"/>
          <w:spacing w:val="0"/>
          <w:w w:val="100"/>
          <w:position w:val="0"/>
          <w:sz w:val="24"/>
          <w:szCs w:val="24"/>
        </w:rPr>
        <w:t>亿元</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附注四</w:t>
      </w:r>
      <w:r>
        <w:rPr>
          <w:rFonts w:ascii="Times New Roman" w:eastAsia="Times New Roman" w:hAnsi="Times New Roman" w:cs="Times New Roman"/>
          <w:color w:val="000000"/>
          <w:spacing w:val="0"/>
          <w:w w:val="100"/>
          <w:position w:val="0"/>
          <w:sz w:val="24"/>
          <w:szCs w:val="24"/>
        </w:rPr>
        <w:t>(8)</w:t>
      </w:r>
      <w:r>
        <w:rPr>
          <w:color w:val="000000"/>
          <w:spacing w:val="0"/>
          <w:w w:val="100"/>
          <w:position w:val="0"/>
          <w:sz w:val="24"/>
          <w:szCs w:val="24"/>
        </w:rPr>
        <w:t>、附注 八</w:t>
      </w:r>
      <w:r>
        <w:rPr>
          <w:rFonts w:ascii="Times New Roman" w:eastAsia="Times New Roman" w:hAnsi="Times New Roman" w:cs="Times New Roman"/>
          <w:color w:val="000000"/>
          <w:spacing w:val="0"/>
          <w:w w:val="100"/>
          <w:position w:val="0"/>
          <w:sz w:val="24"/>
          <w:szCs w:val="24"/>
        </w:rPr>
        <w:t>(7))</w:t>
      </w:r>
      <w:r>
        <w:rPr>
          <w:color w:val="000000"/>
          <w:spacing w:val="0"/>
          <w:w w:val="100"/>
          <w:position w:val="0"/>
          <w:sz w:val="24"/>
          <w:szCs w:val="24"/>
        </w:rPr>
        <w:t>暂未收回。</w:t>
      </w:r>
    </w:p>
    <w:p>
      <w:pPr>
        <w:pStyle w:val="Style32"/>
        <w:keepNext w:val="0"/>
        <w:keepLines w:val="0"/>
        <w:widowControl w:val="0"/>
        <w:shd w:val="clear" w:color="auto" w:fill="auto"/>
        <w:bidi w:val="0"/>
        <w:spacing w:before="0" w:after="280" w:line="315" w:lineRule="exact"/>
        <w:ind w:left="0" w:right="0" w:firstLine="720"/>
        <w:jc w:val="both"/>
        <w:rPr>
          <w:sz w:val="24"/>
          <w:szCs w:val="24"/>
        </w:rPr>
      </w:pPr>
      <w:r>
        <w:rPr>
          <w:color w:val="000000"/>
          <w:spacing w:val="0"/>
          <w:w w:val="100"/>
          <w:position w:val="0"/>
          <w:sz w:val="24"/>
          <w:szCs w:val="24"/>
        </w:rPr>
        <w:t>本集团不存在投资收益汇回的重大限制。</w:t>
      </w:r>
    </w:p>
    <w:p>
      <w:pPr>
        <w:pStyle w:val="Style32"/>
        <w:keepNext w:val="0"/>
        <w:keepLines w:val="0"/>
        <w:widowControl w:val="0"/>
        <w:shd w:val="clear" w:color="auto" w:fill="auto"/>
        <w:bidi w:val="0"/>
        <w:spacing w:before="0" w:after="28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(52)</w:t>
      </w:r>
      <w:r>
        <w:rPr>
          <w:b/>
          <w:bCs/>
          <w:color w:val="000000"/>
          <w:spacing w:val="0"/>
          <w:w w:val="100"/>
          <w:position w:val="0"/>
          <w:sz w:val="24"/>
          <w:szCs w:val="24"/>
        </w:rPr>
        <w:t>资产减值损失</w:t>
      </w:r>
    </w:p>
    <w:tbl>
      <w:tblPr>
        <w:tblOverlap w:val="never"/>
        <w:jc w:val="right"/>
        <w:tblLayout w:type="fixed"/>
      </w:tblPr>
      <w:tblGrid>
        <w:gridCol w:w="3931"/>
        <w:gridCol w:w="2693"/>
        <w:gridCol w:w="1483"/>
      </w:tblGrid>
      <w:tr>
        <w:trPr>
          <w:trHeight w:val="437"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400" w:firstLine="0"/>
              <w:jc w:val="right"/>
              <w:rPr>
                <w:sz w:val="24"/>
                <w:szCs w:val="24"/>
              </w:rPr>
            </w:pP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年度</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2015</w:t>
            </w:r>
            <w:r>
              <w:rPr>
                <w:color w:val="000000"/>
                <w:spacing w:val="0"/>
                <w:w w:val="100"/>
                <w:position w:val="0"/>
                <w:sz w:val="24"/>
                <w:szCs w:val="24"/>
              </w:rPr>
              <w:t>年度</w:t>
            </w:r>
          </w:p>
        </w:tc>
      </w:tr>
      <w:tr>
        <w:trPr>
          <w:trHeight w:val="451"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坏账损失</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740" w:right="0" w:firstLine="0"/>
              <w:jc w:val="both"/>
              <w:rPr>
                <w:sz w:val="24"/>
                <w:szCs w:val="24"/>
              </w:rPr>
            </w:pPr>
            <w:r>
              <w:rPr>
                <w:rFonts w:ascii="Times New Roman" w:eastAsia="Times New Roman" w:hAnsi="Times New Roman" w:cs="Times New Roman"/>
                <w:color w:val="000000"/>
                <w:spacing w:val="0"/>
                <w:w w:val="100"/>
                <w:position w:val="0"/>
                <w:sz w:val="24"/>
                <w:szCs w:val="24"/>
              </w:rPr>
              <w:t>16,188</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28,962</w:t>
            </w:r>
          </w:p>
        </w:tc>
      </w:tr>
      <w:tr>
        <w:trPr>
          <w:trHeight w:val="307"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发放贷款及垫款减值损失</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740" w:right="0" w:firstLine="0"/>
              <w:jc w:val="both"/>
              <w:rPr>
                <w:sz w:val="24"/>
                <w:szCs w:val="24"/>
              </w:rPr>
            </w:pPr>
            <w:r>
              <w:rPr>
                <w:rFonts w:ascii="Times New Roman" w:eastAsia="Times New Roman" w:hAnsi="Times New Roman" w:cs="Times New Roman"/>
                <w:color w:val="000000"/>
                <w:spacing w:val="0"/>
                <w:w w:val="100"/>
                <w:position w:val="0"/>
                <w:sz w:val="24"/>
                <w:szCs w:val="24"/>
              </w:rPr>
              <w:t>2,033</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1,445</w:t>
            </w:r>
          </w:p>
        </w:tc>
      </w:tr>
      <w:tr>
        <w:trPr>
          <w:trHeight w:val="312"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存货跌价损失</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480" w:right="0" w:firstLine="0"/>
              <w:jc w:val="both"/>
              <w:rPr>
                <w:sz w:val="24"/>
                <w:szCs w:val="24"/>
              </w:rPr>
            </w:pPr>
            <w:r>
              <w:rPr>
                <w:rFonts w:ascii="Times New Roman" w:eastAsia="Times New Roman" w:hAnsi="Times New Roman" w:cs="Times New Roman"/>
                <w:color w:val="000000"/>
                <w:spacing w:val="0"/>
                <w:w w:val="100"/>
                <w:position w:val="0"/>
                <w:sz w:val="24"/>
                <w:szCs w:val="24"/>
              </w:rPr>
              <w:t>265,382</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160,798</w:t>
            </w:r>
          </w:p>
        </w:tc>
      </w:tr>
      <w:tr>
        <w:trPr>
          <w:trHeight w:val="307"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固定资产减值损失</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740" w:right="0" w:firstLine="0"/>
              <w:jc w:val="both"/>
              <w:rPr>
                <w:sz w:val="24"/>
                <w:szCs w:val="24"/>
              </w:rPr>
            </w:pPr>
            <w:r>
              <w:rPr>
                <w:rFonts w:ascii="Times New Roman" w:eastAsia="Times New Roman" w:hAnsi="Times New Roman" w:cs="Times New Roman"/>
                <w:color w:val="000000"/>
                <w:spacing w:val="0"/>
                <w:w w:val="100"/>
                <w:position w:val="0"/>
                <w:sz w:val="24"/>
                <w:szCs w:val="24"/>
              </w:rPr>
              <w:t>9,953</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6,882</w:t>
            </w:r>
          </w:p>
        </w:tc>
      </w:tr>
      <w:tr>
        <w:trPr>
          <w:trHeight w:val="312"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无形资产减值损失</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400" w:firstLine="0"/>
              <w:jc w:val="right"/>
              <w:rPr>
                <w:sz w:val="24"/>
                <w:szCs w:val="24"/>
              </w:rPr>
            </w:pPr>
            <w:r>
              <w:rPr>
                <w:rFonts w:ascii="Times New Roman" w:eastAsia="Times New Roman" w:hAnsi="Times New Roman" w:cs="Times New Roman"/>
                <w:color w:val="000000"/>
                <w:spacing w:val="0"/>
                <w:w w:val="100"/>
                <w:position w:val="0"/>
                <w:sz w:val="24"/>
                <w:szCs w:val="24"/>
              </w:rPr>
              <w:t>749</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w:t>
            </w:r>
          </w:p>
        </w:tc>
      </w:tr>
      <w:tr>
        <w:trPr>
          <w:trHeight w:val="317"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商誉减值损失</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620" w:right="0" w:firstLine="0"/>
              <w:jc w:val="both"/>
              <w:rPr>
                <w:sz w:val="24"/>
                <w:szCs w:val="24"/>
              </w:rPr>
            </w:pPr>
            <w:r>
              <w:rPr>
                <w:rFonts w:ascii="Times New Roman" w:eastAsia="Times New Roman" w:hAnsi="Times New Roman" w:cs="Times New Roman"/>
                <w:color w:val="000000"/>
                <w:spacing w:val="0"/>
                <w:w w:val="100"/>
                <w:position w:val="0"/>
                <w:sz w:val="24"/>
                <w:szCs w:val="24"/>
              </w:rPr>
              <w:t>56,194</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w:t>
            </w:r>
          </w:p>
        </w:tc>
      </w:tr>
      <w:tr>
        <w:trPr>
          <w:trHeight w:val="307" w:hRule="exact"/>
        </w:trPr>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480" w:right="0" w:firstLine="0"/>
              <w:jc w:val="both"/>
              <w:rPr>
                <w:sz w:val="24"/>
                <w:szCs w:val="24"/>
              </w:rPr>
            </w:pPr>
            <w:r>
              <w:rPr>
                <w:rFonts w:ascii="Times New Roman" w:eastAsia="Times New Roman" w:hAnsi="Times New Roman" w:cs="Times New Roman"/>
                <w:color w:val="000000"/>
                <w:spacing w:val="0"/>
                <w:w w:val="100"/>
                <w:position w:val="0"/>
                <w:sz w:val="24"/>
                <w:szCs w:val="24"/>
              </w:rPr>
              <w:t>350,499</w:t>
            </w:r>
          </w:p>
        </w:tc>
        <w:tc>
          <w:tcPr>
            <w:tcBorders>
              <w:top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198,087</w:t>
            </w:r>
          </w:p>
        </w:tc>
      </w:tr>
    </w:tbl>
    <w:p>
      <w:pPr>
        <w:pStyle w:val="Style32"/>
        <w:keepNext w:val="0"/>
        <w:keepLines w:val="0"/>
        <w:widowControl w:val="0"/>
        <w:shd w:val="clear" w:color="auto" w:fill="auto"/>
        <w:bidi w:val="0"/>
        <w:spacing w:before="0" w:after="0" w:line="240" w:lineRule="auto"/>
        <w:ind w:left="0" w:right="0" w:firstLine="720"/>
        <w:jc w:val="left"/>
        <w:rPr>
          <w:sz w:val="24"/>
          <w:szCs w:val="24"/>
        </w:rPr>
      </w:pPr>
      <w:r>
        <w:rPr>
          <w:b/>
          <w:bCs/>
          <w:color w:val="000000"/>
          <w:spacing w:val="0"/>
          <w:w w:val="100"/>
          <w:position w:val="0"/>
          <w:sz w:val="24"/>
          <w:szCs w:val="24"/>
        </w:rPr>
        <w:t>财务报表附注</w:t>
      </w:r>
    </w:p>
    <w:p>
      <w:pPr>
        <w:pStyle w:val="Style88"/>
        <w:keepNext/>
        <w:keepLines/>
        <w:widowControl w:val="0"/>
        <w:shd w:val="clear" w:color="auto" w:fill="auto"/>
        <w:bidi w:val="0"/>
        <w:spacing w:before="0" w:after="0" w:line="240" w:lineRule="auto"/>
        <w:ind w:left="0" w:right="0" w:firstLine="720"/>
        <w:jc w:val="left"/>
      </w:pPr>
      <w:bookmarkStart w:id="984" w:name="bookmark984"/>
      <w:bookmarkStart w:id="985" w:name="bookmark985"/>
      <w:bookmarkStart w:id="986" w:name="bookmark986"/>
      <w:r>
        <w:rPr>
          <w:color w:val="000000"/>
          <w:spacing w:val="0"/>
          <w:w w:val="100"/>
          <w:position w:val="0"/>
          <w:sz w:val="24"/>
          <w:szCs w:val="24"/>
        </w:rPr>
        <w:t>2016</w:t>
      </w:r>
      <w:r>
        <w:rPr>
          <w:rFonts w:ascii="SimSun" w:eastAsia="SimSun" w:hAnsi="SimSun" w:cs="SimSun"/>
          <w:b/>
          <w:bCs/>
          <w:color w:val="000000"/>
          <w:spacing w:val="0"/>
          <w:w w:val="100"/>
          <w:position w:val="0"/>
          <w:sz w:val="24"/>
          <w:szCs w:val="24"/>
        </w:rPr>
        <w:t>年度</w:t>
      </w:r>
      <w:bookmarkEnd w:id="984"/>
      <w:bookmarkEnd w:id="985"/>
      <w:bookmarkEnd w:id="986"/>
    </w:p>
    <w:p>
      <w:pPr>
        <w:pStyle w:val="Style32"/>
        <w:keepNext w:val="0"/>
        <w:keepLines w:val="0"/>
        <w:widowControl w:val="0"/>
        <w:shd w:val="clear" w:color="auto" w:fill="auto"/>
        <w:bidi w:val="0"/>
        <w:spacing w:before="0" w:after="260" w:line="240" w:lineRule="auto"/>
        <w:ind w:left="0" w:right="0" w:firstLine="720"/>
        <w:jc w:val="left"/>
        <w:rPr>
          <w:sz w:val="20"/>
          <w:szCs w:val="20"/>
        </w:rPr>
      </w:pPr>
      <w:r>
        <w:rPr>
          <w:rFonts w:ascii="Arial" w:eastAsia="Arial" w:hAnsi="Arial" w:cs="Arial"/>
          <w:color w:val="000000"/>
          <w:spacing w:val="0"/>
          <w:w w:val="100"/>
          <w:position w:val="0"/>
          <w:sz w:val="20"/>
          <w:szCs w:val="20"/>
        </w:rPr>
        <w:t>（</w:t>
      </w:r>
      <w:r>
        <w:rPr>
          <w:color w:val="000000"/>
          <w:spacing w:val="0"/>
          <w:w w:val="100"/>
          <w:position w:val="0"/>
          <w:sz w:val="20"/>
          <w:szCs w:val="20"/>
        </w:rPr>
        <w:t>除特别注明外，金额单位为人民币千元</w:t>
      </w:r>
      <w:r>
        <w:rPr>
          <w:rFonts w:ascii="Arial" w:eastAsia="Arial" w:hAnsi="Arial" w:cs="Arial"/>
          <w:color w:val="000000"/>
          <w:spacing w:val="0"/>
          <w:w w:val="100"/>
          <w:position w:val="0"/>
          <w:sz w:val="20"/>
          <w:szCs w:val="20"/>
        </w:rPr>
        <w:t>）</w:t>
      </w:r>
    </w:p>
    <w:p>
      <w:pPr>
        <w:pStyle w:val="Style32"/>
        <w:keepNext w:val="0"/>
        <w:keepLines w:val="0"/>
        <w:widowControl w:val="0"/>
        <w:shd w:val="clear" w:color="auto" w:fill="auto"/>
        <w:tabs>
          <w:tab w:pos="667" w:val="left"/>
        </w:tabs>
        <w:bidi w:val="0"/>
        <w:spacing w:before="0" w:after="260" w:line="240" w:lineRule="auto"/>
        <w:ind w:left="0" w:right="0" w:firstLine="0"/>
        <w:jc w:val="left"/>
        <w:rPr>
          <w:sz w:val="24"/>
          <w:szCs w:val="24"/>
        </w:rPr>
      </w:pPr>
      <w:r>
        <w:rPr>
          <w:b/>
          <w:bCs/>
          <w:color w:val="000000"/>
          <w:spacing w:val="0"/>
          <w:w w:val="100"/>
          <w:position w:val="0"/>
          <w:sz w:val="24"/>
          <w:szCs w:val="24"/>
        </w:rPr>
        <w:t>四</w:t>
        <w:tab/>
        <w:t>合并财务报表项目附注</w:t>
      </w:r>
      <w:r>
        <w:rPr>
          <w:rFonts w:ascii="Times New Roman" w:eastAsia="Times New Roman" w:hAnsi="Times New Roman" w:cs="Times New Roman"/>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4"/>
          <w:szCs w:val="24"/>
        </w:rPr>
        <w:t>）</w:t>
      </w:r>
    </w:p>
    <w:p>
      <w:pPr>
        <w:pStyle w:val="Style32"/>
        <w:keepNext w:val="0"/>
        <w:keepLines w:val="0"/>
        <w:widowControl w:val="0"/>
        <w:shd w:val="clear" w:color="auto" w:fill="auto"/>
        <w:tabs>
          <w:tab w:pos="667" w:val="left"/>
        </w:tabs>
        <w:bidi w:val="0"/>
        <w:spacing w:before="0" w:after="30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（53）</w:t>
        <w:tab/>
      </w:r>
      <w:r>
        <w:rPr>
          <w:b/>
          <w:bCs/>
          <w:color w:val="000000"/>
          <w:spacing w:val="0"/>
          <w:w w:val="100"/>
          <w:position w:val="0"/>
          <w:sz w:val="24"/>
          <w:szCs w:val="24"/>
        </w:rPr>
        <w:t>营业外收入</w:t>
      </w:r>
    </w:p>
    <w:p>
      <w:pPr>
        <w:pStyle w:val="Style32"/>
        <w:keepNext w:val="0"/>
        <w:keepLines w:val="0"/>
        <w:widowControl w:val="0"/>
        <w:shd w:val="clear" w:color="auto" w:fill="auto"/>
        <w:tabs>
          <w:tab w:pos="5267" w:val="left"/>
          <w:tab w:pos="7013" w:val="left"/>
        </w:tabs>
        <w:bidi w:val="0"/>
        <w:spacing w:before="0" w:after="300" w:line="288" w:lineRule="exact"/>
        <w:ind w:left="3720" w:right="0" w:firstLine="0"/>
        <w:jc w:val="right"/>
        <w:rPr>
          <w:sz w:val="24"/>
          <w:szCs w:val="24"/>
        </w:rPr>
      </w:pPr>
      <w:r>
        <w:rPr>
          <w:color w:val="000000"/>
          <w:spacing w:val="0"/>
          <w:w w:val="100"/>
          <w:position w:val="0"/>
          <w:sz w:val="24"/>
          <w:szCs w:val="24"/>
        </w:rPr>
        <w:t>计入</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 xml:space="preserve">年度非经 </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年度</w:t>
        <w:tab/>
      </w:r>
      <w:r>
        <w:rPr>
          <w:rFonts w:ascii="Times New Roman" w:eastAsia="Times New Roman" w:hAnsi="Times New Roman" w:cs="Times New Roman"/>
          <w:color w:val="000000"/>
          <w:spacing w:val="0"/>
          <w:w w:val="100"/>
          <w:position w:val="0"/>
          <w:sz w:val="24"/>
          <w:szCs w:val="24"/>
        </w:rPr>
        <w:t>2015</w:t>
      </w:r>
      <w:r>
        <w:rPr>
          <w:color w:val="000000"/>
          <w:spacing w:val="0"/>
          <w:w w:val="100"/>
          <w:position w:val="0"/>
          <w:sz w:val="24"/>
          <w:szCs w:val="24"/>
        </w:rPr>
        <w:t>年度</w:t>
        <w:tab/>
        <w:t>常性损益的金额</w:t>
      </w:r>
    </w:p>
    <w:p>
      <w:pPr>
        <w:pStyle w:val="Style53"/>
        <w:keepNext w:val="0"/>
        <w:keepLines w:val="0"/>
        <w:widowControl w:val="0"/>
        <w:shd w:val="clear" w:color="auto" w:fill="auto"/>
        <w:tabs>
          <w:tab w:pos="4776" w:val="right"/>
          <w:tab w:pos="6317" w:val="right"/>
          <w:tab w:pos="8730" w:val="right"/>
        </w:tabs>
        <w:bidi w:val="0"/>
        <w:spacing w:before="0" w:after="0" w:line="288" w:lineRule="exact"/>
        <w:ind w:left="0" w:right="0" w:firstLine="720"/>
        <w:jc w:val="both"/>
        <w:rPr>
          <w:sz w:val="24"/>
          <w:szCs w:val="24"/>
        </w:rPr>
      </w:pPr>
      <w:r>
        <w:rPr>
          <w:rFonts w:ascii="SimSun" w:eastAsia="SimSun" w:hAnsi="SimSun" w:cs="SimSun"/>
          <w:color w:val="000000"/>
          <w:spacing w:val="0"/>
          <w:w w:val="100"/>
          <w:position w:val="0"/>
          <w:sz w:val="24"/>
          <w:szCs w:val="24"/>
          <w:u w:val="single"/>
        </w:rPr>
        <w:t>非流动资产处置利得</w:t>
      </w:r>
      <w:r>
        <w:rPr>
          <w:color w:val="000000"/>
          <w:spacing w:val="0"/>
          <w:w w:val="100"/>
          <w:position w:val="0"/>
          <w:sz w:val="24"/>
          <w:szCs w:val="24"/>
          <w:u w:val="single"/>
        </w:rPr>
        <w:t>(a)</w:t>
        <w:tab/>
      </w:r>
      <w:r>
        <w:rPr>
          <w:color w:val="000000"/>
          <w:spacing w:val="0"/>
          <w:w w:val="100"/>
          <w:position w:val="0"/>
          <w:sz w:val="24"/>
          <w:szCs w:val="24"/>
          <w:u w:val="single"/>
        </w:rPr>
        <w:t>539,216</w:t>
        <w:tab/>
        <w:t>1,415,228</w:t>
        <w:tab/>
        <w:t>539,216</w:t>
      </w:r>
    </w:p>
    <w:p>
      <w:pPr>
        <w:pStyle w:val="Style53"/>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4776" w:val="right"/>
          <w:tab w:pos="6317" w:val="right"/>
          <w:tab w:pos="8730" w:val="right"/>
        </w:tabs>
        <w:bidi w:val="0"/>
        <w:spacing w:before="0" w:after="0" w:line="288" w:lineRule="exact"/>
        <w:ind w:left="0" w:right="0" w:firstLine="720"/>
        <w:jc w:val="both"/>
        <w:rPr>
          <w:sz w:val="24"/>
          <w:szCs w:val="24"/>
        </w:rPr>
      </w:pPr>
      <w:r>
        <w:rPr>
          <w:rFonts w:ascii="SimSun" w:eastAsia="SimSun" w:hAnsi="SimSun" w:cs="SimSun"/>
          <w:color w:val="000000"/>
          <w:spacing w:val="0"/>
          <w:w w:val="100"/>
          <w:position w:val="0"/>
          <w:sz w:val="24"/>
          <w:szCs w:val="24"/>
          <w:u w:val="single"/>
        </w:rPr>
        <w:t>其中：长期资产处置利得</w:t>
        <w:tab/>
      </w:r>
      <w:r>
        <w:rPr>
          <w:color w:val="000000"/>
          <w:spacing w:val="0"/>
          <w:w w:val="100"/>
          <w:position w:val="0"/>
          <w:sz w:val="24"/>
          <w:szCs w:val="24"/>
          <w:u w:val="single"/>
        </w:rPr>
        <w:t>539,216</w:t>
        <w:tab/>
        <w:t>1,415,228</w:t>
        <w:tab/>
        <w:t>539,216</w:t>
      </w:r>
    </w:p>
    <w:p>
      <w:pPr>
        <w:pStyle w:val="Style53"/>
        <w:keepNext w:val="0"/>
        <w:keepLines w:val="0"/>
        <w:widowControl w:val="0"/>
        <w:shd w:val="clear" w:color="auto" w:fill="auto"/>
        <w:tabs>
          <w:tab w:pos="4776" w:val="right"/>
          <w:tab w:pos="6317" w:val="right"/>
          <w:tab w:pos="8730" w:val="right"/>
        </w:tabs>
        <w:bidi w:val="0"/>
        <w:spacing w:before="0" w:after="0" w:line="288" w:lineRule="exact"/>
        <w:ind w:left="0" w:right="0" w:firstLine="720"/>
        <w:jc w:val="both"/>
        <w:rPr>
          <w:sz w:val="24"/>
          <w:szCs w:val="24"/>
        </w:rPr>
      </w:pPr>
      <w:r>
        <w:rPr>
          <w:rFonts w:ascii="SimSun" w:eastAsia="SimSun" w:hAnsi="SimSun" w:cs="SimSun"/>
          <w:color w:val="000000"/>
          <w:spacing w:val="0"/>
          <w:w w:val="100"/>
          <w:position w:val="0"/>
          <w:sz w:val="24"/>
          <w:szCs w:val="24"/>
        </w:rPr>
        <w:t>政府补助</w:t>
      </w:r>
      <w:r>
        <w:rPr>
          <w:color w:val="000000"/>
          <w:spacing w:val="0"/>
          <w:w w:val="100"/>
          <w:position w:val="0"/>
          <w:sz w:val="24"/>
          <w:szCs w:val="24"/>
        </w:rPr>
        <w:t>(b)</w:t>
        <w:tab/>
      </w:r>
      <w:r>
        <w:rPr>
          <w:color w:val="000000"/>
          <w:spacing w:val="0"/>
          <w:w w:val="100"/>
          <w:position w:val="0"/>
          <w:sz w:val="24"/>
          <w:szCs w:val="24"/>
        </w:rPr>
        <w:t>381,148</w:t>
        <w:tab/>
        <w:t>158,850</w:t>
        <w:tab/>
        <w:t>381,148</w:t>
      </w:r>
    </w:p>
    <w:p>
      <w:pPr>
        <w:pStyle w:val="Style53"/>
        <w:keepNext w:val="0"/>
        <w:keepLines w:val="0"/>
        <w:widowControl w:val="0"/>
        <w:shd w:val="clear" w:color="auto" w:fill="auto"/>
        <w:tabs>
          <w:tab w:pos="4776" w:val="right"/>
          <w:tab w:pos="6317" w:val="right"/>
          <w:tab w:pos="8730" w:val="right"/>
        </w:tabs>
        <w:bidi w:val="0"/>
        <w:spacing w:before="0" w:after="0" w:line="288" w:lineRule="exact"/>
        <w:ind w:left="0" w:right="0" w:firstLine="720"/>
        <w:jc w:val="both"/>
        <w:rPr>
          <w:sz w:val="24"/>
          <w:szCs w:val="24"/>
        </w:rPr>
      </w:pPr>
      <w:r>
        <w:rPr>
          <w:rFonts w:ascii="SimSun" w:eastAsia="SimSun" w:hAnsi="SimSun" w:cs="SimSun"/>
          <w:color w:val="000000"/>
          <w:spacing w:val="0"/>
          <w:w w:val="100"/>
          <w:position w:val="0"/>
          <w:sz w:val="24"/>
          <w:szCs w:val="24"/>
        </w:rPr>
        <w:t>负商誉</w:t>
      </w:r>
      <w:r>
        <w:rPr>
          <w:color w:val="000000"/>
          <w:spacing w:val="0"/>
          <w:w w:val="100"/>
          <w:position w:val="0"/>
          <w:sz w:val="24"/>
          <w:szCs w:val="24"/>
        </w:rPr>
        <w:t>(</w:t>
      </w:r>
      <w:r>
        <w:rPr>
          <w:rFonts w:ascii="SimSun" w:eastAsia="SimSun" w:hAnsi="SimSun" w:cs="SimSun"/>
          <w:color w:val="000000"/>
          <w:spacing w:val="0"/>
          <w:w w:val="100"/>
          <w:position w:val="0"/>
          <w:sz w:val="24"/>
          <w:szCs w:val="24"/>
        </w:rPr>
        <w:t>附注五</w:t>
      </w:r>
      <w:r>
        <w:rPr>
          <w:color w:val="000000"/>
          <w:spacing w:val="0"/>
          <w:w w:val="100"/>
          <w:position w:val="0"/>
          <w:sz w:val="24"/>
          <w:szCs w:val="24"/>
        </w:rPr>
        <w:t>(1)(b))</w:t>
        <w:tab/>
      </w:r>
      <w:r>
        <w:rPr>
          <w:color w:val="000000"/>
          <w:spacing w:val="0"/>
          <w:w w:val="100"/>
          <w:position w:val="0"/>
          <w:sz w:val="24"/>
          <w:szCs w:val="24"/>
        </w:rPr>
        <w:t>31,306</w:t>
        <w:tab/>
        <w:t>7,661</w:t>
        <w:tab/>
        <w:t>31,306</w:t>
      </w:r>
    </w:p>
    <w:p>
      <w:pPr>
        <w:pStyle w:val="Style53"/>
        <w:keepNext w:val="0"/>
        <w:keepLines w:val="0"/>
        <w:widowControl w:val="0"/>
        <w:shd w:val="clear" w:color="auto" w:fill="auto"/>
        <w:tabs>
          <w:tab w:pos="4776" w:val="right"/>
          <w:tab w:pos="6317" w:val="right"/>
          <w:tab w:pos="8730" w:val="right"/>
        </w:tabs>
        <w:bidi w:val="0"/>
        <w:spacing w:before="0" w:after="0" w:line="288" w:lineRule="exact"/>
        <w:ind w:left="0" w:right="0" w:firstLine="720"/>
        <w:jc w:val="both"/>
        <w:rPr>
          <w:sz w:val="24"/>
          <w:szCs w:val="24"/>
        </w:rPr>
      </w:pPr>
      <w:r>
        <w:rPr>
          <w:rFonts w:ascii="SimSun" w:eastAsia="SimSun" w:hAnsi="SimSun" w:cs="SimSun"/>
          <w:color w:val="000000"/>
          <w:spacing w:val="0"/>
          <w:w w:val="100"/>
          <w:position w:val="0"/>
          <w:sz w:val="24"/>
          <w:szCs w:val="24"/>
        </w:rPr>
        <w:t>其他</w:t>
        <w:tab/>
      </w:r>
      <w:r>
        <w:rPr>
          <w:color w:val="000000"/>
          <w:spacing w:val="0"/>
          <w:w w:val="100"/>
          <w:position w:val="0"/>
          <w:sz w:val="24"/>
          <w:szCs w:val="24"/>
          <w:u w:val="single"/>
        </w:rPr>
        <w:t>108,487</w:t>
        <w:tab/>
        <w:t>83,485</w:t>
      </w:r>
      <w:r>
        <w:rPr>
          <w:color w:val="000000"/>
          <w:spacing w:val="0"/>
          <w:w w:val="100"/>
          <w:position w:val="0"/>
          <w:sz w:val="24"/>
          <w:szCs w:val="24"/>
        </w:rPr>
        <w:tab/>
        <w:t xml:space="preserve"> </w:t>
      </w:r>
      <w:r>
        <w:rPr>
          <w:color w:val="000000"/>
          <w:spacing w:val="0"/>
          <w:w w:val="100"/>
          <w:position w:val="0"/>
          <w:sz w:val="24"/>
          <w:szCs w:val="24"/>
          <w:u w:val="single"/>
        </w:rPr>
        <w:t>108,487</w:t>
      </w:r>
    </w:p>
    <w:p>
      <w:pPr>
        <w:pStyle w:val="Style53"/>
        <w:keepNext w:val="0"/>
        <w:keepLines w:val="0"/>
        <w:widowControl w:val="0"/>
        <w:shd w:val="clear" w:color="auto" w:fill="auto"/>
        <w:tabs>
          <w:tab w:pos="1406" w:val="left"/>
          <w:tab w:pos="3934" w:val="left"/>
        </w:tabs>
        <w:bidi w:val="0"/>
        <w:spacing w:before="0" w:after="260" w:line="240" w:lineRule="auto"/>
        <w:ind w:left="0" w:right="0" w:firstLine="0"/>
        <w:jc w:val="right"/>
        <w:rPr>
          <w:sz w:val="24"/>
          <w:szCs w:val="24"/>
        </w:rPr>
      </w:pPr>
      <w:r>
        <w:rPr>
          <w:color w:val="000000"/>
          <w:spacing w:val="0"/>
          <w:w w:val="100"/>
          <w:position w:val="0"/>
          <w:sz w:val="24"/>
          <w:szCs w:val="24"/>
          <w:u w:val="single"/>
        </w:rPr>
        <w:t>1,060,157</w:t>
        <w:tab/>
        <w:t>1,665,224</w:t>
        <w:tab/>
        <w:t>1,060,157</w:t>
      </w:r>
    </w:p>
    <w:p>
      <w:pPr>
        <w:pStyle w:val="Style32"/>
        <w:keepNext w:val="0"/>
        <w:keepLines w:val="0"/>
        <w:widowControl w:val="0"/>
        <w:shd w:val="clear" w:color="auto" w:fill="auto"/>
        <w:bidi w:val="0"/>
        <w:spacing w:before="0" w:after="260" w:line="288" w:lineRule="exact"/>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 xml:space="preserve">(a) </w:t>
      </w:r>
      <w:r>
        <w:rPr>
          <w:color w:val="000000"/>
          <w:spacing w:val="0"/>
          <w:w w:val="100"/>
          <w:position w:val="0"/>
          <w:sz w:val="24"/>
          <w:szCs w:val="24"/>
        </w:rPr>
        <w:t>非流动资产处置利得</w:t>
      </w:r>
    </w:p>
    <w:p>
      <w:pPr>
        <w:pStyle w:val="Style32"/>
        <w:keepNext w:val="0"/>
        <w:keepLines w:val="0"/>
        <w:widowControl w:val="0"/>
        <w:shd w:val="clear" w:color="auto" w:fill="auto"/>
        <w:bidi w:val="0"/>
        <w:spacing w:before="0" w:after="260" w:line="308" w:lineRule="exact"/>
        <w:ind w:left="720" w:right="0" w:firstLine="40"/>
        <w:jc w:val="both"/>
        <w:rPr>
          <w:sz w:val="24"/>
          <w:szCs w:val="24"/>
        </w:rPr>
      </w:pPr>
      <w:r>
        <w:rPr>
          <w:color w:val="000000"/>
          <w:spacing w:val="0"/>
          <w:w w:val="100"/>
          <w:position w:val="0"/>
          <w:sz w:val="24"/>
          <w:szCs w:val="24"/>
        </w:rPr>
        <w:t>非流动资产处置利得主要包括售后租回交易确认的营业外收入。于</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 度，本集团开展售后租回交易</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附注九</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4"/>
          <w:szCs w:val="24"/>
        </w:rPr>
        <w:t>家供应链仓储物业</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sz w:val="24"/>
          <w:szCs w:val="24"/>
        </w:rPr>
        <w:t>年度：</w:t>
      </w:r>
      <w:r>
        <w:rPr>
          <w:rFonts w:ascii="Times New Roman" w:eastAsia="Times New Roman" w:hAnsi="Times New Roman" w:cs="Times New Roman"/>
          <w:color w:val="000000"/>
          <w:spacing w:val="0"/>
          <w:w w:val="100"/>
          <w:position w:val="0"/>
          <w:sz w:val="24"/>
          <w:szCs w:val="24"/>
        </w:rPr>
        <w:t xml:space="preserve">11 </w:t>
      </w:r>
      <w:r>
        <w:rPr>
          <w:color w:val="000000"/>
          <w:spacing w:val="0"/>
          <w:w w:val="100"/>
          <w:position w:val="0"/>
          <w:sz w:val="24"/>
          <w:szCs w:val="24"/>
        </w:rPr>
        <w:t>家门店物业</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的转让价格根据外部独立评估师的资产评估值协商确定，总计约 为人民币</w:t>
      </w:r>
      <w:r>
        <w:rPr>
          <w:rFonts w:ascii="Times New Roman" w:eastAsia="Times New Roman" w:hAnsi="Times New Roman" w:cs="Times New Roman"/>
          <w:color w:val="000000"/>
          <w:spacing w:val="0"/>
          <w:w w:val="100"/>
          <w:position w:val="0"/>
          <w:sz w:val="24"/>
          <w:szCs w:val="24"/>
        </w:rPr>
        <w:t>18.14</w:t>
      </w:r>
      <w:r>
        <w:rPr>
          <w:color w:val="000000"/>
          <w:spacing w:val="0"/>
          <w:w w:val="100"/>
          <w:position w:val="0"/>
          <w:sz w:val="24"/>
          <w:szCs w:val="24"/>
        </w:rPr>
        <w:t xml:space="preserve">亿元，供应链仓储物业于转让日的账面价值总计约人民币 </w:t>
      </w:r>
      <w:r>
        <w:rPr>
          <w:rFonts w:ascii="Times New Roman" w:eastAsia="Times New Roman" w:hAnsi="Times New Roman" w:cs="Times New Roman"/>
          <w:color w:val="000000"/>
          <w:spacing w:val="0"/>
          <w:w w:val="100"/>
          <w:position w:val="0"/>
          <w:sz w:val="24"/>
          <w:szCs w:val="24"/>
        </w:rPr>
        <w:t>12.48</w:t>
      </w:r>
      <w:r>
        <w:rPr>
          <w:color w:val="000000"/>
          <w:spacing w:val="0"/>
          <w:w w:val="100"/>
          <w:position w:val="0"/>
          <w:sz w:val="24"/>
          <w:szCs w:val="24"/>
        </w:rPr>
        <w:t>亿元，交易相关税费约人民币</w:t>
      </w:r>
      <w:r>
        <w:rPr>
          <w:rFonts w:ascii="Times New Roman" w:eastAsia="Times New Roman" w:hAnsi="Times New Roman" w:cs="Times New Roman"/>
          <w:color w:val="000000"/>
          <w:spacing w:val="0"/>
          <w:w w:val="100"/>
          <w:position w:val="0"/>
          <w:sz w:val="24"/>
          <w:szCs w:val="24"/>
        </w:rPr>
        <w:t>0.56</w:t>
      </w:r>
      <w:r>
        <w:rPr>
          <w:color w:val="000000"/>
          <w:spacing w:val="0"/>
          <w:w w:val="100"/>
          <w:position w:val="0"/>
          <w:sz w:val="24"/>
          <w:szCs w:val="24"/>
        </w:rPr>
        <w:t>亿元。因此，本集团将上述交易价 格与账面价值的差额扣除相关税费后的盈余，约人民币</w:t>
      </w:r>
      <w:r>
        <w:rPr>
          <w:rFonts w:ascii="Times New Roman" w:eastAsia="Times New Roman" w:hAnsi="Times New Roman" w:cs="Times New Roman"/>
          <w:color w:val="000000"/>
          <w:spacing w:val="0"/>
          <w:w w:val="100"/>
          <w:position w:val="0"/>
          <w:sz w:val="24"/>
          <w:szCs w:val="24"/>
        </w:rPr>
        <w:t>5.1</w:t>
      </w:r>
      <w:r>
        <w:rPr>
          <w:color w:val="000000"/>
          <w:spacing w:val="0"/>
          <w:w w:val="100"/>
          <w:position w:val="0"/>
          <w:sz w:val="24"/>
          <w:szCs w:val="24"/>
        </w:rPr>
        <w:t>亿元计入当期营 业外收入</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sz w:val="24"/>
          <w:szCs w:val="24"/>
        </w:rPr>
        <w:t>年度：约人民币</w:t>
      </w:r>
      <w:r>
        <w:rPr>
          <w:rFonts w:ascii="Times New Roman" w:eastAsia="Times New Roman" w:hAnsi="Times New Roman" w:cs="Times New Roman"/>
          <w:color w:val="000000"/>
          <w:spacing w:val="0"/>
          <w:w w:val="100"/>
          <w:position w:val="0"/>
          <w:sz w:val="24"/>
          <w:szCs w:val="24"/>
        </w:rPr>
        <w:t>13.88</w:t>
      </w:r>
      <w:r>
        <w:rPr>
          <w:color w:val="000000"/>
          <w:spacing w:val="0"/>
          <w:w w:val="100"/>
          <w:position w:val="0"/>
          <w:sz w:val="24"/>
          <w:szCs w:val="24"/>
        </w:rPr>
        <w:t>亿元</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，实现税后净利润约人民币</w:t>
      </w:r>
      <w:r>
        <w:rPr>
          <w:rFonts w:ascii="Times New Roman" w:eastAsia="Times New Roman" w:hAnsi="Times New Roman" w:cs="Times New Roman"/>
          <w:color w:val="000000"/>
          <w:spacing w:val="0"/>
          <w:w w:val="100"/>
          <w:position w:val="0"/>
          <w:sz w:val="24"/>
          <w:szCs w:val="24"/>
        </w:rPr>
        <w:t xml:space="preserve">3.94 </w:t>
      </w:r>
      <w:r>
        <w:rPr>
          <w:color w:val="000000"/>
          <w:spacing w:val="0"/>
          <w:w w:val="100"/>
          <w:position w:val="0"/>
          <w:sz w:val="24"/>
          <w:szCs w:val="24"/>
        </w:rPr>
        <w:t>亿元</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sz w:val="24"/>
          <w:szCs w:val="24"/>
        </w:rPr>
        <w:t>年度：约人民币</w:t>
      </w:r>
      <w:r>
        <w:rPr>
          <w:rFonts w:ascii="Times New Roman" w:eastAsia="Times New Roman" w:hAnsi="Times New Roman" w:cs="Times New Roman"/>
          <w:color w:val="000000"/>
          <w:spacing w:val="0"/>
          <w:w w:val="100"/>
          <w:position w:val="0"/>
          <w:sz w:val="24"/>
          <w:szCs w:val="24"/>
        </w:rPr>
        <w:t>10.41</w:t>
      </w:r>
      <w:r>
        <w:rPr>
          <w:color w:val="000000"/>
          <w:spacing w:val="0"/>
          <w:w w:val="100"/>
          <w:position w:val="0"/>
          <w:sz w:val="24"/>
          <w:szCs w:val="24"/>
        </w:rPr>
        <w:t>亿元</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w:t>
      </w:r>
    </w:p>
    <w:p>
      <w:pPr>
        <w:pStyle w:val="Style32"/>
        <w:keepNext w:val="0"/>
        <w:keepLines w:val="0"/>
        <w:widowControl w:val="0"/>
        <w:shd w:val="clear" w:color="auto" w:fill="auto"/>
        <w:tabs>
          <w:tab w:pos="667" w:val="left"/>
        </w:tabs>
        <w:bidi w:val="0"/>
        <w:spacing w:before="0" w:after="260" w:line="269"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（b）</w:t>
        <w:tab/>
      </w:r>
      <w:r>
        <w:rPr>
          <w:color w:val="000000"/>
          <w:spacing w:val="0"/>
          <w:w w:val="100"/>
          <w:position w:val="0"/>
          <w:sz w:val="24"/>
          <w:szCs w:val="24"/>
        </w:rPr>
        <w:t>政府补助明细</w:t>
      </w:r>
    </w:p>
    <w:p>
      <w:pPr>
        <w:pStyle w:val="Style32"/>
        <w:keepNext w:val="0"/>
        <w:keepLines w:val="0"/>
        <w:widowControl w:val="0"/>
        <w:shd w:val="clear" w:color="auto" w:fill="auto"/>
        <w:tabs>
          <w:tab w:pos="2534" w:val="left"/>
        </w:tabs>
        <w:bidi w:val="0"/>
        <w:spacing w:before="0" w:after="260" w:line="269"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年度</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sz w:val="24"/>
          <w:szCs w:val="24"/>
        </w:rPr>
        <w:t>年度</w:t>
        <w:tab/>
        <w:t>与资产相关</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与收益相关</w:t>
      </w:r>
    </w:p>
    <w:p>
      <w:pPr>
        <w:pStyle w:val="Style53"/>
        <w:keepNext w:val="0"/>
        <w:keepLines w:val="0"/>
        <w:widowControl w:val="0"/>
        <w:shd w:val="clear" w:color="auto" w:fill="auto"/>
        <w:tabs>
          <w:tab w:pos="3934" w:val="left"/>
          <w:tab w:pos="5534" w:val="left"/>
          <w:tab w:pos="7526" w:val="left"/>
        </w:tabs>
        <w:bidi w:val="0"/>
        <w:spacing w:before="0" w:after="0" w:line="308" w:lineRule="exact"/>
        <w:ind w:left="0" w:right="0" w:firstLine="720"/>
        <w:jc w:val="both"/>
        <w:rPr>
          <w:sz w:val="24"/>
          <w:szCs w:val="24"/>
        </w:rPr>
      </w:pPr>
      <w:r>
        <w:rPr>
          <w:rFonts w:ascii="SimSun" w:eastAsia="SimSun" w:hAnsi="SimSun" w:cs="SimSun"/>
          <w:color w:val="000000"/>
          <w:spacing w:val="0"/>
          <w:w w:val="100"/>
          <w:position w:val="0"/>
          <w:sz w:val="24"/>
          <w:szCs w:val="24"/>
        </w:rPr>
        <w:t>财政补贴</w:t>
        <w:tab/>
      </w:r>
      <w:r>
        <w:rPr>
          <w:color w:val="000000"/>
          <w:spacing w:val="0"/>
          <w:w w:val="100"/>
          <w:position w:val="0"/>
          <w:sz w:val="24"/>
          <w:szCs w:val="24"/>
        </w:rPr>
        <w:t>61,332</w:t>
        <w:tab/>
        <w:t>9,989</w:t>
        <w:tab/>
      </w:r>
      <w:r>
        <w:rPr>
          <w:rFonts w:ascii="SimSun" w:eastAsia="SimSun" w:hAnsi="SimSun" w:cs="SimSun"/>
          <w:color w:val="000000"/>
          <w:spacing w:val="0"/>
          <w:w w:val="100"/>
          <w:position w:val="0"/>
          <w:sz w:val="24"/>
          <w:szCs w:val="24"/>
        </w:rPr>
        <w:t>与资产相关</w:t>
      </w:r>
    </w:p>
    <w:p>
      <w:pPr>
        <w:pStyle w:val="Style53"/>
        <w:keepNext w:val="0"/>
        <w:keepLines w:val="0"/>
        <w:widowControl w:val="0"/>
        <w:shd w:val="clear" w:color="auto" w:fill="auto"/>
        <w:tabs>
          <w:tab w:pos="3934" w:val="left"/>
          <w:tab w:pos="5267" w:val="left"/>
          <w:tab w:pos="7526" w:val="left"/>
        </w:tabs>
        <w:bidi w:val="0"/>
        <w:spacing w:before="0" w:after="0" w:line="308" w:lineRule="exact"/>
        <w:ind w:left="0" w:right="0" w:firstLine="720"/>
        <w:jc w:val="both"/>
        <w:rPr>
          <w:sz w:val="24"/>
          <w:szCs w:val="24"/>
        </w:rPr>
      </w:pPr>
      <w:r>
        <w:rPr>
          <w:rFonts w:ascii="SimSun" w:eastAsia="SimSun" w:hAnsi="SimSun" w:cs="SimSun"/>
          <w:color w:val="000000"/>
          <w:spacing w:val="0"/>
          <w:w w:val="100"/>
          <w:position w:val="0"/>
          <w:sz w:val="24"/>
          <w:szCs w:val="24"/>
        </w:rPr>
        <w:t>财政补贴</w:t>
        <w:tab/>
      </w:r>
      <w:r>
        <w:rPr>
          <w:color w:val="000000"/>
          <w:spacing w:val="0"/>
          <w:w w:val="100"/>
          <w:position w:val="0"/>
          <w:sz w:val="24"/>
          <w:szCs w:val="24"/>
          <w:u w:val="single"/>
        </w:rPr>
        <w:t>319,816</w:t>
        <w:tab/>
        <w:t>148,861</w:t>
      </w:r>
      <w:r>
        <w:rPr>
          <w:color w:val="000000"/>
          <w:spacing w:val="0"/>
          <w:w w:val="100"/>
          <w:position w:val="0"/>
          <w:sz w:val="24"/>
          <w:szCs w:val="24"/>
        </w:rPr>
        <w:tab/>
      </w:r>
      <w:r>
        <w:rPr>
          <w:rFonts w:ascii="SimSun" w:eastAsia="SimSun" w:hAnsi="SimSun" w:cs="SimSun"/>
          <w:color w:val="000000"/>
          <w:spacing w:val="0"/>
          <w:w w:val="100"/>
          <w:position w:val="0"/>
          <w:sz w:val="24"/>
          <w:szCs w:val="24"/>
        </w:rPr>
        <w:t>与收益相关</w:t>
      </w:r>
    </w:p>
    <w:p>
      <w:pPr>
        <w:pStyle w:val="Style53"/>
        <w:keepNext w:val="0"/>
        <w:keepLines w:val="0"/>
        <w:widowControl w:val="0"/>
        <w:shd w:val="clear" w:color="auto" w:fill="auto"/>
        <w:tabs>
          <w:tab w:pos="5267" w:val="left"/>
        </w:tabs>
        <w:bidi w:val="0"/>
        <w:spacing w:before="0" w:after="260" w:line="269" w:lineRule="auto"/>
        <w:ind w:left="3920" w:right="0" w:firstLine="0"/>
        <w:jc w:val="left"/>
        <w:rPr>
          <w:sz w:val="24"/>
          <w:szCs w:val="24"/>
        </w:rPr>
      </w:pPr>
      <w:r>
        <w:rPr>
          <w:color w:val="000000"/>
          <w:spacing w:val="0"/>
          <w:w w:val="100"/>
          <w:position w:val="0"/>
          <w:sz w:val="24"/>
          <w:szCs w:val="24"/>
          <w:u w:val="single"/>
        </w:rPr>
        <w:t>381,148</w:t>
        <w:tab/>
        <w:t>158,850</w:t>
      </w:r>
    </w:p>
    <w:p>
      <w:pPr>
        <w:pStyle w:val="Style32"/>
        <w:keepNext w:val="0"/>
        <w:keepLines w:val="0"/>
        <w:widowControl w:val="0"/>
        <w:shd w:val="clear" w:color="auto" w:fill="auto"/>
        <w:bidi w:val="0"/>
        <w:spacing w:before="0" w:after="0" w:line="240" w:lineRule="auto"/>
        <w:ind w:left="0" w:right="0" w:firstLine="740"/>
        <w:jc w:val="both"/>
        <w:rPr>
          <w:sz w:val="24"/>
          <w:szCs w:val="24"/>
        </w:rPr>
      </w:pPr>
      <w:r>
        <w:rPr>
          <w:b/>
          <w:bCs/>
          <w:color w:val="000000"/>
          <w:spacing w:val="0"/>
          <w:w w:val="100"/>
          <w:position w:val="0"/>
          <w:sz w:val="24"/>
          <w:szCs w:val="24"/>
        </w:rPr>
        <w:t>财务报表附注</w:t>
      </w:r>
    </w:p>
    <w:p>
      <w:pPr>
        <w:pStyle w:val="Style88"/>
        <w:keepNext/>
        <w:keepLines/>
        <w:widowControl w:val="0"/>
        <w:shd w:val="clear" w:color="auto" w:fill="auto"/>
        <w:bidi w:val="0"/>
        <w:spacing w:before="0" w:after="0" w:line="240" w:lineRule="auto"/>
        <w:ind w:left="0" w:right="0" w:firstLine="740"/>
        <w:jc w:val="left"/>
      </w:pPr>
      <w:bookmarkStart w:id="987" w:name="bookmark987"/>
      <w:bookmarkStart w:id="988" w:name="bookmark988"/>
      <w:bookmarkStart w:id="989" w:name="bookmark989"/>
      <w:r>
        <w:rPr>
          <w:color w:val="000000"/>
          <w:spacing w:val="0"/>
          <w:w w:val="100"/>
          <w:position w:val="0"/>
          <w:sz w:val="24"/>
          <w:szCs w:val="24"/>
        </w:rPr>
        <w:t>2016</w:t>
      </w:r>
      <w:r>
        <w:rPr>
          <w:rFonts w:ascii="SimSun" w:eastAsia="SimSun" w:hAnsi="SimSun" w:cs="SimSun"/>
          <w:b/>
          <w:bCs/>
          <w:color w:val="000000"/>
          <w:spacing w:val="0"/>
          <w:w w:val="100"/>
          <w:position w:val="0"/>
          <w:sz w:val="24"/>
          <w:szCs w:val="24"/>
        </w:rPr>
        <w:t>年度</w:t>
      </w:r>
      <w:bookmarkEnd w:id="987"/>
      <w:bookmarkEnd w:id="988"/>
      <w:bookmarkEnd w:id="989"/>
    </w:p>
    <w:p>
      <w:pPr>
        <w:pStyle w:val="Style32"/>
        <w:keepNext w:val="0"/>
        <w:keepLines w:val="0"/>
        <w:widowControl w:val="0"/>
        <w:shd w:val="clear" w:color="auto" w:fill="auto"/>
        <w:bidi w:val="0"/>
        <w:spacing w:before="0" w:after="240" w:line="240" w:lineRule="auto"/>
        <w:ind w:left="0" w:right="0" w:firstLine="740"/>
        <w:jc w:val="left"/>
        <w:rPr>
          <w:sz w:val="24"/>
          <w:szCs w:val="24"/>
        </w:rPr>
      </w:pPr>
      <w:r>
        <w:rPr>
          <w:rFonts w:ascii="Arial" w:eastAsia="Arial" w:hAnsi="Arial" w:cs="Arial"/>
          <w:color w:val="000000"/>
          <w:spacing w:val="0"/>
          <w:w w:val="100"/>
          <w:position w:val="0"/>
          <w:sz w:val="20"/>
          <w:szCs w:val="20"/>
        </w:rPr>
        <w:t>(</w:t>
      </w:r>
      <w:r>
        <w:rPr>
          <w:color w:val="000000"/>
          <w:spacing w:val="0"/>
          <w:w w:val="100"/>
          <w:position w:val="0"/>
          <w:sz w:val="20"/>
          <w:szCs w:val="20"/>
        </w:rPr>
        <w:t>除特别注明外，金额单位为人民币千元</w:t>
      </w:r>
      <w:r>
        <w:rPr>
          <w:color w:val="000000"/>
          <w:spacing w:val="0"/>
          <w:w w:val="100"/>
          <w:position w:val="0"/>
          <w:sz w:val="24"/>
          <w:szCs w:val="24"/>
        </w:rPr>
        <w:t>)</w:t>
      </w:r>
    </w:p>
    <w:p>
      <w:pPr>
        <w:pStyle w:val="Style32"/>
        <w:keepNext w:val="0"/>
        <w:keepLines w:val="0"/>
        <w:widowControl w:val="0"/>
        <w:shd w:val="clear" w:color="auto" w:fill="auto"/>
        <w:tabs>
          <w:tab w:pos="707" w:val="left"/>
        </w:tabs>
        <w:bidi w:val="0"/>
        <w:spacing w:before="0" w:after="240" w:line="240" w:lineRule="auto"/>
        <w:ind w:left="0" w:right="0" w:firstLine="0"/>
        <w:jc w:val="left"/>
        <w:rPr>
          <w:sz w:val="24"/>
          <w:szCs w:val="24"/>
        </w:rPr>
      </w:pPr>
      <w:r>
        <w:rPr>
          <w:b/>
          <w:bCs/>
          <w:color w:val="000000"/>
          <w:spacing w:val="0"/>
          <w:w w:val="100"/>
          <w:position w:val="0"/>
          <w:sz w:val="24"/>
          <w:szCs w:val="24"/>
        </w:rPr>
        <w:t>四</w:t>
        <w:tab/>
        <w:t>合并财务报表项目附注</w:t>
      </w:r>
      <w:r>
        <w:rPr>
          <w:rFonts w:ascii="Times New Roman" w:eastAsia="Times New Roman" w:hAnsi="Times New Roman" w:cs="Times New Roman"/>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4"/>
          <w:szCs w:val="24"/>
        </w:rPr>
        <w:t>)</w:t>
      </w:r>
    </w:p>
    <w:p>
      <w:pPr>
        <w:pStyle w:val="Style32"/>
        <w:keepNext w:val="0"/>
        <w:keepLines w:val="0"/>
        <w:widowControl w:val="0"/>
        <w:numPr>
          <w:ilvl w:val="0"/>
          <w:numId w:val="85"/>
        </w:numPr>
        <w:shd w:val="clear" w:color="auto" w:fill="auto"/>
        <w:tabs>
          <w:tab w:pos="707" w:val="left"/>
        </w:tabs>
        <w:bidi w:val="0"/>
        <w:spacing w:before="0" w:after="300" w:line="240" w:lineRule="auto"/>
        <w:ind w:left="0" w:right="0" w:firstLine="0"/>
        <w:jc w:val="left"/>
        <w:rPr>
          <w:sz w:val="24"/>
          <w:szCs w:val="24"/>
        </w:rPr>
      </w:pPr>
      <w:bookmarkStart w:id="990" w:name="bookmark990"/>
      <w:bookmarkEnd w:id="990"/>
      <w:r>
        <w:rPr>
          <w:b/>
          <w:bCs/>
          <w:color w:val="000000"/>
          <w:spacing w:val="0"/>
          <w:w w:val="100"/>
          <w:position w:val="0"/>
          <w:sz w:val="24"/>
          <w:szCs w:val="24"/>
        </w:rPr>
        <w:t>营业外支出</w:t>
      </w:r>
    </w:p>
    <w:p>
      <w:pPr>
        <w:pStyle w:val="Style32"/>
        <w:keepNext w:val="0"/>
        <w:keepLines w:val="0"/>
        <w:widowControl w:val="0"/>
        <w:shd w:val="clear" w:color="auto" w:fill="auto"/>
        <w:bidi w:val="0"/>
        <w:spacing w:before="0" w:after="300" w:line="283" w:lineRule="exact"/>
        <w:ind w:left="3960" w:right="0" w:firstLine="0"/>
        <w:jc w:val="right"/>
        <w:rPr>
          <w:sz w:val="24"/>
          <w:szCs w:val="24"/>
        </w:rPr>
      </w:pPr>
      <w:r>
        <w:rPr>
          <w:color w:val="000000"/>
          <w:spacing w:val="0"/>
          <w:w w:val="100"/>
          <w:position w:val="0"/>
          <w:sz w:val="24"/>
          <w:szCs w:val="24"/>
        </w:rPr>
        <w:t>计入</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 xml:space="preserve">年度非经 </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 xml:space="preserve">年度 </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sz w:val="24"/>
          <w:szCs w:val="24"/>
        </w:rPr>
        <w:t>年度 常性损益的金额</w:t>
      </w:r>
    </w:p>
    <w:p>
      <w:pPr>
        <w:pStyle w:val="Style53"/>
        <w:keepNext w:val="0"/>
        <w:keepLines w:val="0"/>
        <w:widowControl w:val="0"/>
        <w:shd w:val="clear" w:color="auto" w:fill="auto"/>
        <w:tabs>
          <w:tab w:pos="4998" w:val="right"/>
          <w:tab w:pos="6500" w:val="right"/>
          <w:tab w:pos="8741" w:val="right"/>
        </w:tabs>
        <w:bidi w:val="0"/>
        <w:spacing w:before="0" w:after="0" w:line="283" w:lineRule="exact"/>
        <w:ind w:left="0" w:right="0" w:firstLine="740"/>
        <w:jc w:val="left"/>
        <w:rPr>
          <w:sz w:val="24"/>
          <w:szCs w:val="24"/>
        </w:rPr>
      </w:pPr>
      <w:r>
        <w:rPr>
          <w:rFonts w:ascii="SimSun" w:eastAsia="SimSun" w:hAnsi="SimSun" w:cs="SimSun"/>
          <w:color w:val="000000"/>
          <w:spacing w:val="0"/>
          <w:w w:val="100"/>
          <w:position w:val="0"/>
          <w:sz w:val="24"/>
          <w:szCs w:val="24"/>
          <w:u w:val="single"/>
        </w:rPr>
        <w:t>非流动资产处置损失</w:t>
        <w:tab/>
      </w:r>
      <w:r>
        <w:rPr>
          <w:color w:val="000000"/>
          <w:spacing w:val="0"/>
          <w:w w:val="100"/>
          <w:position w:val="0"/>
          <w:sz w:val="24"/>
          <w:szCs w:val="24"/>
          <w:u w:val="single"/>
        </w:rPr>
        <w:t>36,924</w:t>
        <w:tab/>
        <w:t>17,882</w:t>
        <w:tab/>
        <w:t>36,924</w:t>
      </w:r>
    </w:p>
    <w:p>
      <w:pPr>
        <w:pStyle w:val="Style53"/>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4998" w:val="right"/>
          <w:tab w:pos="6500" w:val="right"/>
          <w:tab w:pos="8741" w:val="right"/>
        </w:tabs>
        <w:bidi w:val="0"/>
        <w:spacing w:before="0" w:after="0" w:line="283" w:lineRule="exact"/>
        <w:ind w:left="0" w:right="0" w:firstLine="740"/>
        <w:jc w:val="left"/>
        <w:rPr>
          <w:sz w:val="24"/>
          <w:szCs w:val="24"/>
        </w:rPr>
      </w:pPr>
      <w:r>
        <w:rPr>
          <w:rFonts w:ascii="SimSun" w:eastAsia="SimSun" w:hAnsi="SimSun" w:cs="SimSun"/>
          <w:color w:val="000000"/>
          <w:spacing w:val="0"/>
          <w:w w:val="100"/>
          <w:position w:val="0"/>
          <w:sz w:val="24"/>
          <w:szCs w:val="24"/>
          <w:u w:val="single"/>
        </w:rPr>
        <w:t>其中：长期资产处置损失</w:t>
        <w:tab/>
      </w:r>
      <w:r>
        <w:rPr>
          <w:color w:val="000000"/>
          <w:spacing w:val="0"/>
          <w:w w:val="100"/>
          <w:position w:val="0"/>
          <w:sz w:val="24"/>
          <w:szCs w:val="24"/>
          <w:u w:val="single"/>
        </w:rPr>
        <w:t>36,924</w:t>
        <w:tab/>
        <w:t>17,882</w:t>
        <w:tab/>
        <w:t>36,924</w:t>
      </w:r>
    </w:p>
    <w:p>
      <w:pPr>
        <w:pStyle w:val="Style53"/>
        <w:keepNext w:val="0"/>
        <w:keepLines w:val="0"/>
        <w:widowControl w:val="0"/>
        <w:shd w:val="clear" w:color="auto" w:fill="auto"/>
        <w:tabs>
          <w:tab w:pos="4998" w:val="right"/>
          <w:tab w:pos="6500" w:val="right"/>
          <w:tab w:pos="8741" w:val="right"/>
        </w:tabs>
        <w:bidi w:val="0"/>
        <w:spacing w:before="0" w:after="0" w:line="283" w:lineRule="exact"/>
        <w:ind w:left="0" w:right="0" w:firstLine="740"/>
        <w:jc w:val="left"/>
        <w:rPr>
          <w:sz w:val="24"/>
          <w:szCs w:val="24"/>
        </w:rPr>
      </w:pPr>
      <w:r>
        <w:rPr>
          <w:rFonts w:ascii="SimSun" w:eastAsia="SimSun" w:hAnsi="SimSun" w:cs="SimSun"/>
          <w:color w:val="000000"/>
          <w:spacing w:val="0"/>
          <w:w w:val="100"/>
          <w:position w:val="0"/>
          <w:sz w:val="24"/>
          <w:szCs w:val="24"/>
        </w:rPr>
        <w:t>罚款及违约金</w:t>
        <w:tab/>
      </w:r>
      <w:r>
        <w:rPr>
          <w:color w:val="000000"/>
          <w:spacing w:val="0"/>
          <w:w w:val="100"/>
          <w:position w:val="0"/>
          <w:sz w:val="24"/>
          <w:szCs w:val="24"/>
        </w:rPr>
        <w:t>23,666</w:t>
        <w:tab/>
        <w:t>48,424</w:t>
        <w:tab/>
        <w:t>23,666</w:t>
      </w:r>
    </w:p>
    <w:p>
      <w:pPr>
        <w:pStyle w:val="Style53"/>
        <w:keepNext w:val="0"/>
        <w:keepLines w:val="0"/>
        <w:widowControl w:val="0"/>
        <w:shd w:val="clear" w:color="auto" w:fill="auto"/>
        <w:tabs>
          <w:tab w:pos="4998" w:val="right"/>
          <w:tab w:pos="6500" w:val="right"/>
          <w:tab w:pos="8741" w:val="right"/>
        </w:tabs>
        <w:bidi w:val="0"/>
        <w:spacing w:before="0" w:after="0" w:line="283" w:lineRule="exact"/>
        <w:ind w:left="0" w:right="0" w:firstLine="740"/>
        <w:jc w:val="left"/>
        <w:rPr>
          <w:sz w:val="24"/>
          <w:szCs w:val="24"/>
        </w:rPr>
      </w:pPr>
      <w:r>
        <w:rPr>
          <w:rFonts w:ascii="SimSun" w:eastAsia="SimSun" w:hAnsi="SimSun" w:cs="SimSun"/>
          <w:color w:val="000000"/>
          <w:spacing w:val="0"/>
          <w:w w:val="100"/>
          <w:position w:val="0"/>
          <w:sz w:val="24"/>
          <w:szCs w:val="24"/>
        </w:rPr>
        <w:t>对外捐赠</w:t>
        <w:tab/>
      </w:r>
      <w:r>
        <w:rPr>
          <w:color w:val="000000"/>
          <w:spacing w:val="0"/>
          <w:w w:val="100"/>
          <w:position w:val="0"/>
          <w:sz w:val="24"/>
          <w:szCs w:val="24"/>
        </w:rPr>
        <w:t>6,828</w:t>
        <w:tab/>
        <w:t>8,207</w:t>
        <w:tab/>
        <w:t>6,828</w:t>
      </w:r>
    </w:p>
    <w:p>
      <w:pPr>
        <w:pStyle w:val="Style53"/>
        <w:keepNext w:val="0"/>
        <w:keepLines w:val="0"/>
        <w:widowControl w:val="0"/>
        <w:shd w:val="clear" w:color="auto" w:fill="auto"/>
        <w:tabs>
          <w:tab w:pos="4998" w:val="right"/>
          <w:tab w:pos="6500" w:val="right"/>
          <w:tab w:leader="underscore" w:pos="8741" w:val="right"/>
        </w:tabs>
        <w:bidi w:val="0"/>
        <w:spacing w:before="0" w:after="0" w:line="283" w:lineRule="exact"/>
        <w:ind w:left="0" w:right="0" w:firstLine="740"/>
        <w:jc w:val="left"/>
        <w:rPr>
          <w:sz w:val="24"/>
          <w:szCs w:val="24"/>
        </w:rPr>
      </w:pPr>
      <w:r>
        <w:rPr>
          <w:rFonts w:ascii="SimSun" w:eastAsia="SimSun" w:hAnsi="SimSun" w:cs="SimSun"/>
          <w:color w:val="000000"/>
          <w:spacing w:val="0"/>
          <w:w w:val="100"/>
          <w:position w:val="0"/>
          <w:sz w:val="24"/>
          <w:szCs w:val="24"/>
        </w:rPr>
        <w:t>其他</w:t>
        <w:tab/>
      </w:r>
      <w:r>
        <w:rPr>
          <w:color w:val="000000"/>
          <w:spacing w:val="0"/>
          <w:w w:val="100"/>
          <w:position w:val="0"/>
          <w:sz w:val="24"/>
          <w:szCs w:val="24"/>
          <w:u w:val="single"/>
        </w:rPr>
        <w:t>93,904</w:t>
        <w:tab/>
        <w:t>91,733</w:t>
      </w:r>
      <w:r>
        <w:rPr>
          <w:color w:val="000000"/>
          <w:spacing w:val="0"/>
          <w:w w:val="100"/>
          <w:position w:val="0"/>
          <w:sz w:val="24"/>
          <w:szCs w:val="24"/>
        </w:rPr>
        <w:tab/>
      </w:r>
      <w:r>
        <w:rPr>
          <w:color w:val="000000"/>
          <w:spacing w:val="0"/>
          <w:w w:val="100"/>
          <w:position w:val="0"/>
          <w:sz w:val="24"/>
          <w:szCs w:val="24"/>
          <w:u w:val="single"/>
        </w:rPr>
        <w:t>93,904</w:t>
      </w:r>
    </w:p>
    <w:p>
      <w:pPr>
        <w:pStyle w:val="Style53"/>
        <w:keepNext w:val="0"/>
        <w:keepLines w:val="0"/>
        <w:widowControl w:val="0"/>
        <w:shd w:val="clear" w:color="auto" w:fill="auto"/>
        <w:tabs>
          <w:tab w:pos="1603" w:val="left"/>
          <w:tab w:pos="3744" w:val="left"/>
        </w:tabs>
        <w:bidi w:val="0"/>
        <w:spacing w:before="0" w:after="240" w:line="240" w:lineRule="auto"/>
        <w:ind w:left="0" w:right="0" w:firstLine="0"/>
        <w:jc w:val="right"/>
        <w:rPr>
          <w:sz w:val="24"/>
          <w:szCs w:val="24"/>
        </w:rPr>
      </w:pPr>
      <w:r>
        <w:rPr>
          <w:color w:val="000000"/>
          <w:spacing w:val="0"/>
          <w:w w:val="100"/>
          <w:position w:val="0"/>
          <w:sz w:val="24"/>
          <w:szCs w:val="24"/>
          <w:u w:val="single"/>
        </w:rPr>
        <w:t>161,322</w:t>
        <w:tab/>
        <w:t>166,246-</w:t>
        <w:tab/>
        <w:t>161,322</w:t>
      </w:r>
    </w:p>
    <w:p>
      <w:pPr>
        <w:pStyle w:val="Style32"/>
        <w:keepNext w:val="0"/>
        <w:keepLines w:val="0"/>
        <w:widowControl w:val="0"/>
        <w:numPr>
          <w:ilvl w:val="0"/>
          <w:numId w:val="85"/>
        </w:numPr>
        <w:shd w:val="clear" w:color="auto" w:fill="auto"/>
        <w:tabs>
          <w:tab w:pos="707" w:val="left"/>
        </w:tabs>
        <w:bidi w:val="0"/>
        <w:spacing w:before="0" w:after="300" w:line="240" w:lineRule="auto"/>
        <w:ind w:left="0" w:right="0" w:firstLine="0"/>
        <w:jc w:val="left"/>
        <w:rPr>
          <w:sz w:val="24"/>
          <w:szCs w:val="24"/>
        </w:rPr>
      </w:pPr>
      <w:bookmarkStart w:id="991" w:name="bookmark991"/>
      <w:bookmarkEnd w:id="991"/>
      <w:r>
        <w:rPr>
          <w:b/>
          <w:bCs/>
          <w:color w:val="000000"/>
          <w:spacing w:val="0"/>
          <w:w w:val="100"/>
          <w:position w:val="0"/>
          <w:sz w:val="24"/>
          <w:szCs w:val="24"/>
        </w:rPr>
        <w:t>所得税费用</w:t>
      </w:r>
    </w:p>
    <w:p>
      <w:pPr>
        <w:pStyle w:val="Style53"/>
        <w:keepNext w:val="0"/>
        <w:keepLines w:val="0"/>
        <w:widowControl w:val="0"/>
        <w:shd w:val="clear" w:color="auto" w:fill="auto"/>
        <w:tabs>
          <w:tab w:pos="1603" w:val="left"/>
        </w:tabs>
        <w:bidi w:val="0"/>
        <w:spacing w:before="0" w:after="300" w:line="283" w:lineRule="exact"/>
        <w:ind w:left="0" w:right="0" w:firstLine="0"/>
        <w:jc w:val="right"/>
        <w:rPr>
          <w:sz w:val="24"/>
          <w:szCs w:val="24"/>
        </w:rPr>
      </w:pPr>
      <w:r>
        <w:rPr>
          <w:color w:val="000000"/>
          <w:spacing w:val="0"/>
          <w:w w:val="100"/>
          <w:position w:val="0"/>
          <w:sz w:val="24"/>
          <w:szCs w:val="24"/>
        </w:rPr>
        <w:t>2016</w:t>
      </w:r>
      <w:r>
        <w:rPr>
          <w:rFonts w:ascii="SimSun" w:eastAsia="SimSun" w:hAnsi="SimSun" w:cs="SimSun"/>
          <w:color w:val="000000"/>
          <w:spacing w:val="0"/>
          <w:w w:val="100"/>
          <w:position w:val="0"/>
          <w:sz w:val="24"/>
          <w:szCs w:val="24"/>
        </w:rPr>
        <w:t>年度</w:t>
        <w:tab/>
      </w:r>
      <w:r>
        <w:rPr>
          <w:color w:val="000000"/>
          <w:spacing w:val="0"/>
          <w:w w:val="100"/>
          <w:position w:val="0"/>
          <w:sz w:val="24"/>
          <w:szCs w:val="24"/>
        </w:rPr>
        <w:t>2015</w:t>
      </w:r>
      <w:r>
        <w:rPr>
          <w:rFonts w:ascii="SimSun" w:eastAsia="SimSun" w:hAnsi="SimSun" w:cs="SimSun"/>
          <w:color w:val="000000"/>
          <w:spacing w:val="0"/>
          <w:w w:val="100"/>
          <w:position w:val="0"/>
          <w:sz w:val="24"/>
          <w:szCs w:val="24"/>
        </w:rPr>
        <w:t>年度</w:t>
      </w:r>
    </w:p>
    <w:p>
      <w:pPr>
        <w:pStyle w:val="Style32"/>
        <w:keepNext w:val="0"/>
        <w:keepLines w:val="0"/>
        <w:widowControl w:val="0"/>
        <w:shd w:val="clear" w:color="auto" w:fill="auto"/>
        <w:tabs>
          <w:tab w:pos="6109" w:val="left"/>
          <w:tab w:pos="7760" w:val="left"/>
        </w:tabs>
        <w:bidi w:val="0"/>
        <w:spacing w:before="0" w:after="0" w:line="283" w:lineRule="exact"/>
        <w:ind w:left="0" w:right="0" w:firstLine="740"/>
        <w:jc w:val="left"/>
        <w:rPr>
          <w:sz w:val="24"/>
          <w:szCs w:val="24"/>
        </w:rPr>
      </w:pPr>
      <w:r>
        <w:rPr>
          <w:color w:val="000000"/>
          <w:spacing w:val="0"/>
          <w:w w:val="100"/>
          <w:position w:val="0"/>
          <w:sz w:val="24"/>
          <w:szCs w:val="24"/>
        </w:rPr>
        <w:t>按税法及相关规定计算的当期所得税</w:t>
        <w:tab/>
      </w:r>
      <w:r>
        <w:rPr>
          <w:rFonts w:ascii="Times New Roman" w:eastAsia="Times New Roman" w:hAnsi="Times New Roman" w:cs="Times New Roman"/>
          <w:color w:val="000000"/>
          <w:spacing w:val="0"/>
          <w:w w:val="100"/>
          <w:position w:val="0"/>
          <w:sz w:val="24"/>
          <w:szCs w:val="24"/>
        </w:rPr>
        <w:t>661,503</w:t>
        <w:tab/>
        <w:t>694,372</w:t>
      </w:r>
    </w:p>
    <w:p>
      <w:pPr>
        <w:pStyle w:val="Style53"/>
        <w:keepNext w:val="0"/>
        <w:keepLines w:val="0"/>
        <w:widowControl w:val="0"/>
        <w:shd w:val="clear" w:color="auto" w:fill="auto"/>
        <w:tabs>
          <w:tab w:pos="6109" w:val="left"/>
          <w:tab w:pos="7760" w:val="left"/>
        </w:tabs>
        <w:bidi w:val="0"/>
        <w:spacing w:before="0" w:after="0" w:line="283" w:lineRule="exact"/>
        <w:ind w:left="0" w:right="0" w:firstLine="740"/>
        <w:jc w:val="left"/>
        <w:rPr>
          <w:sz w:val="24"/>
          <w:szCs w:val="24"/>
        </w:rPr>
      </w:pPr>
      <w:r>
        <w:rPr>
          <w:rFonts w:ascii="SimSun" w:eastAsia="SimSun" w:hAnsi="SimSun" w:cs="SimSun"/>
          <w:color w:val="000000"/>
          <w:spacing w:val="0"/>
          <w:w w:val="100"/>
          <w:position w:val="0"/>
          <w:sz w:val="24"/>
          <w:szCs w:val="24"/>
        </w:rPr>
        <w:t>递延所得税</w:t>
        <w:tab/>
      </w:r>
      <w:r>
        <w:rPr>
          <w:color w:val="000000"/>
          <w:spacing w:val="0"/>
          <w:w w:val="100"/>
          <w:position w:val="0"/>
          <w:sz w:val="24"/>
          <w:szCs w:val="24"/>
          <w:u w:val="single"/>
        </w:rPr>
        <w:t>(253,848)</w:t>
        <w:tab/>
        <w:t>(563,147)</w:t>
      </w:r>
    </w:p>
    <w:p>
      <w:pPr>
        <w:pStyle w:val="Style53"/>
        <w:keepNext w:val="0"/>
        <w:keepLines w:val="0"/>
        <w:widowControl w:val="0"/>
        <w:shd w:val="clear" w:color="auto" w:fill="auto"/>
        <w:tabs>
          <w:tab w:pos="1603" w:val="left"/>
        </w:tabs>
        <w:bidi w:val="0"/>
        <w:spacing w:before="0" w:after="300" w:line="240" w:lineRule="auto"/>
        <w:ind w:left="0" w:right="0" w:firstLine="0"/>
        <w:jc w:val="right"/>
        <w:rPr>
          <w:sz w:val="24"/>
          <w:szCs w:val="24"/>
        </w:rPr>
      </w:pPr>
      <w:r>
        <w:rPr>
          <w:color w:val="000000"/>
          <w:spacing w:val="0"/>
          <w:w w:val="100"/>
          <w:position w:val="0"/>
          <w:sz w:val="24"/>
          <w:szCs w:val="24"/>
          <w:u w:val="single"/>
        </w:rPr>
        <w:t>407,655</w:t>
        <w:tab/>
        <w:t>131,225</w:t>
      </w:r>
    </w:p>
    <w:p>
      <w:pPr>
        <w:pStyle w:val="Style32"/>
        <w:keepNext w:val="0"/>
        <w:keepLines w:val="0"/>
        <w:widowControl w:val="0"/>
        <w:shd w:val="clear" w:color="auto" w:fill="auto"/>
        <w:bidi w:val="0"/>
        <w:spacing w:before="0" w:after="300" w:line="312" w:lineRule="exact"/>
        <w:ind w:left="740" w:right="0" w:firstLine="40"/>
        <w:jc w:val="left"/>
        <w:rPr>
          <w:sz w:val="24"/>
          <w:szCs w:val="24"/>
        </w:rPr>
      </w:pPr>
      <w:r>
        <w:rPr>
          <w:color w:val="000000"/>
          <w:spacing w:val="0"/>
          <w:w w:val="100"/>
          <w:position w:val="0"/>
          <w:sz w:val="24"/>
          <w:szCs w:val="24"/>
        </w:rPr>
        <w:t>将基于合并利润表的利润总额采用适用税率计算的所得税调节为所得税费 用：</w:t>
      </w:r>
    </w:p>
    <w:p>
      <w:pPr>
        <w:pStyle w:val="Style25"/>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 xml:space="preserve">年度 </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sz w:val="24"/>
          <w:szCs w:val="24"/>
        </w:rPr>
        <w:t>年度</w:t>
      </w:r>
    </w:p>
    <w:tbl>
      <w:tblPr>
        <w:tblOverlap w:val="never"/>
        <w:jc w:val="right"/>
        <w:tblLayout w:type="fixed"/>
      </w:tblPr>
      <w:tblGrid>
        <w:gridCol w:w="5069"/>
        <w:gridCol w:w="1474"/>
        <w:gridCol w:w="1598"/>
      </w:tblGrid>
      <w:tr>
        <w:trPr>
          <w:trHeight w:val="298"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利润总额</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jc w:val="both"/>
              <w:rPr>
                <w:sz w:val="24"/>
                <w:szCs w:val="24"/>
              </w:rPr>
            </w:pPr>
            <w:r>
              <w:rPr>
                <w:rFonts w:ascii="Times New Roman" w:eastAsia="Times New Roman" w:hAnsi="Times New Roman" w:cs="Times New Roman"/>
                <w:color w:val="000000"/>
                <w:spacing w:val="0"/>
                <w:w w:val="100"/>
                <w:position w:val="0"/>
                <w:sz w:val="24"/>
                <w:szCs w:val="24"/>
              </w:rPr>
              <w:t>900,887</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left"/>
              <w:rPr>
                <w:sz w:val="24"/>
                <w:szCs w:val="24"/>
              </w:rPr>
            </w:pPr>
            <w:r>
              <w:rPr>
                <w:rFonts w:ascii="Times New Roman" w:eastAsia="Times New Roman" w:hAnsi="Times New Roman" w:cs="Times New Roman"/>
                <w:color w:val="000000"/>
                <w:spacing w:val="0"/>
                <w:w w:val="100"/>
                <w:position w:val="0"/>
                <w:sz w:val="24"/>
                <w:szCs w:val="24"/>
              </w:rPr>
              <w:t>888,957</w:t>
            </w:r>
          </w:p>
        </w:tc>
      </w:tr>
      <w:tr>
        <w:trPr>
          <w:trHeight w:val="317" w:hRule="exact"/>
        </w:trPr>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按适用税率计算的所得税</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jc w:val="both"/>
              <w:rPr>
                <w:sz w:val="24"/>
                <w:szCs w:val="24"/>
              </w:rPr>
            </w:pPr>
            <w:r>
              <w:rPr>
                <w:rFonts w:ascii="Times New Roman" w:eastAsia="Times New Roman" w:hAnsi="Times New Roman" w:cs="Times New Roman"/>
                <w:color w:val="000000"/>
                <w:spacing w:val="0"/>
                <w:w w:val="100"/>
                <w:position w:val="0"/>
                <w:sz w:val="24"/>
                <w:szCs w:val="24"/>
              </w:rPr>
              <w:t>242,523</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left"/>
              <w:rPr>
                <w:sz w:val="24"/>
                <w:szCs w:val="24"/>
              </w:rPr>
            </w:pPr>
            <w:r>
              <w:rPr>
                <w:rFonts w:ascii="Times New Roman" w:eastAsia="Times New Roman" w:hAnsi="Times New Roman" w:cs="Times New Roman"/>
                <w:color w:val="000000"/>
                <w:spacing w:val="0"/>
                <w:w w:val="100"/>
                <w:position w:val="0"/>
                <w:sz w:val="24"/>
                <w:szCs w:val="24"/>
              </w:rPr>
              <w:t>243,448</w:t>
            </w:r>
          </w:p>
        </w:tc>
      </w:tr>
      <w:tr>
        <w:trPr>
          <w:trHeight w:val="322"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部分子公司之优惠税率影响</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jc w:val="left"/>
              <w:rPr>
                <w:sz w:val="24"/>
                <w:szCs w:val="24"/>
              </w:rPr>
            </w:pPr>
            <w:r>
              <w:rPr>
                <w:rFonts w:ascii="Times New Roman" w:eastAsia="Times New Roman" w:hAnsi="Times New Roman" w:cs="Times New Roman"/>
                <w:color w:val="000000"/>
                <w:spacing w:val="0"/>
                <w:w w:val="100"/>
                <w:position w:val="0"/>
                <w:sz w:val="24"/>
                <w:szCs w:val="24"/>
              </w:rPr>
              <w:t>(31,159)</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left"/>
              <w:rPr>
                <w:sz w:val="24"/>
                <w:szCs w:val="24"/>
              </w:rPr>
            </w:pPr>
            <w:r>
              <w:rPr>
                <w:rFonts w:ascii="Times New Roman" w:eastAsia="Times New Roman" w:hAnsi="Times New Roman" w:cs="Times New Roman"/>
                <w:color w:val="000000"/>
                <w:spacing w:val="0"/>
                <w:w w:val="100"/>
                <w:position w:val="0"/>
                <w:sz w:val="24"/>
                <w:szCs w:val="24"/>
              </w:rPr>
              <w:t>(4,119)</w:t>
            </w:r>
          </w:p>
        </w:tc>
      </w:tr>
      <w:tr>
        <w:trPr>
          <w:trHeight w:val="312"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非应纳税收入</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180" w:firstLine="0"/>
              <w:jc w:val="right"/>
              <w:rPr>
                <w:sz w:val="24"/>
                <w:szCs w:val="24"/>
              </w:rPr>
            </w:pPr>
            <w:r>
              <w:rPr>
                <w:rFonts w:ascii="Times New Roman" w:eastAsia="Times New Roman" w:hAnsi="Times New Roman" w:cs="Times New Roman"/>
                <w:color w:val="000000"/>
                <w:spacing w:val="0"/>
                <w:w w:val="100"/>
                <w:position w:val="0"/>
                <w:sz w:val="24"/>
                <w:szCs w:val="24"/>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left"/>
              <w:rPr>
                <w:sz w:val="24"/>
                <w:szCs w:val="24"/>
              </w:rPr>
            </w:pPr>
            <w:r>
              <w:rPr>
                <w:rFonts w:ascii="Times New Roman" w:eastAsia="Times New Roman" w:hAnsi="Times New Roman" w:cs="Times New Roman"/>
                <w:color w:val="000000"/>
                <w:spacing w:val="0"/>
                <w:w w:val="100"/>
                <w:position w:val="0"/>
                <w:sz w:val="24"/>
                <w:szCs w:val="24"/>
              </w:rPr>
              <w:t>(7,295)</w:t>
            </w:r>
          </w:p>
        </w:tc>
      </w:tr>
      <w:tr>
        <w:trPr>
          <w:trHeight w:val="302"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不得扣除的成本、费用和损失</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jc w:val="both"/>
              <w:rPr>
                <w:sz w:val="24"/>
                <w:szCs w:val="24"/>
              </w:rPr>
            </w:pPr>
            <w:r>
              <w:rPr>
                <w:rFonts w:ascii="Times New Roman" w:eastAsia="Times New Roman" w:hAnsi="Times New Roman" w:cs="Times New Roman"/>
                <w:color w:val="000000"/>
                <w:spacing w:val="0"/>
                <w:w w:val="100"/>
                <w:position w:val="0"/>
                <w:sz w:val="24"/>
                <w:szCs w:val="24"/>
              </w:rPr>
              <w:t>109,196</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left"/>
              <w:rPr>
                <w:sz w:val="24"/>
                <w:szCs w:val="24"/>
              </w:rPr>
            </w:pPr>
            <w:r>
              <w:rPr>
                <w:rFonts w:ascii="Times New Roman" w:eastAsia="Times New Roman" w:hAnsi="Times New Roman" w:cs="Times New Roman"/>
                <w:color w:val="000000"/>
                <w:spacing w:val="0"/>
                <w:w w:val="100"/>
                <w:position w:val="0"/>
                <w:sz w:val="24"/>
                <w:szCs w:val="24"/>
              </w:rPr>
              <w:t>31,941</w:t>
            </w:r>
          </w:p>
        </w:tc>
      </w:tr>
      <w:tr>
        <w:trPr>
          <w:trHeight w:val="326"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研发费用加计扣除</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jc w:val="left"/>
              <w:rPr>
                <w:sz w:val="24"/>
                <w:szCs w:val="24"/>
              </w:rPr>
            </w:pPr>
            <w:r>
              <w:rPr>
                <w:rFonts w:ascii="Times New Roman" w:eastAsia="Times New Roman" w:hAnsi="Times New Roman" w:cs="Times New Roman"/>
                <w:color w:val="000000"/>
                <w:spacing w:val="0"/>
                <w:w w:val="100"/>
                <w:position w:val="0"/>
                <w:sz w:val="24"/>
                <w:szCs w:val="24"/>
              </w:rPr>
              <w:t>(26,131)</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left"/>
              <w:rPr>
                <w:sz w:val="24"/>
                <w:szCs w:val="24"/>
              </w:rPr>
            </w:pPr>
            <w:r>
              <w:rPr>
                <w:rFonts w:ascii="Times New Roman" w:eastAsia="Times New Roman" w:hAnsi="Times New Roman" w:cs="Times New Roman"/>
                <w:color w:val="000000"/>
                <w:spacing w:val="0"/>
                <w:w w:val="100"/>
                <w:position w:val="0"/>
                <w:sz w:val="24"/>
                <w:szCs w:val="24"/>
              </w:rPr>
              <w:t>(5,999)</w:t>
            </w:r>
          </w:p>
        </w:tc>
      </w:tr>
      <w:tr>
        <w:trPr>
          <w:trHeight w:val="307"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所得税汇算清缴差异</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left"/>
              <w:rPr>
                <w:sz w:val="24"/>
                <w:szCs w:val="24"/>
              </w:rPr>
            </w:pPr>
            <w:r>
              <w:rPr>
                <w:rFonts w:ascii="Times New Roman" w:eastAsia="Times New Roman" w:hAnsi="Times New Roman" w:cs="Times New Roman"/>
                <w:color w:val="000000"/>
                <w:spacing w:val="0"/>
                <w:w w:val="100"/>
                <w:position w:val="0"/>
                <w:sz w:val="24"/>
                <w:szCs w:val="24"/>
              </w:rPr>
              <w:t>(7,750)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left"/>
              <w:rPr>
                <w:sz w:val="24"/>
                <w:szCs w:val="24"/>
              </w:rPr>
            </w:pPr>
            <w:r>
              <w:rPr>
                <w:rFonts w:ascii="Times New Roman" w:eastAsia="Times New Roman" w:hAnsi="Times New Roman" w:cs="Times New Roman"/>
                <w:color w:val="000000"/>
                <w:spacing w:val="0"/>
                <w:w w:val="100"/>
                <w:position w:val="0"/>
                <w:sz w:val="24"/>
                <w:szCs w:val="24"/>
              </w:rPr>
              <w:t>(10,861)</w:t>
            </w:r>
          </w:p>
        </w:tc>
      </w:tr>
      <w:tr>
        <w:trPr>
          <w:trHeight w:val="298"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到期转回以前年度确认的递延所得税资产</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both"/>
              <w:rPr>
                <w:sz w:val="24"/>
                <w:szCs w:val="24"/>
              </w:rPr>
            </w:pPr>
            <w:r>
              <w:rPr>
                <w:rFonts w:ascii="Times New Roman" w:eastAsia="Times New Roman" w:hAnsi="Times New Roman" w:cs="Times New Roman"/>
                <w:color w:val="000000"/>
                <w:spacing w:val="0"/>
                <w:w w:val="100"/>
                <w:position w:val="0"/>
                <w:sz w:val="24"/>
                <w:szCs w:val="24"/>
              </w:rPr>
              <w:t>55,271</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left"/>
              <w:rPr>
                <w:sz w:val="24"/>
                <w:szCs w:val="24"/>
              </w:rPr>
            </w:pPr>
            <w:r>
              <w:rPr>
                <w:rFonts w:ascii="Times New Roman" w:eastAsia="Times New Roman" w:hAnsi="Times New Roman" w:cs="Times New Roman"/>
                <w:color w:val="000000"/>
                <w:spacing w:val="0"/>
                <w:w w:val="100"/>
                <w:position w:val="0"/>
                <w:sz w:val="24"/>
                <w:szCs w:val="24"/>
              </w:rPr>
              <w:t>-</w:t>
            </w:r>
          </w:p>
        </w:tc>
      </w:tr>
      <w:tr>
        <w:trPr>
          <w:trHeight w:val="322"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使用以前年度未确认递延所得税资产的暂时</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22"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left"/>
              <w:rPr>
                <w:sz w:val="24"/>
                <w:szCs w:val="24"/>
              </w:rPr>
            </w:pPr>
            <w:r>
              <w:rPr>
                <w:color w:val="000000"/>
                <w:spacing w:val="0"/>
                <w:w w:val="100"/>
                <w:position w:val="0"/>
                <w:sz w:val="24"/>
                <w:szCs w:val="24"/>
              </w:rPr>
              <w:t>性差异</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left"/>
              <w:rPr>
                <w:sz w:val="24"/>
                <w:szCs w:val="24"/>
              </w:rPr>
            </w:pPr>
            <w:r>
              <w:rPr>
                <w:rFonts w:ascii="Times New Roman" w:eastAsia="Times New Roman" w:hAnsi="Times New Roman" w:cs="Times New Roman"/>
                <w:color w:val="000000"/>
                <w:spacing w:val="0"/>
                <w:w w:val="100"/>
                <w:position w:val="0"/>
                <w:sz w:val="24"/>
                <w:szCs w:val="24"/>
              </w:rPr>
              <w:t>(3,637)</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left"/>
              <w:rPr>
                <w:sz w:val="24"/>
                <w:szCs w:val="24"/>
              </w:rPr>
            </w:pPr>
            <w:r>
              <w:rPr>
                <w:rFonts w:ascii="Times New Roman" w:eastAsia="Times New Roman" w:hAnsi="Times New Roman" w:cs="Times New Roman"/>
                <w:color w:val="000000"/>
                <w:spacing w:val="0"/>
                <w:w w:val="100"/>
                <w:position w:val="0"/>
                <w:sz w:val="24"/>
                <w:szCs w:val="24"/>
              </w:rPr>
              <w:t>(14,426)</w:t>
            </w:r>
          </w:p>
        </w:tc>
      </w:tr>
      <w:tr>
        <w:trPr>
          <w:trHeight w:val="293"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当年未确认递延所得税资产的暂时性差异</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both"/>
              <w:rPr>
                <w:sz w:val="24"/>
                <w:szCs w:val="24"/>
              </w:rPr>
            </w:pPr>
            <w:r>
              <w:rPr>
                <w:rFonts w:ascii="Times New Roman" w:eastAsia="Times New Roman" w:hAnsi="Times New Roman" w:cs="Times New Roman"/>
                <w:color w:val="000000"/>
                <w:spacing w:val="0"/>
                <w:w w:val="100"/>
                <w:position w:val="0"/>
                <w:sz w:val="24"/>
                <w:szCs w:val="24"/>
              </w:rPr>
              <w:t>25,325</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left"/>
              <w:rPr>
                <w:sz w:val="24"/>
                <w:szCs w:val="24"/>
              </w:rPr>
            </w:pPr>
            <w:r>
              <w:rPr>
                <w:rFonts w:ascii="Times New Roman" w:eastAsia="Times New Roman" w:hAnsi="Times New Roman" w:cs="Times New Roman"/>
                <w:color w:val="000000"/>
                <w:spacing w:val="0"/>
                <w:w w:val="100"/>
                <w:position w:val="0"/>
                <w:sz w:val="24"/>
                <w:szCs w:val="24"/>
              </w:rPr>
              <w:t>7,022</w:t>
            </w:r>
          </w:p>
        </w:tc>
      </w:tr>
      <w:tr>
        <w:trPr>
          <w:trHeight w:val="322"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使用以前年度未确认递延所得税资产的可抵</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22"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left"/>
              <w:rPr>
                <w:sz w:val="24"/>
                <w:szCs w:val="24"/>
              </w:rPr>
            </w:pPr>
            <w:r>
              <w:rPr>
                <w:color w:val="000000"/>
                <w:spacing w:val="0"/>
                <w:w w:val="100"/>
                <w:position w:val="0"/>
                <w:sz w:val="24"/>
                <w:szCs w:val="24"/>
              </w:rPr>
              <w:t>扣亏损</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60"/>
              <w:jc w:val="left"/>
              <w:rPr>
                <w:sz w:val="24"/>
                <w:szCs w:val="24"/>
              </w:rPr>
            </w:pPr>
            <w:r>
              <w:rPr>
                <w:rFonts w:ascii="Times New Roman" w:eastAsia="Times New Roman" w:hAnsi="Times New Roman" w:cs="Times New Roman"/>
                <w:color w:val="000000"/>
                <w:spacing w:val="0"/>
                <w:w w:val="100"/>
                <w:position w:val="0"/>
                <w:sz w:val="24"/>
                <w:szCs w:val="24"/>
              </w:rPr>
              <w:t>(873)</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left"/>
              <w:rPr>
                <w:sz w:val="24"/>
                <w:szCs w:val="24"/>
              </w:rPr>
            </w:pPr>
            <w:r>
              <w:rPr>
                <w:rFonts w:ascii="Times New Roman" w:eastAsia="Times New Roman" w:hAnsi="Times New Roman" w:cs="Times New Roman"/>
                <w:color w:val="000000"/>
                <w:spacing w:val="0"/>
                <w:w w:val="100"/>
                <w:position w:val="0"/>
                <w:sz w:val="24"/>
                <w:szCs w:val="24"/>
              </w:rPr>
              <w:t>(133,966)</w:t>
            </w:r>
          </w:p>
        </w:tc>
      </w:tr>
      <w:tr>
        <w:trPr>
          <w:trHeight w:val="298"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当年未确认递延所得税资产的可抵扣亏损</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both"/>
              <w:rPr>
                <w:sz w:val="24"/>
                <w:szCs w:val="24"/>
              </w:rPr>
            </w:pPr>
            <w:r>
              <w:rPr>
                <w:rFonts w:ascii="Times New Roman" w:eastAsia="Times New Roman" w:hAnsi="Times New Roman" w:cs="Times New Roman"/>
                <w:color w:val="000000"/>
                <w:spacing w:val="0"/>
                <w:w w:val="100"/>
                <w:position w:val="0"/>
                <w:sz w:val="24"/>
                <w:szCs w:val="24"/>
              </w:rPr>
              <w:t>44,890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left"/>
              <w:rPr>
                <w:sz w:val="24"/>
                <w:szCs w:val="24"/>
              </w:rPr>
            </w:pPr>
            <w:r>
              <w:rPr>
                <w:rFonts w:ascii="Times New Roman" w:eastAsia="Times New Roman" w:hAnsi="Times New Roman" w:cs="Times New Roman"/>
                <w:color w:val="000000"/>
                <w:spacing w:val="0"/>
                <w:w w:val="100"/>
                <w:position w:val="0"/>
                <w:sz w:val="24"/>
                <w:szCs w:val="24"/>
              </w:rPr>
              <w:t>25,480</w:t>
            </w:r>
          </w:p>
        </w:tc>
      </w:tr>
      <w:tr>
        <w:trPr>
          <w:trHeight w:val="341" w:hRule="exact"/>
        </w:trPr>
        <w:tc>
          <w:tcPr>
            <w:tcBorders>
              <w:top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所得税费用</w:t>
            </w:r>
          </w:p>
        </w:tc>
        <w:tc>
          <w:tcPr>
            <w:tcBorders>
              <w:top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jc w:val="both"/>
              <w:rPr>
                <w:sz w:val="24"/>
                <w:szCs w:val="24"/>
              </w:rPr>
            </w:pPr>
            <w:r>
              <w:rPr>
                <w:rFonts w:ascii="Times New Roman" w:eastAsia="Times New Roman" w:hAnsi="Times New Roman" w:cs="Times New Roman"/>
                <w:color w:val="000000"/>
                <w:spacing w:val="0"/>
                <w:w w:val="100"/>
                <w:position w:val="0"/>
                <w:sz w:val="24"/>
                <w:szCs w:val="24"/>
              </w:rPr>
              <w:t>407,655</w:t>
            </w:r>
          </w:p>
        </w:tc>
        <w:tc>
          <w:tcPr>
            <w:tcBorders>
              <w:top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left"/>
              <w:rPr>
                <w:sz w:val="24"/>
                <w:szCs w:val="24"/>
              </w:rPr>
            </w:pPr>
            <w:r>
              <w:rPr>
                <w:rFonts w:ascii="Times New Roman" w:eastAsia="Times New Roman" w:hAnsi="Times New Roman" w:cs="Times New Roman"/>
                <w:color w:val="000000"/>
                <w:spacing w:val="0"/>
                <w:w w:val="100"/>
                <w:position w:val="0"/>
                <w:sz w:val="24"/>
                <w:szCs w:val="24"/>
              </w:rPr>
              <w:t>131,225</w:t>
            </w:r>
          </w:p>
        </w:tc>
      </w:tr>
    </w:tbl>
    <w:p>
      <w:pPr>
        <w:pStyle w:val="Style32"/>
        <w:keepNext w:val="0"/>
        <w:keepLines w:val="0"/>
        <w:widowControl w:val="0"/>
        <w:shd w:val="clear" w:color="auto" w:fill="auto"/>
        <w:bidi w:val="0"/>
        <w:spacing w:before="0" w:after="0" w:line="240" w:lineRule="auto"/>
        <w:ind w:left="0" w:right="0" w:firstLine="640"/>
        <w:jc w:val="both"/>
        <w:rPr>
          <w:sz w:val="24"/>
          <w:szCs w:val="24"/>
        </w:rPr>
      </w:pPr>
      <w:r>
        <w:rPr>
          <w:b/>
          <w:bCs/>
          <w:color w:val="000000"/>
          <w:spacing w:val="0"/>
          <w:w w:val="100"/>
          <w:position w:val="0"/>
          <w:sz w:val="24"/>
          <w:szCs w:val="24"/>
        </w:rPr>
        <w:t>财务报表附注</w:t>
      </w:r>
    </w:p>
    <w:p>
      <w:pPr>
        <w:pStyle w:val="Style88"/>
        <w:keepNext/>
        <w:keepLines/>
        <w:widowControl w:val="0"/>
        <w:shd w:val="clear" w:color="auto" w:fill="auto"/>
        <w:bidi w:val="0"/>
        <w:spacing w:before="0" w:after="0" w:line="240" w:lineRule="auto"/>
        <w:ind w:left="0" w:right="0" w:firstLine="640"/>
        <w:jc w:val="both"/>
      </w:pPr>
      <w:bookmarkStart w:id="992" w:name="bookmark992"/>
      <w:bookmarkStart w:id="993" w:name="bookmark993"/>
      <w:bookmarkStart w:id="994" w:name="bookmark994"/>
      <w:r>
        <w:rPr>
          <w:color w:val="000000"/>
          <w:spacing w:val="0"/>
          <w:w w:val="100"/>
          <w:position w:val="0"/>
          <w:sz w:val="24"/>
          <w:szCs w:val="24"/>
        </w:rPr>
        <w:t>2016</w:t>
      </w:r>
      <w:r>
        <w:rPr>
          <w:rFonts w:ascii="SimSun" w:eastAsia="SimSun" w:hAnsi="SimSun" w:cs="SimSun"/>
          <w:b/>
          <w:bCs/>
          <w:color w:val="000000"/>
          <w:spacing w:val="0"/>
          <w:w w:val="100"/>
          <w:position w:val="0"/>
          <w:sz w:val="24"/>
          <w:szCs w:val="24"/>
        </w:rPr>
        <w:t>年度</w:t>
      </w:r>
      <w:bookmarkEnd w:id="992"/>
      <w:bookmarkEnd w:id="993"/>
      <w:bookmarkEnd w:id="994"/>
    </w:p>
    <w:p>
      <w:pPr>
        <w:pStyle w:val="Style32"/>
        <w:keepNext w:val="0"/>
        <w:keepLines w:val="0"/>
        <w:widowControl w:val="0"/>
        <w:shd w:val="clear" w:color="auto" w:fill="auto"/>
        <w:bidi w:val="0"/>
        <w:spacing w:before="0" w:after="240" w:line="240" w:lineRule="auto"/>
        <w:ind w:left="0" w:right="0" w:firstLine="640"/>
        <w:jc w:val="both"/>
        <w:rPr>
          <w:sz w:val="24"/>
          <w:szCs w:val="24"/>
        </w:rPr>
      </w:pPr>
      <w:r>
        <w:rPr>
          <w:rFonts w:ascii="Arial" w:eastAsia="Arial" w:hAnsi="Arial" w:cs="Arial"/>
          <w:color w:val="000000"/>
          <w:spacing w:val="0"/>
          <w:w w:val="100"/>
          <w:position w:val="0"/>
          <w:sz w:val="20"/>
          <w:szCs w:val="20"/>
        </w:rPr>
        <w:t>（</w:t>
      </w:r>
      <w:r>
        <w:rPr>
          <w:color w:val="000000"/>
          <w:spacing w:val="0"/>
          <w:w w:val="100"/>
          <w:position w:val="0"/>
          <w:sz w:val="20"/>
          <w:szCs w:val="20"/>
        </w:rPr>
        <w:t>除特别注明外，金额单位为人民币千元</w:t>
      </w:r>
      <w:r>
        <w:rPr>
          <w:color w:val="000000"/>
          <w:spacing w:val="0"/>
          <w:w w:val="100"/>
          <w:position w:val="0"/>
          <w:sz w:val="24"/>
          <w:szCs w:val="24"/>
        </w:rPr>
        <w:t>）</w:t>
      </w:r>
    </w:p>
    <w:p>
      <w:pPr>
        <w:pStyle w:val="Style32"/>
        <w:keepNext w:val="0"/>
        <w:keepLines w:val="0"/>
        <w:widowControl w:val="0"/>
        <w:shd w:val="clear" w:color="auto" w:fill="auto"/>
        <w:tabs>
          <w:tab w:pos="605" w:val="left"/>
        </w:tabs>
        <w:bidi w:val="0"/>
        <w:spacing w:before="0" w:after="240" w:line="240" w:lineRule="auto"/>
        <w:ind w:left="0" w:right="0" w:firstLine="0"/>
        <w:jc w:val="left"/>
        <w:rPr>
          <w:sz w:val="24"/>
          <w:szCs w:val="24"/>
        </w:rPr>
      </w:pPr>
      <w:r>
        <w:rPr>
          <w:b/>
          <w:bCs/>
          <w:color w:val="000000"/>
          <w:spacing w:val="0"/>
          <w:w w:val="100"/>
          <w:position w:val="0"/>
          <w:sz w:val="24"/>
          <w:szCs w:val="24"/>
        </w:rPr>
        <w:t>四</w:t>
        <w:tab/>
        <w:t>合并财务报表项目附注</w:t>
      </w:r>
      <w:r>
        <w:rPr>
          <w:rFonts w:ascii="Times New Roman" w:eastAsia="Times New Roman" w:hAnsi="Times New Roman" w:cs="Times New Roman"/>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4"/>
          <w:szCs w:val="24"/>
        </w:rPr>
        <w:t>）</w:t>
      </w:r>
    </w:p>
    <w:p>
      <w:pPr>
        <w:pStyle w:val="Style32"/>
        <w:keepNext w:val="0"/>
        <w:keepLines w:val="0"/>
        <w:widowControl w:val="0"/>
        <w:shd w:val="clear" w:color="auto" w:fill="auto"/>
        <w:bidi w:val="0"/>
        <w:spacing w:before="0" w:after="24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（56）</w:t>
      </w:r>
      <w:r>
        <w:rPr>
          <w:b/>
          <w:bCs/>
          <w:color w:val="000000"/>
          <w:spacing w:val="0"/>
          <w:w w:val="100"/>
          <w:position w:val="0"/>
          <w:sz w:val="24"/>
          <w:szCs w:val="24"/>
        </w:rPr>
        <w:t>每股收益</w:t>
      </w:r>
    </w:p>
    <w:p>
      <w:pPr>
        <w:pStyle w:val="Style32"/>
        <w:keepNext w:val="0"/>
        <w:keepLines w:val="0"/>
        <w:widowControl w:val="0"/>
        <w:shd w:val="clear" w:color="auto" w:fill="auto"/>
        <w:tabs>
          <w:tab w:pos="605" w:val="left"/>
        </w:tabs>
        <w:bidi w:val="0"/>
        <w:spacing w:before="0" w:after="240" w:line="307" w:lineRule="exact"/>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（a）</w:t>
        <w:tab/>
      </w:r>
      <w:r>
        <w:rPr>
          <w:color w:val="000000"/>
          <w:spacing w:val="0"/>
          <w:w w:val="100"/>
          <w:position w:val="0"/>
          <w:sz w:val="24"/>
          <w:szCs w:val="24"/>
        </w:rPr>
        <w:t>基本每股收益</w:t>
      </w:r>
    </w:p>
    <w:p>
      <w:pPr>
        <w:pStyle w:val="Style32"/>
        <w:keepNext w:val="0"/>
        <w:keepLines w:val="0"/>
        <w:widowControl w:val="0"/>
        <w:shd w:val="clear" w:color="auto" w:fill="auto"/>
        <w:bidi w:val="0"/>
        <w:spacing w:before="0" w:after="300" w:line="307" w:lineRule="exact"/>
        <w:ind w:left="640" w:right="0" w:firstLine="60"/>
        <w:jc w:val="both"/>
        <w:rPr>
          <w:sz w:val="24"/>
          <w:szCs w:val="24"/>
        </w:rPr>
      </w:pPr>
      <w:r>
        <w:rPr>
          <w:color w:val="000000"/>
          <w:spacing w:val="0"/>
          <w:w w:val="100"/>
          <w:position w:val="0"/>
          <w:sz w:val="24"/>
          <w:szCs w:val="24"/>
        </w:rPr>
        <w:t>基本每股收益以归属于本公司普通股股东的合并净利润除以本公司发行在外 普通股的加权平均数计算：</w:t>
      </w:r>
    </w:p>
    <w:tbl>
      <w:tblPr>
        <w:tblOverlap w:val="never"/>
        <w:jc w:val="right"/>
        <w:tblLayout w:type="fixed"/>
      </w:tblPr>
      <w:tblGrid>
        <w:gridCol w:w="4162"/>
        <w:gridCol w:w="2222"/>
        <w:gridCol w:w="1867"/>
      </w:tblGrid>
      <w:tr>
        <w:trPr>
          <w:trHeight w:val="432"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260" w:firstLine="0"/>
              <w:jc w:val="right"/>
              <w:rPr>
                <w:sz w:val="24"/>
                <w:szCs w:val="24"/>
              </w:rPr>
            </w:pP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年度</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40"/>
              <w:jc w:val="left"/>
              <w:rPr>
                <w:sz w:val="24"/>
                <w:szCs w:val="24"/>
              </w:rPr>
            </w:pPr>
            <w:r>
              <w:rPr>
                <w:rFonts w:ascii="Times New Roman" w:eastAsia="Times New Roman" w:hAnsi="Times New Roman" w:cs="Times New Roman"/>
                <w:color w:val="000000"/>
                <w:spacing w:val="0"/>
                <w:w w:val="100"/>
                <w:position w:val="0"/>
                <w:sz w:val="24"/>
                <w:szCs w:val="24"/>
              </w:rPr>
              <w:t>2015</w:t>
            </w:r>
            <w:r>
              <w:rPr>
                <w:color w:val="000000"/>
                <w:spacing w:val="0"/>
                <w:w w:val="100"/>
                <w:position w:val="0"/>
                <w:sz w:val="24"/>
                <w:szCs w:val="24"/>
              </w:rPr>
              <w:t>年度</w:t>
            </w:r>
          </w:p>
        </w:tc>
      </w:tr>
      <w:tr>
        <w:trPr>
          <w:trHeight w:val="456"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归属于本公司普通股股东的合并净</w:t>
            </w:r>
          </w:p>
        </w:tc>
        <w:tc>
          <w:tcPr>
            <w:gridSpan w:val="2"/>
            <w:tcBorders/>
            <w:shd w:val="clear" w:color="auto" w:fill="FFFFFF"/>
            <w:vAlign w:val="top"/>
          </w:tcPr>
          <w:p>
            <w:pPr>
              <w:widowControl w:val="0"/>
              <w:rPr>
                <w:sz w:val="10"/>
                <w:szCs w:val="10"/>
              </w:rPr>
            </w:pPr>
          </w:p>
        </w:tc>
      </w:tr>
      <w:tr>
        <w:trPr>
          <w:trHeight w:val="312"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rPr>
                <w:sz w:val="24"/>
                <w:szCs w:val="24"/>
              </w:rPr>
            </w:pPr>
            <w:r>
              <w:rPr>
                <w:color w:val="000000"/>
                <w:spacing w:val="0"/>
                <w:w w:val="100"/>
                <w:position w:val="0"/>
                <w:sz w:val="24"/>
                <w:szCs w:val="24"/>
              </w:rPr>
              <w:t>利润</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千元</w:t>
            </w:r>
            <w:r>
              <w:rPr>
                <w:color w:val="000000"/>
                <w:spacing w:val="0"/>
                <w:w w:val="100"/>
                <w:position w:val="0"/>
                <w:sz w:val="24"/>
                <w:szCs w:val="24"/>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260" w:firstLine="0"/>
              <w:jc w:val="right"/>
              <w:rPr>
                <w:sz w:val="24"/>
                <w:szCs w:val="24"/>
              </w:rPr>
            </w:pPr>
            <w:r>
              <w:rPr>
                <w:rFonts w:ascii="Times New Roman" w:eastAsia="Times New Roman" w:hAnsi="Times New Roman" w:cs="Times New Roman"/>
                <w:color w:val="000000"/>
                <w:spacing w:val="0"/>
                <w:w w:val="100"/>
                <w:position w:val="0"/>
                <w:sz w:val="24"/>
                <w:szCs w:val="24"/>
              </w:rPr>
              <w:t>704,414</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872,504</w:t>
            </w:r>
          </w:p>
        </w:tc>
      </w:tr>
      <w:tr>
        <w:trPr>
          <w:trHeight w:val="307"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本公司发行在外普通股的加权平均</w:t>
            </w:r>
          </w:p>
        </w:tc>
        <w:tc>
          <w:tcPr>
            <w:gridSpan w:val="2"/>
            <w:tcBorders/>
            <w:shd w:val="clear" w:color="auto" w:fill="FFFFFF"/>
            <w:vAlign w:val="top"/>
          </w:tcPr>
          <w:p>
            <w:pPr>
              <w:widowControl w:val="0"/>
              <w:rPr>
                <w:sz w:val="10"/>
                <w:szCs w:val="10"/>
              </w:rPr>
            </w:pPr>
          </w:p>
        </w:tc>
      </w:tr>
      <w:tr>
        <w:trPr>
          <w:trHeight w:val="322"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rPr>
                <w:sz w:val="24"/>
                <w:szCs w:val="24"/>
              </w:rPr>
            </w:pPr>
            <w:r>
              <w:rPr>
                <w:color w:val="000000"/>
                <w:spacing w:val="0"/>
                <w:w w:val="100"/>
                <w:position w:val="0"/>
                <w:sz w:val="24"/>
                <w:szCs w:val="24"/>
              </w:rPr>
              <w:t>数</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千股</w:t>
            </w:r>
            <w:r>
              <w:rPr>
                <w:rFonts w:ascii="Times New Roman" w:eastAsia="Times New Roman" w:hAnsi="Times New Roman" w:cs="Times New Roman"/>
                <w:color w:val="000000"/>
                <w:spacing w:val="0"/>
                <w:w w:val="100"/>
                <w:position w:val="0"/>
                <w:sz w:val="24"/>
                <w:szCs w:val="24"/>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260" w:firstLine="0"/>
              <w:jc w:val="right"/>
              <w:rPr>
                <w:sz w:val="24"/>
                <w:szCs w:val="24"/>
              </w:rPr>
            </w:pPr>
            <w:r>
              <w:rPr>
                <w:rFonts w:ascii="Times New Roman" w:eastAsia="Times New Roman" w:hAnsi="Times New Roman" w:cs="Times New Roman"/>
                <w:color w:val="000000"/>
                <w:spacing w:val="0"/>
                <w:w w:val="100"/>
                <w:position w:val="0"/>
                <w:sz w:val="24"/>
                <w:szCs w:val="24"/>
              </w:rPr>
              <w:t>8,507,125</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left"/>
              <w:rPr>
                <w:sz w:val="24"/>
                <w:szCs w:val="24"/>
              </w:rPr>
            </w:pPr>
            <w:r>
              <w:rPr>
                <w:rFonts w:ascii="Times New Roman" w:eastAsia="Times New Roman" w:hAnsi="Times New Roman" w:cs="Times New Roman"/>
                <w:color w:val="000000"/>
                <w:spacing w:val="0"/>
                <w:w w:val="100"/>
                <w:position w:val="0"/>
                <w:sz w:val="24"/>
                <w:szCs w:val="24"/>
              </w:rPr>
              <w:t>7,383,043</w:t>
            </w:r>
          </w:p>
        </w:tc>
      </w:tr>
      <w:tr>
        <w:trPr>
          <w:trHeight w:val="365"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基本每股收益</w:t>
            </w:r>
          </w:p>
        </w:tc>
        <w:tc>
          <w:tcPr>
            <w:tcBorders>
              <w:top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260" w:firstLine="0"/>
              <w:jc w:val="right"/>
              <w:rPr>
                <w:sz w:val="24"/>
                <w:szCs w:val="24"/>
              </w:rPr>
            </w:pPr>
            <w:r>
              <w:rPr>
                <w:color w:val="000000"/>
                <w:spacing w:val="0"/>
                <w:w w:val="100"/>
                <w:position w:val="0"/>
                <w:sz w:val="24"/>
                <w:szCs w:val="24"/>
              </w:rPr>
              <w:t>人民币</w:t>
            </w:r>
            <w:r>
              <w:rPr>
                <w:rFonts w:ascii="Times New Roman" w:eastAsia="Times New Roman" w:hAnsi="Times New Roman" w:cs="Times New Roman"/>
                <w:color w:val="000000"/>
                <w:spacing w:val="0"/>
                <w:w w:val="100"/>
                <w:position w:val="0"/>
                <w:sz w:val="24"/>
                <w:szCs w:val="24"/>
              </w:rPr>
              <w:t>0.08</w:t>
            </w:r>
            <w:r>
              <w:rPr>
                <w:color w:val="000000"/>
                <w:spacing w:val="0"/>
                <w:w w:val="100"/>
                <w:position w:val="0"/>
                <w:sz w:val="24"/>
                <w:szCs w:val="24"/>
              </w:rPr>
              <w:t>元</w:t>
            </w:r>
          </w:p>
        </w:tc>
        <w:tc>
          <w:tcPr>
            <w:tcBorders>
              <w:top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60"/>
              <w:jc w:val="both"/>
              <w:rPr>
                <w:sz w:val="24"/>
                <w:szCs w:val="24"/>
              </w:rPr>
            </w:pPr>
            <w:r>
              <w:rPr>
                <w:color w:val="000000"/>
                <w:spacing w:val="0"/>
                <w:w w:val="100"/>
                <w:position w:val="0"/>
                <w:sz w:val="24"/>
                <w:szCs w:val="24"/>
              </w:rPr>
              <w:t>人民币</w:t>
            </w:r>
            <w:r>
              <w:rPr>
                <w:rFonts w:ascii="Times New Roman" w:eastAsia="Times New Roman" w:hAnsi="Times New Roman" w:cs="Times New Roman"/>
                <w:color w:val="000000"/>
                <w:spacing w:val="0"/>
                <w:w w:val="100"/>
                <w:position w:val="0"/>
                <w:sz w:val="24"/>
                <w:szCs w:val="24"/>
              </w:rPr>
              <w:t>0.12</w:t>
            </w:r>
            <w:r>
              <w:rPr>
                <w:color w:val="000000"/>
                <w:spacing w:val="0"/>
                <w:w w:val="100"/>
                <w:position w:val="0"/>
                <w:sz w:val="24"/>
                <w:szCs w:val="24"/>
              </w:rPr>
              <w:t>元</w:t>
            </w:r>
          </w:p>
        </w:tc>
      </w:tr>
    </w:tbl>
    <w:p>
      <w:pPr>
        <w:widowControl w:val="0"/>
        <w:spacing w:after="239" w:line="1" w:lineRule="exact"/>
      </w:pPr>
    </w:p>
    <w:p>
      <w:pPr>
        <w:pStyle w:val="Style32"/>
        <w:keepNext w:val="0"/>
        <w:keepLines w:val="0"/>
        <w:widowControl w:val="0"/>
        <w:shd w:val="clear" w:color="auto" w:fill="auto"/>
        <w:bidi w:val="0"/>
        <w:spacing w:before="0" w:after="240" w:line="307" w:lineRule="exact"/>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 xml:space="preserve">（b） </w:t>
      </w:r>
      <w:r>
        <w:rPr>
          <w:color w:val="000000"/>
          <w:spacing w:val="0"/>
          <w:w w:val="100"/>
          <w:position w:val="0"/>
          <w:sz w:val="24"/>
          <w:szCs w:val="24"/>
        </w:rPr>
        <w:t>稀释每股收益</w:t>
      </w:r>
    </w:p>
    <w:p>
      <w:pPr>
        <w:pStyle w:val="Style32"/>
        <w:keepNext w:val="0"/>
        <w:keepLines w:val="0"/>
        <w:widowControl w:val="0"/>
        <w:shd w:val="clear" w:color="auto" w:fill="auto"/>
        <w:bidi w:val="0"/>
        <w:spacing w:before="0" w:after="240" w:line="307" w:lineRule="exact"/>
        <w:ind w:left="640" w:right="0" w:firstLine="60"/>
        <w:jc w:val="both"/>
        <w:rPr>
          <w:sz w:val="24"/>
          <w:szCs w:val="24"/>
        </w:rPr>
      </w:pPr>
      <w:r>
        <w:rPr>
          <w:color w:val="000000"/>
          <w:spacing w:val="0"/>
          <w:w w:val="100"/>
          <w:position w:val="0"/>
          <w:sz w:val="24"/>
          <w:szCs w:val="24"/>
        </w:rPr>
        <w:t>稀释每股收益以根据稀释性潜在普通股调整后的归属于本公司普通股股东的 合并净利润除以调整后的本公司发行在外普通股的加权平均数计算。对于盈 利企业，股票期权的行权价格低于当期普通股平均市场价格时，应当考虑其 稀释性，并计算稀释每股收益。于</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年度，本公司不存在具有稀释性的潜 在普通股</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sz w:val="24"/>
          <w:szCs w:val="24"/>
        </w:rPr>
        <w:t>年度：无</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，因此，稀释每股收益等于基本每股收益。</w:t>
      </w:r>
      <w:r>
        <w:br w:type="page"/>
      </w:r>
    </w:p>
    <w:p>
      <w:pPr>
        <w:pStyle w:val="Style25"/>
        <w:keepNext w:val="0"/>
        <w:keepLines w:val="0"/>
        <w:widowControl w:val="0"/>
        <w:shd w:val="clear" w:color="auto" w:fill="auto"/>
        <w:bidi w:val="0"/>
        <w:spacing w:before="0" w:after="0" w:line="240" w:lineRule="auto"/>
        <w:ind w:left="653" w:right="0" w:firstLine="0"/>
        <w:jc w:val="left"/>
        <w:rPr>
          <w:sz w:val="24"/>
          <w:szCs w:val="24"/>
        </w:rPr>
      </w:pPr>
      <w:r>
        <w:rPr>
          <w:b/>
          <w:bCs/>
          <w:color w:val="000000"/>
          <w:spacing w:val="0"/>
          <w:w w:val="100"/>
          <w:position w:val="0"/>
          <w:sz w:val="24"/>
          <w:szCs w:val="24"/>
        </w:rPr>
        <w:t>财务报表附注</w:t>
      </w:r>
    </w:p>
    <w:p>
      <w:pPr>
        <w:pStyle w:val="Style25"/>
        <w:keepNext w:val="0"/>
        <w:keepLines w:val="0"/>
        <w:widowControl w:val="0"/>
        <w:shd w:val="clear" w:color="auto" w:fill="auto"/>
        <w:bidi w:val="0"/>
        <w:spacing w:before="0" w:after="0" w:line="240" w:lineRule="auto"/>
        <w:ind w:left="653" w:right="0" w:firstLine="0"/>
        <w:jc w:val="left"/>
        <w:rPr>
          <w:sz w:val="24"/>
          <w:szCs w:val="24"/>
        </w:rPr>
      </w:pPr>
      <w:r>
        <w:rPr>
          <w:rFonts w:ascii="Arial" w:eastAsia="Arial" w:hAnsi="Arial" w:cs="Arial"/>
          <w:color w:val="000000"/>
          <w:spacing w:val="0"/>
          <w:w w:val="100"/>
          <w:position w:val="0"/>
          <w:sz w:val="24"/>
          <w:szCs w:val="24"/>
        </w:rPr>
        <w:t>2016</w:t>
      </w:r>
      <w:r>
        <w:rPr>
          <w:b/>
          <w:bCs/>
          <w:color w:val="000000"/>
          <w:spacing w:val="0"/>
          <w:w w:val="100"/>
          <w:position w:val="0"/>
          <w:sz w:val="24"/>
          <w:szCs w:val="24"/>
        </w:rPr>
        <w:t>年度</w:t>
      </w:r>
    </w:p>
    <w:p>
      <w:pPr>
        <w:pStyle w:val="Style25"/>
        <w:keepNext w:val="0"/>
        <w:keepLines w:val="0"/>
        <w:widowControl w:val="0"/>
        <w:shd w:val="clear" w:color="auto" w:fill="auto"/>
        <w:bidi w:val="0"/>
        <w:spacing w:before="0" w:after="0" w:line="240" w:lineRule="auto"/>
        <w:ind w:left="653" w:right="0" w:firstLine="0"/>
        <w:jc w:val="left"/>
        <w:rPr>
          <w:sz w:val="20"/>
          <w:szCs w:val="20"/>
        </w:rPr>
      </w:pPr>
      <w:r>
        <w:rPr>
          <w:rFonts w:ascii="Arial" w:eastAsia="Arial" w:hAnsi="Arial" w:cs="Arial"/>
          <w:color w:val="000000"/>
          <w:spacing w:val="0"/>
          <w:w w:val="100"/>
          <w:position w:val="0"/>
          <w:sz w:val="20"/>
          <w:szCs w:val="20"/>
        </w:rPr>
        <w:t>(</w:t>
      </w:r>
      <w:r>
        <w:rPr>
          <w:color w:val="000000"/>
          <w:spacing w:val="0"/>
          <w:w w:val="100"/>
          <w:position w:val="0"/>
          <w:sz w:val="20"/>
          <w:szCs w:val="20"/>
        </w:rPr>
        <w:t>除特别注明外，金额单位为人民币千元</w:t>
      </w:r>
      <w:r>
        <w:rPr>
          <w:rFonts w:ascii="Arial" w:eastAsia="Arial" w:hAnsi="Arial" w:cs="Arial"/>
          <w:color w:val="000000"/>
          <w:spacing w:val="0"/>
          <w:w w:val="100"/>
          <w:position w:val="0"/>
          <w:sz w:val="20"/>
          <w:szCs w:val="20"/>
        </w:rPr>
        <w:t>)</w:t>
      </w:r>
    </w:p>
    <w:tbl>
      <w:tblPr>
        <w:tblOverlap w:val="never"/>
        <w:jc w:val="center"/>
        <w:tblLayout w:type="fixed"/>
      </w:tblPr>
      <w:tblGrid>
        <w:gridCol w:w="4896"/>
        <w:gridCol w:w="2237"/>
        <w:gridCol w:w="1733"/>
      </w:tblGrid>
      <w:tr>
        <w:trPr>
          <w:trHeight w:val="446" w:hRule="exact"/>
        </w:trPr>
        <w:tc>
          <w:tcPr>
            <w:tcBorders/>
            <w:shd w:val="clear" w:color="auto" w:fill="FFFFFF"/>
            <w:vAlign w:val="top"/>
          </w:tcPr>
          <w:p>
            <w:pPr>
              <w:pStyle w:val="Style28"/>
              <w:keepNext w:val="0"/>
              <w:keepLines w:val="0"/>
              <w:widowControl w:val="0"/>
              <w:shd w:val="clear" w:color="auto" w:fill="auto"/>
              <w:tabs>
                <w:tab w:pos="595" w:val="left"/>
              </w:tabs>
              <w:bidi w:val="0"/>
              <w:spacing w:before="0" w:after="0" w:line="240" w:lineRule="auto"/>
              <w:ind w:left="0" w:right="0" w:firstLine="0"/>
              <w:jc w:val="left"/>
              <w:rPr>
                <w:sz w:val="24"/>
                <w:szCs w:val="24"/>
              </w:rPr>
            </w:pPr>
            <w:r>
              <w:rPr>
                <w:b/>
                <w:bCs/>
                <w:color w:val="000000"/>
                <w:spacing w:val="0"/>
                <w:w w:val="100"/>
                <w:position w:val="0"/>
                <w:sz w:val="24"/>
                <w:szCs w:val="24"/>
              </w:rPr>
              <w:t>四</w:t>
              <w:tab/>
              <w:t>合并财务报表项目附注</w:t>
            </w:r>
            <w:r>
              <w:rPr>
                <w:rFonts w:ascii="Times New Roman" w:eastAsia="Times New Roman" w:hAnsi="Times New Roman" w:cs="Times New Roman"/>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4"/>
                <w:szCs w:val="24"/>
              </w:rPr>
              <w: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576"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(57)</w:t>
            </w:r>
            <w:r>
              <w:rPr>
                <w:b/>
                <w:bCs/>
                <w:color w:val="000000"/>
                <w:spacing w:val="0"/>
                <w:w w:val="100"/>
                <w:position w:val="0"/>
                <w:sz w:val="24"/>
                <w:szCs w:val="24"/>
              </w:rPr>
              <w:t>现金流量表项目注释</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586" w:hRule="exact"/>
        </w:trPr>
        <w:tc>
          <w:tcPr>
            <w:tcBorders/>
            <w:shd w:val="clear" w:color="auto" w:fill="FFFFFF"/>
            <w:vAlign w:val="center"/>
          </w:tcPr>
          <w:p>
            <w:pPr>
              <w:pStyle w:val="Style28"/>
              <w:keepNext w:val="0"/>
              <w:keepLines w:val="0"/>
              <w:widowControl w:val="0"/>
              <w:shd w:val="clear" w:color="auto" w:fill="auto"/>
              <w:tabs>
                <w:tab w:pos="686" w:val="left"/>
              </w:tabs>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(a)</w:t>
              <w:tab/>
            </w:r>
            <w:r>
              <w:rPr>
                <w:color w:val="000000"/>
                <w:spacing w:val="0"/>
                <w:w w:val="100"/>
                <w:position w:val="0"/>
                <w:sz w:val="24"/>
                <w:szCs w:val="24"/>
              </w:rPr>
              <w:t>收到的其他与经营活动有关的现金</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595"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both"/>
              <w:rPr>
                <w:sz w:val="24"/>
                <w:szCs w:val="24"/>
              </w:rPr>
            </w:pP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年度</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40"/>
              <w:jc w:val="both"/>
              <w:rPr>
                <w:sz w:val="24"/>
                <w:szCs w:val="24"/>
              </w:rPr>
            </w:pPr>
            <w:r>
              <w:rPr>
                <w:rFonts w:ascii="Times New Roman" w:eastAsia="Times New Roman" w:hAnsi="Times New Roman" w:cs="Times New Roman"/>
                <w:color w:val="000000"/>
                <w:spacing w:val="0"/>
                <w:w w:val="100"/>
                <w:position w:val="0"/>
                <w:sz w:val="24"/>
                <w:szCs w:val="24"/>
              </w:rPr>
              <w:t>2015</w:t>
            </w:r>
            <w:r>
              <w:rPr>
                <w:color w:val="000000"/>
                <w:spacing w:val="0"/>
                <w:w w:val="100"/>
                <w:position w:val="0"/>
                <w:sz w:val="24"/>
                <w:szCs w:val="24"/>
              </w:rPr>
              <w:t>年度</w:t>
            </w:r>
          </w:p>
        </w:tc>
      </w:tr>
      <w:tr>
        <w:trPr>
          <w:trHeight w:val="461"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60"/>
              <w:jc w:val="left"/>
              <w:rPr>
                <w:sz w:val="24"/>
                <w:szCs w:val="24"/>
              </w:rPr>
            </w:pPr>
            <w:r>
              <w:rPr>
                <w:color w:val="000000"/>
                <w:spacing w:val="0"/>
                <w:w w:val="100"/>
                <w:position w:val="0"/>
                <w:sz w:val="24"/>
                <w:szCs w:val="24"/>
              </w:rPr>
              <w:t>收回北京京朝代垫款</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60"/>
              <w:jc w:val="both"/>
              <w:rPr>
                <w:sz w:val="24"/>
                <w:szCs w:val="24"/>
              </w:rPr>
            </w:pPr>
            <w:r>
              <w:rPr>
                <w:rFonts w:ascii="Times New Roman" w:eastAsia="Times New Roman" w:hAnsi="Times New Roman" w:cs="Times New Roman"/>
                <w:color w:val="000000"/>
                <w:spacing w:val="0"/>
                <w:w w:val="100"/>
                <w:position w:val="0"/>
                <w:sz w:val="24"/>
                <w:szCs w:val="24"/>
              </w:rPr>
              <w:t>1,364,664</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w:t>
            </w:r>
          </w:p>
        </w:tc>
      </w:tr>
      <w:tr>
        <w:trPr>
          <w:trHeight w:val="307"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60"/>
              <w:jc w:val="left"/>
              <w:rPr>
                <w:sz w:val="24"/>
                <w:szCs w:val="24"/>
              </w:rPr>
            </w:pPr>
            <w:r>
              <w:rPr>
                <w:color w:val="000000"/>
                <w:spacing w:val="0"/>
                <w:w w:val="100"/>
                <w:position w:val="0"/>
                <w:sz w:val="24"/>
                <w:szCs w:val="24"/>
              </w:rPr>
              <w:t>收到的各种保证金、押金</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60"/>
              <w:jc w:val="both"/>
              <w:rPr>
                <w:sz w:val="24"/>
                <w:szCs w:val="24"/>
              </w:rPr>
            </w:pPr>
            <w:r>
              <w:rPr>
                <w:rFonts w:ascii="Times New Roman" w:eastAsia="Times New Roman" w:hAnsi="Times New Roman" w:cs="Times New Roman"/>
                <w:color w:val="000000"/>
                <w:spacing w:val="0"/>
                <w:w w:val="100"/>
                <w:position w:val="0"/>
                <w:sz w:val="24"/>
                <w:szCs w:val="24"/>
              </w:rPr>
              <w:t>1,267,145</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40"/>
              <w:jc w:val="both"/>
              <w:rPr>
                <w:sz w:val="24"/>
                <w:szCs w:val="24"/>
              </w:rPr>
            </w:pPr>
            <w:r>
              <w:rPr>
                <w:rFonts w:ascii="Times New Roman" w:eastAsia="Times New Roman" w:hAnsi="Times New Roman" w:cs="Times New Roman"/>
                <w:color w:val="000000"/>
                <w:spacing w:val="0"/>
                <w:w w:val="100"/>
                <w:position w:val="0"/>
                <w:sz w:val="24"/>
                <w:szCs w:val="24"/>
              </w:rPr>
              <w:t>1,362,038</w:t>
            </w:r>
          </w:p>
        </w:tc>
      </w:tr>
      <w:tr>
        <w:trPr>
          <w:trHeight w:val="317"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60"/>
              <w:jc w:val="left"/>
              <w:rPr>
                <w:sz w:val="24"/>
                <w:szCs w:val="24"/>
              </w:rPr>
            </w:pPr>
            <w:r>
              <w:rPr>
                <w:color w:val="000000"/>
                <w:spacing w:val="0"/>
                <w:w w:val="100"/>
                <w:position w:val="0"/>
                <w:sz w:val="24"/>
                <w:szCs w:val="24"/>
              </w:rPr>
              <w:t>存款利息收入</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40"/>
              <w:jc w:val="left"/>
              <w:rPr>
                <w:sz w:val="24"/>
                <w:szCs w:val="24"/>
              </w:rPr>
            </w:pPr>
            <w:r>
              <w:rPr>
                <w:rFonts w:ascii="Times New Roman" w:eastAsia="Times New Roman" w:hAnsi="Times New Roman" w:cs="Times New Roman"/>
                <w:color w:val="000000"/>
                <w:spacing w:val="0"/>
                <w:w w:val="100"/>
                <w:position w:val="0"/>
                <w:sz w:val="24"/>
                <w:szCs w:val="24"/>
              </w:rPr>
              <w:t>529,089</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40"/>
              <w:jc w:val="both"/>
              <w:rPr>
                <w:sz w:val="24"/>
                <w:szCs w:val="24"/>
              </w:rPr>
            </w:pPr>
            <w:r>
              <w:rPr>
                <w:rFonts w:ascii="Times New Roman" w:eastAsia="Times New Roman" w:hAnsi="Times New Roman" w:cs="Times New Roman"/>
                <w:color w:val="000000"/>
                <w:spacing w:val="0"/>
                <w:w w:val="100"/>
                <w:position w:val="0"/>
                <w:sz w:val="24"/>
                <w:szCs w:val="24"/>
              </w:rPr>
              <w:t>603,995</w:t>
            </w:r>
          </w:p>
        </w:tc>
      </w:tr>
      <w:tr>
        <w:trPr>
          <w:trHeight w:val="312"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60"/>
              <w:jc w:val="left"/>
              <w:rPr>
                <w:sz w:val="24"/>
                <w:szCs w:val="24"/>
              </w:rPr>
            </w:pPr>
            <w:r>
              <w:rPr>
                <w:color w:val="000000"/>
                <w:spacing w:val="0"/>
                <w:w w:val="100"/>
                <w:position w:val="0"/>
                <w:sz w:val="24"/>
                <w:szCs w:val="24"/>
              </w:rPr>
              <w:t>补贴收入</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40"/>
              <w:jc w:val="left"/>
              <w:rPr>
                <w:sz w:val="24"/>
                <w:szCs w:val="24"/>
              </w:rPr>
            </w:pPr>
            <w:r>
              <w:rPr>
                <w:rFonts w:ascii="Times New Roman" w:eastAsia="Times New Roman" w:hAnsi="Times New Roman" w:cs="Times New Roman"/>
                <w:color w:val="000000"/>
                <w:spacing w:val="0"/>
                <w:w w:val="100"/>
                <w:position w:val="0"/>
                <w:sz w:val="24"/>
                <w:szCs w:val="24"/>
              </w:rPr>
              <w:t>415,429</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40"/>
              <w:jc w:val="both"/>
              <w:rPr>
                <w:sz w:val="24"/>
                <w:szCs w:val="24"/>
              </w:rPr>
            </w:pPr>
            <w:r>
              <w:rPr>
                <w:rFonts w:ascii="Times New Roman" w:eastAsia="Times New Roman" w:hAnsi="Times New Roman" w:cs="Times New Roman"/>
                <w:color w:val="000000"/>
                <w:spacing w:val="0"/>
                <w:w w:val="100"/>
                <w:position w:val="0"/>
                <w:sz w:val="24"/>
                <w:szCs w:val="24"/>
              </w:rPr>
              <w:t>384,092</w:t>
            </w:r>
          </w:p>
        </w:tc>
      </w:tr>
      <w:tr>
        <w:trPr>
          <w:trHeight w:val="307"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60"/>
              <w:jc w:val="left"/>
              <w:rPr>
                <w:sz w:val="24"/>
                <w:szCs w:val="24"/>
              </w:rPr>
            </w:pPr>
            <w:r>
              <w:rPr>
                <w:color w:val="000000"/>
                <w:spacing w:val="0"/>
                <w:w w:val="100"/>
                <w:position w:val="0"/>
                <w:sz w:val="24"/>
                <w:szCs w:val="24"/>
              </w:rPr>
              <w:t>其他</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40"/>
              <w:jc w:val="left"/>
              <w:rPr>
                <w:sz w:val="24"/>
                <w:szCs w:val="24"/>
              </w:rPr>
            </w:pPr>
            <w:r>
              <w:rPr>
                <w:rFonts w:ascii="Times New Roman" w:eastAsia="Times New Roman" w:hAnsi="Times New Roman" w:cs="Times New Roman"/>
                <w:color w:val="000000"/>
                <w:spacing w:val="0"/>
                <w:w w:val="100"/>
                <w:position w:val="0"/>
                <w:sz w:val="24"/>
                <w:szCs w:val="24"/>
              </w:rPr>
              <w:t>105,110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84,617</w:t>
            </w:r>
          </w:p>
        </w:tc>
      </w:tr>
      <w:tr>
        <w:trPr>
          <w:trHeight w:val="446"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60"/>
              <w:jc w:val="both"/>
              <w:rPr>
                <w:sz w:val="24"/>
                <w:szCs w:val="24"/>
              </w:rPr>
            </w:pPr>
            <w:r>
              <w:rPr>
                <w:rFonts w:ascii="Times New Roman" w:eastAsia="Times New Roman" w:hAnsi="Times New Roman" w:cs="Times New Roman"/>
                <w:color w:val="000000"/>
                <w:spacing w:val="0"/>
                <w:w w:val="100"/>
                <w:position w:val="0"/>
                <w:sz w:val="24"/>
                <w:szCs w:val="24"/>
              </w:rPr>
              <w:t>3,681,437</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40"/>
              <w:jc w:val="both"/>
              <w:rPr>
                <w:sz w:val="24"/>
                <w:szCs w:val="24"/>
              </w:rPr>
            </w:pPr>
            <w:r>
              <w:rPr>
                <w:rFonts w:ascii="Times New Roman" w:eastAsia="Times New Roman" w:hAnsi="Times New Roman" w:cs="Times New Roman"/>
                <w:color w:val="000000"/>
                <w:spacing w:val="0"/>
                <w:w w:val="100"/>
                <w:position w:val="0"/>
                <w:sz w:val="24"/>
                <w:szCs w:val="24"/>
              </w:rPr>
              <w:t>2,434,742</w:t>
            </w:r>
          </w:p>
        </w:tc>
      </w:tr>
      <w:tr>
        <w:trPr>
          <w:trHeight w:val="586"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 xml:space="preserve">(b) </w:t>
            </w:r>
            <w:r>
              <w:rPr>
                <w:color w:val="000000"/>
                <w:spacing w:val="0"/>
                <w:w w:val="100"/>
                <w:position w:val="0"/>
                <w:sz w:val="24"/>
                <w:szCs w:val="24"/>
              </w:rPr>
              <w:t>支付的其他与经营活动有关的现金</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600"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both"/>
              <w:rPr>
                <w:sz w:val="24"/>
                <w:szCs w:val="24"/>
              </w:rPr>
            </w:pP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年度</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40"/>
              <w:jc w:val="both"/>
              <w:rPr>
                <w:sz w:val="24"/>
                <w:szCs w:val="24"/>
              </w:rPr>
            </w:pPr>
            <w:r>
              <w:rPr>
                <w:rFonts w:ascii="Times New Roman" w:eastAsia="Times New Roman" w:hAnsi="Times New Roman" w:cs="Times New Roman"/>
                <w:color w:val="000000"/>
                <w:spacing w:val="0"/>
                <w:w w:val="100"/>
                <w:position w:val="0"/>
                <w:sz w:val="24"/>
                <w:szCs w:val="24"/>
              </w:rPr>
              <w:t>2015</w:t>
            </w:r>
            <w:r>
              <w:rPr>
                <w:color w:val="000000"/>
                <w:spacing w:val="0"/>
                <w:w w:val="100"/>
                <w:position w:val="0"/>
                <w:sz w:val="24"/>
                <w:szCs w:val="24"/>
              </w:rPr>
              <w:t>年度</w:t>
            </w:r>
          </w:p>
        </w:tc>
      </w:tr>
      <w:tr>
        <w:trPr>
          <w:trHeight w:val="442"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60"/>
              <w:jc w:val="left"/>
              <w:rPr>
                <w:sz w:val="24"/>
                <w:szCs w:val="24"/>
              </w:rPr>
            </w:pPr>
            <w:r>
              <w:rPr>
                <w:color w:val="000000"/>
                <w:spacing w:val="0"/>
                <w:w w:val="100"/>
                <w:position w:val="0"/>
                <w:sz w:val="24"/>
                <w:szCs w:val="24"/>
              </w:rPr>
              <w:t>租赁费</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60"/>
              <w:jc w:val="both"/>
              <w:rPr>
                <w:sz w:val="24"/>
                <w:szCs w:val="24"/>
              </w:rPr>
            </w:pPr>
            <w:r>
              <w:rPr>
                <w:rFonts w:ascii="Times New Roman" w:eastAsia="Times New Roman" w:hAnsi="Times New Roman" w:cs="Times New Roman"/>
                <w:color w:val="000000"/>
                <w:spacing w:val="0"/>
                <w:w w:val="100"/>
                <w:position w:val="0"/>
                <w:sz w:val="24"/>
                <w:szCs w:val="24"/>
              </w:rPr>
              <w:t>5,717,526</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40"/>
              <w:jc w:val="both"/>
              <w:rPr>
                <w:sz w:val="24"/>
                <w:szCs w:val="24"/>
              </w:rPr>
            </w:pPr>
            <w:r>
              <w:rPr>
                <w:rFonts w:ascii="Times New Roman" w:eastAsia="Times New Roman" w:hAnsi="Times New Roman" w:cs="Times New Roman"/>
                <w:color w:val="000000"/>
                <w:spacing w:val="0"/>
                <w:w w:val="100"/>
                <w:position w:val="0"/>
                <w:sz w:val="24"/>
                <w:szCs w:val="24"/>
              </w:rPr>
              <w:t>5,658,868</w:t>
            </w:r>
          </w:p>
        </w:tc>
      </w:tr>
      <w:tr>
        <w:trPr>
          <w:trHeight w:val="317"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60"/>
              <w:jc w:val="left"/>
              <w:rPr>
                <w:sz w:val="24"/>
                <w:szCs w:val="24"/>
              </w:rPr>
            </w:pPr>
            <w:r>
              <w:rPr>
                <w:color w:val="000000"/>
                <w:spacing w:val="0"/>
                <w:w w:val="100"/>
                <w:position w:val="0"/>
                <w:sz w:val="24"/>
                <w:szCs w:val="24"/>
              </w:rPr>
              <w:t>广告费及市场推广费</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60"/>
              <w:jc w:val="both"/>
              <w:rPr>
                <w:sz w:val="24"/>
                <w:szCs w:val="24"/>
              </w:rPr>
            </w:pPr>
            <w:r>
              <w:rPr>
                <w:rFonts w:ascii="Times New Roman" w:eastAsia="Times New Roman" w:hAnsi="Times New Roman" w:cs="Times New Roman"/>
                <w:color w:val="000000"/>
                <w:spacing w:val="0"/>
                <w:w w:val="100"/>
                <w:position w:val="0"/>
                <w:sz w:val="24"/>
                <w:szCs w:val="24"/>
              </w:rPr>
              <w:t>2,598,685</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40"/>
              <w:jc w:val="both"/>
              <w:rPr>
                <w:sz w:val="24"/>
                <w:szCs w:val="24"/>
              </w:rPr>
            </w:pPr>
            <w:r>
              <w:rPr>
                <w:rFonts w:ascii="Times New Roman" w:eastAsia="Times New Roman" w:hAnsi="Times New Roman" w:cs="Times New Roman"/>
                <w:color w:val="000000"/>
                <w:spacing w:val="0"/>
                <w:w w:val="100"/>
                <w:position w:val="0"/>
                <w:sz w:val="24"/>
                <w:szCs w:val="24"/>
              </w:rPr>
              <w:t>2,681,862</w:t>
            </w:r>
          </w:p>
        </w:tc>
      </w:tr>
      <w:tr>
        <w:trPr>
          <w:trHeight w:val="312"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60"/>
              <w:jc w:val="left"/>
              <w:rPr>
                <w:sz w:val="24"/>
                <w:szCs w:val="24"/>
              </w:rPr>
            </w:pPr>
            <w:r>
              <w:rPr>
                <w:color w:val="000000"/>
                <w:spacing w:val="0"/>
                <w:w w:val="100"/>
                <w:position w:val="0"/>
                <w:sz w:val="24"/>
                <w:szCs w:val="24"/>
              </w:rPr>
              <w:t>运输费用</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60"/>
              <w:jc w:val="both"/>
              <w:rPr>
                <w:sz w:val="24"/>
                <w:szCs w:val="24"/>
              </w:rPr>
            </w:pPr>
            <w:r>
              <w:rPr>
                <w:rFonts w:ascii="Times New Roman" w:eastAsia="Times New Roman" w:hAnsi="Times New Roman" w:cs="Times New Roman"/>
                <w:color w:val="000000"/>
                <w:spacing w:val="0"/>
                <w:w w:val="100"/>
                <w:position w:val="0"/>
                <w:sz w:val="24"/>
                <w:szCs w:val="24"/>
              </w:rPr>
              <w:t>1,864,247</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40"/>
              <w:jc w:val="both"/>
              <w:rPr>
                <w:sz w:val="24"/>
                <w:szCs w:val="24"/>
              </w:rPr>
            </w:pPr>
            <w:r>
              <w:rPr>
                <w:rFonts w:ascii="Times New Roman" w:eastAsia="Times New Roman" w:hAnsi="Times New Roman" w:cs="Times New Roman"/>
                <w:color w:val="000000"/>
                <w:spacing w:val="0"/>
                <w:w w:val="100"/>
                <w:position w:val="0"/>
                <w:sz w:val="24"/>
                <w:szCs w:val="24"/>
              </w:rPr>
              <w:t>1,435,049</w:t>
            </w:r>
          </w:p>
        </w:tc>
      </w:tr>
      <w:tr>
        <w:trPr>
          <w:trHeight w:val="312"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60"/>
              <w:jc w:val="left"/>
              <w:rPr>
                <w:sz w:val="24"/>
                <w:szCs w:val="24"/>
              </w:rPr>
            </w:pPr>
            <w:r>
              <w:rPr>
                <w:color w:val="000000"/>
                <w:spacing w:val="0"/>
                <w:w w:val="100"/>
                <w:position w:val="0"/>
                <w:sz w:val="24"/>
                <w:szCs w:val="24"/>
              </w:rPr>
              <w:t>支付的各类保证金、订金及押金等</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60"/>
              <w:jc w:val="both"/>
              <w:rPr>
                <w:sz w:val="24"/>
                <w:szCs w:val="24"/>
              </w:rPr>
            </w:pPr>
            <w:r>
              <w:rPr>
                <w:rFonts w:ascii="Times New Roman" w:eastAsia="Times New Roman" w:hAnsi="Times New Roman" w:cs="Times New Roman"/>
                <w:color w:val="000000"/>
                <w:spacing w:val="0"/>
                <w:w w:val="100"/>
                <w:position w:val="0"/>
                <w:sz w:val="24"/>
                <w:szCs w:val="24"/>
              </w:rPr>
              <w:t>1,108,242</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40"/>
              <w:jc w:val="both"/>
              <w:rPr>
                <w:sz w:val="24"/>
                <w:szCs w:val="24"/>
              </w:rPr>
            </w:pPr>
            <w:r>
              <w:rPr>
                <w:rFonts w:ascii="Times New Roman" w:eastAsia="Times New Roman" w:hAnsi="Times New Roman" w:cs="Times New Roman"/>
                <w:color w:val="000000"/>
                <w:spacing w:val="0"/>
                <w:w w:val="100"/>
                <w:position w:val="0"/>
                <w:sz w:val="24"/>
                <w:szCs w:val="24"/>
              </w:rPr>
              <w:t>1,097,852</w:t>
            </w:r>
          </w:p>
        </w:tc>
      </w:tr>
      <w:tr>
        <w:trPr>
          <w:trHeight w:val="312"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60"/>
              <w:jc w:val="left"/>
              <w:rPr>
                <w:sz w:val="24"/>
                <w:szCs w:val="24"/>
              </w:rPr>
            </w:pPr>
            <w:r>
              <w:rPr>
                <w:color w:val="000000"/>
                <w:spacing w:val="0"/>
                <w:w w:val="100"/>
                <w:position w:val="0"/>
                <w:sz w:val="24"/>
                <w:szCs w:val="24"/>
              </w:rPr>
              <w:t>水电能源费</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40"/>
              <w:jc w:val="left"/>
              <w:rPr>
                <w:sz w:val="24"/>
                <w:szCs w:val="24"/>
              </w:rPr>
            </w:pPr>
            <w:r>
              <w:rPr>
                <w:rFonts w:ascii="Times New Roman" w:eastAsia="Times New Roman" w:hAnsi="Times New Roman" w:cs="Times New Roman"/>
                <w:color w:val="000000"/>
                <w:spacing w:val="0"/>
                <w:w w:val="100"/>
                <w:position w:val="0"/>
                <w:sz w:val="24"/>
                <w:szCs w:val="24"/>
              </w:rPr>
              <w:t>697,974</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40"/>
              <w:jc w:val="both"/>
              <w:rPr>
                <w:sz w:val="24"/>
                <w:szCs w:val="24"/>
              </w:rPr>
            </w:pPr>
            <w:r>
              <w:rPr>
                <w:rFonts w:ascii="Times New Roman" w:eastAsia="Times New Roman" w:hAnsi="Times New Roman" w:cs="Times New Roman"/>
                <w:color w:val="000000"/>
                <w:spacing w:val="0"/>
                <w:w w:val="100"/>
                <w:position w:val="0"/>
                <w:sz w:val="24"/>
                <w:szCs w:val="24"/>
              </w:rPr>
              <w:t>750,827</w:t>
            </w:r>
          </w:p>
        </w:tc>
      </w:tr>
      <w:tr>
        <w:trPr>
          <w:trHeight w:val="307"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60"/>
              <w:jc w:val="left"/>
              <w:rPr>
                <w:sz w:val="24"/>
                <w:szCs w:val="24"/>
              </w:rPr>
            </w:pPr>
            <w:r>
              <w:rPr>
                <w:color w:val="000000"/>
                <w:spacing w:val="0"/>
                <w:w w:val="100"/>
                <w:position w:val="0"/>
                <w:sz w:val="24"/>
                <w:szCs w:val="24"/>
              </w:rPr>
              <w:t>银行手续费</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40"/>
              <w:jc w:val="left"/>
              <w:rPr>
                <w:sz w:val="24"/>
                <w:szCs w:val="24"/>
              </w:rPr>
            </w:pPr>
            <w:r>
              <w:rPr>
                <w:rFonts w:ascii="Times New Roman" w:eastAsia="Times New Roman" w:hAnsi="Times New Roman" w:cs="Times New Roman"/>
                <w:color w:val="000000"/>
                <w:spacing w:val="0"/>
                <w:w w:val="100"/>
                <w:position w:val="0"/>
                <w:sz w:val="24"/>
                <w:szCs w:val="24"/>
              </w:rPr>
              <w:t>395,751</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40"/>
              <w:jc w:val="both"/>
              <w:rPr>
                <w:sz w:val="24"/>
                <w:szCs w:val="24"/>
              </w:rPr>
            </w:pPr>
            <w:r>
              <w:rPr>
                <w:rFonts w:ascii="Times New Roman" w:eastAsia="Times New Roman" w:hAnsi="Times New Roman" w:cs="Times New Roman"/>
                <w:color w:val="000000"/>
                <w:spacing w:val="0"/>
                <w:w w:val="100"/>
                <w:position w:val="0"/>
                <w:sz w:val="24"/>
                <w:szCs w:val="24"/>
              </w:rPr>
              <w:t>401,388</w:t>
            </w:r>
          </w:p>
        </w:tc>
      </w:tr>
      <w:tr>
        <w:trPr>
          <w:trHeight w:val="331"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60"/>
              <w:jc w:val="left"/>
              <w:rPr>
                <w:sz w:val="24"/>
                <w:szCs w:val="24"/>
              </w:rPr>
            </w:pPr>
            <w:r>
              <w:rPr>
                <w:color w:val="000000"/>
                <w:spacing w:val="0"/>
                <w:w w:val="100"/>
                <w:position w:val="0"/>
                <w:sz w:val="24"/>
                <w:szCs w:val="24"/>
              </w:rPr>
              <w:t>办公费用</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40"/>
              <w:jc w:val="left"/>
              <w:rPr>
                <w:sz w:val="24"/>
                <w:szCs w:val="24"/>
              </w:rPr>
            </w:pPr>
            <w:r>
              <w:rPr>
                <w:rFonts w:ascii="Times New Roman" w:eastAsia="Times New Roman" w:hAnsi="Times New Roman" w:cs="Times New Roman"/>
                <w:color w:val="000000"/>
                <w:spacing w:val="0"/>
                <w:w w:val="100"/>
                <w:position w:val="0"/>
                <w:sz w:val="24"/>
                <w:szCs w:val="24"/>
              </w:rPr>
              <w:t>366,403</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40"/>
              <w:jc w:val="both"/>
              <w:rPr>
                <w:sz w:val="24"/>
                <w:szCs w:val="24"/>
              </w:rPr>
            </w:pPr>
            <w:r>
              <w:rPr>
                <w:rFonts w:ascii="Times New Roman" w:eastAsia="Times New Roman" w:hAnsi="Times New Roman" w:cs="Times New Roman"/>
                <w:color w:val="000000"/>
                <w:spacing w:val="0"/>
                <w:w w:val="100"/>
                <w:position w:val="0"/>
                <w:sz w:val="24"/>
                <w:szCs w:val="24"/>
              </w:rPr>
              <w:t>340,453</w:t>
            </w:r>
          </w:p>
        </w:tc>
      </w:tr>
      <w:tr>
        <w:trPr>
          <w:trHeight w:val="317"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60"/>
              <w:jc w:val="left"/>
              <w:rPr>
                <w:sz w:val="24"/>
                <w:szCs w:val="24"/>
              </w:rPr>
            </w:pPr>
            <w:r>
              <w:rPr>
                <w:color w:val="000000"/>
                <w:spacing w:val="0"/>
                <w:w w:val="100"/>
                <w:position w:val="0"/>
                <w:sz w:val="24"/>
                <w:szCs w:val="24"/>
              </w:rPr>
              <w:t>咨询费</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40"/>
              <w:jc w:val="left"/>
              <w:rPr>
                <w:sz w:val="24"/>
                <w:szCs w:val="24"/>
              </w:rPr>
            </w:pPr>
            <w:r>
              <w:rPr>
                <w:rFonts w:ascii="Times New Roman" w:eastAsia="Times New Roman" w:hAnsi="Times New Roman" w:cs="Times New Roman"/>
                <w:color w:val="000000"/>
                <w:spacing w:val="0"/>
                <w:w w:val="100"/>
                <w:position w:val="0"/>
                <w:sz w:val="24"/>
                <w:szCs w:val="24"/>
              </w:rPr>
              <w:t>200,277</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40"/>
              <w:jc w:val="both"/>
              <w:rPr>
                <w:sz w:val="24"/>
                <w:szCs w:val="24"/>
              </w:rPr>
            </w:pPr>
            <w:r>
              <w:rPr>
                <w:rFonts w:ascii="Times New Roman" w:eastAsia="Times New Roman" w:hAnsi="Times New Roman" w:cs="Times New Roman"/>
                <w:color w:val="000000"/>
                <w:spacing w:val="0"/>
                <w:w w:val="100"/>
                <w:position w:val="0"/>
                <w:sz w:val="24"/>
                <w:szCs w:val="24"/>
              </w:rPr>
              <w:t>101,348</w:t>
            </w:r>
          </w:p>
        </w:tc>
      </w:tr>
      <w:tr>
        <w:trPr>
          <w:trHeight w:val="283"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60"/>
              <w:jc w:val="left"/>
              <w:rPr>
                <w:sz w:val="24"/>
                <w:szCs w:val="24"/>
              </w:rPr>
            </w:pPr>
            <w:r>
              <w:rPr>
                <w:color w:val="000000"/>
                <w:spacing w:val="0"/>
                <w:w w:val="100"/>
                <w:position w:val="0"/>
                <w:sz w:val="24"/>
                <w:szCs w:val="24"/>
              </w:rPr>
              <w:t>其他</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40"/>
              <w:jc w:val="left"/>
              <w:rPr>
                <w:sz w:val="24"/>
                <w:szCs w:val="24"/>
              </w:rPr>
            </w:pPr>
            <w:r>
              <w:rPr>
                <w:rFonts w:ascii="Times New Roman" w:eastAsia="Times New Roman" w:hAnsi="Times New Roman" w:cs="Times New Roman"/>
                <w:color w:val="000000"/>
                <w:spacing w:val="0"/>
                <w:w w:val="100"/>
                <w:position w:val="0"/>
                <w:sz w:val="24"/>
                <w:szCs w:val="24"/>
              </w:rPr>
              <w:t>819,948</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40"/>
              <w:jc w:val="both"/>
              <w:rPr>
                <w:sz w:val="24"/>
                <w:szCs w:val="24"/>
              </w:rPr>
            </w:pPr>
            <w:r>
              <w:rPr>
                <w:rFonts w:ascii="Times New Roman" w:eastAsia="Times New Roman" w:hAnsi="Times New Roman" w:cs="Times New Roman"/>
                <w:color w:val="000000"/>
                <w:spacing w:val="0"/>
                <w:w w:val="100"/>
                <w:position w:val="0"/>
                <w:sz w:val="24"/>
                <w:szCs w:val="24"/>
              </w:rPr>
              <w:t>800,055</w:t>
            </w:r>
          </w:p>
        </w:tc>
      </w:tr>
      <w:tr>
        <w:trPr>
          <w:trHeight w:val="341" w:hRule="exact"/>
        </w:trPr>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13,769,053</w:t>
            </w:r>
          </w:p>
        </w:tc>
        <w:tc>
          <w:tcPr>
            <w:tcBorders>
              <w:top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13,267,702</w:t>
            </w:r>
          </w:p>
        </w:tc>
      </w:tr>
    </w:tbl>
    <w:p>
      <w:pPr>
        <w:spacing w:lineRule="exact" w:line="1"/>
        <w:rPr>
          <w:sz w:val="2"/>
          <w:szCs w:val="2"/>
        </w:rPr>
      </w:pPr>
      <w:r>
        <w:br w:type="page"/>
      </w:r>
    </w:p>
    <w:p>
      <w:pPr>
        <w:pStyle w:val="Style32"/>
        <w:keepNext w:val="0"/>
        <w:keepLines w:val="0"/>
        <w:widowControl w:val="0"/>
        <w:shd w:val="clear" w:color="auto" w:fill="auto"/>
        <w:bidi w:val="0"/>
        <w:spacing w:before="0" w:after="0" w:line="240" w:lineRule="auto"/>
        <w:ind w:left="0" w:right="0" w:firstLine="680"/>
        <w:jc w:val="left"/>
        <w:rPr>
          <w:sz w:val="24"/>
          <w:szCs w:val="24"/>
        </w:rPr>
      </w:pPr>
      <w:r>
        <w:rPr>
          <w:b/>
          <w:bCs/>
          <w:color w:val="000000"/>
          <w:spacing w:val="0"/>
          <w:w w:val="100"/>
          <w:position w:val="0"/>
          <w:sz w:val="24"/>
          <w:szCs w:val="24"/>
        </w:rPr>
        <w:t>财务报表附注</w:t>
      </w:r>
    </w:p>
    <w:p>
      <w:pPr>
        <w:pStyle w:val="Style88"/>
        <w:keepNext/>
        <w:keepLines/>
        <w:widowControl w:val="0"/>
        <w:shd w:val="clear" w:color="auto" w:fill="auto"/>
        <w:bidi w:val="0"/>
        <w:spacing w:before="0" w:after="0" w:line="240" w:lineRule="auto"/>
        <w:ind w:left="0" w:right="0" w:firstLine="680"/>
        <w:jc w:val="left"/>
      </w:pPr>
      <w:bookmarkStart w:id="995" w:name="bookmark995"/>
      <w:bookmarkStart w:id="996" w:name="bookmark996"/>
      <w:bookmarkStart w:id="997" w:name="bookmark997"/>
      <w:r>
        <w:rPr>
          <w:color w:val="000000"/>
          <w:spacing w:val="0"/>
          <w:w w:val="100"/>
          <w:position w:val="0"/>
          <w:sz w:val="24"/>
          <w:szCs w:val="24"/>
        </w:rPr>
        <w:t>2016</w:t>
      </w:r>
      <w:r>
        <w:rPr>
          <w:rFonts w:ascii="SimSun" w:eastAsia="SimSun" w:hAnsi="SimSun" w:cs="SimSun"/>
          <w:b/>
          <w:bCs/>
          <w:color w:val="000000"/>
          <w:spacing w:val="0"/>
          <w:w w:val="100"/>
          <w:position w:val="0"/>
          <w:sz w:val="24"/>
          <w:szCs w:val="24"/>
        </w:rPr>
        <w:t>年度</w:t>
      </w:r>
      <w:bookmarkEnd w:id="995"/>
      <w:bookmarkEnd w:id="996"/>
      <w:bookmarkEnd w:id="997"/>
    </w:p>
    <w:p>
      <w:pPr>
        <w:pStyle w:val="Style32"/>
        <w:keepNext w:val="0"/>
        <w:keepLines w:val="0"/>
        <w:widowControl w:val="0"/>
        <w:shd w:val="clear" w:color="auto" w:fill="auto"/>
        <w:bidi w:val="0"/>
        <w:spacing w:before="0" w:after="220" w:line="240" w:lineRule="auto"/>
        <w:ind w:left="0" w:right="0" w:firstLine="680"/>
        <w:jc w:val="left"/>
        <w:rPr>
          <w:sz w:val="24"/>
          <w:szCs w:val="24"/>
        </w:rPr>
      </w:pPr>
      <w:r>
        <w:rPr>
          <w:rFonts w:ascii="Arial" w:eastAsia="Arial" w:hAnsi="Arial" w:cs="Arial"/>
          <w:color w:val="000000"/>
          <w:spacing w:val="0"/>
          <w:w w:val="100"/>
          <w:position w:val="0"/>
          <w:sz w:val="20"/>
          <w:szCs w:val="20"/>
        </w:rPr>
        <w:t>（</w:t>
      </w:r>
      <w:r>
        <w:rPr>
          <w:color w:val="000000"/>
          <w:spacing w:val="0"/>
          <w:w w:val="100"/>
          <w:position w:val="0"/>
          <w:sz w:val="20"/>
          <w:szCs w:val="20"/>
        </w:rPr>
        <w:t>除特别注明外，金额单位为人民币千元</w:t>
      </w:r>
      <w:r>
        <w:rPr>
          <w:color w:val="000000"/>
          <w:spacing w:val="0"/>
          <w:w w:val="100"/>
          <w:position w:val="0"/>
          <w:sz w:val="24"/>
          <w:szCs w:val="24"/>
        </w:rPr>
        <w:t>）</w:t>
      </w:r>
    </w:p>
    <w:p>
      <w:pPr>
        <w:pStyle w:val="Style32"/>
        <w:keepNext w:val="0"/>
        <w:keepLines w:val="0"/>
        <w:widowControl w:val="0"/>
        <w:shd w:val="clear" w:color="auto" w:fill="auto"/>
        <w:bidi w:val="0"/>
        <w:spacing w:before="0" w:after="260" w:line="240" w:lineRule="auto"/>
        <w:ind w:left="0" w:right="0" w:firstLine="0"/>
        <w:jc w:val="left"/>
        <w:rPr>
          <w:sz w:val="24"/>
          <w:szCs w:val="24"/>
        </w:rPr>
      </w:pPr>
      <w:r>
        <mc:AlternateContent>
          <mc:Choice Requires="wps">
            <w:drawing>
              <wp:anchor distT="0" distB="0" distL="114300" distR="114300" simplePos="0" relativeHeight="125829436" behindDoc="0" locked="0" layoutInCell="1" allowOverlap="1">
                <wp:simplePos x="0" y="0"/>
                <wp:positionH relativeFrom="page">
                  <wp:posOffset>1076960</wp:posOffset>
                </wp:positionH>
                <wp:positionV relativeFrom="paragraph">
                  <wp:posOffset>12700</wp:posOffset>
                </wp:positionV>
                <wp:extent cx="277495" cy="880745"/>
                <wp:wrapSquare wrapText="bothSides"/>
                <wp:docPr id="380" name="Shape 380"/>
                <a:graphic xmlns:a="http://schemas.openxmlformats.org/drawingml/2006/main">
                  <a:graphicData uri="http://schemas.microsoft.com/office/word/2010/wordprocessingShape">
                    <wps:wsp>
                      <wps:cNvSpPr txBox="1"/>
                      <wps:spPr>
                        <a:xfrm>
                          <a:ext cx="277495" cy="880745"/>
                        </a:xfrm>
                        <a:prstGeom prst="rect"/>
                        <a:noFill/>
                      </wps:spPr>
                      <wps:txbx>
                        <w:txbxContent>
                          <w:p>
                            <w:pPr>
                              <w:pStyle w:val="Style32"/>
                              <w:keepNext w:val="0"/>
                              <w:keepLines w:val="0"/>
                              <w:widowControl w:val="0"/>
                              <w:shd w:val="clear" w:color="auto" w:fill="auto"/>
                              <w:bidi w:val="0"/>
                              <w:spacing w:before="0" w:after="220" w:line="240" w:lineRule="auto"/>
                              <w:ind w:left="0" w:right="0" w:firstLine="0"/>
                              <w:jc w:val="both"/>
                              <w:rPr>
                                <w:sz w:val="24"/>
                                <w:szCs w:val="24"/>
                              </w:rPr>
                            </w:pPr>
                            <w:r>
                              <w:rPr>
                                <w:b/>
                                <w:bCs/>
                                <w:color w:val="000000"/>
                                <w:spacing w:val="0"/>
                                <w:w w:val="100"/>
                                <w:position w:val="0"/>
                                <w:sz w:val="24"/>
                                <w:szCs w:val="24"/>
                              </w:rPr>
                              <w:t>四</w:t>
                            </w:r>
                          </w:p>
                          <w:p>
                            <w:pPr>
                              <w:pStyle w:val="Style53"/>
                              <w:keepNext w:val="0"/>
                              <w:keepLines w:val="0"/>
                              <w:widowControl w:val="0"/>
                              <w:shd w:val="clear" w:color="auto" w:fill="auto"/>
                              <w:bidi w:val="0"/>
                              <w:spacing w:before="0" w:after="220" w:line="240" w:lineRule="auto"/>
                              <w:ind w:left="0" w:right="0" w:firstLine="0"/>
                              <w:jc w:val="both"/>
                              <w:rPr>
                                <w:sz w:val="24"/>
                                <w:szCs w:val="24"/>
                              </w:rPr>
                            </w:pPr>
                            <w:r>
                              <w:rPr>
                                <w:color w:val="000000"/>
                                <w:spacing w:val="0"/>
                                <w:w w:val="100"/>
                                <w:position w:val="0"/>
                                <w:sz w:val="24"/>
                                <w:szCs w:val="24"/>
                              </w:rPr>
                              <w:t>(58)</w:t>
                            </w:r>
                          </w:p>
                          <w:p>
                            <w:pPr>
                              <w:pStyle w:val="Style53"/>
                              <w:keepNext w:val="0"/>
                              <w:keepLines w:val="0"/>
                              <w:widowControl w:val="0"/>
                              <w:shd w:val="clear" w:color="auto" w:fill="auto"/>
                              <w:bidi w:val="0"/>
                              <w:spacing w:before="0" w:after="220" w:line="240" w:lineRule="auto"/>
                              <w:ind w:left="0" w:right="0" w:firstLine="0"/>
                              <w:jc w:val="both"/>
                              <w:rPr>
                                <w:sz w:val="24"/>
                                <w:szCs w:val="24"/>
                              </w:rPr>
                            </w:pPr>
                            <w:r>
                              <w:rPr>
                                <w:color w:val="000000"/>
                                <w:spacing w:val="0"/>
                                <w:w w:val="100"/>
                                <w:position w:val="0"/>
                                <w:sz w:val="24"/>
                                <w:szCs w:val="24"/>
                              </w:rPr>
                              <w:t>(a)</w:t>
                            </w:r>
                          </w:p>
                        </w:txbxContent>
                      </wps:txbx>
                      <wps:bodyPr lIns="0" tIns="0" rIns="0" bIns="0">
                        <a:noAutoFit/>
                      </wps:bodyPr>
                    </wps:wsp>
                  </a:graphicData>
                </a:graphic>
              </wp:anchor>
            </w:drawing>
          </mc:Choice>
          <mc:Fallback>
            <w:pict>
              <v:shape id="_x0000_s1406" type="#_x0000_t202" style="position:absolute;margin-left:84.799999999999997pt;margin-top:1.pt;width:21.850000000000001pt;height:69.350000000000009pt;z-index:-125829317;mso-wrap-distance-left:9.pt;mso-wrap-distance-right:9.pt;mso-position-horizontal-relative:page" filled="f" stroked="f">
                <v:textbox inset="0,0,0,0">
                  <w:txbxContent>
                    <w:p>
                      <w:pPr>
                        <w:pStyle w:val="Style32"/>
                        <w:keepNext w:val="0"/>
                        <w:keepLines w:val="0"/>
                        <w:widowControl w:val="0"/>
                        <w:shd w:val="clear" w:color="auto" w:fill="auto"/>
                        <w:bidi w:val="0"/>
                        <w:spacing w:before="0" w:after="220" w:line="240" w:lineRule="auto"/>
                        <w:ind w:left="0" w:right="0" w:firstLine="0"/>
                        <w:jc w:val="both"/>
                        <w:rPr>
                          <w:sz w:val="24"/>
                          <w:szCs w:val="24"/>
                        </w:rPr>
                      </w:pPr>
                      <w:r>
                        <w:rPr>
                          <w:b/>
                          <w:bCs/>
                          <w:color w:val="000000"/>
                          <w:spacing w:val="0"/>
                          <w:w w:val="100"/>
                          <w:position w:val="0"/>
                          <w:sz w:val="24"/>
                          <w:szCs w:val="24"/>
                        </w:rPr>
                        <w:t>四</w:t>
                      </w:r>
                    </w:p>
                    <w:p>
                      <w:pPr>
                        <w:pStyle w:val="Style53"/>
                        <w:keepNext w:val="0"/>
                        <w:keepLines w:val="0"/>
                        <w:widowControl w:val="0"/>
                        <w:shd w:val="clear" w:color="auto" w:fill="auto"/>
                        <w:bidi w:val="0"/>
                        <w:spacing w:before="0" w:after="220" w:line="240" w:lineRule="auto"/>
                        <w:ind w:left="0" w:right="0" w:firstLine="0"/>
                        <w:jc w:val="both"/>
                        <w:rPr>
                          <w:sz w:val="24"/>
                          <w:szCs w:val="24"/>
                        </w:rPr>
                      </w:pPr>
                      <w:r>
                        <w:rPr>
                          <w:color w:val="000000"/>
                          <w:spacing w:val="0"/>
                          <w:w w:val="100"/>
                          <w:position w:val="0"/>
                          <w:sz w:val="24"/>
                          <w:szCs w:val="24"/>
                        </w:rPr>
                        <w:t>(58)</w:t>
                      </w:r>
                    </w:p>
                    <w:p>
                      <w:pPr>
                        <w:pStyle w:val="Style53"/>
                        <w:keepNext w:val="0"/>
                        <w:keepLines w:val="0"/>
                        <w:widowControl w:val="0"/>
                        <w:shd w:val="clear" w:color="auto" w:fill="auto"/>
                        <w:bidi w:val="0"/>
                        <w:spacing w:before="0" w:after="220" w:line="240" w:lineRule="auto"/>
                        <w:ind w:left="0" w:right="0" w:firstLine="0"/>
                        <w:jc w:val="both"/>
                        <w:rPr>
                          <w:sz w:val="24"/>
                          <w:szCs w:val="24"/>
                        </w:rPr>
                      </w:pPr>
                      <w:r>
                        <w:rPr>
                          <w:color w:val="000000"/>
                          <w:spacing w:val="0"/>
                          <w:w w:val="100"/>
                          <w:position w:val="0"/>
                          <w:sz w:val="24"/>
                          <w:szCs w:val="24"/>
                        </w:rPr>
                        <w:t>(a)</w:t>
                      </w:r>
                    </w:p>
                  </w:txbxContent>
                </v:textbox>
                <w10:wrap type="square" anchorx="page"/>
              </v:shape>
            </w:pict>
          </mc:Fallback>
        </mc:AlternateContent>
      </w:r>
      <w:r>
        <w:rPr>
          <w:b/>
          <w:bCs/>
          <w:color w:val="000000"/>
          <w:spacing w:val="0"/>
          <w:w w:val="100"/>
          <w:position w:val="0"/>
          <w:sz w:val="24"/>
          <w:szCs w:val="24"/>
        </w:rPr>
        <w:t>合并财务报表项目附注</w:t>
      </w:r>
      <w:r>
        <w:rPr>
          <w:rFonts w:ascii="Times New Roman" w:eastAsia="Times New Roman" w:hAnsi="Times New Roman" w:cs="Times New Roman"/>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4"/>
          <w:szCs w:val="24"/>
        </w:rPr>
        <w:t>）</w:t>
      </w:r>
    </w:p>
    <w:p>
      <w:pPr>
        <w:pStyle w:val="Style32"/>
        <w:keepNext w:val="0"/>
        <w:keepLines w:val="0"/>
        <w:widowControl w:val="0"/>
        <w:shd w:val="clear" w:color="auto" w:fill="auto"/>
        <w:bidi w:val="0"/>
        <w:spacing w:before="0" w:after="260" w:line="240" w:lineRule="auto"/>
        <w:ind w:left="0" w:right="0" w:firstLine="0"/>
        <w:jc w:val="left"/>
        <w:rPr>
          <w:sz w:val="24"/>
          <w:szCs w:val="24"/>
        </w:rPr>
      </w:pPr>
      <w:r>
        <w:rPr>
          <w:b/>
          <w:bCs/>
          <w:color w:val="000000"/>
          <w:spacing w:val="0"/>
          <w:w w:val="100"/>
          <w:position w:val="0"/>
          <w:sz w:val="24"/>
          <w:szCs w:val="24"/>
        </w:rPr>
        <w:t>现金流量表补充资料</w:t>
      </w:r>
    </w:p>
    <w:p>
      <w:pPr>
        <w:pStyle w:val="Style32"/>
        <w:keepNext w:val="0"/>
        <w:keepLines w:val="0"/>
        <w:widowControl w:val="0"/>
        <w:shd w:val="clear" w:color="auto" w:fill="auto"/>
        <w:bidi w:val="0"/>
        <w:spacing w:before="0" w:after="300" w:line="240" w:lineRule="auto"/>
        <w:ind w:left="0" w:right="0" w:firstLine="0"/>
        <w:jc w:val="left"/>
        <w:rPr>
          <w:sz w:val="24"/>
          <w:szCs w:val="24"/>
        </w:rPr>
      </w:pPr>
      <w:r>
        <w:rPr>
          <w:color w:val="000000"/>
          <w:spacing w:val="0"/>
          <w:w w:val="100"/>
          <w:position w:val="0"/>
          <w:sz w:val="24"/>
          <w:szCs w:val="24"/>
        </w:rPr>
        <w:t>现金流量表补充资料</w:t>
      </w:r>
    </w:p>
    <w:p>
      <w:pPr>
        <w:pStyle w:val="Style32"/>
        <w:keepNext w:val="0"/>
        <w:keepLines w:val="0"/>
        <w:widowControl w:val="0"/>
        <w:shd w:val="clear" w:color="auto" w:fill="auto"/>
        <w:bidi w:val="0"/>
        <w:spacing w:before="0" w:after="260" w:line="240" w:lineRule="auto"/>
        <w:ind w:left="0" w:right="0" w:firstLine="680"/>
        <w:jc w:val="left"/>
        <w:rPr>
          <w:sz w:val="24"/>
          <w:szCs w:val="24"/>
        </w:rPr>
      </w:pPr>
      <w:r>
        <w:rPr>
          <w:color w:val="000000"/>
          <w:spacing w:val="0"/>
          <w:w w:val="100"/>
          <w:position w:val="0"/>
          <w:sz w:val="24"/>
          <w:szCs w:val="24"/>
        </w:rPr>
        <w:t>将合并净利润调节为经营活动现金流量</w:t>
      </w:r>
    </w:p>
    <w:tbl>
      <w:tblPr>
        <w:tblOverlap w:val="never"/>
        <w:jc w:val="left"/>
        <w:tblLayout w:type="fixed"/>
      </w:tblPr>
      <w:tblGrid>
        <w:gridCol w:w="4272"/>
        <w:gridCol w:w="2117"/>
        <w:gridCol w:w="1877"/>
      </w:tblGrid>
      <w:tr>
        <w:trPr>
          <w:trHeight w:val="418" w:hRule="exact"/>
        </w:trPr>
        <w:tc>
          <w:tcPr>
            <w:tcBorders/>
            <w:shd w:val="clear" w:color="auto" w:fill="FFFFFF"/>
            <w:vAlign w:val="top"/>
          </w:tcPr>
          <w:p>
            <w:pPr>
              <w:framePr w:w="8266" w:h="8534" w:hSpace="677" w:wrap="notBeside" w:vAnchor="text" w:hAnchor="text" w:x="678" w:y="1"/>
              <w:widowControl w:val="0"/>
              <w:rPr>
                <w:sz w:val="10"/>
                <w:szCs w:val="10"/>
              </w:rPr>
            </w:pPr>
          </w:p>
        </w:tc>
        <w:tc>
          <w:tcPr>
            <w:tcBorders/>
            <w:shd w:val="clear" w:color="auto" w:fill="FFFFFF"/>
            <w:vAlign w:val="top"/>
          </w:tcPr>
          <w:p>
            <w:pPr>
              <w:pStyle w:val="Style28"/>
              <w:keepNext w:val="0"/>
              <w:keepLines w:val="0"/>
              <w:framePr w:w="8266" w:h="8534" w:hSpace="677" w:wrap="notBeside" w:vAnchor="text" w:hAnchor="text" w:x="678" w:y="1"/>
              <w:widowControl w:val="0"/>
              <w:shd w:val="clear" w:color="auto" w:fill="auto"/>
              <w:bidi w:val="0"/>
              <w:spacing w:before="0" w:after="0" w:line="240" w:lineRule="auto"/>
              <w:ind w:left="0" w:right="0" w:firstLine="480"/>
              <w:jc w:val="both"/>
              <w:rPr>
                <w:sz w:val="24"/>
                <w:szCs w:val="24"/>
              </w:rPr>
            </w:pP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年度</w:t>
            </w:r>
          </w:p>
        </w:tc>
        <w:tc>
          <w:tcPr>
            <w:tcBorders/>
            <w:shd w:val="clear" w:color="auto" w:fill="FFFFFF"/>
            <w:vAlign w:val="top"/>
          </w:tcPr>
          <w:p>
            <w:pPr>
              <w:pStyle w:val="Style28"/>
              <w:keepNext w:val="0"/>
              <w:keepLines w:val="0"/>
              <w:framePr w:w="8266" w:h="8534" w:hSpace="677" w:wrap="notBeside" w:vAnchor="text" w:hAnchor="text" w:x="678" w:y="1"/>
              <w:widowControl w:val="0"/>
              <w:shd w:val="clear" w:color="auto" w:fill="auto"/>
              <w:bidi w:val="0"/>
              <w:spacing w:before="0" w:after="0" w:line="240" w:lineRule="auto"/>
              <w:ind w:left="0" w:right="0" w:firstLine="720"/>
              <w:jc w:val="both"/>
              <w:rPr>
                <w:sz w:val="24"/>
                <w:szCs w:val="24"/>
              </w:rPr>
            </w:pPr>
            <w:r>
              <w:rPr>
                <w:rFonts w:ascii="Times New Roman" w:eastAsia="Times New Roman" w:hAnsi="Times New Roman" w:cs="Times New Roman"/>
                <w:color w:val="000000"/>
                <w:spacing w:val="0"/>
                <w:w w:val="100"/>
                <w:position w:val="0"/>
                <w:sz w:val="24"/>
                <w:szCs w:val="24"/>
              </w:rPr>
              <w:t>2015</w:t>
            </w:r>
            <w:r>
              <w:rPr>
                <w:color w:val="000000"/>
                <w:spacing w:val="0"/>
                <w:w w:val="100"/>
                <w:position w:val="0"/>
                <w:sz w:val="24"/>
                <w:szCs w:val="24"/>
              </w:rPr>
              <w:t>年度</w:t>
            </w:r>
          </w:p>
        </w:tc>
      </w:tr>
      <w:tr>
        <w:trPr>
          <w:trHeight w:val="432" w:hRule="exact"/>
        </w:trPr>
        <w:tc>
          <w:tcPr>
            <w:tcBorders/>
            <w:shd w:val="clear" w:color="auto" w:fill="FFFFFF"/>
            <w:vAlign w:val="bottom"/>
          </w:tcPr>
          <w:p>
            <w:pPr>
              <w:pStyle w:val="Style28"/>
              <w:keepNext w:val="0"/>
              <w:keepLines w:val="0"/>
              <w:framePr w:w="8266" w:h="8534" w:hSpace="677" w:wrap="notBeside" w:vAnchor="text" w:hAnchor="text" w:x="678" w:y="1"/>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合并净利润</w:t>
            </w:r>
          </w:p>
        </w:tc>
        <w:tc>
          <w:tcPr>
            <w:tcBorders/>
            <w:shd w:val="clear" w:color="auto" w:fill="FFFFFF"/>
            <w:vAlign w:val="bottom"/>
          </w:tcPr>
          <w:p>
            <w:pPr>
              <w:pStyle w:val="Style28"/>
              <w:keepNext w:val="0"/>
              <w:keepLines w:val="0"/>
              <w:framePr w:w="8266" w:h="8534" w:hSpace="677" w:wrap="notBeside" w:vAnchor="text" w:hAnchor="text" w:x="678" w:y="1"/>
              <w:widowControl w:val="0"/>
              <w:shd w:val="clear" w:color="auto" w:fill="auto"/>
              <w:bidi w:val="0"/>
              <w:spacing w:before="0" w:after="0" w:line="240" w:lineRule="auto"/>
              <w:ind w:left="0" w:right="0" w:firstLine="660"/>
              <w:jc w:val="left"/>
              <w:rPr>
                <w:sz w:val="24"/>
                <w:szCs w:val="24"/>
              </w:rPr>
            </w:pPr>
            <w:r>
              <w:rPr>
                <w:rFonts w:ascii="Times New Roman" w:eastAsia="Times New Roman" w:hAnsi="Times New Roman" w:cs="Times New Roman"/>
                <w:color w:val="000000"/>
                <w:spacing w:val="0"/>
                <w:w w:val="100"/>
                <w:position w:val="0"/>
                <w:sz w:val="24"/>
                <w:szCs w:val="24"/>
              </w:rPr>
              <w:t>493,232</w:t>
            </w:r>
          </w:p>
        </w:tc>
        <w:tc>
          <w:tcPr>
            <w:tcBorders/>
            <w:shd w:val="clear" w:color="auto" w:fill="FFFFFF"/>
            <w:vAlign w:val="bottom"/>
          </w:tcPr>
          <w:p>
            <w:pPr>
              <w:pStyle w:val="Style28"/>
              <w:keepNext w:val="0"/>
              <w:keepLines w:val="0"/>
              <w:framePr w:w="8266" w:h="8534" w:hSpace="677" w:wrap="notBeside" w:vAnchor="text" w:hAnchor="text" w:x="678" w:y="1"/>
              <w:widowControl w:val="0"/>
              <w:shd w:val="clear" w:color="auto" w:fill="auto"/>
              <w:bidi w:val="0"/>
              <w:spacing w:before="0" w:after="0" w:line="240" w:lineRule="auto"/>
              <w:ind w:left="0" w:right="0" w:firstLine="920"/>
              <w:jc w:val="both"/>
              <w:rPr>
                <w:sz w:val="24"/>
                <w:szCs w:val="24"/>
              </w:rPr>
            </w:pPr>
            <w:r>
              <w:rPr>
                <w:rFonts w:ascii="Times New Roman" w:eastAsia="Times New Roman" w:hAnsi="Times New Roman" w:cs="Times New Roman"/>
                <w:color w:val="000000"/>
                <w:spacing w:val="0"/>
                <w:w w:val="100"/>
                <w:position w:val="0"/>
                <w:sz w:val="24"/>
                <w:szCs w:val="24"/>
              </w:rPr>
              <w:t>757,732</w:t>
            </w:r>
          </w:p>
        </w:tc>
      </w:tr>
      <w:tr>
        <w:trPr>
          <w:trHeight w:val="317" w:hRule="exact"/>
        </w:trPr>
        <w:tc>
          <w:tcPr>
            <w:tcBorders/>
            <w:shd w:val="clear" w:color="auto" w:fill="FFFFFF"/>
            <w:vAlign w:val="bottom"/>
          </w:tcPr>
          <w:p>
            <w:pPr>
              <w:pStyle w:val="Style28"/>
              <w:keepNext w:val="0"/>
              <w:keepLines w:val="0"/>
              <w:framePr w:w="8266" w:h="8534" w:hSpace="677" w:wrap="notBeside" w:vAnchor="text" w:hAnchor="text" w:x="678" w:y="1"/>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加：资产减值损失</w:t>
            </w:r>
          </w:p>
        </w:tc>
        <w:tc>
          <w:tcPr>
            <w:tcBorders/>
            <w:shd w:val="clear" w:color="auto" w:fill="FFFFFF"/>
            <w:vAlign w:val="bottom"/>
          </w:tcPr>
          <w:p>
            <w:pPr>
              <w:pStyle w:val="Style28"/>
              <w:keepNext w:val="0"/>
              <w:keepLines w:val="0"/>
              <w:framePr w:w="8266" w:h="8534" w:hSpace="677" w:wrap="notBeside" w:vAnchor="text" w:hAnchor="text" w:x="678" w:y="1"/>
              <w:widowControl w:val="0"/>
              <w:shd w:val="clear" w:color="auto" w:fill="auto"/>
              <w:bidi w:val="0"/>
              <w:spacing w:before="0" w:after="0" w:line="240" w:lineRule="auto"/>
              <w:ind w:left="0" w:right="0" w:firstLine="660"/>
              <w:jc w:val="left"/>
              <w:rPr>
                <w:sz w:val="24"/>
                <w:szCs w:val="24"/>
              </w:rPr>
            </w:pPr>
            <w:r>
              <w:rPr>
                <w:rFonts w:ascii="Times New Roman" w:eastAsia="Times New Roman" w:hAnsi="Times New Roman" w:cs="Times New Roman"/>
                <w:color w:val="000000"/>
                <w:spacing w:val="0"/>
                <w:w w:val="100"/>
                <w:position w:val="0"/>
                <w:sz w:val="24"/>
                <w:szCs w:val="24"/>
              </w:rPr>
              <w:t>350,499</w:t>
            </w:r>
          </w:p>
        </w:tc>
        <w:tc>
          <w:tcPr>
            <w:tcBorders/>
            <w:shd w:val="clear" w:color="auto" w:fill="FFFFFF"/>
            <w:vAlign w:val="bottom"/>
          </w:tcPr>
          <w:p>
            <w:pPr>
              <w:pStyle w:val="Style28"/>
              <w:keepNext w:val="0"/>
              <w:keepLines w:val="0"/>
              <w:framePr w:w="8266" w:h="8534" w:hSpace="677" w:wrap="notBeside" w:vAnchor="text" w:hAnchor="text" w:x="678" w:y="1"/>
              <w:widowControl w:val="0"/>
              <w:shd w:val="clear" w:color="auto" w:fill="auto"/>
              <w:bidi w:val="0"/>
              <w:spacing w:before="0" w:after="0" w:line="240" w:lineRule="auto"/>
              <w:ind w:left="0" w:right="0" w:firstLine="920"/>
              <w:jc w:val="both"/>
              <w:rPr>
                <w:sz w:val="24"/>
                <w:szCs w:val="24"/>
              </w:rPr>
            </w:pPr>
            <w:r>
              <w:rPr>
                <w:rFonts w:ascii="Times New Roman" w:eastAsia="Times New Roman" w:hAnsi="Times New Roman" w:cs="Times New Roman"/>
                <w:color w:val="000000"/>
                <w:spacing w:val="0"/>
                <w:w w:val="100"/>
                <w:position w:val="0"/>
                <w:sz w:val="24"/>
                <w:szCs w:val="24"/>
              </w:rPr>
              <w:t>198,087</w:t>
            </w:r>
          </w:p>
        </w:tc>
      </w:tr>
      <w:tr>
        <w:trPr>
          <w:trHeight w:val="307" w:hRule="exact"/>
        </w:trPr>
        <w:tc>
          <w:tcPr>
            <w:tcBorders/>
            <w:shd w:val="clear" w:color="auto" w:fill="FFFFFF"/>
            <w:vAlign w:val="bottom"/>
          </w:tcPr>
          <w:p>
            <w:pPr>
              <w:pStyle w:val="Style28"/>
              <w:keepNext w:val="0"/>
              <w:keepLines w:val="0"/>
              <w:framePr w:w="8266" w:h="8534" w:hSpace="677" w:wrap="notBeside" w:vAnchor="text" w:hAnchor="text" w:x="678" w:y="1"/>
              <w:widowControl w:val="0"/>
              <w:shd w:val="clear" w:color="auto" w:fill="auto"/>
              <w:bidi w:val="0"/>
              <w:spacing w:before="0" w:after="0" w:line="240" w:lineRule="auto"/>
              <w:ind w:left="0" w:right="0" w:firstLine="480"/>
              <w:jc w:val="left"/>
              <w:rPr>
                <w:sz w:val="24"/>
                <w:szCs w:val="24"/>
              </w:rPr>
            </w:pPr>
            <w:r>
              <w:rPr>
                <w:color w:val="000000"/>
                <w:spacing w:val="0"/>
                <w:w w:val="100"/>
                <w:position w:val="0"/>
                <w:sz w:val="24"/>
                <w:szCs w:val="24"/>
              </w:rPr>
              <w:t>固定资产和投资性房地产折旧</w:t>
            </w:r>
          </w:p>
        </w:tc>
        <w:tc>
          <w:tcPr>
            <w:tcBorders/>
            <w:shd w:val="clear" w:color="auto" w:fill="FFFFFF"/>
            <w:vAlign w:val="bottom"/>
          </w:tcPr>
          <w:p>
            <w:pPr>
              <w:pStyle w:val="Style28"/>
              <w:keepNext w:val="0"/>
              <w:keepLines w:val="0"/>
              <w:framePr w:w="8266" w:h="8534" w:hSpace="677" w:wrap="notBeside" w:vAnchor="text" w:hAnchor="text" w:x="678" w:y="1"/>
              <w:widowControl w:val="0"/>
              <w:shd w:val="clear" w:color="auto" w:fill="auto"/>
              <w:bidi w:val="0"/>
              <w:spacing w:before="0" w:after="0" w:line="240" w:lineRule="auto"/>
              <w:ind w:left="0" w:right="0" w:firstLine="660"/>
              <w:jc w:val="left"/>
              <w:rPr>
                <w:sz w:val="24"/>
                <w:szCs w:val="24"/>
              </w:rPr>
            </w:pPr>
            <w:r>
              <w:rPr>
                <w:rFonts w:ascii="Times New Roman" w:eastAsia="Times New Roman" w:hAnsi="Times New Roman" w:cs="Times New Roman"/>
                <w:color w:val="000000"/>
                <w:spacing w:val="0"/>
                <w:w w:val="100"/>
                <w:position w:val="0"/>
                <w:sz w:val="24"/>
                <w:szCs w:val="24"/>
              </w:rPr>
              <w:t>872,496</w:t>
            </w:r>
          </w:p>
        </w:tc>
        <w:tc>
          <w:tcPr>
            <w:tcBorders/>
            <w:shd w:val="clear" w:color="auto" w:fill="FFFFFF"/>
            <w:vAlign w:val="bottom"/>
          </w:tcPr>
          <w:p>
            <w:pPr>
              <w:pStyle w:val="Style28"/>
              <w:keepNext w:val="0"/>
              <w:keepLines w:val="0"/>
              <w:framePr w:w="8266" w:h="8534" w:hSpace="677" w:wrap="notBeside" w:vAnchor="text" w:hAnchor="text" w:x="678" w:y="1"/>
              <w:widowControl w:val="0"/>
              <w:shd w:val="clear" w:color="auto" w:fill="auto"/>
              <w:bidi w:val="0"/>
              <w:spacing w:before="0" w:after="0" w:line="240" w:lineRule="auto"/>
              <w:ind w:left="0" w:right="0" w:firstLine="920"/>
              <w:jc w:val="both"/>
              <w:rPr>
                <w:sz w:val="24"/>
                <w:szCs w:val="24"/>
              </w:rPr>
            </w:pPr>
            <w:r>
              <w:rPr>
                <w:rFonts w:ascii="Times New Roman" w:eastAsia="Times New Roman" w:hAnsi="Times New Roman" w:cs="Times New Roman"/>
                <w:color w:val="000000"/>
                <w:spacing w:val="0"/>
                <w:w w:val="100"/>
                <w:position w:val="0"/>
                <w:sz w:val="24"/>
                <w:szCs w:val="24"/>
              </w:rPr>
              <w:t>886,983</w:t>
            </w:r>
          </w:p>
        </w:tc>
      </w:tr>
      <w:tr>
        <w:trPr>
          <w:trHeight w:val="312" w:hRule="exact"/>
        </w:trPr>
        <w:tc>
          <w:tcPr>
            <w:tcBorders/>
            <w:shd w:val="clear" w:color="auto" w:fill="FFFFFF"/>
            <w:vAlign w:val="bottom"/>
          </w:tcPr>
          <w:p>
            <w:pPr>
              <w:pStyle w:val="Style28"/>
              <w:keepNext w:val="0"/>
              <w:keepLines w:val="0"/>
              <w:framePr w:w="8266" w:h="8534" w:hSpace="677" w:wrap="notBeside" w:vAnchor="text" w:hAnchor="text" w:x="678" w:y="1"/>
              <w:widowControl w:val="0"/>
              <w:shd w:val="clear" w:color="auto" w:fill="auto"/>
              <w:bidi w:val="0"/>
              <w:spacing w:before="0" w:after="0" w:line="240" w:lineRule="auto"/>
              <w:ind w:left="0" w:right="0" w:firstLine="480"/>
              <w:jc w:val="left"/>
              <w:rPr>
                <w:sz w:val="24"/>
                <w:szCs w:val="24"/>
              </w:rPr>
            </w:pPr>
            <w:r>
              <w:rPr>
                <w:color w:val="000000"/>
                <w:spacing w:val="0"/>
                <w:w w:val="100"/>
                <w:position w:val="0"/>
                <w:sz w:val="24"/>
                <w:szCs w:val="24"/>
              </w:rPr>
              <w:t>无形资产摊销</w:t>
            </w:r>
          </w:p>
        </w:tc>
        <w:tc>
          <w:tcPr>
            <w:tcBorders/>
            <w:shd w:val="clear" w:color="auto" w:fill="FFFFFF"/>
            <w:vAlign w:val="bottom"/>
          </w:tcPr>
          <w:p>
            <w:pPr>
              <w:pStyle w:val="Style28"/>
              <w:keepNext w:val="0"/>
              <w:keepLines w:val="0"/>
              <w:framePr w:w="8266" w:h="8534" w:hSpace="677" w:wrap="notBeside" w:vAnchor="text" w:hAnchor="text" w:x="678" w:y="1"/>
              <w:widowControl w:val="0"/>
              <w:shd w:val="clear" w:color="auto" w:fill="auto"/>
              <w:bidi w:val="0"/>
              <w:spacing w:before="0" w:after="0" w:line="240" w:lineRule="auto"/>
              <w:ind w:left="0" w:right="0" w:firstLine="660"/>
              <w:jc w:val="left"/>
              <w:rPr>
                <w:sz w:val="24"/>
                <w:szCs w:val="24"/>
              </w:rPr>
            </w:pPr>
            <w:r>
              <w:rPr>
                <w:rFonts w:ascii="Times New Roman" w:eastAsia="Times New Roman" w:hAnsi="Times New Roman" w:cs="Times New Roman"/>
                <w:color w:val="000000"/>
                <w:spacing w:val="0"/>
                <w:w w:val="100"/>
                <w:position w:val="0"/>
                <w:sz w:val="24"/>
                <w:szCs w:val="24"/>
              </w:rPr>
              <w:t>360,210</w:t>
            </w:r>
          </w:p>
        </w:tc>
        <w:tc>
          <w:tcPr>
            <w:tcBorders/>
            <w:shd w:val="clear" w:color="auto" w:fill="FFFFFF"/>
            <w:vAlign w:val="bottom"/>
          </w:tcPr>
          <w:p>
            <w:pPr>
              <w:pStyle w:val="Style28"/>
              <w:keepNext w:val="0"/>
              <w:keepLines w:val="0"/>
              <w:framePr w:w="8266" w:h="8534" w:hSpace="677" w:wrap="notBeside" w:vAnchor="text" w:hAnchor="text" w:x="678" w:y="1"/>
              <w:widowControl w:val="0"/>
              <w:shd w:val="clear" w:color="auto" w:fill="auto"/>
              <w:bidi w:val="0"/>
              <w:spacing w:before="0" w:after="0" w:line="240" w:lineRule="auto"/>
              <w:ind w:left="0" w:right="0" w:firstLine="720"/>
              <w:jc w:val="both"/>
              <w:rPr>
                <w:sz w:val="24"/>
                <w:szCs w:val="24"/>
              </w:rPr>
            </w:pPr>
            <w:r>
              <w:rPr>
                <w:rFonts w:ascii="Times New Roman" w:eastAsia="Times New Roman" w:hAnsi="Times New Roman" w:cs="Times New Roman"/>
                <w:color w:val="000000"/>
                <w:spacing w:val="0"/>
                <w:w w:val="100"/>
                <w:position w:val="0"/>
                <w:sz w:val="24"/>
                <w:szCs w:val="24"/>
              </w:rPr>
              <w:t>1,062,010</w:t>
            </w:r>
          </w:p>
        </w:tc>
      </w:tr>
      <w:tr>
        <w:trPr>
          <w:trHeight w:val="302" w:hRule="exact"/>
        </w:trPr>
        <w:tc>
          <w:tcPr>
            <w:tcBorders/>
            <w:shd w:val="clear" w:color="auto" w:fill="FFFFFF"/>
            <w:vAlign w:val="bottom"/>
          </w:tcPr>
          <w:p>
            <w:pPr>
              <w:pStyle w:val="Style28"/>
              <w:keepNext w:val="0"/>
              <w:keepLines w:val="0"/>
              <w:framePr w:w="8266" w:h="8534" w:hSpace="677" w:wrap="notBeside" w:vAnchor="text" w:hAnchor="text" w:x="678" w:y="1"/>
              <w:widowControl w:val="0"/>
              <w:shd w:val="clear" w:color="auto" w:fill="auto"/>
              <w:bidi w:val="0"/>
              <w:spacing w:before="0" w:after="0" w:line="240" w:lineRule="auto"/>
              <w:ind w:left="0" w:right="0" w:firstLine="480"/>
              <w:jc w:val="left"/>
              <w:rPr>
                <w:sz w:val="24"/>
                <w:szCs w:val="24"/>
              </w:rPr>
            </w:pPr>
            <w:r>
              <w:rPr>
                <w:color w:val="000000"/>
                <w:spacing w:val="0"/>
                <w:w w:val="100"/>
                <w:position w:val="0"/>
                <w:sz w:val="24"/>
                <w:szCs w:val="24"/>
              </w:rPr>
              <w:t>长期待摊费用摊销</w:t>
            </w:r>
          </w:p>
        </w:tc>
        <w:tc>
          <w:tcPr>
            <w:tcBorders/>
            <w:shd w:val="clear" w:color="auto" w:fill="FFFFFF"/>
            <w:vAlign w:val="bottom"/>
          </w:tcPr>
          <w:p>
            <w:pPr>
              <w:pStyle w:val="Style28"/>
              <w:keepNext w:val="0"/>
              <w:keepLines w:val="0"/>
              <w:framePr w:w="8266" w:h="8534" w:hSpace="677" w:wrap="notBeside" w:vAnchor="text" w:hAnchor="text" w:x="678" w:y="1"/>
              <w:widowControl w:val="0"/>
              <w:shd w:val="clear" w:color="auto" w:fill="auto"/>
              <w:bidi w:val="0"/>
              <w:spacing w:before="0" w:after="0" w:line="240" w:lineRule="auto"/>
              <w:ind w:left="0" w:right="0" w:firstLine="660"/>
              <w:jc w:val="left"/>
              <w:rPr>
                <w:sz w:val="24"/>
                <w:szCs w:val="24"/>
              </w:rPr>
            </w:pPr>
            <w:r>
              <w:rPr>
                <w:rFonts w:ascii="Times New Roman" w:eastAsia="Times New Roman" w:hAnsi="Times New Roman" w:cs="Times New Roman"/>
                <w:color w:val="000000"/>
                <w:spacing w:val="0"/>
                <w:w w:val="100"/>
                <w:position w:val="0"/>
                <w:sz w:val="24"/>
                <w:szCs w:val="24"/>
              </w:rPr>
              <w:t>573,124</w:t>
            </w:r>
          </w:p>
        </w:tc>
        <w:tc>
          <w:tcPr>
            <w:tcBorders/>
            <w:shd w:val="clear" w:color="auto" w:fill="FFFFFF"/>
            <w:vAlign w:val="bottom"/>
          </w:tcPr>
          <w:p>
            <w:pPr>
              <w:pStyle w:val="Style28"/>
              <w:keepNext w:val="0"/>
              <w:keepLines w:val="0"/>
              <w:framePr w:w="8266" w:h="8534" w:hSpace="677" w:wrap="notBeside" w:vAnchor="text" w:hAnchor="text" w:x="678" w:y="1"/>
              <w:widowControl w:val="0"/>
              <w:shd w:val="clear" w:color="auto" w:fill="auto"/>
              <w:bidi w:val="0"/>
              <w:spacing w:before="0" w:after="0" w:line="240" w:lineRule="auto"/>
              <w:ind w:left="0" w:right="0" w:firstLine="920"/>
              <w:jc w:val="both"/>
              <w:rPr>
                <w:sz w:val="24"/>
                <w:szCs w:val="24"/>
              </w:rPr>
            </w:pPr>
            <w:r>
              <w:rPr>
                <w:rFonts w:ascii="Times New Roman" w:eastAsia="Times New Roman" w:hAnsi="Times New Roman" w:cs="Times New Roman"/>
                <w:color w:val="000000"/>
                <w:spacing w:val="0"/>
                <w:w w:val="100"/>
                <w:position w:val="0"/>
                <w:sz w:val="24"/>
                <w:szCs w:val="24"/>
              </w:rPr>
              <w:t>625,585</w:t>
            </w:r>
          </w:p>
        </w:tc>
      </w:tr>
      <w:tr>
        <w:trPr>
          <w:trHeight w:val="317" w:hRule="exact"/>
        </w:trPr>
        <w:tc>
          <w:tcPr>
            <w:tcBorders/>
            <w:shd w:val="clear" w:color="auto" w:fill="FFFFFF"/>
            <w:vAlign w:val="top"/>
          </w:tcPr>
          <w:p>
            <w:pPr>
              <w:pStyle w:val="Style28"/>
              <w:keepNext w:val="0"/>
              <w:keepLines w:val="0"/>
              <w:framePr w:w="8266" w:h="8534" w:hSpace="677" w:wrap="notBeside" w:vAnchor="text" w:hAnchor="text" w:x="678" w:y="1"/>
              <w:widowControl w:val="0"/>
              <w:shd w:val="clear" w:color="auto" w:fill="auto"/>
              <w:bidi w:val="0"/>
              <w:spacing w:before="0" w:after="0" w:line="240" w:lineRule="auto"/>
              <w:ind w:left="0" w:right="0" w:firstLine="480"/>
              <w:jc w:val="left"/>
              <w:rPr>
                <w:sz w:val="24"/>
                <w:szCs w:val="24"/>
              </w:rPr>
            </w:pPr>
            <w:r>
              <w:rPr>
                <w:color w:val="000000"/>
                <w:spacing w:val="0"/>
                <w:w w:val="100"/>
                <w:position w:val="0"/>
                <w:sz w:val="24"/>
                <w:szCs w:val="24"/>
              </w:rPr>
              <w:t>处置固定资产、无形资产和其他</w:t>
            </w:r>
          </w:p>
        </w:tc>
        <w:tc>
          <w:tcPr>
            <w:tcBorders/>
            <w:shd w:val="clear" w:color="auto" w:fill="FFFFFF"/>
            <w:vAlign w:val="top"/>
          </w:tcPr>
          <w:p>
            <w:pPr>
              <w:framePr w:w="8266" w:h="8534" w:hSpace="677" w:wrap="notBeside" w:vAnchor="text" w:hAnchor="text" w:x="678" w:y="1"/>
              <w:widowControl w:val="0"/>
              <w:rPr>
                <w:sz w:val="10"/>
                <w:szCs w:val="10"/>
              </w:rPr>
            </w:pPr>
          </w:p>
        </w:tc>
        <w:tc>
          <w:tcPr>
            <w:tcBorders/>
            <w:shd w:val="clear" w:color="auto" w:fill="FFFFFF"/>
            <w:vAlign w:val="top"/>
          </w:tcPr>
          <w:p>
            <w:pPr>
              <w:framePr w:w="8266" w:h="8534" w:hSpace="677" w:wrap="notBeside" w:vAnchor="text" w:hAnchor="text" w:x="678" w:y="1"/>
              <w:widowControl w:val="0"/>
              <w:rPr>
                <w:sz w:val="10"/>
                <w:szCs w:val="10"/>
              </w:rPr>
            </w:pPr>
          </w:p>
        </w:tc>
      </w:tr>
      <w:tr>
        <w:trPr>
          <w:trHeight w:val="336" w:hRule="exact"/>
        </w:trPr>
        <w:tc>
          <w:tcPr>
            <w:tcBorders/>
            <w:shd w:val="clear" w:color="auto" w:fill="FFFFFF"/>
            <w:vAlign w:val="bottom"/>
          </w:tcPr>
          <w:p>
            <w:pPr>
              <w:pStyle w:val="Style28"/>
              <w:keepNext w:val="0"/>
              <w:keepLines w:val="0"/>
              <w:framePr w:w="8266" w:h="8534" w:hSpace="677" w:wrap="notBeside" w:vAnchor="text" w:hAnchor="text" w:x="678" w:y="1"/>
              <w:widowControl w:val="0"/>
              <w:shd w:val="clear" w:color="auto" w:fill="auto"/>
              <w:bidi w:val="0"/>
              <w:spacing w:before="0" w:after="0" w:line="240" w:lineRule="auto"/>
              <w:ind w:left="0" w:right="0" w:firstLine="720"/>
              <w:jc w:val="left"/>
              <w:rPr>
                <w:sz w:val="24"/>
                <w:szCs w:val="24"/>
              </w:rPr>
            </w:pPr>
            <w:r>
              <w:rPr>
                <w:color w:val="000000"/>
                <w:spacing w:val="0"/>
                <w:w w:val="100"/>
                <w:position w:val="0"/>
                <w:sz w:val="24"/>
                <w:szCs w:val="24"/>
              </w:rPr>
              <w:t>长期资产的净收益</w:t>
            </w:r>
          </w:p>
        </w:tc>
        <w:tc>
          <w:tcPr>
            <w:tcBorders/>
            <w:shd w:val="clear" w:color="auto" w:fill="FFFFFF"/>
            <w:vAlign w:val="bottom"/>
          </w:tcPr>
          <w:p>
            <w:pPr>
              <w:pStyle w:val="Style28"/>
              <w:keepNext w:val="0"/>
              <w:keepLines w:val="0"/>
              <w:framePr w:w="8266" w:h="8534" w:hSpace="677" w:wrap="notBeside" w:vAnchor="text" w:hAnchor="text" w:x="678" w:y="1"/>
              <w:widowControl w:val="0"/>
              <w:shd w:val="clear" w:color="auto" w:fill="auto"/>
              <w:bidi w:val="0"/>
              <w:spacing w:before="0" w:after="0" w:line="240" w:lineRule="auto"/>
              <w:ind w:left="0" w:right="0" w:firstLine="580"/>
              <w:jc w:val="left"/>
              <w:rPr>
                <w:sz w:val="24"/>
                <w:szCs w:val="24"/>
              </w:rPr>
            </w:pPr>
            <w:r>
              <w:rPr>
                <w:rFonts w:ascii="Times New Roman" w:eastAsia="Times New Roman" w:hAnsi="Times New Roman" w:cs="Times New Roman"/>
                <w:color w:val="000000"/>
                <w:spacing w:val="0"/>
                <w:w w:val="100"/>
                <w:position w:val="0"/>
                <w:sz w:val="24"/>
                <w:szCs w:val="24"/>
              </w:rPr>
              <w:t>(502,292)</w:t>
            </w:r>
          </w:p>
        </w:tc>
        <w:tc>
          <w:tcPr>
            <w:tcBorders/>
            <w:shd w:val="clear" w:color="auto" w:fill="FFFFFF"/>
            <w:vAlign w:val="bottom"/>
          </w:tcPr>
          <w:p>
            <w:pPr>
              <w:pStyle w:val="Style28"/>
              <w:keepNext w:val="0"/>
              <w:keepLines w:val="0"/>
              <w:framePr w:w="8266" w:h="8534" w:hSpace="677" w:wrap="notBeside" w:vAnchor="text" w:hAnchor="text" w:x="678" w:y="1"/>
              <w:widowControl w:val="0"/>
              <w:shd w:val="clear" w:color="auto" w:fill="auto"/>
              <w:bidi w:val="0"/>
              <w:spacing w:before="0" w:after="0" w:line="240" w:lineRule="auto"/>
              <w:ind w:left="0" w:right="0" w:firstLine="560"/>
              <w:jc w:val="both"/>
              <w:rPr>
                <w:sz w:val="24"/>
                <w:szCs w:val="24"/>
              </w:rPr>
            </w:pPr>
            <w:r>
              <w:rPr>
                <w:rFonts w:ascii="Times New Roman" w:eastAsia="Times New Roman" w:hAnsi="Times New Roman" w:cs="Times New Roman"/>
                <w:color w:val="000000"/>
                <w:spacing w:val="0"/>
                <w:w w:val="100"/>
                <w:position w:val="0"/>
                <w:sz w:val="24"/>
                <w:szCs w:val="24"/>
              </w:rPr>
              <w:t>(1,397,346)</w:t>
            </w:r>
          </w:p>
        </w:tc>
      </w:tr>
      <w:tr>
        <w:trPr>
          <w:trHeight w:val="298" w:hRule="exact"/>
        </w:trPr>
        <w:tc>
          <w:tcPr>
            <w:tcBorders/>
            <w:shd w:val="clear" w:color="auto" w:fill="FFFFFF"/>
            <w:vAlign w:val="bottom"/>
          </w:tcPr>
          <w:p>
            <w:pPr>
              <w:pStyle w:val="Style28"/>
              <w:keepNext w:val="0"/>
              <w:keepLines w:val="0"/>
              <w:framePr w:w="8266" w:h="8534" w:hSpace="677" w:wrap="notBeside" w:vAnchor="text" w:hAnchor="text" w:x="678" w:y="1"/>
              <w:widowControl w:val="0"/>
              <w:shd w:val="clear" w:color="auto" w:fill="auto"/>
              <w:bidi w:val="0"/>
              <w:spacing w:before="0" w:after="0" w:line="240" w:lineRule="auto"/>
              <w:ind w:left="0" w:right="0" w:firstLine="480"/>
              <w:jc w:val="left"/>
              <w:rPr>
                <w:sz w:val="24"/>
                <w:szCs w:val="24"/>
              </w:rPr>
            </w:pPr>
            <w:r>
              <w:rPr>
                <w:color w:val="000000"/>
                <w:spacing w:val="0"/>
                <w:w w:val="100"/>
                <w:position w:val="0"/>
                <w:sz w:val="24"/>
                <w:szCs w:val="24"/>
              </w:rPr>
              <w:t>财务费用</w:t>
            </w:r>
          </w:p>
        </w:tc>
        <w:tc>
          <w:tcPr>
            <w:tcBorders/>
            <w:shd w:val="clear" w:color="auto" w:fill="FFFFFF"/>
            <w:vAlign w:val="bottom"/>
          </w:tcPr>
          <w:p>
            <w:pPr>
              <w:pStyle w:val="Style28"/>
              <w:keepNext w:val="0"/>
              <w:keepLines w:val="0"/>
              <w:framePr w:w="8266" w:h="8534" w:hSpace="677" w:wrap="notBeside" w:vAnchor="text" w:hAnchor="text" w:x="678" w:y="1"/>
              <w:widowControl w:val="0"/>
              <w:shd w:val="clear" w:color="auto" w:fill="auto"/>
              <w:bidi w:val="0"/>
              <w:spacing w:before="0" w:after="0" w:line="240" w:lineRule="auto"/>
              <w:ind w:left="0" w:right="0" w:firstLine="660"/>
              <w:jc w:val="left"/>
              <w:rPr>
                <w:sz w:val="24"/>
                <w:szCs w:val="24"/>
              </w:rPr>
            </w:pPr>
            <w:r>
              <w:rPr>
                <w:rFonts w:ascii="Times New Roman" w:eastAsia="Times New Roman" w:hAnsi="Times New Roman" w:cs="Times New Roman"/>
                <w:color w:val="000000"/>
                <w:spacing w:val="0"/>
                <w:w w:val="100"/>
                <w:position w:val="0"/>
                <w:sz w:val="24"/>
                <w:szCs w:val="24"/>
              </w:rPr>
              <w:t>502,634</w:t>
            </w:r>
          </w:p>
        </w:tc>
        <w:tc>
          <w:tcPr>
            <w:tcBorders/>
            <w:shd w:val="clear" w:color="auto" w:fill="FFFFFF"/>
            <w:vAlign w:val="bottom"/>
          </w:tcPr>
          <w:p>
            <w:pPr>
              <w:pStyle w:val="Style28"/>
              <w:keepNext w:val="0"/>
              <w:keepLines w:val="0"/>
              <w:framePr w:w="8266" w:h="8534" w:hSpace="677" w:wrap="notBeside" w:vAnchor="text" w:hAnchor="text" w:x="678" w:y="1"/>
              <w:widowControl w:val="0"/>
              <w:shd w:val="clear" w:color="auto" w:fill="auto"/>
              <w:bidi w:val="0"/>
              <w:spacing w:before="0" w:after="0" w:line="240" w:lineRule="auto"/>
              <w:ind w:left="0" w:right="0" w:firstLine="920"/>
              <w:jc w:val="both"/>
              <w:rPr>
                <w:sz w:val="24"/>
                <w:szCs w:val="24"/>
              </w:rPr>
            </w:pPr>
            <w:r>
              <w:rPr>
                <w:rFonts w:ascii="Times New Roman" w:eastAsia="Times New Roman" w:hAnsi="Times New Roman" w:cs="Times New Roman"/>
                <w:color w:val="000000"/>
                <w:spacing w:val="0"/>
                <w:w w:val="100"/>
                <w:position w:val="0"/>
                <w:sz w:val="24"/>
                <w:szCs w:val="24"/>
              </w:rPr>
              <w:t>372,157</w:t>
            </w:r>
          </w:p>
        </w:tc>
      </w:tr>
      <w:tr>
        <w:trPr>
          <w:trHeight w:val="322" w:hRule="exact"/>
        </w:trPr>
        <w:tc>
          <w:tcPr>
            <w:tcBorders/>
            <w:shd w:val="clear" w:color="auto" w:fill="FFFFFF"/>
            <w:vAlign w:val="bottom"/>
          </w:tcPr>
          <w:p>
            <w:pPr>
              <w:pStyle w:val="Style28"/>
              <w:keepNext w:val="0"/>
              <w:keepLines w:val="0"/>
              <w:framePr w:w="8266" w:h="8534" w:hSpace="677" w:wrap="notBeside" w:vAnchor="text" w:hAnchor="text" w:x="678" w:y="1"/>
              <w:widowControl w:val="0"/>
              <w:shd w:val="clear" w:color="auto" w:fill="auto"/>
              <w:bidi w:val="0"/>
              <w:spacing w:before="0" w:after="0" w:line="240" w:lineRule="auto"/>
              <w:ind w:left="0" w:right="0" w:firstLine="480"/>
              <w:jc w:val="left"/>
              <w:rPr>
                <w:sz w:val="24"/>
                <w:szCs w:val="24"/>
              </w:rPr>
            </w:pPr>
            <w:r>
              <w:rPr>
                <w:color w:val="000000"/>
                <w:spacing w:val="0"/>
                <w:w w:val="100"/>
                <w:position w:val="0"/>
                <w:sz w:val="24"/>
                <w:szCs w:val="24"/>
              </w:rPr>
              <w:t>投资收益</w:t>
            </w:r>
          </w:p>
        </w:tc>
        <w:tc>
          <w:tcPr>
            <w:tcBorders/>
            <w:shd w:val="clear" w:color="auto" w:fill="FFFFFF"/>
            <w:vAlign w:val="bottom"/>
          </w:tcPr>
          <w:p>
            <w:pPr>
              <w:pStyle w:val="Style28"/>
              <w:keepNext w:val="0"/>
              <w:keepLines w:val="0"/>
              <w:framePr w:w="8266" w:h="8534" w:hSpace="677" w:wrap="notBeside" w:vAnchor="text" w:hAnchor="text" w:x="678" w:y="1"/>
              <w:widowControl w:val="0"/>
              <w:shd w:val="clear" w:color="auto" w:fill="auto"/>
              <w:bidi w:val="0"/>
              <w:spacing w:before="0" w:after="0" w:line="240" w:lineRule="auto"/>
              <w:ind w:left="0" w:right="0" w:firstLine="360"/>
              <w:jc w:val="left"/>
              <w:rPr>
                <w:sz w:val="24"/>
                <w:szCs w:val="24"/>
              </w:rPr>
            </w:pPr>
            <w:r>
              <w:rPr>
                <w:rFonts w:ascii="Times New Roman" w:eastAsia="Times New Roman" w:hAnsi="Times New Roman" w:cs="Times New Roman"/>
                <w:color w:val="000000"/>
                <w:spacing w:val="0"/>
                <w:w w:val="100"/>
                <w:position w:val="0"/>
                <w:sz w:val="24"/>
                <w:szCs w:val="24"/>
              </w:rPr>
              <w:t>(1,445,420)</w:t>
            </w:r>
          </w:p>
        </w:tc>
        <w:tc>
          <w:tcPr>
            <w:tcBorders/>
            <w:shd w:val="clear" w:color="auto" w:fill="FFFFFF"/>
            <w:vAlign w:val="bottom"/>
          </w:tcPr>
          <w:p>
            <w:pPr>
              <w:pStyle w:val="Style28"/>
              <w:keepNext w:val="0"/>
              <w:keepLines w:val="0"/>
              <w:framePr w:w="8266" w:h="8534" w:hSpace="677" w:wrap="notBeside" w:vAnchor="text" w:hAnchor="text" w:x="678" w:y="1"/>
              <w:widowControl w:val="0"/>
              <w:shd w:val="clear" w:color="auto" w:fill="auto"/>
              <w:bidi w:val="0"/>
              <w:spacing w:before="0" w:after="0" w:line="240" w:lineRule="auto"/>
              <w:ind w:left="0" w:right="0" w:firstLine="560"/>
              <w:jc w:val="both"/>
              <w:rPr>
                <w:sz w:val="24"/>
                <w:szCs w:val="24"/>
              </w:rPr>
            </w:pPr>
            <w:r>
              <w:rPr>
                <w:rFonts w:ascii="Times New Roman" w:eastAsia="Times New Roman" w:hAnsi="Times New Roman" w:cs="Times New Roman"/>
                <w:color w:val="000000"/>
                <w:spacing w:val="0"/>
                <w:w w:val="100"/>
                <w:position w:val="0"/>
                <w:sz w:val="24"/>
                <w:szCs w:val="24"/>
              </w:rPr>
              <w:t>(1,654,764)</w:t>
            </w:r>
          </w:p>
        </w:tc>
      </w:tr>
      <w:tr>
        <w:trPr>
          <w:trHeight w:val="302" w:hRule="exact"/>
        </w:trPr>
        <w:tc>
          <w:tcPr>
            <w:tcBorders/>
            <w:shd w:val="clear" w:color="auto" w:fill="FFFFFF"/>
            <w:vAlign w:val="top"/>
          </w:tcPr>
          <w:p>
            <w:pPr>
              <w:pStyle w:val="Style28"/>
              <w:keepNext w:val="0"/>
              <w:keepLines w:val="0"/>
              <w:framePr w:w="8266" w:h="8534" w:hSpace="677" w:wrap="notBeside" w:vAnchor="text" w:hAnchor="text" w:x="678" w:y="1"/>
              <w:widowControl w:val="0"/>
              <w:shd w:val="clear" w:color="auto" w:fill="auto"/>
              <w:bidi w:val="0"/>
              <w:spacing w:before="0" w:after="0" w:line="240" w:lineRule="auto"/>
              <w:ind w:left="0" w:right="0" w:firstLine="480"/>
              <w:jc w:val="left"/>
              <w:rPr>
                <w:sz w:val="24"/>
                <w:szCs w:val="24"/>
              </w:rPr>
            </w:pPr>
            <w:r>
              <w:rPr>
                <w:color w:val="000000"/>
                <w:spacing w:val="0"/>
                <w:w w:val="100"/>
                <w:position w:val="0"/>
                <w:sz w:val="24"/>
                <w:szCs w:val="24"/>
              </w:rPr>
              <w:t>营业外收入</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负商誉</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附注五</w:t>
            </w:r>
          </w:p>
        </w:tc>
        <w:tc>
          <w:tcPr>
            <w:tcBorders/>
            <w:shd w:val="clear" w:color="auto" w:fill="FFFFFF"/>
            <w:vAlign w:val="top"/>
          </w:tcPr>
          <w:p>
            <w:pPr>
              <w:framePr w:w="8266" w:h="8534" w:hSpace="677" w:wrap="notBeside" w:vAnchor="text" w:hAnchor="text" w:x="678" w:y="1"/>
              <w:widowControl w:val="0"/>
              <w:rPr>
                <w:sz w:val="10"/>
                <w:szCs w:val="10"/>
              </w:rPr>
            </w:pPr>
          </w:p>
        </w:tc>
        <w:tc>
          <w:tcPr>
            <w:tcBorders/>
            <w:shd w:val="clear" w:color="auto" w:fill="FFFFFF"/>
            <w:vAlign w:val="top"/>
          </w:tcPr>
          <w:p>
            <w:pPr>
              <w:framePr w:w="8266" w:h="8534" w:hSpace="677" w:wrap="notBeside" w:vAnchor="text" w:hAnchor="text" w:x="678" w:y="1"/>
              <w:widowControl w:val="0"/>
              <w:rPr>
                <w:sz w:val="10"/>
                <w:szCs w:val="10"/>
              </w:rPr>
            </w:pPr>
          </w:p>
        </w:tc>
      </w:tr>
      <w:tr>
        <w:trPr>
          <w:trHeight w:val="288" w:hRule="exact"/>
        </w:trPr>
        <w:tc>
          <w:tcPr>
            <w:tcBorders/>
            <w:shd w:val="clear" w:color="auto" w:fill="FFFFFF"/>
            <w:vAlign w:val="bottom"/>
          </w:tcPr>
          <w:p>
            <w:pPr>
              <w:pStyle w:val="Style28"/>
              <w:keepNext w:val="0"/>
              <w:keepLines w:val="0"/>
              <w:framePr w:w="8266" w:h="8534" w:hSpace="677" w:wrap="notBeside" w:vAnchor="text" w:hAnchor="text" w:x="678" w:y="1"/>
              <w:widowControl w:val="0"/>
              <w:shd w:val="clear" w:color="auto" w:fill="auto"/>
              <w:bidi w:val="0"/>
              <w:spacing w:before="0" w:after="0" w:line="240" w:lineRule="auto"/>
              <w:ind w:left="0" w:right="0" w:firstLine="720"/>
              <w:jc w:val="left"/>
              <w:rPr>
                <w:sz w:val="24"/>
                <w:szCs w:val="24"/>
              </w:rPr>
            </w:pPr>
            <w:r>
              <w:rPr>
                <w:rFonts w:ascii="Times New Roman" w:eastAsia="Times New Roman" w:hAnsi="Times New Roman" w:cs="Times New Roman"/>
                <w:color w:val="000000"/>
                <w:spacing w:val="0"/>
                <w:w w:val="100"/>
                <w:position w:val="0"/>
                <w:sz w:val="24"/>
                <w:szCs w:val="24"/>
              </w:rPr>
              <w:t>(1)(b))</w:t>
            </w:r>
          </w:p>
        </w:tc>
        <w:tc>
          <w:tcPr>
            <w:tcBorders/>
            <w:shd w:val="clear" w:color="auto" w:fill="FFFFFF"/>
            <w:vAlign w:val="bottom"/>
          </w:tcPr>
          <w:p>
            <w:pPr>
              <w:pStyle w:val="Style28"/>
              <w:keepNext w:val="0"/>
              <w:keepLines w:val="0"/>
              <w:framePr w:w="8266" w:h="8534" w:hSpace="677" w:wrap="notBeside" w:vAnchor="text" w:hAnchor="text" w:x="678" w:y="1"/>
              <w:widowControl w:val="0"/>
              <w:shd w:val="clear" w:color="auto" w:fill="auto"/>
              <w:bidi w:val="0"/>
              <w:spacing w:before="0" w:after="0" w:line="240" w:lineRule="auto"/>
              <w:ind w:left="0" w:right="0" w:firstLine="660"/>
              <w:jc w:val="both"/>
              <w:rPr>
                <w:sz w:val="24"/>
                <w:szCs w:val="24"/>
              </w:rPr>
            </w:pPr>
            <w:r>
              <w:rPr>
                <w:rFonts w:ascii="Times New Roman" w:eastAsia="Times New Roman" w:hAnsi="Times New Roman" w:cs="Times New Roman"/>
                <w:color w:val="000000"/>
                <w:spacing w:val="0"/>
                <w:w w:val="100"/>
                <w:position w:val="0"/>
                <w:sz w:val="24"/>
                <w:szCs w:val="24"/>
              </w:rPr>
              <w:t>(31,306)</w:t>
            </w:r>
          </w:p>
        </w:tc>
        <w:tc>
          <w:tcPr>
            <w:tcBorders/>
            <w:shd w:val="clear" w:color="auto" w:fill="FFFFFF"/>
            <w:vAlign w:val="bottom"/>
          </w:tcPr>
          <w:p>
            <w:pPr>
              <w:pStyle w:val="Style28"/>
              <w:keepNext w:val="0"/>
              <w:keepLines w:val="0"/>
              <w:framePr w:w="8266" w:h="8534" w:hSpace="677" w:wrap="notBeside" w:vAnchor="text" w:hAnchor="text" w:x="678" w:y="1"/>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(7,661)</w:t>
            </w:r>
          </w:p>
        </w:tc>
      </w:tr>
      <w:tr>
        <w:trPr>
          <w:trHeight w:val="288" w:hRule="exact"/>
        </w:trPr>
        <w:tc>
          <w:tcPr>
            <w:tcBorders/>
            <w:shd w:val="clear" w:color="auto" w:fill="FFFFFF"/>
            <w:vAlign w:val="bottom"/>
          </w:tcPr>
          <w:p>
            <w:pPr>
              <w:pStyle w:val="Style28"/>
              <w:keepNext w:val="0"/>
              <w:keepLines w:val="0"/>
              <w:framePr w:w="8266" w:h="8534" w:hSpace="677" w:wrap="notBeside" w:vAnchor="text" w:hAnchor="text" w:x="678" w:y="1"/>
              <w:widowControl w:val="0"/>
              <w:shd w:val="clear" w:color="auto" w:fill="auto"/>
              <w:bidi w:val="0"/>
              <w:spacing w:before="0" w:after="0" w:line="240" w:lineRule="auto"/>
              <w:ind w:left="0" w:right="0" w:firstLine="480"/>
              <w:jc w:val="left"/>
              <w:rPr>
                <w:sz w:val="24"/>
                <w:szCs w:val="24"/>
              </w:rPr>
            </w:pPr>
            <w:r>
              <w:rPr>
                <w:color w:val="000000"/>
                <w:spacing w:val="0"/>
                <w:w w:val="100"/>
                <w:position w:val="0"/>
                <w:sz w:val="24"/>
                <w:szCs w:val="24"/>
              </w:rPr>
              <w:t>公允价值变动损失</w:t>
            </w:r>
          </w:p>
        </w:tc>
        <w:tc>
          <w:tcPr>
            <w:tcBorders/>
            <w:shd w:val="clear" w:color="auto" w:fill="FFFFFF"/>
            <w:vAlign w:val="bottom"/>
          </w:tcPr>
          <w:p>
            <w:pPr>
              <w:pStyle w:val="Style28"/>
              <w:keepNext w:val="0"/>
              <w:keepLines w:val="0"/>
              <w:framePr w:w="8266" w:h="8534" w:hSpace="677" w:wrap="notBeside" w:vAnchor="text" w:hAnchor="text" w:x="678" w:y="1"/>
              <w:widowControl w:val="0"/>
              <w:shd w:val="clear" w:color="auto" w:fill="auto"/>
              <w:bidi w:val="0"/>
              <w:spacing w:before="0" w:after="0" w:line="240" w:lineRule="auto"/>
              <w:ind w:left="0" w:right="0" w:firstLine="780"/>
              <w:jc w:val="left"/>
              <w:rPr>
                <w:sz w:val="24"/>
                <w:szCs w:val="24"/>
              </w:rPr>
            </w:pPr>
            <w:r>
              <w:rPr>
                <w:rFonts w:ascii="Times New Roman" w:eastAsia="Times New Roman" w:hAnsi="Times New Roman" w:cs="Times New Roman"/>
                <w:color w:val="000000"/>
                <w:spacing w:val="0"/>
                <w:w w:val="100"/>
                <w:position w:val="0"/>
                <w:sz w:val="24"/>
                <w:szCs w:val="24"/>
              </w:rPr>
              <w:t>33,686</w:t>
            </w:r>
          </w:p>
        </w:tc>
        <w:tc>
          <w:tcPr>
            <w:tcBorders/>
            <w:shd w:val="clear" w:color="auto" w:fill="FFFFFF"/>
            <w:vAlign w:val="bottom"/>
          </w:tcPr>
          <w:p>
            <w:pPr>
              <w:pStyle w:val="Style28"/>
              <w:keepNext w:val="0"/>
              <w:keepLines w:val="0"/>
              <w:framePr w:w="8266" w:h="8534" w:hSpace="677" w:wrap="notBeside" w:vAnchor="text" w:hAnchor="text" w:x="678" w:y="1"/>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6,920</w:t>
            </w:r>
          </w:p>
        </w:tc>
      </w:tr>
      <w:tr>
        <w:trPr>
          <w:trHeight w:val="326" w:hRule="exact"/>
        </w:trPr>
        <w:tc>
          <w:tcPr>
            <w:tcBorders/>
            <w:shd w:val="clear" w:color="auto" w:fill="FFFFFF"/>
            <w:vAlign w:val="bottom"/>
          </w:tcPr>
          <w:p>
            <w:pPr>
              <w:pStyle w:val="Style28"/>
              <w:keepNext w:val="0"/>
              <w:keepLines w:val="0"/>
              <w:framePr w:w="8266" w:h="8534" w:hSpace="677" w:wrap="notBeside" w:vAnchor="text" w:hAnchor="text" w:x="678" w:y="1"/>
              <w:widowControl w:val="0"/>
              <w:shd w:val="clear" w:color="auto" w:fill="auto"/>
              <w:bidi w:val="0"/>
              <w:spacing w:before="0" w:after="0" w:line="240" w:lineRule="auto"/>
              <w:ind w:left="0" w:right="0" w:firstLine="480"/>
              <w:jc w:val="left"/>
              <w:rPr>
                <w:sz w:val="24"/>
                <w:szCs w:val="24"/>
              </w:rPr>
            </w:pPr>
            <w:r>
              <w:rPr>
                <w:color w:val="000000"/>
                <w:spacing w:val="0"/>
                <w:w w:val="100"/>
                <w:position w:val="0"/>
                <w:sz w:val="24"/>
                <w:szCs w:val="24"/>
              </w:rPr>
              <w:t>递延所得税资产增加</w:t>
            </w:r>
          </w:p>
        </w:tc>
        <w:tc>
          <w:tcPr>
            <w:tcBorders/>
            <w:shd w:val="clear" w:color="auto" w:fill="FFFFFF"/>
            <w:vAlign w:val="bottom"/>
          </w:tcPr>
          <w:p>
            <w:pPr>
              <w:pStyle w:val="Style28"/>
              <w:keepNext w:val="0"/>
              <w:keepLines w:val="0"/>
              <w:framePr w:w="8266" w:h="8534" w:hSpace="677" w:wrap="notBeside" w:vAnchor="text" w:hAnchor="text" w:x="678" w:y="1"/>
              <w:widowControl w:val="0"/>
              <w:shd w:val="clear" w:color="auto" w:fill="auto"/>
              <w:bidi w:val="0"/>
              <w:spacing w:before="0" w:after="0" w:line="240" w:lineRule="auto"/>
              <w:ind w:left="0" w:right="0" w:firstLine="660"/>
              <w:jc w:val="both"/>
              <w:rPr>
                <w:sz w:val="24"/>
                <w:szCs w:val="24"/>
              </w:rPr>
            </w:pPr>
            <w:r>
              <w:rPr>
                <w:rFonts w:ascii="Times New Roman" w:eastAsia="Times New Roman" w:hAnsi="Times New Roman" w:cs="Times New Roman"/>
                <w:color w:val="000000"/>
                <w:spacing w:val="0"/>
                <w:w w:val="100"/>
                <w:position w:val="0"/>
                <w:sz w:val="24"/>
                <w:szCs w:val="24"/>
              </w:rPr>
              <w:t>(78,896)</w:t>
            </w:r>
          </w:p>
        </w:tc>
        <w:tc>
          <w:tcPr>
            <w:tcBorders/>
            <w:shd w:val="clear" w:color="auto" w:fill="FFFFFF"/>
            <w:vAlign w:val="bottom"/>
          </w:tcPr>
          <w:p>
            <w:pPr>
              <w:pStyle w:val="Style28"/>
              <w:keepNext w:val="0"/>
              <w:keepLines w:val="0"/>
              <w:framePr w:w="8266" w:h="8534" w:hSpace="677" w:wrap="notBeside" w:vAnchor="text" w:hAnchor="text" w:x="678" w:y="1"/>
              <w:widowControl w:val="0"/>
              <w:shd w:val="clear" w:color="auto" w:fill="auto"/>
              <w:bidi w:val="0"/>
              <w:spacing w:before="0" w:after="0" w:line="240" w:lineRule="auto"/>
              <w:ind w:left="0" w:right="0" w:firstLine="720"/>
              <w:jc w:val="both"/>
              <w:rPr>
                <w:sz w:val="24"/>
                <w:szCs w:val="24"/>
              </w:rPr>
            </w:pPr>
            <w:r>
              <w:rPr>
                <w:rFonts w:ascii="Times New Roman" w:eastAsia="Times New Roman" w:hAnsi="Times New Roman" w:cs="Times New Roman"/>
                <w:color w:val="000000"/>
                <w:spacing w:val="0"/>
                <w:w w:val="100"/>
                <w:position w:val="0"/>
                <w:sz w:val="24"/>
                <w:szCs w:val="24"/>
              </w:rPr>
              <w:t>(529,098)</w:t>
            </w:r>
          </w:p>
        </w:tc>
      </w:tr>
      <w:tr>
        <w:trPr>
          <w:trHeight w:val="312" w:hRule="exact"/>
        </w:trPr>
        <w:tc>
          <w:tcPr>
            <w:tcBorders/>
            <w:shd w:val="clear" w:color="auto" w:fill="FFFFFF"/>
            <w:vAlign w:val="bottom"/>
          </w:tcPr>
          <w:p>
            <w:pPr>
              <w:pStyle w:val="Style28"/>
              <w:keepNext w:val="0"/>
              <w:keepLines w:val="0"/>
              <w:framePr w:w="8266" w:h="8534" w:hSpace="677" w:wrap="notBeside" w:vAnchor="text" w:hAnchor="text" w:x="678" w:y="1"/>
              <w:widowControl w:val="0"/>
              <w:shd w:val="clear" w:color="auto" w:fill="auto"/>
              <w:bidi w:val="0"/>
              <w:spacing w:before="0" w:after="0" w:line="240" w:lineRule="auto"/>
              <w:ind w:left="0" w:right="0" w:firstLine="480"/>
              <w:jc w:val="left"/>
              <w:rPr>
                <w:sz w:val="24"/>
                <w:szCs w:val="24"/>
              </w:rPr>
            </w:pPr>
            <w:r>
              <w:rPr>
                <w:color w:val="000000"/>
                <w:spacing w:val="0"/>
                <w:w w:val="100"/>
                <w:position w:val="0"/>
                <w:sz w:val="24"/>
                <w:szCs w:val="24"/>
              </w:rPr>
              <w:t>递延所得税负债减少</w:t>
            </w:r>
          </w:p>
        </w:tc>
        <w:tc>
          <w:tcPr>
            <w:tcBorders/>
            <w:shd w:val="clear" w:color="auto" w:fill="FFFFFF"/>
            <w:vAlign w:val="bottom"/>
          </w:tcPr>
          <w:p>
            <w:pPr>
              <w:pStyle w:val="Style28"/>
              <w:keepNext w:val="0"/>
              <w:keepLines w:val="0"/>
              <w:framePr w:w="8266" w:h="8534" w:hSpace="677" w:wrap="notBeside" w:vAnchor="text" w:hAnchor="text" w:x="678" w:y="1"/>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(174,952)</w:t>
            </w:r>
          </w:p>
        </w:tc>
        <w:tc>
          <w:tcPr>
            <w:tcBorders/>
            <w:shd w:val="clear" w:color="auto" w:fill="FFFFFF"/>
            <w:vAlign w:val="bottom"/>
          </w:tcPr>
          <w:p>
            <w:pPr>
              <w:pStyle w:val="Style28"/>
              <w:keepNext w:val="0"/>
              <w:keepLines w:val="0"/>
              <w:framePr w:w="8266" w:h="8534" w:hSpace="677" w:wrap="notBeside" w:vAnchor="text" w:hAnchor="text" w:x="678" w:y="1"/>
              <w:widowControl w:val="0"/>
              <w:shd w:val="clear" w:color="auto" w:fill="auto"/>
              <w:bidi w:val="0"/>
              <w:spacing w:before="0" w:after="0" w:line="240" w:lineRule="auto"/>
              <w:ind w:left="0" w:right="0" w:firstLine="920"/>
              <w:jc w:val="both"/>
              <w:rPr>
                <w:sz w:val="24"/>
                <w:szCs w:val="24"/>
              </w:rPr>
            </w:pPr>
            <w:r>
              <w:rPr>
                <w:rFonts w:ascii="Times New Roman" w:eastAsia="Times New Roman" w:hAnsi="Times New Roman" w:cs="Times New Roman"/>
                <w:color w:val="000000"/>
                <w:spacing w:val="0"/>
                <w:w w:val="100"/>
                <w:position w:val="0"/>
                <w:sz w:val="24"/>
                <w:szCs w:val="24"/>
              </w:rPr>
              <w:t>(34,049)</w:t>
            </w:r>
          </w:p>
        </w:tc>
      </w:tr>
      <w:tr>
        <w:trPr>
          <w:trHeight w:val="312" w:hRule="exact"/>
        </w:trPr>
        <w:tc>
          <w:tcPr>
            <w:tcBorders/>
            <w:shd w:val="clear" w:color="auto" w:fill="FFFFFF"/>
            <w:vAlign w:val="bottom"/>
          </w:tcPr>
          <w:p>
            <w:pPr>
              <w:pStyle w:val="Style28"/>
              <w:keepNext w:val="0"/>
              <w:keepLines w:val="0"/>
              <w:framePr w:w="8266" w:h="8534" w:hSpace="677" w:wrap="notBeside" w:vAnchor="text" w:hAnchor="text" w:x="678" w:y="1"/>
              <w:widowControl w:val="0"/>
              <w:shd w:val="clear" w:color="auto" w:fill="auto"/>
              <w:bidi w:val="0"/>
              <w:spacing w:before="0" w:after="0" w:line="240" w:lineRule="auto"/>
              <w:ind w:left="0" w:right="0" w:firstLine="480"/>
              <w:jc w:val="left"/>
              <w:rPr>
                <w:sz w:val="24"/>
                <w:szCs w:val="24"/>
              </w:rPr>
            </w:pPr>
            <w:r>
              <w:rPr>
                <w:color w:val="000000"/>
                <w:spacing w:val="0"/>
                <w:w w:val="100"/>
                <w:position w:val="0"/>
                <w:sz w:val="24"/>
                <w:szCs w:val="24"/>
              </w:rPr>
              <w:t>存货的</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增加</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减少</w:t>
            </w:r>
          </w:p>
        </w:tc>
        <w:tc>
          <w:tcPr>
            <w:tcBorders/>
            <w:shd w:val="clear" w:color="auto" w:fill="FFFFFF"/>
            <w:vAlign w:val="bottom"/>
          </w:tcPr>
          <w:p>
            <w:pPr>
              <w:pStyle w:val="Style28"/>
              <w:keepNext w:val="0"/>
              <w:keepLines w:val="0"/>
              <w:framePr w:w="8266" w:h="8534" w:hSpace="677" w:wrap="notBeside" w:vAnchor="text" w:hAnchor="text" w:x="678" w:y="1"/>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(662,654)</w:t>
            </w:r>
          </w:p>
        </w:tc>
        <w:tc>
          <w:tcPr>
            <w:tcBorders/>
            <w:shd w:val="clear" w:color="auto" w:fill="FFFFFF"/>
            <w:vAlign w:val="bottom"/>
          </w:tcPr>
          <w:p>
            <w:pPr>
              <w:pStyle w:val="Style28"/>
              <w:keepNext w:val="0"/>
              <w:keepLines w:val="0"/>
              <w:framePr w:w="8266" w:h="8534" w:hSpace="677" w:wrap="notBeside" w:vAnchor="text" w:hAnchor="text" w:x="678" w:y="1"/>
              <w:widowControl w:val="0"/>
              <w:shd w:val="clear" w:color="auto" w:fill="auto"/>
              <w:bidi w:val="0"/>
              <w:spacing w:before="0" w:after="0" w:line="240" w:lineRule="auto"/>
              <w:ind w:left="0" w:right="0" w:firstLine="720"/>
              <w:jc w:val="both"/>
              <w:rPr>
                <w:sz w:val="24"/>
                <w:szCs w:val="24"/>
              </w:rPr>
            </w:pPr>
            <w:r>
              <w:rPr>
                <w:rFonts w:ascii="Times New Roman" w:eastAsia="Times New Roman" w:hAnsi="Times New Roman" w:cs="Times New Roman"/>
                <w:color w:val="000000"/>
                <w:spacing w:val="0"/>
                <w:w w:val="100"/>
                <w:position w:val="0"/>
                <w:sz w:val="24"/>
                <w:szCs w:val="24"/>
              </w:rPr>
              <w:t>1,579,818</w:t>
            </w:r>
          </w:p>
        </w:tc>
      </w:tr>
      <w:tr>
        <w:trPr>
          <w:trHeight w:val="312" w:hRule="exact"/>
        </w:trPr>
        <w:tc>
          <w:tcPr>
            <w:tcBorders/>
            <w:shd w:val="clear" w:color="auto" w:fill="FFFFFF"/>
            <w:vAlign w:val="bottom"/>
          </w:tcPr>
          <w:p>
            <w:pPr>
              <w:pStyle w:val="Style28"/>
              <w:keepNext w:val="0"/>
              <w:keepLines w:val="0"/>
              <w:framePr w:w="8266" w:h="8534" w:hSpace="677" w:wrap="notBeside" w:vAnchor="text" w:hAnchor="text" w:x="678" w:y="1"/>
              <w:widowControl w:val="0"/>
              <w:shd w:val="clear" w:color="auto" w:fill="auto"/>
              <w:bidi w:val="0"/>
              <w:spacing w:before="0" w:after="0" w:line="240" w:lineRule="auto"/>
              <w:ind w:left="0" w:right="0" w:firstLine="480"/>
              <w:jc w:val="left"/>
              <w:rPr>
                <w:sz w:val="24"/>
                <w:szCs w:val="24"/>
              </w:rPr>
            </w:pPr>
            <w:r>
              <w:rPr>
                <w:color w:val="000000"/>
                <w:spacing w:val="0"/>
                <w:w w:val="100"/>
                <w:position w:val="0"/>
                <w:sz w:val="24"/>
                <w:szCs w:val="24"/>
              </w:rPr>
              <w:t>经营性应收项目的增加</w:t>
            </w:r>
          </w:p>
        </w:tc>
        <w:tc>
          <w:tcPr>
            <w:tcBorders/>
            <w:shd w:val="clear" w:color="auto" w:fill="FFFFFF"/>
            <w:vAlign w:val="bottom"/>
          </w:tcPr>
          <w:p>
            <w:pPr>
              <w:pStyle w:val="Style28"/>
              <w:keepNext w:val="0"/>
              <w:keepLines w:val="0"/>
              <w:framePr w:w="8266" w:h="8534" w:hSpace="677" w:wrap="notBeside" w:vAnchor="text" w:hAnchor="text" w:x="678" w:y="1"/>
              <w:widowControl w:val="0"/>
              <w:shd w:val="clear" w:color="auto" w:fill="auto"/>
              <w:bidi w:val="0"/>
              <w:spacing w:before="0" w:after="0" w:line="240" w:lineRule="auto"/>
              <w:ind w:left="0" w:right="0" w:firstLine="360"/>
              <w:jc w:val="left"/>
              <w:rPr>
                <w:sz w:val="24"/>
                <w:szCs w:val="24"/>
              </w:rPr>
            </w:pPr>
            <w:r>
              <w:rPr>
                <w:rFonts w:ascii="Times New Roman" w:eastAsia="Times New Roman" w:hAnsi="Times New Roman" w:cs="Times New Roman"/>
                <w:color w:val="000000"/>
                <w:spacing w:val="0"/>
                <w:w w:val="100"/>
                <w:position w:val="0"/>
                <w:sz w:val="24"/>
                <w:szCs w:val="24"/>
              </w:rPr>
              <w:t>(6,207,446)</w:t>
            </w:r>
          </w:p>
        </w:tc>
        <w:tc>
          <w:tcPr>
            <w:tcBorders/>
            <w:shd w:val="clear" w:color="auto" w:fill="FFFFFF"/>
            <w:vAlign w:val="bottom"/>
          </w:tcPr>
          <w:p>
            <w:pPr>
              <w:pStyle w:val="Style28"/>
              <w:keepNext w:val="0"/>
              <w:keepLines w:val="0"/>
              <w:framePr w:w="8266" w:h="8534" w:hSpace="677" w:wrap="notBeside" w:vAnchor="text" w:hAnchor="text" w:x="678" w:y="1"/>
              <w:widowControl w:val="0"/>
              <w:shd w:val="clear" w:color="auto" w:fill="auto"/>
              <w:bidi w:val="0"/>
              <w:spacing w:before="0" w:after="0" w:line="240" w:lineRule="auto"/>
              <w:ind w:left="0" w:right="0" w:firstLine="560"/>
              <w:jc w:val="both"/>
              <w:rPr>
                <w:sz w:val="24"/>
                <w:szCs w:val="24"/>
              </w:rPr>
            </w:pPr>
            <w:r>
              <w:rPr>
                <w:rFonts w:ascii="Times New Roman" w:eastAsia="Times New Roman" w:hAnsi="Times New Roman" w:cs="Times New Roman"/>
                <w:color w:val="000000"/>
                <w:spacing w:val="0"/>
                <w:w w:val="100"/>
                <w:position w:val="0"/>
                <w:sz w:val="24"/>
                <w:szCs w:val="24"/>
              </w:rPr>
              <w:t>(3,255,372)</w:t>
            </w:r>
          </w:p>
        </w:tc>
      </w:tr>
      <w:tr>
        <w:trPr>
          <w:trHeight w:val="298" w:hRule="exact"/>
        </w:trPr>
        <w:tc>
          <w:tcPr>
            <w:tcBorders/>
            <w:shd w:val="clear" w:color="auto" w:fill="FFFFFF"/>
            <w:vAlign w:val="bottom"/>
          </w:tcPr>
          <w:p>
            <w:pPr>
              <w:pStyle w:val="Style28"/>
              <w:keepNext w:val="0"/>
              <w:keepLines w:val="0"/>
              <w:framePr w:w="8266" w:h="8534" w:hSpace="677" w:wrap="notBeside" w:vAnchor="text" w:hAnchor="text" w:x="678" w:y="1"/>
              <w:widowControl w:val="0"/>
              <w:shd w:val="clear" w:color="auto" w:fill="auto"/>
              <w:bidi w:val="0"/>
              <w:spacing w:before="0" w:after="0" w:line="240" w:lineRule="auto"/>
              <w:ind w:left="0" w:right="0" w:firstLine="480"/>
              <w:jc w:val="left"/>
              <w:rPr>
                <w:sz w:val="24"/>
                <w:szCs w:val="24"/>
              </w:rPr>
            </w:pPr>
            <w:r>
              <w:rPr>
                <w:color w:val="000000"/>
                <w:spacing w:val="0"/>
                <w:w w:val="100"/>
                <w:position w:val="0"/>
                <w:sz w:val="24"/>
                <w:szCs w:val="24"/>
              </w:rPr>
              <w:t>经营性应付项目的增加</w:t>
            </w:r>
          </w:p>
        </w:tc>
        <w:tc>
          <w:tcPr>
            <w:tcBorders/>
            <w:shd w:val="clear" w:color="auto" w:fill="FFFFFF"/>
            <w:vAlign w:val="bottom"/>
          </w:tcPr>
          <w:p>
            <w:pPr>
              <w:pStyle w:val="Style28"/>
              <w:keepNext w:val="0"/>
              <w:keepLines w:val="0"/>
              <w:framePr w:w="8266" w:h="8534" w:hSpace="677" w:wrap="notBeside" w:vAnchor="text" w:hAnchor="text" w:x="678" w:y="1"/>
              <w:widowControl w:val="0"/>
              <w:shd w:val="clear" w:color="auto" w:fill="auto"/>
              <w:bidi w:val="0"/>
              <w:spacing w:before="0" w:after="0" w:line="240" w:lineRule="auto"/>
              <w:ind w:left="0" w:right="0" w:firstLine="480"/>
              <w:jc w:val="both"/>
              <w:rPr>
                <w:sz w:val="24"/>
                <w:szCs w:val="24"/>
              </w:rPr>
            </w:pPr>
            <w:r>
              <w:rPr>
                <w:rFonts w:ascii="Times New Roman" w:eastAsia="Times New Roman" w:hAnsi="Times New Roman" w:cs="Times New Roman"/>
                <w:color w:val="000000"/>
                <w:spacing w:val="0"/>
                <w:w w:val="100"/>
                <w:position w:val="0"/>
                <w:sz w:val="24"/>
                <w:szCs w:val="24"/>
              </w:rPr>
              <w:t>9,756,320</w:t>
            </w:r>
          </w:p>
        </w:tc>
        <w:tc>
          <w:tcPr>
            <w:tcBorders/>
            <w:shd w:val="clear" w:color="auto" w:fill="FFFFFF"/>
            <w:vAlign w:val="bottom"/>
          </w:tcPr>
          <w:p>
            <w:pPr>
              <w:pStyle w:val="Style28"/>
              <w:keepNext w:val="0"/>
              <w:keepLines w:val="0"/>
              <w:framePr w:w="8266" w:h="8534" w:hSpace="677" w:wrap="notBeside" w:vAnchor="text" w:hAnchor="text" w:x="678" w:y="1"/>
              <w:widowControl w:val="0"/>
              <w:shd w:val="clear" w:color="auto" w:fill="auto"/>
              <w:bidi w:val="0"/>
              <w:spacing w:before="0" w:after="0" w:line="240" w:lineRule="auto"/>
              <w:ind w:left="0" w:right="0" w:firstLine="720"/>
              <w:jc w:val="both"/>
              <w:rPr>
                <w:sz w:val="24"/>
                <w:szCs w:val="24"/>
              </w:rPr>
            </w:pPr>
            <w:r>
              <w:rPr>
                <w:rFonts w:ascii="Times New Roman" w:eastAsia="Times New Roman" w:hAnsi="Times New Roman" w:cs="Times New Roman"/>
                <w:color w:val="000000"/>
                <w:spacing w:val="0"/>
                <w:w w:val="100"/>
                <w:position w:val="0"/>
                <w:sz w:val="24"/>
                <w:szCs w:val="24"/>
              </w:rPr>
              <w:t>3,122,337</w:t>
            </w:r>
          </w:p>
        </w:tc>
      </w:tr>
      <w:tr>
        <w:trPr>
          <w:trHeight w:val="326" w:hRule="exact"/>
        </w:trPr>
        <w:tc>
          <w:tcPr>
            <w:tcBorders>
              <w:top w:val="single" w:sz="4"/>
            </w:tcBorders>
            <w:shd w:val="clear" w:color="auto" w:fill="FFFFFF"/>
            <w:vAlign w:val="bottom"/>
          </w:tcPr>
          <w:p>
            <w:pPr>
              <w:pStyle w:val="Style28"/>
              <w:keepNext w:val="0"/>
              <w:keepLines w:val="0"/>
              <w:framePr w:w="8266" w:h="8534" w:hSpace="677" w:wrap="notBeside" w:vAnchor="text" w:hAnchor="text" w:x="678" w:y="1"/>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经营活动产生的现金流量净额</w:t>
            </w:r>
          </w:p>
        </w:tc>
        <w:tc>
          <w:tcPr>
            <w:tcBorders>
              <w:top w:val="single" w:sz="4"/>
            </w:tcBorders>
            <w:shd w:val="clear" w:color="auto" w:fill="FFFFFF"/>
            <w:vAlign w:val="bottom"/>
          </w:tcPr>
          <w:p>
            <w:pPr>
              <w:pStyle w:val="Style28"/>
              <w:keepNext w:val="0"/>
              <w:keepLines w:val="0"/>
              <w:framePr w:w="8266" w:h="8534" w:hSpace="677" w:wrap="notBeside" w:vAnchor="text" w:hAnchor="text" w:x="678" w:y="1"/>
              <w:widowControl w:val="0"/>
              <w:shd w:val="clear" w:color="auto" w:fill="auto"/>
              <w:bidi w:val="0"/>
              <w:spacing w:before="0" w:after="0" w:line="240" w:lineRule="auto"/>
              <w:ind w:left="0" w:right="0" w:firstLine="480"/>
              <w:jc w:val="both"/>
              <w:rPr>
                <w:sz w:val="24"/>
                <w:szCs w:val="24"/>
              </w:rPr>
            </w:pPr>
            <w:r>
              <w:rPr>
                <w:rFonts w:ascii="Times New Roman" w:eastAsia="Times New Roman" w:hAnsi="Times New Roman" w:cs="Times New Roman"/>
                <w:color w:val="000000"/>
                <w:spacing w:val="0"/>
                <w:w w:val="100"/>
                <w:position w:val="0"/>
                <w:sz w:val="24"/>
                <w:szCs w:val="24"/>
              </w:rPr>
              <w:t>3,839,235</w:t>
            </w:r>
          </w:p>
        </w:tc>
        <w:tc>
          <w:tcPr>
            <w:tcBorders>
              <w:top w:val="single" w:sz="4"/>
            </w:tcBorders>
            <w:shd w:val="clear" w:color="auto" w:fill="FFFFFF"/>
            <w:vAlign w:val="bottom"/>
          </w:tcPr>
          <w:p>
            <w:pPr>
              <w:pStyle w:val="Style28"/>
              <w:keepNext w:val="0"/>
              <w:keepLines w:val="0"/>
              <w:framePr w:w="8266" w:h="8534" w:hSpace="677" w:wrap="notBeside" w:vAnchor="text" w:hAnchor="text" w:x="678" w:y="1"/>
              <w:widowControl w:val="0"/>
              <w:shd w:val="clear" w:color="auto" w:fill="auto"/>
              <w:bidi w:val="0"/>
              <w:spacing w:before="0" w:after="0" w:line="240" w:lineRule="auto"/>
              <w:ind w:left="0" w:right="0" w:firstLine="720"/>
              <w:jc w:val="both"/>
              <w:rPr>
                <w:sz w:val="24"/>
                <w:szCs w:val="24"/>
              </w:rPr>
            </w:pPr>
            <w:r>
              <w:rPr>
                <w:rFonts w:ascii="Times New Roman" w:eastAsia="Times New Roman" w:hAnsi="Times New Roman" w:cs="Times New Roman"/>
                <w:color w:val="000000"/>
                <w:spacing w:val="0"/>
                <w:w w:val="100"/>
                <w:position w:val="0"/>
                <w:sz w:val="24"/>
                <w:szCs w:val="24"/>
              </w:rPr>
              <w:t>1,733,339</w:t>
            </w:r>
          </w:p>
        </w:tc>
      </w:tr>
      <w:tr>
        <w:trPr>
          <w:trHeight w:val="744" w:hRule="exact"/>
        </w:trPr>
        <w:tc>
          <w:tcPr>
            <w:tcBorders>
              <w:top w:val="single" w:sz="4"/>
            </w:tcBorders>
            <w:shd w:val="clear" w:color="auto" w:fill="FFFFFF"/>
            <w:vAlign w:val="center"/>
          </w:tcPr>
          <w:p>
            <w:pPr>
              <w:pStyle w:val="Style28"/>
              <w:keepNext w:val="0"/>
              <w:keepLines w:val="0"/>
              <w:framePr w:w="8266" w:h="8534" w:hSpace="677" w:wrap="notBeside" w:vAnchor="text" w:hAnchor="text" w:x="678" w:y="1"/>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现金及现金等价物净变动情况</w:t>
            </w:r>
          </w:p>
        </w:tc>
        <w:tc>
          <w:tcPr>
            <w:tcBorders>
              <w:top w:val="single" w:sz="4"/>
            </w:tcBorders>
            <w:shd w:val="clear" w:color="auto" w:fill="FFFFFF"/>
            <w:vAlign w:val="top"/>
          </w:tcPr>
          <w:p>
            <w:pPr>
              <w:framePr w:w="8266" w:h="8534" w:hSpace="677" w:wrap="notBeside" w:vAnchor="text" w:hAnchor="text" w:x="678" w:y="1"/>
              <w:widowControl w:val="0"/>
              <w:rPr>
                <w:sz w:val="10"/>
                <w:szCs w:val="10"/>
              </w:rPr>
            </w:pPr>
          </w:p>
        </w:tc>
        <w:tc>
          <w:tcPr>
            <w:tcBorders>
              <w:top w:val="single" w:sz="4"/>
            </w:tcBorders>
            <w:shd w:val="clear" w:color="auto" w:fill="FFFFFF"/>
            <w:vAlign w:val="top"/>
          </w:tcPr>
          <w:p>
            <w:pPr>
              <w:framePr w:w="8266" w:h="8534" w:hSpace="677" w:wrap="notBeside" w:vAnchor="text" w:hAnchor="text" w:x="678" w:y="1"/>
              <w:widowControl w:val="0"/>
              <w:rPr>
                <w:sz w:val="10"/>
                <w:szCs w:val="10"/>
              </w:rPr>
            </w:pPr>
          </w:p>
        </w:tc>
      </w:tr>
      <w:tr>
        <w:trPr>
          <w:trHeight w:val="571" w:hRule="exact"/>
        </w:trPr>
        <w:tc>
          <w:tcPr>
            <w:tcBorders/>
            <w:shd w:val="clear" w:color="auto" w:fill="FFFFFF"/>
            <w:vAlign w:val="top"/>
          </w:tcPr>
          <w:p>
            <w:pPr>
              <w:framePr w:w="8266" w:h="8534" w:hSpace="677" w:wrap="notBeside" w:vAnchor="text" w:hAnchor="text" w:x="678" w:y="1"/>
              <w:widowControl w:val="0"/>
              <w:rPr>
                <w:sz w:val="10"/>
                <w:szCs w:val="10"/>
              </w:rPr>
            </w:pPr>
          </w:p>
        </w:tc>
        <w:tc>
          <w:tcPr>
            <w:tcBorders/>
            <w:shd w:val="clear" w:color="auto" w:fill="FFFFFF"/>
            <w:vAlign w:val="center"/>
          </w:tcPr>
          <w:p>
            <w:pPr>
              <w:pStyle w:val="Style28"/>
              <w:keepNext w:val="0"/>
              <w:keepLines w:val="0"/>
              <w:framePr w:w="8266" w:h="8534" w:hSpace="677" w:wrap="notBeside" w:vAnchor="text" w:hAnchor="text" w:x="678" w:y="1"/>
              <w:widowControl w:val="0"/>
              <w:shd w:val="clear" w:color="auto" w:fill="auto"/>
              <w:bidi w:val="0"/>
              <w:spacing w:before="0" w:after="0" w:line="240" w:lineRule="auto"/>
              <w:ind w:left="0" w:right="0" w:firstLine="480"/>
              <w:jc w:val="both"/>
              <w:rPr>
                <w:sz w:val="24"/>
                <w:szCs w:val="24"/>
              </w:rPr>
            </w:pP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年度</w:t>
            </w:r>
          </w:p>
        </w:tc>
        <w:tc>
          <w:tcPr>
            <w:tcBorders/>
            <w:shd w:val="clear" w:color="auto" w:fill="FFFFFF"/>
            <w:vAlign w:val="center"/>
          </w:tcPr>
          <w:p>
            <w:pPr>
              <w:pStyle w:val="Style28"/>
              <w:keepNext w:val="0"/>
              <w:keepLines w:val="0"/>
              <w:framePr w:w="8266" w:h="8534" w:hSpace="677" w:wrap="notBeside" w:vAnchor="text" w:hAnchor="text" w:x="678" w:y="1"/>
              <w:widowControl w:val="0"/>
              <w:shd w:val="clear" w:color="auto" w:fill="auto"/>
              <w:bidi w:val="0"/>
              <w:spacing w:before="0" w:after="0" w:line="240" w:lineRule="auto"/>
              <w:ind w:left="0" w:right="0" w:firstLine="560"/>
              <w:jc w:val="both"/>
              <w:rPr>
                <w:sz w:val="24"/>
                <w:szCs w:val="24"/>
              </w:rPr>
            </w:pPr>
            <w:r>
              <w:rPr>
                <w:rFonts w:ascii="Times New Roman" w:eastAsia="Times New Roman" w:hAnsi="Times New Roman" w:cs="Times New Roman"/>
                <w:color w:val="000000"/>
                <w:spacing w:val="0"/>
                <w:w w:val="100"/>
                <w:position w:val="0"/>
                <w:sz w:val="24"/>
                <w:szCs w:val="24"/>
              </w:rPr>
              <w:t>2015</w:t>
            </w:r>
            <w:r>
              <w:rPr>
                <w:color w:val="000000"/>
                <w:spacing w:val="0"/>
                <w:w w:val="100"/>
                <w:position w:val="0"/>
                <w:sz w:val="24"/>
                <w:szCs w:val="24"/>
              </w:rPr>
              <w:t>年度</w:t>
            </w:r>
          </w:p>
        </w:tc>
      </w:tr>
      <w:tr>
        <w:trPr>
          <w:trHeight w:val="442" w:hRule="exact"/>
        </w:trPr>
        <w:tc>
          <w:tcPr>
            <w:tcBorders/>
            <w:shd w:val="clear" w:color="auto" w:fill="FFFFFF"/>
            <w:vAlign w:val="bottom"/>
          </w:tcPr>
          <w:p>
            <w:pPr>
              <w:pStyle w:val="Style28"/>
              <w:keepNext w:val="0"/>
              <w:keepLines w:val="0"/>
              <w:framePr w:w="8266" w:h="8534" w:hSpace="677" w:wrap="notBeside" w:vAnchor="text" w:hAnchor="text" w:x="678" w:y="1"/>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现金及现金等价物的年末余额</w:t>
            </w:r>
          </w:p>
        </w:tc>
        <w:tc>
          <w:tcPr>
            <w:tcBorders/>
            <w:shd w:val="clear" w:color="auto" w:fill="FFFFFF"/>
            <w:vAlign w:val="bottom"/>
          </w:tcPr>
          <w:p>
            <w:pPr>
              <w:pStyle w:val="Style28"/>
              <w:keepNext w:val="0"/>
              <w:keepLines w:val="0"/>
              <w:framePr w:w="8266" w:h="8534" w:hSpace="677" w:wrap="notBeside" w:vAnchor="text" w:hAnchor="text" w:x="678" w:y="1"/>
              <w:widowControl w:val="0"/>
              <w:shd w:val="clear" w:color="auto" w:fill="auto"/>
              <w:bidi w:val="0"/>
              <w:spacing w:before="0" w:after="0" w:line="240" w:lineRule="auto"/>
              <w:ind w:left="0" w:right="0" w:firstLine="360"/>
              <w:jc w:val="both"/>
              <w:rPr>
                <w:sz w:val="24"/>
                <w:szCs w:val="24"/>
              </w:rPr>
            </w:pPr>
            <w:r>
              <w:rPr>
                <w:rFonts w:ascii="Times New Roman" w:eastAsia="Times New Roman" w:hAnsi="Times New Roman" w:cs="Times New Roman"/>
                <w:color w:val="000000"/>
                <w:spacing w:val="0"/>
                <w:w w:val="100"/>
                <w:position w:val="0"/>
                <w:sz w:val="24"/>
                <w:szCs w:val="24"/>
              </w:rPr>
              <w:t>17,901,707</w:t>
            </w:r>
          </w:p>
        </w:tc>
        <w:tc>
          <w:tcPr>
            <w:tcBorders/>
            <w:shd w:val="clear" w:color="auto" w:fill="FFFFFF"/>
            <w:vAlign w:val="bottom"/>
          </w:tcPr>
          <w:p>
            <w:pPr>
              <w:pStyle w:val="Style28"/>
              <w:keepNext w:val="0"/>
              <w:keepLines w:val="0"/>
              <w:framePr w:w="8266" w:h="8534" w:hSpace="677" w:wrap="notBeside" w:vAnchor="text" w:hAnchor="text" w:x="678" w:y="1"/>
              <w:widowControl w:val="0"/>
              <w:shd w:val="clear" w:color="auto" w:fill="auto"/>
              <w:bidi w:val="0"/>
              <w:spacing w:before="0" w:after="0" w:line="240" w:lineRule="auto"/>
              <w:ind w:left="0" w:right="0" w:firstLine="560"/>
              <w:jc w:val="both"/>
              <w:rPr>
                <w:sz w:val="24"/>
                <w:szCs w:val="24"/>
              </w:rPr>
            </w:pPr>
            <w:r>
              <w:rPr>
                <w:rFonts w:ascii="Times New Roman" w:eastAsia="Times New Roman" w:hAnsi="Times New Roman" w:cs="Times New Roman"/>
                <w:color w:val="000000"/>
                <w:spacing w:val="0"/>
                <w:w w:val="100"/>
                <w:position w:val="0"/>
                <w:sz w:val="24"/>
                <w:szCs w:val="24"/>
              </w:rPr>
              <w:t>16,818,166</w:t>
            </w:r>
          </w:p>
        </w:tc>
      </w:tr>
      <w:tr>
        <w:trPr>
          <w:trHeight w:val="322" w:hRule="exact"/>
        </w:trPr>
        <w:tc>
          <w:tcPr>
            <w:tcBorders/>
            <w:shd w:val="clear" w:color="auto" w:fill="FFFFFF"/>
            <w:vAlign w:val="bottom"/>
          </w:tcPr>
          <w:p>
            <w:pPr>
              <w:pStyle w:val="Style28"/>
              <w:keepNext w:val="0"/>
              <w:keepLines w:val="0"/>
              <w:framePr w:w="8266" w:h="8534" w:hSpace="677" w:wrap="notBeside" w:vAnchor="text" w:hAnchor="text" w:x="678" w:y="1"/>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减：现金及现金等价物的年初余额</w:t>
            </w:r>
          </w:p>
        </w:tc>
        <w:tc>
          <w:tcPr>
            <w:tcBorders/>
            <w:shd w:val="clear" w:color="auto" w:fill="FFFFFF"/>
            <w:vAlign w:val="bottom"/>
          </w:tcPr>
          <w:p>
            <w:pPr>
              <w:pStyle w:val="Style28"/>
              <w:keepNext w:val="0"/>
              <w:keepLines w:val="0"/>
              <w:framePr w:w="8266" w:h="8534" w:hSpace="677" w:wrap="notBeside" w:vAnchor="text" w:hAnchor="text" w:x="678" w:y="1"/>
              <w:widowControl w:val="0"/>
              <w:shd w:val="clear" w:color="auto" w:fill="auto"/>
              <w:bidi w:val="0"/>
              <w:spacing w:before="0" w:after="0" w:line="240" w:lineRule="auto"/>
              <w:ind w:left="0" w:right="0" w:firstLine="280"/>
              <w:jc w:val="both"/>
              <w:rPr>
                <w:sz w:val="24"/>
                <w:szCs w:val="24"/>
              </w:rPr>
            </w:pPr>
            <w:r>
              <w:rPr>
                <w:rFonts w:ascii="Times New Roman" w:eastAsia="Times New Roman" w:hAnsi="Times New Roman" w:cs="Times New Roman"/>
                <w:color w:val="000000"/>
                <w:spacing w:val="0"/>
                <w:w w:val="100"/>
                <w:position w:val="0"/>
                <w:sz w:val="24"/>
                <w:szCs w:val="24"/>
              </w:rPr>
              <w:t>(16,818,166)</w:t>
            </w:r>
          </w:p>
        </w:tc>
        <w:tc>
          <w:tcPr>
            <w:tcBorders/>
            <w:shd w:val="clear" w:color="auto" w:fill="FFFFFF"/>
            <w:vAlign w:val="bottom"/>
          </w:tcPr>
          <w:p>
            <w:pPr>
              <w:pStyle w:val="Style28"/>
              <w:keepNext w:val="0"/>
              <w:keepLines w:val="0"/>
              <w:framePr w:w="8266" w:h="8534" w:hSpace="677" w:wrap="notBeside" w:vAnchor="text" w:hAnchor="text" w:x="678" w:y="1"/>
              <w:widowControl w:val="0"/>
              <w:shd w:val="clear" w:color="auto" w:fill="auto"/>
              <w:bidi w:val="0"/>
              <w:spacing w:before="0" w:after="0" w:line="240" w:lineRule="auto"/>
              <w:ind w:left="0" w:right="0" w:firstLine="560"/>
              <w:jc w:val="both"/>
              <w:rPr>
                <w:sz w:val="24"/>
                <w:szCs w:val="24"/>
              </w:rPr>
            </w:pPr>
            <w:r>
              <w:rPr>
                <w:rFonts w:ascii="Times New Roman" w:eastAsia="Times New Roman" w:hAnsi="Times New Roman" w:cs="Times New Roman"/>
                <w:color w:val="000000"/>
                <w:spacing w:val="0"/>
                <w:w w:val="100"/>
                <w:position w:val="0"/>
                <w:sz w:val="24"/>
                <w:szCs w:val="24"/>
              </w:rPr>
              <w:t>(12,297,572)</w:t>
            </w:r>
          </w:p>
        </w:tc>
      </w:tr>
      <w:tr>
        <w:trPr>
          <w:trHeight w:val="331" w:hRule="exact"/>
        </w:trPr>
        <w:tc>
          <w:tcPr>
            <w:tcBorders>
              <w:top w:val="single" w:sz="4"/>
              <w:bottom w:val="single" w:sz="4"/>
            </w:tcBorders>
            <w:shd w:val="clear" w:color="auto" w:fill="FFFFFF"/>
            <w:vAlign w:val="bottom"/>
          </w:tcPr>
          <w:p>
            <w:pPr>
              <w:pStyle w:val="Style28"/>
              <w:keepNext w:val="0"/>
              <w:keepLines w:val="0"/>
              <w:framePr w:w="8266" w:h="8534" w:hSpace="677" w:wrap="notBeside" w:vAnchor="text" w:hAnchor="text" w:x="678" w:y="1"/>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现金及现金等价物净增加额</w:t>
            </w:r>
          </w:p>
        </w:tc>
        <w:tc>
          <w:tcPr>
            <w:tcBorders>
              <w:top w:val="single" w:sz="4"/>
              <w:bottom w:val="single" w:sz="4"/>
            </w:tcBorders>
            <w:shd w:val="clear" w:color="auto" w:fill="FFFFFF"/>
            <w:vAlign w:val="bottom"/>
          </w:tcPr>
          <w:p>
            <w:pPr>
              <w:pStyle w:val="Style28"/>
              <w:keepNext w:val="0"/>
              <w:keepLines w:val="0"/>
              <w:framePr w:w="8266" w:h="8534" w:hSpace="677" w:wrap="notBeside" w:vAnchor="text" w:hAnchor="text" w:x="678" w:y="1"/>
              <w:widowControl w:val="0"/>
              <w:shd w:val="clear" w:color="auto" w:fill="auto"/>
              <w:bidi w:val="0"/>
              <w:spacing w:before="0" w:after="0" w:line="240" w:lineRule="auto"/>
              <w:ind w:left="0" w:right="0" w:firstLine="480"/>
              <w:jc w:val="both"/>
              <w:rPr>
                <w:sz w:val="24"/>
                <w:szCs w:val="24"/>
              </w:rPr>
            </w:pPr>
            <w:r>
              <w:rPr>
                <w:rFonts w:ascii="Times New Roman" w:eastAsia="Times New Roman" w:hAnsi="Times New Roman" w:cs="Times New Roman"/>
                <w:color w:val="000000"/>
                <w:spacing w:val="0"/>
                <w:w w:val="100"/>
                <w:position w:val="0"/>
                <w:sz w:val="24"/>
                <w:szCs w:val="24"/>
              </w:rPr>
              <w:t>1,083,541</w:t>
            </w:r>
          </w:p>
        </w:tc>
        <w:tc>
          <w:tcPr>
            <w:tcBorders>
              <w:top w:val="single" w:sz="4"/>
              <w:bottom w:val="single" w:sz="4"/>
            </w:tcBorders>
            <w:shd w:val="clear" w:color="auto" w:fill="FFFFFF"/>
            <w:vAlign w:val="bottom"/>
          </w:tcPr>
          <w:p>
            <w:pPr>
              <w:pStyle w:val="Style28"/>
              <w:keepNext w:val="0"/>
              <w:keepLines w:val="0"/>
              <w:framePr w:w="8266" w:h="8534" w:hSpace="677" w:wrap="notBeside" w:vAnchor="text" w:hAnchor="text" w:x="678" w:y="1"/>
              <w:widowControl w:val="0"/>
              <w:shd w:val="clear" w:color="auto" w:fill="auto"/>
              <w:bidi w:val="0"/>
              <w:spacing w:before="0" w:after="0" w:line="240" w:lineRule="auto"/>
              <w:ind w:left="0" w:right="0" w:firstLine="720"/>
              <w:jc w:val="both"/>
              <w:rPr>
                <w:sz w:val="24"/>
                <w:szCs w:val="24"/>
              </w:rPr>
            </w:pPr>
            <w:r>
              <w:rPr>
                <w:rFonts w:ascii="Times New Roman" w:eastAsia="Times New Roman" w:hAnsi="Times New Roman" w:cs="Times New Roman"/>
                <w:color w:val="000000"/>
                <w:spacing w:val="0"/>
                <w:w w:val="100"/>
                <w:position w:val="0"/>
                <w:sz w:val="24"/>
                <w:szCs w:val="24"/>
              </w:rPr>
              <w:t>4,520,594</w:t>
            </w:r>
          </w:p>
        </w:tc>
      </w:tr>
    </w:tbl>
    <w:p>
      <w:pPr>
        <w:pStyle w:val="Style25"/>
        <w:keepNext w:val="0"/>
        <w:keepLines w:val="0"/>
        <w:framePr w:w="317" w:h="350" w:hSpace="8625" w:wrap="notBeside" w:vAnchor="text" w:hAnchor="text" w:y="6371"/>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(b)</w:t>
      </w:r>
    </w:p>
    <w:p>
      <w:pPr>
        <w:widowControl w:val="0"/>
        <w:spacing w:line="1" w:lineRule="exact"/>
      </w:pPr>
      <w:r>
        <w:br w:type="page"/>
      </w:r>
    </w:p>
    <w:p>
      <w:pPr>
        <w:pStyle w:val="Style32"/>
        <w:keepNext w:val="0"/>
        <w:keepLines w:val="0"/>
        <w:widowControl w:val="0"/>
        <w:shd w:val="clear" w:color="auto" w:fill="auto"/>
        <w:bidi w:val="0"/>
        <w:spacing w:before="0" w:after="0" w:line="240" w:lineRule="auto"/>
        <w:ind w:left="0" w:right="0" w:firstLine="640"/>
        <w:jc w:val="left"/>
        <w:rPr>
          <w:sz w:val="24"/>
          <w:szCs w:val="24"/>
        </w:rPr>
      </w:pPr>
      <w:r>
        <w:rPr>
          <w:b/>
          <w:bCs/>
          <w:color w:val="000000"/>
          <w:spacing w:val="0"/>
          <w:w w:val="100"/>
          <w:position w:val="0"/>
          <w:sz w:val="24"/>
          <w:szCs w:val="24"/>
        </w:rPr>
        <w:t>财务报表附注</w:t>
      </w:r>
    </w:p>
    <w:p>
      <w:pPr>
        <w:pStyle w:val="Style88"/>
        <w:keepNext/>
        <w:keepLines/>
        <w:widowControl w:val="0"/>
        <w:shd w:val="clear" w:color="auto" w:fill="auto"/>
        <w:bidi w:val="0"/>
        <w:spacing w:before="0" w:after="0" w:line="240" w:lineRule="auto"/>
        <w:ind w:left="0" w:right="0" w:firstLine="640"/>
        <w:jc w:val="left"/>
      </w:pPr>
      <w:bookmarkStart w:id="1000" w:name="bookmark1000"/>
      <w:bookmarkStart w:id="998" w:name="bookmark998"/>
      <w:bookmarkStart w:id="999" w:name="bookmark999"/>
      <w:r>
        <w:rPr>
          <w:color w:val="000000"/>
          <w:spacing w:val="0"/>
          <w:w w:val="100"/>
          <w:position w:val="0"/>
          <w:sz w:val="24"/>
          <w:szCs w:val="24"/>
        </w:rPr>
        <w:t>2016</w:t>
      </w:r>
      <w:r>
        <w:rPr>
          <w:rFonts w:ascii="SimSun" w:eastAsia="SimSun" w:hAnsi="SimSun" w:cs="SimSun"/>
          <w:b/>
          <w:bCs/>
          <w:color w:val="000000"/>
          <w:spacing w:val="0"/>
          <w:w w:val="100"/>
          <w:position w:val="0"/>
          <w:sz w:val="24"/>
          <w:szCs w:val="24"/>
        </w:rPr>
        <w:t>年度</w:t>
      </w:r>
      <w:bookmarkEnd w:id="1000"/>
      <w:bookmarkEnd w:id="998"/>
      <w:bookmarkEnd w:id="999"/>
    </w:p>
    <w:p>
      <w:pPr>
        <w:pStyle w:val="Style32"/>
        <w:keepNext w:val="0"/>
        <w:keepLines w:val="0"/>
        <w:widowControl w:val="0"/>
        <w:shd w:val="clear" w:color="auto" w:fill="auto"/>
        <w:bidi w:val="0"/>
        <w:spacing w:before="0" w:after="260" w:line="240" w:lineRule="auto"/>
        <w:ind w:left="0" w:right="0" w:firstLine="640"/>
        <w:jc w:val="left"/>
        <w:rPr>
          <w:sz w:val="20"/>
          <w:szCs w:val="20"/>
        </w:rPr>
      </w:pPr>
      <w:r>
        <w:rPr>
          <w:rFonts w:ascii="Arial" w:eastAsia="Arial" w:hAnsi="Arial" w:cs="Arial"/>
          <w:color w:val="000000"/>
          <w:spacing w:val="0"/>
          <w:w w:val="100"/>
          <w:position w:val="0"/>
          <w:sz w:val="20"/>
          <w:szCs w:val="20"/>
        </w:rPr>
        <w:t>(</w:t>
      </w:r>
      <w:r>
        <w:rPr>
          <w:color w:val="000000"/>
          <w:spacing w:val="0"/>
          <w:w w:val="100"/>
          <w:position w:val="0"/>
          <w:sz w:val="20"/>
          <w:szCs w:val="20"/>
        </w:rPr>
        <w:t>除特别注明外，金额单位为人民币千元</w:t>
      </w:r>
      <w:r>
        <w:rPr>
          <w:rFonts w:ascii="Arial" w:eastAsia="Arial" w:hAnsi="Arial" w:cs="Arial"/>
          <w:color w:val="000000"/>
          <w:spacing w:val="0"/>
          <w:w w:val="100"/>
          <w:position w:val="0"/>
          <w:sz w:val="20"/>
          <w:szCs w:val="20"/>
        </w:rPr>
        <w:t>)</w:t>
      </w:r>
    </w:p>
    <w:p>
      <w:pPr>
        <w:pStyle w:val="Style32"/>
        <w:keepNext w:val="0"/>
        <w:keepLines w:val="0"/>
        <w:widowControl w:val="0"/>
        <w:shd w:val="clear" w:color="auto" w:fill="auto"/>
        <w:tabs>
          <w:tab w:pos="655" w:val="left"/>
        </w:tabs>
        <w:bidi w:val="0"/>
        <w:spacing w:before="0" w:after="260" w:line="240" w:lineRule="auto"/>
        <w:ind w:left="0" w:right="0" w:firstLine="0"/>
        <w:jc w:val="left"/>
        <w:rPr>
          <w:sz w:val="24"/>
          <w:szCs w:val="24"/>
        </w:rPr>
      </w:pPr>
      <w:r>
        <w:rPr>
          <w:b/>
          <w:bCs/>
          <w:color w:val="000000"/>
          <w:spacing w:val="0"/>
          <w:w w:val="100"/>
          <w:position w:val="0"/>
          <w:sz w:val="24"/>
          <w:szCs w:val="24"/>
        </w:rPr>
        <w:t>四</w:t>
        <w:tab/>
        <w:t>合并财务报表项目附注</w:t>
      </w:r>
      <w:r>
        <w:rPr>
          <w:rFonts w:ascii="Times New Roman" w:eastAsia="Times New Roman" w:hAnsi="Times New Roman" w:cs="Times New Roman"/>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4"/>
          <w:szCs w:val="24"/>
        </w:rPr>
        <w:t>)</w:t>
      </w:r>
    </w:p>
    <w:p>
      <w:pPr>
        <w:pStyle w:val="Style32"/>
        <w:keepNext w:val="0"/>
        <w:keepLines w:val="0"/>
        <w:widowControl w:val="0"/>
        <w:shd w:val="clear" w:color="auto" w:fill="auto"/>
        <w:bidi w:val="0"/>
        <w:spacing w:before="0" w:after="26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(58)</w:t>
      </w:r>
      <w:r>
        <w:rPr>
          <w:b/>
          <w:bCs/>
          <w:color w:val="000000"/>
          <w:spacing w:val="0"/>
          <w:w w:val="100"/>
          <w:position w:val="0"/>
          <w:sz w:val="24"/>
          <w:szCs w:val="24"/>
        </w:rPr>
        <w:t>现金流量表补充资料</w:t>
      </w:r>
      <w:r>
        <w:rPr>
          <w:rFonts w:ascii="Times New Roman" w:eastAsia="Times New Roman" w:hAnsi="Times New Roman" w:cs="Times New Roman"/>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4"/>
          <w:szCs w:val="24"/>
        </w:rPr>
        <w:t>)</w:t>
      </w:r>
    </w:p>
    <w:p>
      <w:pPr>
        <w:pStyle w:val="Style32"/>
        <w:keepNext w:val="0"/>
        <w:keepLines w:val="0"/>
        <w:widowControl w:val="0"/>
        <w:numPr>
          <w:ilvl w:val="0"/>
          <w:numId w:val="83"/>
        </w:numPr>
        <w:shd w:val="clear" w:color="auto" w:fill="auto"/>
        <w:tabs>
          <w:tab w:pos="655" w:val="left"/>
        </w:tabs>
        <w:bidi w:val="0"/>
        <w:spacing w:before="0" w:after="260" w:line="240" w:lineRule="auto"/>
        <w:ind w:left="0" w:right="0" w:firstLine="0"/>
        <w:jc w:val="left"/>
        <w:rPr>
          <w:sz w:val="24"/>
          <w:szCs w:val="24"/>
        </w:rPr>
      </w:pPr>
      <w:bookmarkStart w:id="1001" w:name="bookmark1001"/>
      <w:bookmarkEnd w:id="1001"/>
      <w:r>
        <w:rPr>
          <w:color w:val="000000"/>
          <w:spacing w:val="0"/>
          <w:w w:val="100"/>
          <w:position w:val="0"/>
          <w:sz w:val="24"/>
          <w:szCs w:val="24"/>
        </w:rPr>
        <w:t>取得或处置子公司</w:t>
      </w:r>
    </w:p>
    <w:p>
      <w:pPr>
        <w:pStyle w:val="Style25"/>
        <w:keepNext w:val="0"/>
        <w:keepLines w:val="0"/>
        <w:widowControl w:val="0"/>
        <w:shd w:val="clear" w:color="auto" w:fill="auto"/>
        <w:bidi w:val="0"/>
        <w:spacing w:before="0" w:after="0" w:line="240" w:lineRule="auto"/>
        <w:ind w:left="10" w:right="0" w:firstLine="0"/>
        <w:jc w:val="left"/>
        <w:rPr>
          <w:sz w:val="24"/>
          <w:szCs w:val="24"/>
        </w:rPr>
      </w:pPr>
      <w:r>
        <w:rPr>
          <w:rFonts w:ascii="Times New Roman" w:eastAsia="Times New Roman" w:hAnsi="Times New Roman" w:cs="Times New Roman"/>
          <w:color w:val="000000"/>
          <w:spacing w:val="0"/>
          <w:w w:val="100"/>
          <w:position w:val="0"/>
          <w:sz w:val="24"/>
          <w:szCs w:val="24"/>
        </w:rPr>
        <w:t>(i)</w:t>
      </w:r>
      <w:r>
        <w:rPr>
          <w:color w:val="000000"/>
          <w:spacing w:val="0"/>
          <w:w w:val="100"/>
          <w:position w:val="0"/>
          <w:sz w:val="24"/>
          <w:szCs w:val="24"/>
        </w:rPr>
        <w:t>取得子公司</w:t>
      </w:r>
    </w:p>
    <w:tbl>
      <w:tblPr>
        <w:tblOverlap w:val="never"/>
        <w:jc w:val="right"/>
        <w:tblLayout w:type="fixed"/>
      </w:tblPr>
      <w:tblGrid>
        <w:gridCol w:w="5021"/>
        <w:gridCol w:w="1771"/>
        <w:gridCol w:w="1435"/>
      </w:tblGrid>
      <w:tr>
        <w:trPr>
          <w:trHeight w:val="432"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40"/>
              <w:jc w:val="both"/>
              <w:rPr>
                <w:sz w:val="24"/>
                <w:szCs w:val="24"/>
              </w:rPr>
            </w:pP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年度</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both"/>
              <w:rPr>
                <w:sz w:val="24"/>
                <w:szCs w:val="24"/>
              </w:rPr>
            </w:pPr>
            <w:r>
              <w:rPr>
                <w:rFonts w:ascii="Times New Roman" w:eastAsia="Times New Roman" w:hAnsi="Times New Roman" w:cs="Times New Roman"/>
                <w:color w:val="000000"/>
                <w:spacing w:val="0"/>
                <w:w w:val="100"/>
                <w:position w:val="0"/>
                <w:sz w:val="24"/>
                <w:szCs w:val="24"/>
              </w:rPr>
              <w:t>2015</w:t>
            </w:r>
            <w:r>
              <w:rPr>
                <w:color w:val="000000"/>
                <w:spacing w:val="0"/>
                <w:w w:val="100"/>
                <w:position w:val="0"/>
                <w:sz w:val="24"/>
                <w:szCs w:val="24"/>
              </w:rPr>
              <w:t>年度</w:t>
            </w:r>
          </w:p>
        </w:tc>
      </w:tr>
      <w:tr>
        <w:trPr>
          <w:trHeight w:val="451"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当年发生的企业合并并于当年支付的现金</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12"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其中：新兴制鞋业务</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left"/>
              <w:rPr>
                <w:sz w:val="24"/>
                <w:szCs w:val="24"/>
              </w:rPr>
            </w:pPr>
            <w:r>
              <w:rPr>
                <w:rFonts w:ascii="Times New Roman" w:eastAsia="Times New Roman" w:hAnsi="Times New Roman" w:cs="Times New Roman"/>
                <w:color w:val="000000"/>
                <w:spacing w:val="0"/>
                <w:w w:val="100"/>
                <w:position w:val="0"/>
                <w:sz w:val="24"/>
                <w:szCs w:val="24"/>
              </w:rPr>
              <w:t>43,512</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w:t>
            </w:r>
          </w:p>
        </w:tc>
      </w:tr>
      <w:tr>
        <w:trPr>
          <w:trHeight w:val="274"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80"/>
              <w:jc w:val="left"/>
              <w:rPr>
                <w:sz w:val="24"/>
                <w:szCs w:val="24"/>
              </w:rPr>
            </w:pPr>
            <w:r>
              <w:rPr>
                <w:rFonts w:ascii="Times New Roman" w:eastAsia="Times New Roman" w:hAnsi="Times New Roman" w:cs="Times New Roman"/>
                <w:color w:val="000000"/>
                <w:spacing w:val="0"/>
                <w:w w:val="100"/>
                <w:position w:val="0"/>
                <w:sz w:val="24"/>
                <w:szCs w:val="24"/>
              </w:rPr>
              <w:t>MODE ET JACOMO CO., LTD.</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22"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60"/>
              <w:jc w:val="left"/>
              <w:rPr>
                <w:sz w:val="24"/>
                <w:szCs w:val="24"/>
              </w:rPr>
            </w:pPr>
            <w:r>
              <w:rPr>
                <w:rFonts w:ascii="Times New Roman" w:eastAsia="Times New Roman" w:hAnsi="Times New Roman" w:cs="Times New Roman"/>
                <w:color w:val="000000"/>
                <w:spacing w:val="0"/>
                <w:w w:val="100"/>
                <w:position w:val="0"/>
                <w:sz w:val="24"/>
                <w:szCs w:val="24"/>
              </w:rPr>
              <w:t>(“MODE ET JACOMO”)</w:t>
            </w:r>
            <w:r>
              <w:rPr>
                <w:color w:val="000000"/>
                <w:spacing w:val="0"/>
                <w:w w:val="100"/>
                <w:position w:val="0"/>
                <w:sz w:val="24"/>
                <w:szCs w:val="24"/>
              </w:rPr>
              <w:t>业务</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1300" w:right="0" w:firstLine="0"/>
              <w:jc w:val="both"/>
              <w:rPr>
                <w:sz w:val="24"/>
                <w:szCs w:val="24"/>
              </w:rPr>
            </w:pPr>
            <w:r>
              <w:rPr>
                <w:rFonts w:ascii="Times New Roman" w:eastAsia="Times New Roman" w:hAnsi="Times New Roman" w:cs="Times New Roman"/>
                <w:color w:val="000000"/>
                <w:spacing w:val="0"/>
                <w:w w:val="100"/>
                <w:position w:val="0"/>
                <w:sz w:val="24"/>
                <w:szCs w:val="24"/>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40"/>
              <w:jc w:val="both"/>
              <w:rPr>
                <w:sz w:val="24"/>
                <w:szCs w:val="24"/>
              </w:rPr>
            </w:pPr>
            <w:r>
              <w:rPr>
                <w:rFonts w:ascii="Times New Roman" w:eastAsia="Times New Roman" w:hAnsi="Times New Roman" w:cs="Times New Roman"/>
                <w:color w:val="000000"/>
                <w:spacing w:val="0"/>
                <w:w w:val="100"/>
                <w:position w:val="0"/>
                <w:sz w:val="24"/>
                <w:szCs w:val="24"/>
              </w:rPr>
              <w:t>21,011</w:t>
            </w:r>
          </w:p>
        </w:tc>
      </w:tr>
      <w:tr>
        <w:trPr>
          <w:trHeight w:val="302"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减：购买日子公司持有的现金</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26"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其中：聚力传媒开曼公司</w:t>
            </w:r>
            <w:r>
              <w:rPr>
                <w:rFonts w:ascii="Times New Roman" w:eastAsia="Times New Roman" w:hAnsi="Times New Roman" w:cs="Times New Roman"/>
                <w:color w:val="000000"/>
                <w:spacing w:val="0"/>
                <w:w w:val="100"/>
                <w:position w:val="0"/>
                <w:sz w:val="24"/>
                <w:szCs w:val="24"/>
              </w:rPr>
              <w:t>(“PPTV”</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业务</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400" w:right="0" w:firstLine="0"/>
              <w:jc w:val="both"/>
              <w:rPr>
                <w:sz w:val="24"/>
                <w:szCs w:val="24"/>
              </w:rPr>
            </w:pPr>
            <w:r>
              <w:rPr>
                <w:rFonts w:ascii="Times New Roman" w:eastAsia="Times New Roman" w:hAnsi="Times New Roman" w:cs="Times New Roman"/>
                <w:color w:val="000000"/>
                <w:spacing w:val="0"/>
                <w:w w:val="100"/>
                <w:position w:val="0"/>
                <w:sz w:val="24"/>
                <w:szCs w:val="24"/>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40"/>
              <w:jc w:val="both"/>
              <w:rPr>
                <w:sz w:val="24"/>
                <w:szCs w:val="24"/>
              </w:rPr>
            </w:pPr>
            <w:r>
              <w:rPr>
                <w:rFonts w:ascii="Times New Roman" w:eastAsia="Times New Roman" w:hAnsi="Times New Roman" w:cs="Times New Roman"/>
                <w:color w:val="000000"/>
                <w:spacing w:val="0"/>
                <w:w w:val="100"/>
                <w:position w:val="0"/>
                <w:sz w:val="24"/>
                <w:szCs w:val="24"/>
              </w:rPr>
              <w:t>(187,717)</w:t>
            </w:r>
          </w:p>
        </w:tc>
      </w:tr>
      <w:tr>
        <w:trPr>
          <w:trHeight w:val="298"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80"/>
              <w:jc w:val="left"/>
              <w:rPr>
                <w:sz w:val="24"/>
                <w:szCs w:val="24"/>
              </w:rPr>
            </w:pPr>
            <w:r>
              <w:rPr>
                <w:rFonts w:ascii="Times New Roman" w:eastAsia="Times New Roman" w:hAnsi="Times New Roman" w:cs="Times New Roman"/>
                <w:color w:val="000000"/>
                <w:spacing w:val="0"/>
                <w:w w:val="100"/>
                <w:position w:val="0"/>
                <w:sz w:val="24"/>
                <w:szCs w:val="24"/>
              </w:rPr>
              <w:t xml:space="preserve">MODE ET JACOMO </w:t>
            </w:r>
            <w:r>
              <w:rPr>
                <w:color w:val="000000"/>
                <w:spacing w:val="0"/>
                <w:w w:val="100"/>
                <w:position w:val="0"/>
                <w:sz w:val="24"/>
                <w:szCs w:val="24"/>
              </w:rPr>
              <w:t>业务</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1400" w:right="0" w:firstLine="0"/>
              <w:jc w:val="left"/>
              <w:rPr>
                <w:sz w:val="24"/>
                <w:szCs w:val="24"/>
              </w:rPr>
            </w:pPr>
            <w:r>
              <w:rPr>
                <w:rFonts w:ascii="Times New Roman" w:eastAsia="Times New Roman" w:hAnsi="Times New Roman" w:cs="Times New Roman"/>
                <w:color w:val="000000"/>
                <w:spacing w:val="0"/>
                <w:w w:val="100"/>
                <w:position w:val="0"/>
                <w:sz w:val="24"/>
                <w:szCs w:val="24"/>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60"/>
              <w:jc w:val="both"/>
              <w:rPr>
                <w:sz w:val="24"/>
                <w:szCs w:val="24"/>
              </w:rPr>
            </w:pPr>
            <w:r>
              <w:rPr>
                <w:rFonts w:ascii="Times New Roman" w:eastAsia="Times New Roman" w:hAnsi="Times New Roman" w:cs="Times New Roman"/>
                <w:color w:val="000000"/>
                <w:spacing w:val="0"/>
                <w:w w:val="100"/>
                <w:position w:val="0"/>
                <w:sz w:val="24"/>
                <w:szCs w:val="24"/>
              </w:rPr>
              <w:t>(18,408)</w:t>
            </w:r>
          </w:p>
        </w:tc>
      </w:tr>
      <w:tr>
        <w:trPr>
          <w:trHeight w:val="307"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加：前期发生的企业合并于本年支付的现金</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12"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其中：红孩子母婴及美妆业务</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1300" w:right="0" w:firstLine="0"/>
              <w:jc w:val="both"/>
              <w:rPr>
                <w:sz w:val="24"/>
                <w:szCs w:val="24"/>
              </w:rPr>
            </w:pPr>
            <w:r>
              <w:rPr>
                <w:rFonts w:ascii="Times New Roman" w:eastAsia="Times New Roman" w:hAnsi="Times New Roman" w:cs="Times New Roman"/>
                <w:color w:val="000000"/>
                <w:spacing w:val="0"/>
                <w:w w:val="100"/>
                <w:position w:val="0"/>
                <w:sz w:val="24"/>
                <w:szCs w:val="24"/>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1,525</w:t>
            </w:r>
          </w:p>
        </w:tc>
      </w:tr>
      <w:tr>
        <w:trPr>
          <w:trHeight w:val="317"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80"/>
              <w:jc w:val="left"/>
              <w:rPr>
                <w:sz w:val="24"/>
                <w:szCs w:val="24"/>
              </w:rPr>
            </w:pPr>
            <w:r>
              <w:rPr>
                <w:color w:val="000000"/>
                <w:spacing w:val="0"/>
                <w:w w:val="100"/>
                <w:position w:val="0"/>
                <w:sz w:val="24"/>
                <w:szCs w:val="24"/>
              </w:rPr>
              <w:t>满座网业务</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1300" w:right="0" w:firstLine="0"/>
              <w:jc w:val="both"/>
              <w:rPr>
                <w:sz w:val="24"/>
                <w:szCs w:val="24"/>
              </w:rPr>
            </w:pPr>
            <w:r>
              <w:rPr>
                <w:rFonts w:ascii="Times New Roman" w:eastAsia="Times New Roman" w:hAnsi="Times New Roman" w:cs="Times New Roman"/>
                <w:color w:val="000000"/>
                <w:spacing w:val="0"/>
                <w:w w:val="100"/>
                <w:position w:val="0"/>
                <w:sz w:val="24"/>
                <w:szCs w:val="24"/>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1,845</w:t>
            </w:r>
          </w:p>
        </w:tc>
      </w:tr>
      <w:tr>
        <w:trPr>
          <w:trHeight w:val="480" w:hRule="exact"/>
        </w:trPr>
        <w:tc>
          <w:tcPr>
            <w:tcBorders/>
            <w:shd w:val="clear" w:color="auto" w:fill="FFFFFF"/>
            <w:vAlign w:val="top"/>
          </w:tcPr>
          <w:p>
            <w:pPr>
              <w:pStyle w:val="Style28"/>
              <w:keepNext w:val="0"/>
              <w:keepLines w:val="0"/>
              <w:widowControl w:val="0"/>
              <w:shd w:val="clear" w:color="auto" w:fill="auto"/>
              <w:tabs>
                <w:tab w:pos="4915" w:val="left"/>
              </w:tabs>
              <w:bidi w:val="0"/>
              <w:spacing w:before="0" w:after="0" w:line="240" w:lineRule="auto"/>
              <w:ind w:left="0" w:right="0" w:firstLine="0"/>
              <w:jc w:val="left"/>
              <w:rPr>
                <w:sz w:val="24"/>
                <w:szCs w:val="24"/>
              </w:rPr>
            </w:pPr>
            <w:r>
              <w:rPr>
                <w:color w:val="000000"/>
                <w:spacing w:val="0"/>
                <w:w w:val="100"/>
                <w:position w:val="0"/>
                <w:sz w:val="24"/>
                <w:szCs w:val="24"/>
              </w:rPr>
              <w:t>取得子公司支付</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收到</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的现金净额</w:t>
              <w:tab/>
              <w:t>_</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40"/>
              <w:jc w:val="left"/>
              <w:rPr>
                <w:sz w:val="24"/>
                <w:szCs w:val="24"/>
              </w:rPr>
            </w:pPr>
            <w:r>
              <w:rPr>
                <w:rFonts w:ascii="Times New Roman" w:eastAsia="Times New Roman" w:hAnsi="Times New Roman" w:cs="Times New Roman"/>
                <w:color w:val="000000"/>
                <w:spacing w:val="0"/>
                <w:w w:val="100"/>
                <w:position w:val="0"/>
                <w:sz w:val="24"/>
                <w:szCs w:val="24"/>
              </w:rPr>
              <w:t>43,512</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both"/>
              <w:rPr>
                <w:sz w:val="24"/>
                <w:szCs w:val="24"/>
              </w:rPr>
            </w:pPr>
            <w:r>
              <w:rPr>
                <w:rFonts w:ascii="Times New Roman" w:eastAsia="Times New Roman" w:hAnsi="Times New Roman" w:cs="Times New Roman"/>
                <w:color w:val="000000"/>
                <w:spacing w:val="0"/>
                <w:w w:val="100"/>
                <w:position w:val="0"/>
                <w:sz w:val="24"/>
                <w:szCs w:val="24"/>
              </w:rPr>
              <w:t>(181,744)</w:t>
            </w:r>
          </w:p>
        </w:tc>
      </w:tr>
      <w:tr>
        <w:trPr>
          <w:trHeight w:val="590"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取得子公司的价格</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590"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both"/>
              <w:rPr>
                <w:sz w:val="24"/>
                <w:szCs w:val="24"/>
              </w:rPr>
            </w:pP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年度</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both"/>
              <w:rPr>
                <w:sz w:val="24"/>
                <w:szCs w:val="24"/>
              </w:rPr>
            </w:pPr>
            <w:r>
              <w:rPr>
                <w:rFonts w:ascii="Times New Roman" w:eastAsia="Times New Roman" w:hAnsi="Times New Roman" w:cs="Times New Roman"/>
                <w:color w:val="000000"/>
                <w:spacing w:val="0"/>
                <w:w w:val="100"/>
                <w:position w:val="0"/>
                <w:sz w:val="24"/>
                <w:szCs w:val="24"/>
              </w:rPr>
              <w:t>2015</w:t>
            </w:r>
            <w:r>
              <w:rPr>
                <w:color w:val="000000"/>
                <w:spacing w:val="0"/>
                <w:w w:val="100"/>
                <w:position w:val="0"/>
                <w:sz w:val="24"/>
                <w:szCs w:val="24"/>
              </w:rPr>
              <w:t>年度</w:t>
            </w:r>
          </w:p>
        </w:tc>
      </w:tr>
      <w:tr>
        <w:trPr>
          <w:trHeight w:val="446"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新兴制鞋业务</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left"/>
              <w:rPr>
                <w:sz w:val="24"/>
                <w:szCs w:val="24"/>
              </w:rPr>
            </w:pPr>
            <w:r>
              <w:rPr>
                <w:rFonts w:ascii="Times New Roman" w:eastAsia="Times New Roman" w:hAnsi="Times New Roman" w:cs="Times New Roman"/>
                <w:color w:val="000000"/>
                <w:spacing w:val="0"/>
                <w:w w:val="100"/>
                <w:position w:val="0"/>
                <w:sz w:val="24"/>
                <w:szCs w:val="24"/>
              </w:rPr>
              <w:t>43,512</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w:t>
            </w:r>
          </w:p>
        </w:tc>
      </w:tr>
      <w:tr>
        <w:trPr>
          <w:trHeight w:val="312"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PPTV</w:t>
            </w:r>
            <w:r>
              <w:rPr>
                <w:color w:val="000000"/>
                <w:spacing w:val="0"/>
                <w:w w:val="100"/>
                <w:position w:val="0"/>
                <w:sz w:val="24"/>
                <w:szCs w:val="24"/>
              </w:rPr>
              <w:t>业务</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1300" w:right="0" w:firstLine="0"/>
              <w:jc w:val="both"/>
              <w:rPr>
                <w:sz w:val="24"/>
                <w:szCs w:val="24"/>
              </w:rPr>
            </w:pPr>
            <w:r>
              <w:rPr>
                <w:rFonts w:ascii="Times New Roman" w:eastAsia="Times New Roman" w:hAnsi="Times New Roman" w:cs="Times New Roman"/>
                <w:color w:val="000000"/>
                <w:spacing w:val="0"/>
                <w:w w:val="100"/>
                <w:position w:val="0"/>
                <w:sz w:val="24"/>
                <w:szCs w:val="24"/>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60"/>
              <w:jc w:val="both"/>
              <w:rPr>
                <w:sz w:val="24"/>
                <w:szCs w:val="24"/>
              </w:rPr>
            </w:pPr>
            <w:r>
              <w:rPr>
                <w:rFonts w:ascii="Times New Roman" w:eastAsia="Times New Roman" w:hAnsi="Times New Roman" w:cs="Times New Roman"/>
                <w:color w:val="000000"/>
                <w:spacing w:val="0"/>
                <w:w w:val="100"/>
                <w:position w:val="0"/>
                <w:sz w:val="24"/>
                <w:szCs w:val="24"/>
              </w:rPr>
              <w:t>710,586</w:t>
            </w:r>
          </w:p>
        </w:tc>
      </w:tr>
      <w:tr>
        <w:trPr>
          <w:trHeight w:val="326"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 xml:space="preserve">MODE ET JACOMO </w:t>
            </w:r>
            <w:r>
              <w:rPr>
                <w:color w:val="000000"/>
                <w:spacing w:val="0"/>
                <w:w w:val="100"/>
                <w:position w:val="0"/>
                <w:sz w:val="24"/>
                <w:szCs w:val="24"/>
              </w:rPr>
              <w:t>业务</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300" w:right="0" w:firstLine="0"/>
              <w:jc w:val="both"/>
              <w:rPr>
                <w:sz w:val="24"/>
                <w:szCs w:val="24"/>
              </w:rPr>
            </w:pPr>
            <w:r>
              <w:rPr>
                <w:rFonts w:ascii="Times New Roman" w:eastAsia="Times New Roman" w:hAnsi="Times New Roman" w:cs="Times New Roman"/>
                <w:color w:val="000000"/>
                <w:spacing w:val="0"/>
                <w:w w:val="100"/>
                <w:position w:val="0"/>
                <w:sz w:val="24"/>
                <w:szCs w:val="24"/>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21,011</w:t>
            </w:r>
          </w:p>
        </w:tc>
      </w:tr>
      <w:tr>
        <w:trPr>
          <w:trHeight w:val="739"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取得子公司的净资产</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590"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both"/>
              <w:rPr>
                <w:sz w:val="24"/>
                <w:szCs w:val="24"/>
              </w:rPr>
            </w:pP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年度</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rPr>
                <w:sz w:val="24"/>
                <w:szCs w:val="24"/>
              </w:rPr>
            </w:pPr>
            <w:r>
              <w:rPr>
                <w:rFonts w:ascii="Times New Roman" w:eastAsia="Times New Roman" w:hAnsi="Times New Roman" w:cs="Times New Roman"/>
                <w:color w:val="000000"/>
                <w:spacing w:val="0"/>
                <w:w w:val="100"/>
                <w:position w:val="0"/>
                <w:sz w:val="24"/>
                <w:szCs w:val="24"/>
              </w:rPr>
              <w:t>2015</w:t>
            </w:r>
            <w:r>
              <w:rPr>
                <w:color w:val="000000"/>
                <w:spacing w:val="0"/>
                <w:w w:val="100"/>
                <w:position w:val="0"/>
                <w:sz w:val="24"/>
                <w:szCs w:val="24"/>
              </w:rPr>
              <w:t>年度</w:t>
            </w:r>
          </w:p>
        </w:tc>
      </w:tr>
      <w:tr>
        <w:trPr>
          <w:trHeight w:val="446"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流动资产</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left"/>
              <w:rPr>
                <w:sz w:val="24"/>
                <w:szCs w:val="24"/>
              </w:rPr>
            </w:pPr>
            <w:r>
              <w:rPr>
                <w:rFonts w:ascii="Times New Roman" w:eastAsia="Times New Roman" w:hAnsi="Times New Roman" w:cs="Times New Roman"/>
                <w:color w:val="000000"/>
                <w:spacing w:val="0"/>
                <w:w w:val="100"/>
                <w:position w:val="0"/>
                <w:sz w:val="24"/>
                <w:szCs w:val="24"/>
              </w:rPr>
              <w:t>80,781</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60"/>
              <w:jc w:val="both"/>
              <w:rPr>
                <w:sz w:val="24"/>
                <w:szCs w:val="24"/>
              </w:rPr>
            </w:pPr>
            <w:r>
              <w:rPr>
                <w:rFonts w:ascii="Times New Roman" w:eastAsia="Times New Roman" w:hAnsi="Times New Roman" w:cs="Times New Roman"/>
                <w:color w:val="000000"/>
                <w:spacing w:val="0"/>
                <w:w w:val="100"/>
                <w:position w:val="0"/>
                <w:sz w:val="24"/>
                <w:szCs w:val="24"/>
              </w:rPr>
              <w:t>769,520</w:t>
            </w:r>
          </w:p>
        </w:tc>
      </w:tr>
      <w:tr>
        <w:trPr>
          <w:trHeight w:val="312"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非流动资产</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left"/>
              <w:rPr>
                <w:sz w:val="24"/>
                <w:szCs w:val="24"/>
              </w:rPr>
            </w:pPr>
            <w:r>
              <w:rPr>
                <w:rFonts w:ascii="Times New Roman" w:eastAsia="Times New Roman" w:hAnsi="Times New Roman" w:cs="Times New Roman"/>
                <w:color w:val="000000"/>
                <w:spacing w:val="0"/>
                <w:w w:val="100"/>
                <w:position w:val="0"/>
                <w:sz w:val="24"/>
                <w:szCs w:val="24"/>
              </w:rPr>
              <w:t>21,450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40"/>
              <w:jc w:val="both"/>
              <w:rPr>
                <w:sz w:val="24"/>
                <w:szCs w:val="24"/>
              </w:rPr>
            </w:pPr>
            <w:r>
              <w:rPr>
                <w:rFonts w:ascii="Times New Roman" w:eastAsia="Times New Roman" w:hAnsi="Times New Roman" w:cs="Times New Roman"/>
                <w:color w:val="000000"/>
                <w:spacing w:val="0"/>
                <w:w w:val="100"/>
                <w:position w:val="0"/>
                <w:sz w:val="24"/>
                <w:szCs w:val="24"/>
              </w:rPr>
              <w:t>1,365,805</w:t>
            </w:r>
          </w:p>
        </w:tc>
      </w:tr>
      <w:tr>
        <w:trPr>
          <w:trHeight w:val="326"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流动负债</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60"/>
              <w:jc w:val="both"/>
              <w:rPr>
                <w:sz w:val="24"/>
                <w:szCs w:val="24"/>
              </w:rPr>
            </w:pPr>
            <w:r>
              <w:rPr>
                <w:rFonts w:ascii="Times New Roman" w:eastAsia="Times New Roman" w:hAnsi="Times New Roman" w:cs="Times New Roman"/>
                <w:color w:val="000000"/>
                <w:spacing w:val="0"/>
                <w:w w:val="100"/>
                <w:position w:val="0"/>
                <w:sz w:val="24"/>
                <w:szCs w:val="24"/>
              </w:rPr>
              <w:t>(27,413)</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both"/>
              <w:rPr>
                <w:sz w:val="24"/>
                <w:szCs w:val="24"/>
              </w:rPr>
            </w:pPr>
            <w:r>
              <w:rPr>
                <w:rFonts w:ascii="Times New Roman" w:eastAsia="Times New Roman" w:hAnsi="Times New Roman" w:cs="Times New Roman"/>
                <w:color w:val="000000"/>
                <w:spacing w:val="0"/>
                <w:w w:val="100"/>
                <w:position w:val="0"/>
                <w:sz w:val="24"/>
                <w:szCs w:val="24"/>
              </w:rPr>
              <w:t>(1,452,212)</w:t>
            </w:r>
          </w:p>
        </w:tc>
      </w:tr>
      <w:tr>
        <w:trPr>
          <w:trHeight w:val="298"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非流动负债</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1400" w:right="0" w:firstLine="0"/>
              <w:jc w:val="both"/>
              <w:rPr>
                <w:sz w:val="24"/>
                <w:szCs w:val="24"/>
              </w:rPr>
            </w:pPr>
            <w:r>
              <w:rPr>
                <w:rFonts w:ascii="Times New Roman" w:eastAsia="Times New Roman" w:hAnsi="Times New Roman" w:cs="Times New Roman"/>
                <w:color w:val="000000"/>
                <w:spacing w:val="0"/>
                <w:w w:val="100"/>
                <w:position w:val="0"/>
                <w:sz w:val="24"/>
                <w:szCs w:val="24"/>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60"/>
              <w:jc w:val="both"/>
              <w:rPr>
                <w:sz w:val="24"/>
                <w:szCs w:val="24"/>
              </w:rPr>
            </w:pPr>
            <w:r>
              <w:rPr>
                <w:rFonts w:ascii="Times New Roman" w:eastAsia="Times New Roman" w:hAnsi="Times New Roman" w:cs="Times New Roman"/>
                <w:color w:val="000000"/>
                <w:spacing w:val="0"/>
                <w:w w:val="100"/>
                <w:position w:val="0"/>
                <w:sz w:val="24"/>
                <w:szCs w:val="24"/>
              </w:rPr>
              <w:t>(254,511)</w:t>
            </w:r>
          </w:p>
        </w:tc>
      </w:tr>
      <w:tr>
        <w:trPr>
          <w:trHeight w:val="341" w:hRule="exact"/>
        </w:trPr>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left"/>
              <w:rPr>
                <w:sz w:val="24"/>
                <w:szCs w:val="24"/>
              </w:rPr>
            </w:pPr>
            <w:r>
              <w:rPr>
                <w:rFonts w:ascii="Times New Roman" w:eastAsia="Times New Roman" w:hAnsi="Times New Roman" w:cs="Times New Roman"/>
                <w:color w:val="000000"/>
                <w:spacing w:val="0"/>
                <w:w w:val="100"/>
                <w:position w:val="0"/>
                <w:sz w:val="24"/>
                <w:szCs w:val="24"/>
              </w:rPr>
              <w:t>74,818</w:t>
            </w:r>
          </w:p>
        </w:tc>
        <w:tc>
          <w:tcPr>
            <w:tcBorders>
              <w:top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60"/>
              <w:jc w:val="both"/>
              <w:rPr>
                <w:sz w:val="24"/>
                <w:szCs w:val="24"/>
              </w:rPr>
            </w:pPr>
            <w:r>
              <w:rPr>
                <w:rFonts w:ascii="Times New Roman" w:eastAsia="Times New Roman" w:hAnsi="Times New Roman" w:cs="Times New Roman"/>
                <w:color w:val="000000"/>
                <w:spacing w:val="0"/>
                <w:w w:val="100"/>
                <w:position w:val="0"/>
                <w:sz w:val="24"/>
                <w:szCs w:val="24"/>
              </w:rPr>
              <w:t>428,602</w:t>
            </w:r>
          </w:p>
        </w:tc>
      </w:tr>
    </w:tbl>
    <w:p>
      <w:pPr>
        <w:spacing w:lineRule="exact" w:line="1"/>
        <w:rPr>
          <w:sz w:val="2"/>
          <w:szCs w:val="2"/>
        </w:rPr>
      </w:pPr>
      <w:r>
        <w:br w:type="page"/>
      </w:r>
    </w:p>
    <w:p>
      <w:pPr>
        <w:pStyle w:val="Style32"/>
        <w:keepNext w:val="0"/>
        <w:keepLines w:val="0"/>
        <w:widowControl w:val="0"/>
        <w:shd w:val="clear" w:color="auto" w:fill="auto"/>
        <w:bidi w:val="0"/>
        <w:spacing w:before="0" w:after="0" w:line="240" w:lineRule="auto"/>
        <w:ind w:left="0" w:right="0" w:firstLine="640"/>
        <w:jc w:val="left"/>
        <w:rPr>
          <w:sz w:val="24"/>
          <w:szCs w:val="24"/>
        </w:rPr>
      </w:pPr>
      <w:r>
        <w:rPr>
          <w:b/>
          <w:bCs/>
          <w:color w:val="000000"/>
          <w:spacing w:val="0"/>
          <w:w w:val="100"/>
          <w:position w:val="0"/>
          <w:sz w:val="24"/>
          <w:szCs w:val="24"/>
        </w:rPr>
        <w:t>财务报表附注</w:t>
      </w:r>
    </w:p>
    <w:p>
      <w:pPr>
        <w:pStyle w:val="Style88"/>
        <w:keepNext/>
        <w:keepLines/>
        <w:widowControl w:val="0"/>
        <w:shd w:val="clear" w:color="auto" w:fill="auto"/>
        <w:bidi w:val="0"/>
        <w:spacing w:before="0" w:after="0" w:line="240" w:lineRule="auto"/>
        <w:ind w:left="0" w:right="0" w:firstLine="640"/>
        <w:jc w:val="left"/>
      </w:pPr>
      <w:bookmarkStart w:id="1002" w:name="bookmark1002"/>
      <w:bookmarkStart w:id="1003" w:name="bookmark1003"/>
      <w:bookmarkStart w:id="1004" w:name="bookmark1004"/>
      <w:r>
        <w:rPr>
          <w:color w:val="000000"/>
          <w:spacing w:val="0"/>
          <w:w w:val="100"/>
          <w:position w:val="0"/>
          <w:sz w:val="24"/>
          <w:szCs w:val="24"/>
        </w:rPr>
        <w:t>2016</w:t>
      </w:r>
      <w:r>
        <w:rPr>
          <w:rFonts w:ascii="SimSun" w:eastAsia="SimSun" w:hAnsi="SimSun" w:cs="SimSun"/>
          <w:b/>
          <w:bCs/>
          <w:color w:val="000000"/>
          <w:spacing w:val="0"/>
          <w:w w:val="100"/>
          <w:position w:val="0"/>
          <w:sz w:val="24"/>
          <w:szCs w:val="24"/>
        </w:rPr>
        <w:t>年度</w:t>
      </w:r>
      <w:bookmarkEnd w:id="1002"/>
      <w:bookmarkEnd w:id="1003"/>
      <w:bookmarkEnd w:id="1004"/>
    </w:p>
    <w:p>
      <w:pPr>
        <w:pStyle w:val="Style32"/>
        <w:keepNext w:val="0"/>
        <w:keepLines w:val="0"/>
        <w:widowControl w:val="0"/>
        <w:shd w:val="clear" w:color="auto" w:fill="auto"/>
        <w:bidi w:val="0"/>
        <w:spacing w:before="0" w:after="260" w:line="240" w:lineRule="auto"/>
        <w:ind w:left="0" w:right="0" w:firstLine="640"/>
        <w:jc w:val="left"/>
        <w:rPr>
          <w:sz w:val="20"/>
          <w:szCs w:val="20"/>
        </w:rPr>
      </w:pPr>
      <w:r>
        <w:rPr>
          <w:rFonts w:ascii="Arial" w:eastAsia="Arial" w:hAnsi="Arial" w:cs="Arial"/>
          <w:color w:val="000000"/>
          <w:spacing w:val="0"/>
          <w:w w:val="100"/>
          <w:position w:val="0"/>
          <w:sz w:val="20"/>
          <w:szCs w:val="20"/>
        </w:rPr>
        <w:t>（</w:t>
      </w:r>
      <w:r>
        <w:rPr>
          <w:color w:val="000000"/>
          <w:spacing w:val="0"/>
          <w:w w:val="100"/>
          <w:position w:val="0"/>
          <w:sz w:val="20"/>
          <w:szCs w:val="20"/>
        </w:rPr>
        <w:t>除特别注明外，金额单位为人民币千元</w:t>
      </w:r>
      <w:r>
        <w:rPr>
          <w:rFonts w:ascii="Arial" w:eastAsia="Arial" w:hAnsi="Arial" w:cs="Arial"/>
          <w:color w:val="000000"/>
          <w:spacing w:val="0"/>
          <w:w w:val="100"/>
          <w:position w:val="0"/>
          <w:sz w:val="20"/>
          <w:szCs w:val="20"/>
        </w:rPr>
        <w:t>）</w:t>
      </w:r>
    </w:p>
    <w:p>
      <w:pPr>
        <w:pStyle w:val="Style32"/>
        <w:keepNext w:val="0"/>
        <w:keepLines w:val="0"/>
        <w:widowControl w:val="0"/>
        <w:shd w:val="clear" w:color="auto" w:fill="auto"/>
        <w:tabs>
          <w:tab w:pos="660" w:val="left"/>
        </w:tabs>
        <w:bidi w:val="0"/>
        <w:spacing w:before="0" w:after="260" w:line="240" w:lineRule="auto"/>
        <w:ind w:left="0" w:right="0" w:firstLine="0"/>
        <w:jc w:val="left"/>
        <w:rPr>
          <w:sz w:val="24"/>
          <w:szCs w:val="24"/>
        </w:rPr>
      </w:pPr>
      <w:r>
        <w:rPr>
          <w:b/>
          <w:bCs/>
          <w:color w:val="000000"/>
          <w:spacing w:val="0"/>
          <w:w w:val="100"/>
          <w:position w:val="0"/>
          <w:sz w:val="24"/>
          <w:szCs w:val="24"/>
        </w:rPr>
        <w:t>四</w:t>
        <w:tab/>
        <w:t>合并财务报表项目附注</w:t>
      </w:r>
      <w:r>
        <w:rPr>
          <w:rFonts w:ascii="Times New Roman" w:eastAsia="Times New Roman" w:hAnsi="Times New Roman" w:cs="Times New Roman"/>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4"/>
          <w:szCs w:val="24"/>
        </w:rPr>
        <w:t>）</w:t>
      </w:r>
    </w:p>
    <w:p>
      <w:pPr>
        <w:pStyle w:val="Style32"/>
        <w:keepNext w:val="0"/>
        <w:keepLines w:val="0"/>
        <w:widowControl w:val="0"/>
        <w:shd w:val="clear" w:color="auto" w:fill="auto"/>
        <w:bidi w:val="0"/>
        <w:spacing w:before="0" w:after="26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（58）</w:t>
      </w:r>
      <w:r>
        <w:rPr>
          <w:b/>
          <w:bCs/>
          <w:color w:val="000000"/>
          <w:spacing w:val="0"/>
          <w:w w:val="100"/>
          <w:position w:val="0"/>
          <w:sz w:val="24"/>
          <w:szCs w:val="24"/>
        </w:rPr>
        <w:t>现金流量表补充资料</w:t>
      </w:r>
      <w:r>
        <w:rPr>
          <w:rFonts w:ascii="Times New Roman" w:eastAsia="Times New Roman" w:hAnsi="Times New Roman" w:cs="Times New Roman"/>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4"/>
          <w:szCs w:val="24"/>
        </w:rPr>
        <w:t>）</w:t>
      </w:r>
    </w:p>
    <w:p>
      <w:pPr>
        <w:pStyle w:val="Style32"/>
        <w:keepNext w:val="0"/>
        <w:keepLines w:val="0"/>
        <w:widowControl w:val="0"/>
        <w:shd w:val="clear" w:color="auto" w:fill="auto"/>
        <w:tabs>
          <w:tab w:pos="660" w:val="left"/>
        </w:tabs>
        <w:bidi w:val="0"/>
        <w:spacing w:before="0" w:after="260" w:line="240" w:lineRule="auto"/>
        <w:ind w:left="0" w:right="0" w:firstLine="0"/>
        <w:jc w:val="left"/>
        <w:rPr>
          <w:sz w:val="24"/>
          <w:szCs w:val="24"/>
        </w:rPr>
      </w:pPr>
      <w:bookmarkStart w:id="1005" w:name="bookmark1005"/>
      <w:r>
        <w:rPr>
          <w:rFonts w:ascii="Times New Roman" w:eastAsia="Times New Roman" w:hAnsi="Times New Roman" w:cs="Times New Roman"/>
          <w:color w:val="000000"/>
          <w:spacing w:val="0"/>
          <w:w w:val="100"/>
          <w:position w:val="0"/>
          <w:sz w:val="24"/>
          <w:szCs w:val="24"/>
        </w:rPr>
        <w:t>（</w:t>
      </w:r>
      <w:bookmarkEnd w:id="1005"/>
      <w:r>
        <w:rPr>
          <w:rFonts w:ascii="Times New Roman" w:eastAsia="Times New Roman" w:hAnsi="Times New Roman" w:cs="Times New Roman"/>
          <w:color w:val="000000"/>
          <w:spacing w:val="0"/>
          <w:w w:val="100"/>
          <w:position w:val="0"/>
          <w:sz w:val="24"/>
          <w:szCs w:val="24"/>
        </w:rPr>
        <w:t>c）</w:t>
        <w:tab/>
      </w:r>
      <w:r>
        <w:rPr>
          <w:color w:val="000000"/>
          <w:spacing w:val="0"/>
          <w:w w:val="100"/>
          <w:position w:val="0"/>
          <w:sz w:val="24"/>
          <w:szCs w:val="24"/>
        </w:rPr>
        <w:t>取得或处置子公司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续</w:t>
      </w:r>
      <w:r>
        <w:rPr>
          <w:color w:val="000000"/>
          <w:spacing w:val="0"/>
          <w:w w:val="100"/>
          <w:position w:val="0"/>
          <w:sz w:val="24"/>
          <w:szCs w:val="24"/>
        </w:rPr>
        <w:t>）</w:t>
      </w:r>
    </w:p>
    <w:p>
      <w:pPr>
        <w:pStyle w:val="Style25"/>
        <w:keepNext w:val="0"/>
        <w:keepLines w:val="0"/>
        <w:widowControl w:val="0"/>
        <w:shd w:val="clear" w:color="auto" w:fill="auto"/>
        <w:bidi w:val="0"/>
        <w:spacing w:before="0" w:after="0" w:line="240" w:lineRule="auto"/>
        <w:ind w:left="72" w:right="0" w:firstLine="0"/>
        <w:jc w:val="left"/>
        <w:rPr>
          <w:sz w:val="24"/>
          <w:szCs w:val="24"/>
        </w:rPr>
      </w:pPr>
      <w:r>
        <w:rPr>
          <w:rFonts w:ascii="Times New Roman" w:eastAsia="Times New Roman" w:hAnsi="Times New Roman" w:cs="Times New Roman"/>
          <w:color w:val="000000"/>
          <w:spacing w:val="0"/>
          <w:w w:val="100"/>
          <w:position w:val="0"/>
          <w:sz w:val="24"/>
          <w:szCs w:val="24"/>
        </w:rPr>
        <w:t>（ii）</w:t>
      </w:r>
      <w:r>
        <w:rPr>
          <w:color w:val="000000"/>
          <w:spacing w:val="0"/>
          <w:w w:val="100"/>
          <w:position w:val="0"/>
          <w:sz w:val="24"/>
          <w:szCs w:val="24"/>
        </w:rPr>
        <w:t>处置子公司</w:t>
      </w:r>
    </w:p>
    <w:tbl>
      <w:tblPr>
        <w:tblOverlap w:val="never"/>
        <w:jc w:val="right"/>
        <w:tblLayout w:type="fixed"/>
      </w:tblPr>
      <w:tblGrid>
        <w:gridCol w:w="5290"/>
        <w:gridCol w:w="1522"/>
        <w:gridCol w:w="1392"/>
      </w:tblGrid>
      <w:tr>
        <w:trPr>
          <w:trHeight w:val="432"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both"/>
              <w:rPr>
                <w:sz w:val="24"/>
                <w:szCs w:val="24"/>
              </w:rPr>
            </w:pP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年度</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both"/>
              <w:rPr>
                <w:sz w:val="24"/>
                <w:szCs w:val="24"/>
              </w:rPr>
            </w:pPr>
            <w:r>
              <w:rPr>
                <w:rFonts w:ascii="Times New Roman" w:eastAsia="Times New Roman" w:hAnsi="Times New Roman" w:cs="Times New Roman"/>
                <w:color w:val="000000"/>
                <w:spacing w:val="0"/>
                <w:w w:val="100"/>
                <w:position w:val="0"/>
                <w:sz w:val="24"/>
                <w:szCs w:val="24"/>
              </w:rPr>
              <w:t>2015</w:t>
            </w:r>
            <w:r>
              <w:rPr>
                <w:color w:val="000000"/>
                <w:spacing w:val="0"/>
                <w:w w:val="100"/>
                <w:position w:val="0"/>
                <w:sz w:val="24"/>
                <w:szCs w:val="24"/>
              </w:rPr>
              <w:t>年度</w:t>
            </w:r>
          </w:p>
        </w:tc>
      </w:tr>
      <w:tr>
        <w:trPr>
          <w:trHeight w:val="451"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本年处置子公司于本年收到的现金和现金等价物</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17"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rPr>
                <w:sz w:val="24"/>
                <w:szCs w:val="24"/>
              </w:rPr>
            </w:pPr>
            <w:r>
              <w:rPr>
                <w:color w:val="000000"/>
                <w:spacing w:val="0"/>
                <w:w w:val="100"/>
                <w:position w:val="0"/>
                <w:sz w:val="24"/>
                <w:szCs w:val="24"/>
              </w:rPr>
              <w:t>其中：北京京朝业务</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both"/>
              <w:rPr>
                <w:sz w:val="24"/>
                <w:szCs w:val="24"/>
              </w:rPr>
            </w:pPr>
            <w:r>
              <w:rPr>
                <w:rFonts w:ascii="Times New Roman" w:eastAsia="Times New Roman" w:hAnsi="Times New Roman" w:cs="Times New Roman"/>
                <w:color w:val="000000"/>
                <w:spacing w:val="0"/>
                <w:w w:val="100"/>
                <w:position w:val="0"/>
                <w:sz w:val="24"/>
                <w:szCs w:val="24"/>
              </w:rPr>
              <w:t>802,337</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w:t>
            </w:r>
          </w:p>
        </w:tc>
      </w:tr>
      <w:tr>
        <w:trPr>
          <w:trHeight w:val="302"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1100" w:right="0" w:firstLine="0"/>
              <w:jc w:val="left"/>
              <w:rPr>
                <w:sz w:val="24"/>
                <w:szCs w:val="24"/>
              </w:rPr>
            </w:pPr>
            <w:r>
              <w:rPr>
                <w:rFonts w:ascii="Times New Roman" w:eastAsia="Times New Roman" w:hAnsi="Times New Roman" w:cs="Times New Roman"/>
                <w:color w:val="000000"/>
                <w:spacing w:val="0"/>
                <w:w w:val="100"/>
                <w:position w:val="0"/>
                <w:sz w:val="24"/>
                <w:szCs w:val="24"/>
              </w:rPr>
              <w:t>PPTV</w:t>
            </w:r>
            <w:r>
              <w:rPr>
                <w:color w:val="000000"/>
                <w:spacing w:val="0"/>
                <w:w w:val="100"/>
                <w:position w:val="0"/>
                <w:sz w:val="24"/>
                <w:szCs w:val="24"/>
              </w:rPr>
              <w:t>业务</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1220" w:right="0" w:firstLine="0"/>
              <w:jc w:val="both"/>
              <w:rPr>
                <w:sz w:val="24"/>
                <w:szCs w:val="24"/>
              </w:rPr>
            </w:pPr>
            <w:r>
              <w:rPr>
                <w:rFonts w:ascii="Times New Roman" w:eastAsia="Times New Roman" w:hAnsi="Times New Roman" w:cs="Times New Roman"/>
                <w:color w:val="000000"/>
                <w:spacing w:val="0"/>
                <w:w w:val="100"/>
                <w:position w:val="0"/>
                <w:sz w:val="24"/>
                <w:szCs w:val="24"/>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both"/>
              <w:rPr>
                <w:sz w:val="24"/>
                <w:szCs w:val="24"/>
              </w:rPr>
            </w:pPr>
            <w:r>
              <w:rPr>
                <w:rFonts w:ascii="Times New Roman" w:eastAsia="Times New Roman" w:hAnsi="Times New Roman" w:cs="Times New Roman"/>
                <w:color w:val="000000"/>
                <w:spacing w:val="0"/>
                <w:w w:val="100"/>
                <w:position w:val="0"/>
                <w:sz w:val="24"/>
                <w:szCs w:val="24"/>
              </w:rPr>
              <w:t>2,585,483</w:t>
            </w:r>
          </w:p>
        </w:tc>
      </w:tr>
      <w:tr>
        <w:trPr>
          <w:trHeight w:val="312"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减：丧失控制权日子公司持有的现金和现</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17"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80"/>
              <w:jc w:val="left"/>
              <w:rPr>
                <w:sz w:val="24"/>
                <w:szCs w:val="24"/>
              </w:rPr>
            </w:pPr>
            <w:r>
              <w:rPr>
                <w:color w:val="000000"/>
                <w:spacing w:val="0"/>
                <w:w w:val="100"/>
                <w:position w:val="0"/>
                <w:sz w:val="24"/>
                <w:szCs w:val="24"/>
              </w:rPr>
              <w:t>金等价物</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17"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left"/>
              <w:rPr>
                <w:sz w:val="24"/>
                <w:szCs w:val="24"/>
              </w:rPr>
            </w:pPr>
            <w:r>
              <w:rPr>
                <w:color w:val="000000"/>
                <w:spacing w:val="0"/>
                <w:w w:val="100"/>
                <w:position w:val="0"/>
                <w:sz w:val="24"/>
                <w:szCs w:val="24"/>
              </w:rPr>
              <w:t>其中：北京京朝业务</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20"/>
              <w:jc w:val="left"/>
              <w:rPr>
                <w:sz w:val="24"/>
                <w:szCs w:val="24"/>
              </w:rPr>
            </w:pPr>
            <w:r>
              <w:rPr>
                <w:rFonts w:ascii="Times New Roman" w:eastAsia="Times New Roman" w:hAnsi="Times New Roman" w:cs="Times New Roman"/>
                <w:color w:val="000000"/>
                <w:spacing w:val="0"/>
                <w:w w:val="100"/>
                <w:position w:val="0"/>
                <w:sz w:val="24"/>
                <w:szCs w:val="24"/>
              </w:rPr>
              <w:t>(357)</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100" w:right="0" w:firstLine="0"/>
              <w:jc w:val="both"/>
              <w:rPr>
                <w:sz w:val="24"/>
                <w:szCs w:val="24"/>
              </w:rPr>
            </w:pPr>
            <w:r>
              <w:rPr>
                <w:rFonts w:ascii="Times New Roman" w:eastAsia="Times New Roman" w:hAnsi="Times New Roman" w:cs="Times New Roman"/>
                <w:color w:val="000000"/>
                <w:spacing w:val="0"/>
                <w:w w:val="100"/>
                <w:position w:val="0"/>
                <w:sz w:val="24"/>
                <w:szCs w:val="24"/>
              </w:rPr>
              <w:t>-</w:t>
            </w:r>
          </w:p>
        </w:tc>
      </w:tr>
      <w:tr>
        <w:trPr>
          <w:trHeight w:val="307"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1100" w:right="0" w:firstLine="0"/>
              <w:jc w:val="left"/>
              <w:rPr>
                <w:sz w:val="24"/>
                <w:szCs w:val="24"/>
              </w:rPr>
            </w:pPr>
            <w:r>
              <w:rPr>
                <w:rFonts w:ascii="Times New Roman" w:eastAsia="Times New Roman" w:hAnsi="Times New Roman" w:cs="Times New Roman"/>
                <w:color w:val="000000"/>
                <w:spacing w:val="0"/>
                <w:w w:val="100"/>
                <w:position w:val="0"/>
                <w:sz w:val="24"/>
                <w:szCs w:val="24"/>
              </w:rPr>
              <w:t>PPTV</w:t>
            </w:r>
            <w:r>
              <w:rPr>
                <w:color w:val="000000"/>
                <w:spacing w:val="0"/>
                <w:w w:val="100"/>
                <w:position w:val="0"/>
                <w:sz w:val="24"/>
                <w:szCs w:val="24"/>
              </w:rPr>
              <w:t>业务</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1220" w:right="0" w:firstLine="0"/>
              <w:jc w:val="both"/>
              <w:rPr>
                <w:sz w:val="24"/>
                <w:szCs w:val="24"/>
              </w:rPr>
            </w:pPr>
            <w:r>
              <w:rPr>
                <w:rFonts w:ascii="Times New Roman" w:eastAsia="Times New Roman" w:hAnsi="Times New Roman" w:cs="Times New Roman"/>
                <w:color w:val="000000"/>
                <w:spacing w:val="0"/>
                <w:w w:val="100"/>
                <w:position w:val="0"/>
                <w:sz w:val="24"/>
                <w:szCs w:val="24"/>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both"/>
              <w:rPr>
                <w:sz w:val="24"/>
                <w:szCs w:val="24"/>
              </w:rPr>
            </w:pPr>
            <w:r>
              <w:rPr>
                <w:rFonts w:ascii="Times New Roman" w:eastAsia="Times New Roman" w:hAnsi="Times New Roman" w:cs="Times New Roman"/>
                <w:color w:val="000000"/>
                <w:spacing w:val="0"/>
                <w:w w:val="100"/>
                <w:position w:val="0"/>
                <w:sz w:val="24"/>
                <w:szCs w:val="24"/>
              </w:rPr>
              <w:t>(342,510)</w:t>
            </w:r>
          </w:p>
        </w:tc>
      </w:tr>
      <w:tr>
        <w:trPr>
          <w:trHeight w:val="470" w:hRule="exact"/>
        </w:trPr>
        <w:tc>
          <w:tcPr>
            <w:tcBorders>
              <w:top w:val="single" w:sz="4"/>
            </w:tcBorders>
            <w:shd w:val="clear" w:color="auto" w:fill="FFFFFF"/>
            <w:vAlign w:val="top"/>
          </w:tcPr>
          <w:p>
            <w:pPr>
              <w:pStyle w:val="Style28"/>
              <w:keepNext w:val="0"/>
              <w:keepLines w:val="0"/>
              <w:widowControl w:val="0"/>
              <w:shd w:val="clear" w:color="auto" w:fill="auto"/>
              <w:tabs>
                <w:tab w:pos="5117" w:val="left"/>
              </w:tabs>
              <w:bidi w:val="0"/>
              <w:spacing w:before="0" w:after="0" w:line="240" w:lineRule="auto"/>
              <w:ind w:left="0" w:right="0" w:firstLine="0"/>
              <w:jc w:val="left"/>
              <w:rPr>
                <w:sz w:val="24"/>
                <w:szCs w:val="24"/>
              </w:rPr>
            </w:pPr>
            <w:r>
              <w:rPr>
                <w:color w:val="000000"/>
                <w:spacing w:val="0"/>
                <w:w w:val="100"/>
                <w:position w:val="0"/>
                <w:sz w:val="24"/>
                <w:szCs w:val="24"/>
              </w:rPr>
              <w:t>处置子公司收到的现金净额</w:t>
              <w:tab/>
              <w:t>_</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20"/>
              <w:jc w:val="left"/>
              <w:rPr>
                <w:sz w:val="24"/>
                <w:szCs w:val="24"/>
              </w:rPr>
            </w:pPr>
            <w:r>
              <w:rPr>
                <w:rFonts w:ascii="Times New Roman" w:eastAsia="Times New Roman" w:hAnsi="Times New Roman" w:cs="Times New Roman"/>
                <w:color w:val="000000"/>
                <w:spacing w:val="0"/>
                <w:w w:val="100"/>
                <w:position w:val="0"/>
                <w:sz w:val="24"/>
                <w:szCs w:val="24"/>
                <w:u w:val="single"/>
              </w:rPr>
              <w:t>801,980</w:t>
            </w:r>
            <w:r>
              <w:rPr>
                <w:rFonts w:ascii="Times New Roman" w:eastAsia="Times New Roman" w:hAnsi="Times New Roman" w:cs="Times New Roman"/>
                <w:color w:val="000000"/>
                <w:spacing w:val="0"/>
                <w:w w:val="100"/>
                <w:position w:val="0"/>
                <w:sz w:val="24"/>
                <w:szCs w:val="24"/>
              </w:rPr>
              <w:t xml:space="preserve"> </w:t>
            </w:r>
            <w:r>
              <w:rPr>
                <w:rFonts w:ascii="Times New Roman" w:eastAsia="Times New Roman" w:hAnsi="Times New Roman" w:cs="Times New Roman"/>
                <w:color w:val="000000"/>
                <w:spacing w:val="0"/>
                <w:w w:val="100"/>
                <w:position w:val="0"/>
                <w:sz w:val="24"/>
                <w:szCs w:val="24"/>
              </w:rPr>
              <w:t>.</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both"/>
              <w:rPr>
                <w:sz w:val="24"/>
                <w:szCs w:val="24"/>
              </w:rPr>
            </w:pPr>
            <w:r>
              <w:rPr>
                <w:rFonts w:ascii="Times New Roman" w:eastAsia="Times New Roman" w:hAnsi="Times New Roman" w:cs="Times New Roman"/>
                <w:color w:val="000000"/>
                <w:spacing w:val="0"/>
                <w:w w:val="100"/>
                <w:position w:val="0"/>
                <w:sz w:val="24"/>
                <w:szCs w:val="24"/>
              </w:rPr>
              <w:t>2,242,973</w:t>
            </w:r>
          </w:p>
        </w:tc>
      </w:tr>
      <w:tr>
        <w:trPr>
          <w:trHeight w:val="600"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处置子公司的价格</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590"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rPr>
                <w:sz w:val="24"/>
                <w:szCs w:val="24"/>
              </w:rPr>
            </w:pP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年度</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both"/>
              <w:rPr>
                <w:sz w:val="24"/>
                <w:szCs w:val="24"/>
              </w:rPr>
            </w:pPr>
            <w:r>
              <w:rPr>
                <w:rFonts w:ascii="Times New Roman" w:eastAsia="Times New Roman" w:hAnsi="Times New Roman" w:cs="Times New Roman"/>
                <w:color w:val="000000"/>
                <w:spacing w:val="0"/>
                <w:w w:val="100"/>
                <w:position w:val="0"/>
                <w:sz w:val="24"/>
                <w:szCs w:val="24"/>
              </w:rPr>
              <w:t>2015</w:t>
            </w:r>
            <w:r>
              <w:rPr>
                <w:color w:val="000000"/>
                <w:spacing w:val="0"/>
                <w:w w:val="100"/>
                <w:position w:val="0"/>
                <w:sz w:val="24"/>
                <w:szCs w:val="24"/>
              </w:rPr>
              <w:t>年度</w:t>
            </w:r>
          </w:p>
        </w:tc>
      </w:tr>
      <w:tr>
        <w:trPr>
          <w:trHeight w:val="446"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北京京朝业务</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both"/>
              <w:rPr>
                <w:sz w:val="24"/>
                <w:szCs w:val="24"/>
              </w:rPr>
            </w:pPr>
            <w:r>
              <w:rPr>
                <w:rFonts w:ascii="Times New Roman" w:eastAsia="Times New Roman" w:hAnsi="Times New Roman" w:cs="Times New Roman"/>
                <w:color w:val="000000"/>
                <w:spacing w:val="0"/>
                <w:w w:val="100"/>
                <w:position w:val="0"/>
                <w:sz w:val="24"/>
                <w:szCs w:val="24"/>
              </w:rPr>
              <w:t>1,304,837</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w:t>
            </w:r>
          </w:p>
        </w:tc>
      </w:tr>
      <w:tr>
        <w:trPr>
          <w:trHeight w:val="326"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PPTV</w:t>
            </w:r>
            <w:r>
              <w:rPr>
                <w:color w:val="000000"/>
                <w:spacing w:val="0"/>
                <w:w w:val="100"/>
                <w:position w:val="0"/>
                <w:sz w:val="24"/>
                <w:szCs w:val="24"/>
              </w:rPr>
              <w:t>业务</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220" w:right="0" w:firstLine="0"/>
              <w:jc w:val="left"/>
              <w:rPr>
                <w:sz w:val="24"/>
                <w:szCs w:val="24"/>
              </w:rPr>
            </w:pPr>
            <w:r>
              <w:rPr>
                <w:rFonts w:ascii="Times New Roman" w:eastAsia="Times New Roman" w:hAnsi="Times New Roman" w:cs="Times New Roman"/>
                <w:color w:val="000000"/>
                <w:spacing w:val="0"/>
                <w:w w:val="100"/>
                <w:position w:val="0"/>
                <w:sz w:val="24"/>
                <w:szCs w:val="24"/>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both"/>
              <w:rPr>
                <w:sz w:val="24"/>
                <w:szCs w:val="24"/>
              </w:rPr>
            </w:pPr>
            <w:r>
              <w:rPr>
                <w:rFonts w:ascii="Times New Roman" w:eastAsia="Times New Roman" w:hAnsi="Times New Roman" w:cs="Times New Roman"/>
                <w:color w:val="000000"/>
                <w:spacing w:val="0"/>
                <w:w w:val="100"/>
                <w:position w:val="0"/>
                <w:sz w:val="24"/>
                <w:szCs w:val="24"/>
              </w:rPr>
              <w:t>2,585,483</w:t>
            </w:r>
          </w:p>
        </w:tc>
      </w:tr>
      <w:tr>
        <w:trPr>
          <w:trHeight w:val="739"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处置子公司的净资产</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595"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rPr>
                <w:sz w:val="24"/>
                <w:szCs w:val="24"/>
              </w:rPr>
            </w:pP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年度</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both"/>
              <w:rPr>
                <w:sz w:val="24"/>
                <w:szCs w:val="24"/>
              </w:rPr>
            </w:pPr>
            <w:r>
              <w:rPr>
                <w:rFonts w:ascii="Times New Roman" w:eastAsia="Times New Roman" w:hAnsi="Times New Roman" w:cs="Times New Roman"/>
                <w:color w:val="000000"/>
                <w:spacing w:val="0"/>
                <w:w w:val="100"/>
                <w:position w:val="0"/>
                <w:sz w:val="24"/>
                <w:szCs w:val="24"/>
              </w:rPr>
              <w:t>2015</w:t>
            </w:r>
            <w:r>
              <w:rPr>
                <w:color w:val="000000"/>
                <w:spacing w:val="0"/>
                <w:w w:val="100"/>
                <w:position w:val="0"/>
                <w:sz w:val="24"/>
                <w:szCs w:val="24"/>
              </w:rPr>
              <w:t>年度</w:t>
            </w:r>
          </w:p>
        </w:tc>
      </w:tr>
      <w:tr>
        <w:trPr>
          <w:trHeight w:val="446"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流动资产</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20"/>
              <w:jc w:val="left"/>
              <w:rPr>
                <w:sz w:val="24"/>
                <w:szCs w:val="24"/>
              </w:rPr>
            </w:pPr>
            <w:r>
              <w:rPr>
                <w:rFonts w:ascii="Times New Roman" w:eastAsia="Times New Roman" w:hAnsi="Times New Roman" w:cs="Times New Roman"/>
                <w:color w:val="000000"/>
                <w:spacing w:val="0"/>
                <w:w w:val="100"/>
                <w:position w:val="0"/>
                <w:sz w:val="24"/>
                <w:szCs w:val="24"/>
              </w:rPr>
              <w:t>3,625</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both"/>
              <w:rPr>
                <w:sz w:val="24"/>
                <w:szCs w:val="24"/>
              </w:rPr>
            </w:pPr>
            <w:r>
              <w:rPr>
                <w:rFonts w:ascii="Times New Roman" w:eastAsia="Times New Roman" w:hAnsi="Times New Roman" w:cs="Times New Roman"/>
                <w:color w:val="000000"/>
                <w:spacing w:val="0"/>
                <w:w w:val="100"/>
                <w:position w:val="0"/>
                <w:sz w:val="24"/>
                <w:szCs w:val="24"/>
              </w:rPr>
              <w:t>1,006,922</w:t>
            </w:r>
          </w:p>
        </w:tc>
      </w:tr>
      <w:tr>
        <w:trPr>
          <w:trHeight w:val="317"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非流动资产</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left"/>
              <w:rPr>
                <w:sz w:val="24"/>
                <w:szCs w:val="24"/>
              </w:rPr>
            </w:pPr>
            <w:r>
              <w:rPr>
                <w:rFonts w:ascii="Times New Roman" w:eastAsia="Times New Roman" w:hAnsi="Times New Roman" w:cs="Times New Roman"/>
                <w:color w:val="000000"/>
                <w:spacing w:val="0"/>
                <w:w w:val="100"/>
                <w:position w:val="0"/>
                <w:sz w:val="24"/>
                <w:szCs w:val="24"/>
              </w:rPr>
              <w:t>1,480,234</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both"/>
              <w:rPr>
                <w:sz w:val="24"/>
                <w:szCs w:val="24"/>
              </w:rPr>
            </w:pPr>
            <w:r>
              <w:rPr>
                <w:rFonts w:ascii="Times New Roman" w:eastAsia="Times New Roman" w:hAnsi="Times New Roman" w:cs="Times New Roman"/>
                <w:color w:val="000000"/>
                <w:spacing w:val="0"/>
                <w:w w:val="100"/>
                <w:position w:val="0"/>
                <w:sz w:val="24"/>
                <w:szCs w:val="24"/>
              </w:rPr>
              <w:t>1,848,374</w:t>
            </w:r>
          </w:p>
        </w:tc>
      </w:tr>
      <w:tr>
        <w:trPr>
          <w:trHeight w:val="317"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流动负债</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both"/>
              <w:rPr>
                <w:sz w:val="24"/>
                <w:szCs w:val="24"/>
              </w:rPr>
            </w:pPr>
            <w:r>
              <w:rPr>
                <w:rFonts w:ascii="Times New Roman" w:eastAsia="Times New Roman" w:hAnsi="Times New Roman" w:cs="Times New Roman"/>
                <w:color w:val="000000"/>
                <w:spacing w:val="0"/>
                <w:w w:val="100"/>
                <w:position w:val="0"/>
                <w:sz w:val="24"/>
                <w:szCs w:val="24"/>
              </w:rPr>
              <w:t>(1,483,093)</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(2,890,830)</w:t>
            </w:r>
          </w:p>
        </w:tc>
      </w:tr>
      <w:tr>
        <w:trPr>
          <w:trHeight w:val="302"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非流动负债</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140" w:right="0" w:firstLine="0"/>
              <w:jc w:val="left"/>
              <w:rPr>
                <w:sz w:val="24"/>
                <w:szCs w:val="24"/>
              </w:rPr>
            </w:pPr>
            <w:r>
              <w:rPr>
                <w:rFonts w:ascii="Times New Roman" w:eastAsia="Times New Roman" w:hAnsi="Times New Roman" w:cs="Times New Roman"/>
                <w:color w:val="000000"/>
                <w:spacing w:val="0"/>
                <w:w w:val="100"/>
                <w:position w:val="0"/>
                <w:sz w:val="24"/>
                <w:szCs w:val="24"/>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both"/>
              <w:rPr>
                <w:sz w:val="24"/>
                <w:szCs w:val="24"/>
              </w:rPr>
            </w:pPr>
            <w:r>
              <w:rPr>
                <w:rFonts w:ascii="Times New Roman" w:eastAsia="Times New Roman" w:hAnsi="Times New Roman" w:cs="Times New Roman"/>
                <w:color w:val="000000"/>
                <w:spacing w:val="0"/>
                <w:w w:val="100"/>
                <w:position w:val="0"/>
                <w:sz w:val="24"/>
                <w:szCs w:val="24"/>
              </w:rPr>
              <w:t>(733,732)</w:t>
            </w:r>
          </w:p>
        </w:tc>
      </w:tr>
      <w:tr>
        <w:trPr>
          <w:trHeight w:val="307" w:hRule="exact"/>
        </w:trPr>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160" w:firstLine="0"/>
              <w:jc w:val="right"/>
              <w:rPr>
                <w:sz w:val="24"/>
                <w:szCs w:val="24"/>
              </w:rPr>
            </w:pPr>
            <w:r>
              <w:rPr>
                <w:rFonts w:ascii="Times New Roman" w:eastAsia="Times New Roman" w:hAnsi="Times New Roman" w:cs="Times New Roman"/>
                <w:color w:val="000000"/>
                <w:spacing w:val="0"/>
                <w:w w:val="100"/>
                <w:position w:val="0"/>
                <w:sz w:val="24"/>
                <w:szCs w:val="24"/>
              </w:rPr>
              <w:t>766</w:t>
            </w:r>
          </w:p>
        </w:tc>
        <w:tc>
          <w:tcPr>
            <w:tcBorders>
              <w:top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both"/>
              <w:rPr>
                <w:sz w:val="24"/>
                <w:szCs w:val="24"/>
              </w:rPr>
            </w:pPr>
            <w:r>
              <w:rPr>
                <w:rFonts w:ascii="Times New Roman" w:eastAsia="Times New Roman" w:hAnsi="Times New Roman" w:cs="Times New Roman"/>
                <w:color w:val="000000"/>
                <w:spacing w:val="0"/>
                <w:w w:val="100"/>
                <w:position w:val="0"/>
                <w:sz w:val="24"/>
                <w:szCs w:val="24"/>
              </w:rPr>
              <w:t>(769,266)</w:t>
            </w:r>
          </w:p>
        </w:tc>
      </w:tr>
    </w:tbl>
    <w:p>
      <w:pPr>
        <w:widowControl w:val="0"/>
        <w:spacing w:line="1" w:lineRule="exact"/>
      </w:pPr>
      <w:r>
        <w:br w:type="page"/>
      </w:r>
    </w:p>
    <w:tbl>
      <w:tblPr>
        <w:tblOverlap w:val="never"/>
        <w:jc w:val="center"/>
        <w:tblLayout w:type="fixed"/>
      </w:tblPr>
      <w:tblGrid>
        <w:gridCol w:w="634"/>
        <w:gridCol w:w="4598"/>
        <w:gridCol w:w="2035"/>
        <w:gridCol w:w="1584"/>
      </w:tblGrid>
      <w:tr>
        <w:trPr>
          <w:trHeight w:val="994" w:hRule="exact"/>
        </w:trPr>
        <w:tc>
          <w:tcPr>
            <w:gridSpan w:val="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60"/>
              <w:jc w:val="left"/>
              <w:rPr>
                <w:sz w:val="24"/>
                <w:szCs w:val="24"/>
              </w:rPr>
            </w:pPr>
            <w:r>
              <w:rPr>
                <w:b/>
                <w:bCs/>
                <w:color w:val="000000"/>
                <w:spacing w:val="0"/>
                <w:w w:val="100"/>
                <w:position w:val="0"/>
                <w:sz w:val="24"/>
                <w:szCs w:val="24"/>
              </w:rPr>
              <w:t>财务报表附注</w:t>
            </w:r>
          </w:p>
          <w:p>
            <w:pPr>
              <w:pStyle w:val="Style28"/>
              <w:keepNext w:val="0"/>
              <w:keepLines w:val="0"/>
              <w:widowControl w:val="0"/>
              <w:shd w:val="clear" w:color="auto" w:fill="auto"/>
              <w:bidi w:val="0"/>
              <w:spacing w:before="0" w:after="0" w:line="240" w:lineRule="auto"/>
              <w:ind w:left="0" w:right="0" w:firstLine="660"/>
              <w:jc w:val="left"/>
              <w:rPr>
                <w:sz w:val="24"/>
                <w:szCs w:val="24"/>
              </w:rPr>
            </w:pPr>
            <w:r>
              <w:rPr>
                <w:rFonts w:ascii="Arial" w:eastAsia="Arial" w:hAnsi="Arial" w:cs="Arial"/>
                <w:color w:val="000000"/>
                <w:spacing w:val="0"/>
                <w:w w:val="100"/>
                <w:position w:val="0"/>
                <w:sz w:val="24"/>
                <w:szCs w:val="24"/>
              </w:rPr>
              <w:t>2016</w:t>
            </w:r>
            <w:r>
              <w:rPr>
                <w:b/>
                <w:bCs/>
                <w:color w:val="000000"/>
                <w:spacing w:val="0"/>
                <w:w w:val="100"/>
                <w:position w:val="0"/>
                <w:sz w:val="24"/>
                <w:szCs w:val="24"/>
              </w:rPr>
              <w:t>年度</w:t>
            </w:r>
          </w:p>
          <w:p>
            <w:pPr>
              <w:pStyle w:val="Style28"/>
              <w:keepNext w:val="0"/>
              <w:keepLines w:val="0"/>
              <w:widowControl w:val="0"/>
              <w:shd w:val="clear" w:color="auto" w:fill="auto"/>
              <w:bidi w:val="0"/>
              <w:spacing w:before="0" w:after="0" w:line="240" w:lineRule="auto"/>
              <w:ind w:left="0" w:right="0" w:firstLine="660"/>
              <w:jc w:val="left"/>
              <w:rPr>
                <w:sz w:val="24"/>
                <w:szCs w:val="24"/>
              </w:rPr>
            </w:pPr>
            <w:r>
              <w:rPr>
                <w:rFonts w:ascii="Arial" w:eastAsia="Arial" w:hAnsi="Arial" w:cs="Arial"/>
                <w:color w:val="000000"/>
                <w:spacing w:val="0"/>
                <w:w w:val="100"/>
                <w:position w:val="0"/>
                <w:sz w:val="20"/>
                <w:szCs w:val="20"/>
              </w:rPr>
              <w:t>（</w:t>
            </w:r>
            <w:r>
              <w:rPr>
                <w:color w:val="000000"/>
                <w:spacing w:val="0"/>
                <w:w w:val="100"/>
                <w:position w:val="0"/>
                <w:sz w:val="20"/>
                <w:szCs w:val="20"/>
              </w:rPr>
              <w:t>除特别注明外，金额单位为人民币千元</w:t>
            </w:r>
            <w:r>
              <w:rPr>
                <w:color w:val="000000"/>
                <w:spacing w:val="0"/>
                <w:w w:val="100"/>
                <w:position w:val="0"/>
                <w:sz w:val="24"/>
                <w:szCs w:val="24"/>
              </w:rPr>
              <w:t>）</w:t>
            </w:r>
          </w:p>
        </w:tc>
      </w:tr>
      <w:tr>
        <w:trPr>
          <w:trHeight w:val="562"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四</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合并财务报表项目附注</w:t>
            </w:r>
            <w:r>
              <w:rPr>
                <w:rFonts w:ascii="Times New Roman" w:eastAsia="Times New Roman" w:hAnsi="Times New Roman" w:cs="Times New Roman"/>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4"/>
                <w:szCs w:val="24"/>
              </w:rPr>
              <w: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586"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(58)</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现金流量表补充资料</w:t>
            </w:r>
            <w:r>
              <w:rPr>
                <w:rFonts w:ascii="Times New Roman" w:eastAsia="Times New Roman" w:hAnsi="Times New Roman" w:cs="Times New Roman"/>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4"/>
                <w:szCs w:val="24"/>
              </w:rPr>
              <w: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576"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(d)</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现金及现金等价物</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56"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00"/>
              <w:jc w:val="left"/>
              <w:rPr>
                <w:sz w:val="24"/>
                <w:szCs w:val="24"/>
              </w:rPr>
            </w:pPr>
            <w:r>
              <w:rPr>
                <w:rFonts w:ascii="Times New Roman" w:eastAsia="Times New Roman" w:hAnsi="Times New Roman" w:cs="Times New Roman"/>
                <w:color w:val="000000"/>
                <w:spacing w:val="0"/>
                <w:w w:val="100"/>
                <w:position w:val="0"/>
                <w:sz w:val="24"/>
                <w:szCs w:val="24"/>
              </w:rPr>
              <w:t xml:space="preserve">2016 </w:t>
            </w:r>
            <w:r>
              <w:rPr>
                <w:color w:val="000000"/>
                <w:spacing w:val="0"/>
                <w:w w:val="100"/>
                <w:position w:val="0"/>
                <w:sz w:val="24"/>
                <w:szCs w:val="24"/>
              </w:rPr>
              <w:t>年</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 xml:space="preserve">2015 </w:t>
            </w:r>
            <w:r>
              <w:rPr>
                <w:color w:val="000000"/>
                <w:spacing w:val="0"/>
                <w:w w:val="100"/>
                <w:position w:val="0"/>
                <w:sz w:val="24"/>
                <w:szCs w:val="24"/>
              </w:rPr>
              <w:t>年</w:t>
            </w:r>
          </w:p>
        </w:tc>
      </w:tr>
      <w:tr>
        <w:trPr>
          <w:trHeight w:val="461"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60"/>
              <w:jc w:val="left"/>
              <w:rPr>
                <w:sz w:val="24"/>
                <w:szCs w:val="24"/>
              </w:rPr>
            </w:pP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jc w:val="both"/>
              <w:rPr>
                <w:sz w:val="24"/>
                <w:szCs w:val="24"/>
              </w:rPr>
            </w:pP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w:t>
            </w:r>
          </w:p>
        </w:tc>
      </w:tr>
      <w:tr>
        <w:trPr>
          <w:trHeight w:val="437"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现金</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60"/>
              <w:jc w:val="left"/>
              <w:rPr>
                <w:sz w:val="24"/>
                <w:szCs w:val="24"/>
              </w:rPr>
            </w:pPr>
            <w:r>
              <w:rPr>
                <w:rFonts w:ascii="Times New Roman" w:eastAsia="Times New Roman" w:hAnsi="Times New Roman" w:cs="Times New Roman"/>
                <w:color w:val="000000"/>
                <w:spacing w:val="0"/>
                <w:w w:val="100"/>
                <w:position w:val="0"/>
                <w:sz w:val="24"/>
                <w:szCs w:val="24"/>
              </w:rPr>
              <w:t>17,901,707</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jc w:val="both"/>
              <w:rPr>
                <w:sz w:val="24"/>
                <w:szCs w:val="24"/>
              </w:rPr>
            </w:pPr>
            <w:r>
              <w:rPr>
                <w:rFonts w:ascii="Times New Roman" w:eastAsia="Times New Roman" w:hAnsi="Times New Roman" w:cs="Times New Roman"/>
                <w:color w:val="000000"/>
                <w:spacing w:val="0"/>
                <w:w w:val="100"/>
                <w:position w:val="0"/>
                <w:sz w:val="24"/>
                <w:szCs w:val="24"/>
              </w:rPr>
              <w:t>16,818,166</w:t>
            </w:r>
          </w:p>
        </w:tc>
      </w:tr>
      <w:tr>
        <w:trPr>
          <w:trHeight w:val="317" w:hRule="exact"/>
        </w:trPr>
        <w:tc>
          <w:tcPr>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其中：库存现金</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20"/>
              <w:jc w:val="left"/>
              <w:rPr>
                <w:sz w:val="24"/>
                <w:szCs w:val="24"/>
              </w:rPr>
            </w:pPr>
            <w:r>
              <w:rPr>
                <w:rFonts w:ascii="Times New Roman" w:eastAsia="Times New Roman" w:hAnsi="Times New Roman" w:cs="Times New Roman"/>
                <w:color w:val="000000"/>
                <w:spacing w:val="0"/>
                <w:w w:val="100"/>
                <w:position w:val="0"/>
                <w:sz w:val="24"/>
                <w:szCs w:val="24"/>
              </w:rPr>
              <w:t>21,268</w:t>
            </w:r>
          </w:p>
        </w:tc>
        <w:tc>
          <w:tcPr>
            <w:tcBorders>
              <w:top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21,928</w:t>
            </w:r>
          </w:p>
        </w:tc>
      </w:tr>
      <w:tr>
        <w:trPr>
          <w:trHeight w:val="317" w:hRule="exact"/>
        </w:trPr>
        <w:tc>
          <w:tcPr>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60"/>
              <w:jc w:val="left"/>
              <w:rPr>
                <w:sz w:val="24"/>
                <w:szCs w:val="24"/>
              </w:rPr>
            </w:pPr>
            <w:r>
              <w:rPr>
                <w:color w:val="000000"/>
                <w:spacing w:val="0"/>
                <w:w w:val="100"/>
                <w:position w:val="0"/>
                <w:sz w:val="24"/>
                <w:szCs w:val="24"/>
              </w:rPr>
              <w:t>可随时用于支付的银行存款</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60"/>
              <w:jc w:val="left"/>
              <w:rPr>
                <w:sz w:val="24"/>
                <w:szCs w:val="24"/>
              </w:rPr>
            </w:pPr>
            <w:r>
              <w:rPr>
                <w:rFonts w:ascii="Times New Roman" w:eastAsia="Times New Roman" w:hAnsi="Times New Roman" w:cs="Times New Roman"/>
                <w:color w:val="000000"/>
                <w:spacing w:val="0"/>
                <w:w w:val="100"/>
                <w:position w:val="0"/>
                <w:sz w:val="24"/>
                <w:szCs w:val="24"/>
              </w:rPr>
              <w:t>16,434,582</w:t>
            </w:r>
          </w:p>
        </w:tc>
        <w:tc>
          <w:tcPr>
            <w:tcBorders>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jc w:val="both"/>
              <w:rPr>
                <w:sz w:val="24"/>
                <w:szCs w:val="24"/>
              </w:rPr>
            </w:pPr>
            <w:r>
              <w:rPr>
                <w:rFonts w:ascii="Times New Roman" w:eastAsia="Times New Roman" w:hAnsi="Times New Roman" w:cs="Times New Roman"/>
                <w:color w:val="000000"/>
                <w:spacing w:val="0"/>
                <w:w w:val="100"/>
                <w:position w:val="0"/>
                <w:sz w:val="24"/>
                <w:szCs w:val="24"/>
              </w:rPr>
              <w:t>15,518,320</w:t>
            </w:r>
          </w:p>
        </w:tc>
      </w:tr>
      <w:tr>
        <w:trPr>
          <w:trHeight w:val="312" w:hRule="exact"/>
        </w:trPr>
        <w:tc>
          <w:tcPr>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60"/>
              <w:jc w:val="left"/>
              <w:rPr>
                <w:sz w:val="24"/>
                <w:szCs w:val="24"/>
              </w:rPr>
            </w:pPr>
            <w:r>
              <w:rPr>
                <w:color w:val="000000"/>
                <w:spacing w:val="0"/>
                <w:w w:val="100"/>
                <w:position w:val="0"/>
                <w:sz w:val="24"/>
                <w:szCs w:val="24"/>
              </w:rPr>
              <w:t>可随时用于支付的其他货币资金</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20"/>
              <w:jc w:val="left"/>
              <w:rPr>
                <w:sz w:val="24"/>
                <w:szCs w:val="24"/>
              </w:rPr>
            </w:pPr>
            <w:r>
              <w:rPr>
                <w:rFonts w:ascii="Times New Roman" w:eastAsia="Times New Roman" w:hAnsi="Times New Roman" w:cs="Times New Roman"/>
                <w:color w:val="000000"/>
                <w:spacing w:val="0"/>
                <w:w w:val="100"/>
                <w:position w:val="0"/>
                <w:sz w:val="24"/>
                <w:szCs w:val="24"/>
              </w:rPr>
              <w:t>1,445,857</w:t>
            </w:r>
          </w:p>
        </w:tc>
        <w:tc>
          <w:tcPr>
            <w:tcBorders>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1,277,918</w:t>
            </w:r>
          </w:p>
        </w:tc>
      </w:tr>
      <w:tr>
        <w:trPr>
          <w:trHeight w:val="658" w:hRule="exact"/>
        </w:trPr>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8"/>
              <w:keepNext w:val="0"/>
              <w:keepLines w:val="0"/>
              <w:widowControl w:val="0"/>
              <w:shd w:val="clear" w:color="auto" w:fill="auto"/>
              <w:tabs>
                <w:tab w:pos="4320" w:val="left"/>
              </w:tabs>
              <w:bidi w:val="0"/>
              <w:spacing w:before="0" w:after="0" w:line="240" w:lineRule="auto"/>
              <w:ind w:left="0" w:right="0" w:firstLine="0"/>
              <w:jc w:val="left"/>
              <w:rPr>
                <w:sz w:val="24"/>
                <w:szCs w:val="24"/>
              </w:rPr>
            </w:pPr>
            <w:r>
              <w:rPr>
                <w:color w:val="000000"/>
                <w:spacing w:val="0"/>
                <w:w w:val="100"/>
                <w:position w:val="0"/>
                <w:sz w:val="24"/>
                <w:szCs w:val="24"/>
              </w:rPr>
              <w:t>年末现金及现金等价物余额</w:t>
              <w:tab/>
              <w:t>_</w:t>
            </w:r>
          </w:p>
        </w:tc>
        <w:tc>
          <w:tcPr>
            <w:tcBorders>
              <w:top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60"/>
              <w:jc w:val="both"/>
              <w:rPr>
                <w:sz w:val="24"/>
                <w:szCs w:val="24"/>
              </w:rPr>
            </w:pPr>
            <w:r>
              <w:rPr>
                <w:rFonts w:ascii="Times New Roman" w:eastAsia="Times New Roman" w:hAnsi="Times New Roman" w:cs="Times New Roman"/>
                <w:color w:val="000000"/>
                <w:spacing w:val="0"/>
                <w:w w:val="100"/>
                <w:position w:val="0"/>
                <w:sz w:val="24"/>
                <w:szCs w:val="24"/>
              </w:rPr>
              <w:t>17,901,707</w:t>
            </w:r>
          </w:p>
        </w:tc>
        <w:tc>
          <w:tcPr>
            <w:tcBorders>
              <w:top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jc w:val="both"/>
              <w:rPr>
                <w:sz w:val="24"/>
                <w:szCs w:val="24"/>
              </w:rPr>
            </w:pPr>
            <w:r>
              <w:rPr>
                <w:rFonts w:ascii="Times New Roman" w:eastAsia="Times New Roman" w:hAnsi="Times New Roman" w:cs="Times New Roman"/>
                <w:color w:val="000000"/>
                <w:spacing w:val="0"/>
                <w:w w:val="100"/>
                <w:position w:val="0"/>
                <w:sz w:val="24"/>
                <w:szCs w:val="24"/>
              </w:rPr>
              <w:t>16,818,166</w:t>
            </w:r>
          </w:p>
        </w:tc>
      </w:tr>
    </w:tbl>
    <w:p>
      <w:pPr>
        <w:widowControl w:val="0"/>
        <w:spacing w:after="219" w:line="1" w:lineRule="exact"/>
      </w:pPr>
    </w:p>
    <w:p>
      <w:pPr>
        <w:pStyle w:val="Style32"/>
        <w:keepNext w:val="0"/>
        <w:keepLines w:val="0"/>
        <w:widowControl w:val="0"/>
        <w:shd w:val="clear" w:color="auto" w:fill="auto"/>
        <w:bidi w:val="0"/>
        <w:spacing w:before="0" w:after="28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（59）</w:t>
      </w:r>
      <w:r>
        <w:rPr>
          <w:b/>
          <w:bCs/>
          <w:color w:val="000000"/>
          <w:spacing w:val="0"/>
          <w:w w:val="100"/>
          <w:position w:val="0"/>
          <w:sz w:val="24"/>
          <w:szCs w:val="24"/>
        </w:rPr>
        <w:t>外币货币性项目</w:t>
      </w:r>
    </w:p>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w:t>
      </w:r>
    </w:p>
    <w:tbl>
      <w:tblPr>
        <w:tblOverlap w:val="never"/>
        <w:jc w:val="right"/>
        <w:tblLayout w:type="fixed"/>
      </w:tblPr>
      <w:tblGrid>
        <w:gridCol w:w="3466"/>
        <w:gridCol w:w="1584"/>
        <w:gridCol w:w="1541"/>
        <w:gridCol w:w="1560"/>
      </w:tblGrid>
      <w:tr>
        <w:trPr>
          <w:trHeight w:val="283"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外币余额</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折算汇率</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人民币余额</w:t>
            </w:r>
          </w:p>
        </w:tc>
      </w:tr>
      <w:tr>
        <w:trPr>
          <w:trHeight w:val="293"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货币资金一</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88"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60"/>
              <w:jc w:val="left"/>
              <w:rPr>
                <w:sz w:val="20"/>
                <w:szCs w:val="20"/>
              </w:rPr>
            </w:pPr>
            <w:r>
              <w:rPr>
                <w:color w:val="000000"/>
                <w:spacing w:val="0"/>
                <w:w w:val="100"/>
                <w:position w:val="0"/>
                <w:sz w:val="20"/>
                <w:szCs w:val="20"/>
              </w:rPr>
              <w:t>人民币</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80"/>
              <w:jc w:val="left"/>
              <w:rPr>
                <w:sz w:val="20"/>
                <w:szCs w:val="20"/>
              </w:rPr>
            </w:pPr>
            <w:r>
              <w:rPr>
                <w:rFonts w:ascii="Times New Roman" w:eastAsia="Times New Roman" w:hAnsi="Times New Roman" w:cs="Times New Roman"/>
                <w:color w:val="000000"/>
                <w:spacing w:val="0"/>
                <w:w w:val="100"/>
                <w:position w:val="0"/>
                <w:sz w:val="20"/>
                <w:szCs w:val="20"/>
              </w:rPr>
              <w:t>69,555</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1.00000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60"/>
              <w:jc w:val="left"/>
              <w:rPr>
                <w:sz w:val="20"/>
                <w:szCs w:val="20"/>
              </w:rPr>
            </w:pPr>
            <w:r>
              <w:rPr>
                <w:rFonts w:ascii="Times New Roman" w:eastAsia="Times New Roman" w:hAnsi="Times New Roman" w:cs="Times New Roman"/>
                <w:color w:val="000000"/>
                <w:spacing w:val="0"/>
                <w:w w:val="100"/>
                <w:position w:val="0"/>
                <w:sz w:val="20"/>
                <w:szCs w:val="20"/>
              </w:rPr>
              <w:t>69,555</w:t>
            </w:r>
          </w:p>
        </w:tc>
      </w:tr>
      <w:tr>
        <w:trPr>
          <w:trHeight w:val="283"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60"/>
              <w:jc w:val="left"/>
              <w:rPr>
                <w:sz w:val="20"/>
                <w:szCs w:val="20"/>
              </w:rPr>
            </w:pPr>
            <w:r>
              <w:rPr>
                <w:color w:val="000000"/>
                <w:spacing w:val="0"/>
                <w:w w:val="100"/>
                <w:position w:val="0"/>
                <w:sz w:val="20"/>
                <w:szCs w:val="20"/>
              </w:rPr>
              <w:t>美元</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80"/>
              <w:jc w:val="left"/>
              <w:rPr>
                <w:sz w:val="20"/>
                <w:szCs w:val="20"/>
              </w:rPr>
            </w:pPr>
            <w:r>
              <w:rPr>
                <w:rFonts w:ascii="Times New Roman" w:eastAsia="Times New Roman" w:hAnsi="Times New Roman" w:cs="Times New Roman"/>
                <w:color w:val="000000"/>
                <w:spacing w:val="0"/>
                <w:w w:val="100"/>
                <w:position w:val="0"/>
                <w:sz w:val="20"/>
                <w:szCs w:val="20"/>
              </w:rPr>
              <w:t>32,198</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6.93700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60"/>
              <w:jc w:val="left"/>
              <w:rPr>
                <w:sz w:val="20"/>
                <w:szCs w:val="20"/>
              </w:rPr>
            </w:pPr>
            <w:r>
              <w:rPr>
                <w:rFonts w:ascii="Times New Roman" w:eastAsia="Times New Roman" w:hAnsi="Times New Roman" w:cs="Times New Roman"/>
                <w:color w:val="000000"/>
                <w:spacing w:val="0"/>
                <w:w w:val="100"/>
                <w:position w:val="0"/>
                <w:sz w:val="20"/>
                <w:szCs w:val="20"/>
              </w:rPr>
              <w:t>223,358</w:t>
            </w:r>
          </w:p>
        </w:tc>
      </w:tr>
      <w:tr>
        <w:trPr>
          <w:trHeight w:val="264"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60"/>
              <w:jc w:val="left"/>
              <w:rPr>
                <w:sz w:val="20"/>
                <w:szCs w:val="20"/>
              </w:rPr>
            </w:pPr>
            <w:r>
              <w:rPr>
                <w:color w:val="000000"/>
                <w:spacing w:val="0"/>
                <w:w w:val="100"/>
                <w:position w:val="0"/>
                <w:sz w:val="20"/>
                <w:szCs w:val="20"/>
              </w:rPr>
              <w:t>港元</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1020" w:right="0" w:firstLine="0"/>
              <w:jc w:val="left"/>
              <w:rPr>
                <w:sz w:val="20"/>
                <w:szCs w:val="20"/>
              </w:rPr>
            </w:pPr>
            <w:r>
              <w:rPr>
                <w:rFonts w:ascii="Times New Roman" w:eastAsia="Times New Roman" w:hAnsi="Times New Roman" w:cs="Times New Roman"/>
                <w:color w:val="000000"/>
                <w:spacing w:val="0"/>
                <w:w w:val="100"/>
                <w:position w:val="0"/>
                <w:sz w:val="20"/>
                <w:szCs w:val="20"/>
              </w:rPr>
              <w:t>519</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0.89451</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464</w:t>
            </w:r>
          </w:p>
        </w:tc>
      </w:tr>
      <w:tr>
        <w:trPr>
          <w:trHeight w:val="259"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60"/>
              <w:jc w:val="left"/>
              <w:rPr>
                <w:sz w:val="20"/>
                <w:szCs w:val="20"/>
              </w:rPr>
            </w:pPr>
            <w:r>
              <w:rPr>
                <w:color w:val="000000"/>
                <w:spacing w:val="0"/>
                <w:w w:val="100"/>
                <w:position w:val="0"/>
                <w:sz w:val="20"/>
                <w:szCs w:val="20"/>
              </w:rPr>
              <w:t>日元</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80"/>
              <w:jc w:val="left"/>
              <w:rPr>
                <w:sz w:val="20"/>
                <w:szCs w:val="20"/>
              </w:rPr>
            </w:pPr>
            <w:r>
              <w:rPr>
                <w:rFonts w:ascii="Times New Roman" w:eastAsia="Times New Roman" w:hAnsi="Times New Roman" w:cs="Times New Roman"/>
                <w:color w:val="000000"/>
                <w:spacing w:val="0"/>
                <w:w w:val="100"/>
                <w:position w:val="0"/>
                <w:sz w:val="20"/>
                <w:szCs w:val="20"/>
              </w:rPr>
              <w:t>38,613</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0.05959</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2,301</w:t>
            </w:r>
          </w:p>
        </w:tc>
      </w:tr>
      <w:tr>
        <w:trPr>
          <w:trHeight w:val="293"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60"/>
              <w:jc w:val="left"/>
              <w:rPr>
                <w:sz w:val="20"/>
                <w:szCs w:val="20"/>
              </w:rPr>
            </w:pPr>
            <w:r>
              <w:rPr>
                <w:rFonts w:ascii="Times New Roman" w:eastAsia="Times New Roman" w:hAnsi="Times New Roman" w:cs="Times New Roman"/>
                <w:color w:val="000000"/>
                <w:spacing w:val="0"/>
                <w:w w:val="100"/>
                <w:position w:val="0"/>
                <w:sz w:val="20"/>
                <w:szCs w:val="20"/>
              </w:rPr>
              <w:t>295,678</w:t>
            </w:r>
          </w:p>
        </w:tc>
      </w:tr>
      <w:tr>
        <w:trPr>
          <w:trHeight w:val="552"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以公允价值计量且其变动计入当</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283"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期损益的金融资产一</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69"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60"/>
              <w:jc w:val="left"/>
              <w:rPr>
                <w:sz w:val="20"/>
                <w:szCs w:val="20"/>
              </w:rPr>
            </w:pPr>
            <w:r>
              <w:rPr>
                <w:color w:val="000000"/>
                <w:spacing w:val="0"/>
                <w:w w:val="100"/>
                <w:position w:val="0"/>
                <w:sz w:val="20"/>
                <w:szCs w:val="20"/>
              </w:rPr>
              <w:t>美元</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80"/>
              <w:jc w:val="left"/>
              <w:rPr>
                <w:sz w:val="20"/>
                <w:szCs w:val="20"/>
              </w:rPr>
            </w:pPr>
            <w:r>
              <w:rPr>
                <w:rFonts w:ascii="Times New Roman" w:eastAsia="Times New Roman" w:hAnsi="Times New Roman" w:cs="Times New Roman"/>
                <w:color w:val="000000"/>
                <w:spacing w:val="0"/>
                <w:w w:val="100"/>
                <w:position w:val="0"/>
                <w:sz w:val="20"/>
                <w:szCs w:val="20"/>
              </w:rPr>
              <w:t>165,159</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6.93700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1,145,708</w:t>
            </w:r>
          </w:p>
        </w:tc>
      </w:tr>
      <w:tr>
        <w:trPr>
          <w:trHeight w:val="590"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可供出售金融资产</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264"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60"/>
              <w:jc w:val="left"/>
              <w:rPr>
                <w:sz w:val="20"/>
                <w:szCs w:val="20"/>
              </w:rPr>
            </w:pPr>
            <w:r>
              <w:rPr>
                <w:color w:val="000000"/>
                <w:spacing w:val="0"/>
                <w:w w:val="100"/>
                <w:position w:val="0"/>
                <w:sz w:val="20"/>
                <w:szCs w:val="20"/>
              </w:rPr>
              <w:t>美元</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60"/>
              <w:jc w:val="left"/>
              <w:rPr>
                <w:sz w:val="20"/>
                <w:szCs w:val="20"/>
              </w:rPr>
            </w:pPr>
            <w:r>
              <w:rPr>
                <w:rFonts w:ascii="Times New Roman" w:eastAsia="Times New Roman" w:hAnsi="Times New Roman" w:cs="Times New Roman"/>
                <w:color w:val="000000"/>
                <w:spacing w:val="0"/>
                <w:w w:val="100"/>
                <w:position w:val="0"/>
                <w:sz w:val="20"/>
                <w:szCs w:val="20"/>
              </w:rPr>
              <w:t>5,039</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6.93700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60"/>
              <w:jc w:val="left"/>
              <w:rPr>
                <w:sz w:val="20"/>
                <w:szCs w:val="20"/>
              </w:rPr>
            </w:pPr>
            <w:r>
              <w:rPr>
                <w:rFonts w:ascii="Times New Roman" w:eastAsia="Times New Roman" w:hAnsi="Times New Roman" w:cs="Times New Roman"/>
                <w:color w:val="000000"/>
                <w:spacing w:val="0"/>
                <w:w w:val="100"/>
                <w:position w:val="0"/>
                <w:sz w:val="20"/>
                <w:szCs w:val="20"/>
              </w:rPr>
              <w:t>34,956</w:t>
            </w:r>
          </w:p>
        </w:tc>
      </w:tr>
      <w:tr>
        <w:trPr>
          <w:trHeight w:val="586"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其他非流动负债一</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288"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60"/>
              <w:jc w:val="left"/>
              <w:rPr>
                <w:sz w:val="20"/>
                <w:szCs w:val="20"/>
              </w:rPr>
            </w:pPr>
            <w:r>
              <w:rPr>
                <w:color w:val="000000"/>
                <w:spacing w:val="0"/>
                <w:w w:val="100"/>
                <w:position w:val="0"/>
                <w:sz w:val="20"/>
                <w:szCs w:val="20"/>
              </w:rPr>
              <w:t>美元</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60"/>
              <w:jc w:val="left"/>
              <w:rPr>
                <w:sz w:val="20"/>
                <w:szCs w:val="20"/>
              </w:rPr>
            </w:pPr>
            <w:r>
              <w:rPr>
                <w:rFonts w:ascii="Times New Roman" w:eastAsia="Times New Roman" w:hAnsi="Times New Roman" w:cs="Times New Roman"/>
                <w:color w:val="000000"/>
                <w:spacing w:val="0"/>
                <w:w w:val="100"/>
                <w:position w:val="0"/>
                <w:sz w:val="20"/>
                <w:szCs w:val="20"/>
              </w:rPr>
              <w:t>2,163</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6.93700</w:t>
            </w:r>
          </w:p>
        </w:tc>
        <w:tc>
          <w:tcPr>
            <w:tcBorders>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60"/>
              <w:jc w:val="left"/>
              <w:rPr>
                <w:sz w:val="20"/>
                <w:szCs w:val="20"/>
              </w:rPr>
            </w:pPr>
            <w:r>
              <w:rPr>
                <w:rFonts w:ascii="Times New Roman" w:eastAsia="Times New Roman" w:hAnsi="Times New Roman" w:cs="Times New Roman"/>
                <w:color w:val="000000"/>
                <w:spacing w:val="0"/>
                <w:w w:val="100"/>
                <w:position w:val="0"/>
                <w:sz w:val="20"/>
                <w:szCs w:val="20"/>
              </w:rPr>
              <w:t>15,005</w:t>
            </w:r>
          </w:p>
        </w:tc>
      </w:tr>
    </w:tbl>
    <w:p>
      <w:pPr>
        <w:pStyle w:val="Style32"/>
        <w:keepNext w:val="0"/>
        <w:keepLines w:val="0"/>
        <w:widowControl w:val="0"/>
        <w:shd w:val="clear" w:color="auto" w:fill="auto"/>
        <w:bidi w:val="0"/>
        <w:spacing w:before="0" w:after="0" w:line="240" w:lineRule="auto"/>
        <w:ind w:left="0" w:right="0" w:firstLine="660"/>
        <w:jc w:val="both"/>
        <w:rPr>
          <w:sz w:val="24"/>
          <w:szCs w:val="24"/>
        </w:rPr>
      </w:pPr>
      <w:r>
        <w:rPr>
          <w:b/>
          <w:bCs/>
          <w:color w:val="000000"/>
          <w:spacing w:val="0"/>
          <w:w w:val="100"/>
          <w:position w:val="0"/>
          <w:sz w:val="24"/>
          <w:szCs w:val="24"/>
        </w:rPr>
        <w:t>财务报表附注</w:t>
      </w:r>
    </w:p>
    <w:p>
      <w:pPr>
        <w:pStyle w:val="Style88"/>
        <w:keepNext/>
        <w:keepLines/>
        <w:widowControl w:val="0"/>
        <w:shd w:val="clear" w:color="auto" w:fill="auto"/>
        <w:bidi w:val="0"/>
        <w:spacing w:before="0" w:after="0" w:line="240" w:lineRule="auto"/>
        <w:ind w:left="0" w:right="0" w:firstLine="660"/>
        <w:jc w:val="left"/>
      </w:pPr>
      <w:bookmarkStart w:id="1006" w:name="bookmark1006"/>
      <w:bookmarkStart w:id="1007" w:name="bookmark1007"/>
      <w:bookmarkStart w:id="1008" w:name="bookmark1008"/>
      <w:r>
        <w:rPr>
          <w:color w:val="000000"/>
          <w:spacing w:val="0"/>
          <w:w w:val="100"/>
          <w:position w:val="0"/>
          <w:sz w:val="24"/>
          <w:szCs w:val="24"/>
        </w:rPr>
        <w:t>2016</w:t>
      </w:r>
      <w:r>
        <w:rPr>
          <w:rFonts w:ascii="SimSun" w:eastAsia="SimSun" w:hAnsi="SimSun" w:cs="SimSun"/>
          <w:b/>
          <w:bCs/>
          <w:color w:val="000000"/>
          <w:spacing w:val="0"/>
          <w:w w:val="100"/>
          <w:position w:val="0"/>
          <w:sz w:val="24"/>
          <w:szCs w:val="24"/>
        </w:rPr>
        <w:t>年度</w:t>
      </w:r>
      <w:bookmarkEnd w:id="1006"/>
      <w:bookmarkEnd w:id="1007"/>
      <w:bookmarkEnd w:id="1008"/>
    </w:p>
    <w:p>
      <w:pPr>
        <w:pStyle w:val="Style32"/>
        <w:keepNext w:val="0"/>
        <w:keepLines w:val="0"/>
        <w:widowControl w:val="0"/>
        <w:shd w:val="clear" w:color="auto" w:fill="auto"/>
        <w:bidi w:val="0"/>
        <w:spacing w:before="0" w:after="0" w:line="240" w:lineRule="auto"/>
        <w:ind w:left="0" w:right="0" w:firstLine="660"/>
        <w:jc w:val="left"/>
        <w:rPr>
          <w:sz w:val="20"/>
          <w:szCs w:val="20"/>
        </w:rPr>
        <w:sectPr>
          <w:footnotePr>
            <w:pos w:val="pageBottom"/>
            <w:numFmt w:val="decimal"/>
            <w:numRestart w:val="continuous"/>
          </w:footnotePr>
          <w:pgSz w:w="11900" w:h="16840"/>
          <w:pgMar w:top="1326" w:right="1261" w:bottom="1614" w:left="1696" w:header="0" w:footer="3" w:gutter="0"/>
          <w:cols w:space="720"/>
          <w:noEndnote/>
          <w:rtlGutter w:val="0"/>
          <w:docGrid w:linePitch="360"/>
        </w:sectPr>
      </w:pPr>
      <w:r>
        <w:rPr>
          <w:rFonts w:ascii="Arial" w:eastAsia="Arial" w:hAnsi="Arial" w:cs="Arial"/>
          <w:color w:val="000000"/>
          <w:spacing w:val="0"/>
          <w:w w:val="100"/>
          <w:position w:val="0"/>
          <w:sz w:val="20"/>
          <w:szCs w:val="20"/>
        </w:rPr>
        <w:t>（</w:t>
      </w:r>
      <w:r>
        <w:rPr>
          <w:color w:val="000000"/>
          <w:spacing w:val="0"/>
          <w:w w:val="100"/>
          <w:position w:val="0"/>
          <w:sz w:val="20"/>
          <w:szCs w:val="20"/>
        </w:rPr>
        <w:t>除特别注明外，金额单位为人民币千元</w:t>
      </w:r>
      <w:r>
        <w:rPr>
          <w:rFonts w:ascii="Arial" w:eastAsia="Arial" w:hAnsi="Arial" w:cs="Arial"/>
          <w:color w:val="000000"/>
          <w:spacing w:val="0"/>
          <w:w w:val="100"/>
          <w:position w:val="0"/>
          <w:sz w:val="20"/>
          <w:szCs w:val="20"/>
        </w:rPr>
        <w:t>）</w:t>
      </w:r>
    </w:p>
    <w:p>
      <w:pPr>
        <w:pStyle w:val="Style32"/>
        <w:keepNext w:val="0"/>
        <w:keepLines w:val="0"/>
        <w:widowControl w:val="0"/>
        <w:shd w:val="clear" w:color="auto" w:fill="auto"/>
        <w:bidi w:val="0"/>
        <w:spacing w:before="0" w:after="0" w:line="288" w:lineRule="exact"/>
        <w:ind w:left="700" w:right="0" w:firstLine="40"/>
        <w:jc w:val="left"/>
        <w:rPr>
          <w:sz w:val="24"/>
          <w:szCs w:val="24"/>
        </w:rPr>
      </w:pPr>
      <w:r>
        <w:rPr>
          <w:b/>
          <w:bCs/>
          <w:color w:val="000000"/>
          <w:spacing w:val="0"/>
          <w:w w:val="100"/>
          <w:position w:val="0"/>
          <w:sz w:val="24"/>
          <w:szCs w:val="24"/>
        </w:rPr>
        <w:t xml:space="preserve">财务报表附注 </w:t>
      </w:r>
      <w:r>
        <w:rPr>
          <w:rFonts w:ascii="Arial" w:eastAsia="Arial" w:hAnsi="Arial" w:cs="Arial"/>
          <w:color w:val="000000"/>
          <w:spacing w:val="0"/>
          <w:w w:val="100"/>
          <w:position w:val="0"/>
          <w:sz w:val="24"/>
          <w:szCs w:val="24"/>
        </w:rPr>
        <w:t>2016</w:t>
      </w:r>
      <w:r>
        <w:rPr>
          <w:b/>
          <w:bCs/>
          <w:color w:val="000000"/>
          <w:spacing w:val="0"/>
          <w:w w:val="100"/>
          <w:position w:val="0"/>
          <w:sz w:val="24"/>
          <w:szCs w:val="24"/>
        </w:rPr>
        <w:t>年度</w:t>
      </w:r>
    </w:p>
    <w:p>
      <w:pPr>
        <w:pStyle w:val="Style32"/>
        <w:keepNext w:val="0"/>
        <w:keepLines w:val="0"/>
        <w:widowControl w:val="0"/>
        <w:shd w:val="clear" w:color="auto" w:fill="auto"/>
        <w:bidi w:val="0"/>
        <w:spacing w:before="0" w:after="260" w:line="240" w:lineRule="auto"/>
        <w:ind w:left="0" w:right="0" w:firstLine="700"/>
        <w:jc w:val="left"/>
        <w:rPr>
          <w:sz w:val="24"/>
          <w:szCs w:val="24"/>
        </w:rPr>
      </w:pPr>
      <w:r>
        <w:rPr>
          <w:rFonts w:ascii="Arial" w:eastAsia="Arial" w:hAnsi="Arial" w:cs="Arial"/>
          <w:color w:val="000000"/>
          <w:spacing w:val="0"/>
          <w:w w:val="100"/>
          <w:position w:val="0"/>
          <w:sz w:val="20"/>
          <w:szCs w:val="20"/>
        </w:rPr>
        <w:t>(</w:t>
      </w:r>
      <w:r>
        <w:rPr>
          <w:color w:val="000000"/>
          <w:spacing w:val="0"/>
          <w:w w:val="100"/>
          <w:position w:val="0"/>
          <w:sz w:val="20"/>
          <w:szCs w:val="20"/>
        </w:rPr>
        <w:t>除特别注明外，金额单位为人民币千元</w:t>
      </w:r>
      <w:r>
        <w:rPr>
          <w:color w:val="000000"/>
          <w:spacing w:val="0"/>
          <w:w w:val="100"/>
          <w:position w:val="0"/>
          <w:sz w:val="24"/>
          <w:szCs w:val="24"/>
        </w:rPr>
        <w:t>)</w:t>
      </w:r>
    </w:p>
    <w:p>
      <w:pPr>
        <w:pStyle w:val="Style32"/>
        <w:keepNext w:val="0"/>
        <w:keepLines w:val="0"/>
        <w:widowControl w:val="0"/>
        <w:shd w:val="clear" w:color="auto" w:fill="auto"/>
        <w:bidi w:val="0"/>
        <w:spacing w:before="0" w:after="260" w:line="240" w:lineRule="auto"/>
        <w:ind w:left="0" w:right="0" w:firstLine="0"/>
        <w:jc w:val="left"/>
        <w:rPr>
          <w:sz w:val="24"/>
          <w:szCs w:val="24"/>
        </w:rPr>
      </w:pPr>
      <w:r>
        <w:rPr>
          <w:b/>
          <w:bCs/>
          <w:color w:val="000000"/>
          <w:spacing w:val="0"/>
          <w:w w:val="100"/>
          <w:position w:val="0"/>
          <w:sz w:val="24"/>
          <w:szCs w:val="24"/>
        </w:rPr>
        <w:t>五 合并范围的变更</w:t>
      </w:r>
    </w:p>
    <w:p>
      <w:pPr>
        <w:pStyle w:val="Style32"/>
        <w:keepNext w:val="0"/>
        <w:keepLines w:val="0"/>
        <w:widowControl w:val="0"/>
        <w:shd w:val="clear" w:color="auto" w:fill="auto"/>
        <w:tabs>
          <w:tab w:pos="658" w:val="left"/>
        </w:tabs>
        <w:bidi w:val="0"/>
        <w:spacing w:before="0" w:after="26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(1)</w:t>
        <w:tab/>
      </w:r>
      <w:r>
        <w:rPr>
          <w:b/>
          <w:bCs/>
          <w:color w:val="000000"/>
          <w:spacing w:val="0"/>
          <w:w w:val="100"/>
          <w:position w:val="0"/>
          <w:sz w:val="24"/>
          <w:szCs w:val="24"/>
        </w:rPr>
        <w:t>非同一控制下的企业合并</w:t>
      </w:r>
    </w:p>
    <w:p>
      <w:pPr>
        <w:pStyle w:val="Style32"/>
        <w:keepNext w:val="0"/>
        <w:keepLines w:val="0"/>
        <w:widowControl w:val="0"/>
        <w:shd w:val="clear" w:color="auto" w:fill="auto"/>
        <w:tabs>
          <w:tab w:pos="658" w:val="left"/>
        </w:tabs>
        <w:bidi w:val="0"/>
        <w:spacing w:before="0" w:after="26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(a)</w:t>
        <w:tab/>
      </w:r>
      <w:r>
        <w:rPr>
          <w:color w:val="000000"/>
          <w:spacing w:val="0"/>
          <w:w w:val="100"/>
          <w:position w:val="0"/>
          <w:sz w:val="24"/>
          <w:szCs w:val="24"/>
        </w:rPr>
        <w:t>本年度发生的非同一控制下的企业合并</w:t>
      </w:r>
    </w:p>
    <w:tbl>
      <w:tblPr>
        <w:tblOverlap w:val="never"/>
        <w:jc w:val="center"/>
        <w:tblLayout w:type="fixed"/>
      </w:tblPr>
      <w:tblGrid>
        <w:gridCol w:w="1762"/>
        <w:gridCol w:w="1339"/>
        <w:gridCol w:w="1138"/>
        <w:gridCol w:w="1099"/>
        <w:gridCol w:w="734"/>
        <w:gridCol w:w="1166"/>
        <w:gridCol w:w="1330"/>
        <w:gridCol w:w="1277"/>
        <w:gridCol w:w="1243"/>
        <w:gridCol w:w="1627"/>
        <w:gridCol w:w="1378"/>
      </w:tblGrid>
      <w:tr>
        <w:trPr>
          <w:trHeight w:val="893"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被购买方</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取得时点</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购买成本</w:t>
            </w:r>
          </w:p>
        </w:tc>
        <w:tc>
          <w:tcPr>
            <w:tcBorders/>
            <w:shd w:val="clear" w:color="auto" w:fill="FFFFFF"/>
            <w:vAlign w:val="center"/>
          </w:tcPr>
          <w:p>
            <w:pPr>
              <w:pStyle w:val="Style28"/>
              <w:keepNext w:val="0"/>
              <w:keepLines w:val="0"/>
              <w:widowControl w:val="0"/>
              <w:shd w:val="clear" w:color="auto" w:fill="auto"/>
              <w:bidi w:val="0"/>
              <w:spacing w:before="0" w:after="0" w:line="259" w:lineRule="exact"/>
              <w:ind w:left="0" w:right="140" w:firstLine="0"/>
              <w:jc w:val="right"/>
              <w:rPr>
                <w:sz w:val="20"/>
                <w:szCs w:val="20"/>
              </w:rPr>
            </w:pPr>
            <w:r>
              <w:rPr>
                <w:color w:val="000000"/>
                <w:spacing w:val="0"/>
                <w:w w:val="100"/>
                <w:position w:val="0"/>
                <w:sz w:val="20"/>
                <w:szCs w:val="20"/>
              </w:rPr>
              <w:t>取得的 权益比例</w:t>
            </w:r>
          </w:p>
        </w:tc>
        <w:tc>
          <w:tcPr>
            <w:tcBorders/>
            <w:shd w:val="clear" w:color="auto" w:fill="FFFFFF"/>
            <w:vAlign w:val="center"/>
          </w:tcPr>
          <w:p>
            <w:pPr>
              <w:pStyle w:val="Style28"/>
              <w:keepNext w:val="0"/>
              <w:keepLines w:val="0"/>
              <w:widowControl w:val="0"/>
              <w:shd w:val="clear" w:color="auto" w:fill="auto"/>
              <w:bidi w:val="0"/>
              <w:spacing w:before="0" w:after="40" w:line="240" w:lineRule="auto"/>
              <w:ind w:left="0" w:right="0" w:firstLine="160"/>
              <w:jc w:val="left"/>
              <w:rPr>
                <w:sz w:val="20"/>
                <w:szCs w:val="20"/>
              </w:rPr>
            </w:pPr>
            <w:r>
              <w:rPr>
                <w:color w:val="000000"/>
                <w:spacing w:val="0"/>
                <w:w w:val="100"/>
                <w:position w:val="0"/>
                <w:sz w:val="20"/>
                <w:szCs w:val="20"/>
              </w:rPr>
              <w:t>取得</w:t>
            </w:r>
          </w:p>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方式</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购买日</w:t>
            </w:r>
          </w:p>
        </w:tc>
        <w:tc>
          <w:tcPr>
            <w:tcBorders/>
            <w:shd w:val="clear" w:color="auto" w:fill="FFFFFF"/>
            <w:vAlign w:val="center"/>
          </w:tcPr>
          <w:p>
            <w:pPr>
              <w:pStyle w:val="Style28"/>
              <w:keepNext w:val="0"/>
              <w:keepLines w:val="0"/>
              <w:widowControl w:val="0"/>
              <w:shd w:val="clear" w:color="auto" w:fill="auto"/>
              <w:bidi w:val="0"/>
              <w:spacing w:before="0" w:after="0" w:line="274" w:lineRule="exact"/>
              <w:ind w:left="0" w:right="0" w:firstLine="0"/>
              <w:jc w:val="right"/>
              <w:rPr>
                <w:sz w:val="20"/>
                <w:szCs w:val="20"/>
              </w:rPr>
            </w:pPr>
            <w:r>
              <w:rPr>
                <w:color w:val="000000"/>
                <w:spacing w:val="0"/>
                <w:w w:val="100"/>
                <w:position w:val="0"/>
                <w:sz w:val="20"/>
                <w:szCs w:val="20"/>
              </w:rPr>
              <w:t>购买日 确定依据</w:t>
            </w:r>
          </w:p>
        </w:tc>
        <w:tc>
          <w:tcPr>
            <w:tcBorders/>
            <w:shd w:val="clear" w:color="auto" w:fill="FFFFFF"/>
            <w:vAlign w:val="top"/>
          </w:tcPr>
          <w:p>
            <w:pPr>
              <w:pStyle w:val="Style28"/>
              <w:keepNext w:val="0"/>
              <w:keepLines w:val="0"/>
              <w:widowControl w:val="0"/>
              <w:shd w:val="clear" w:color="auto" w:fill="auto"/>
              <w:bidi w:val="0"/>
              <w:spacing w:before="0" w:after="0" w:line="259" w:lineRule="exact"/>
              <w:ind w:left="0" w:right="0" w:firstLine="0"/>
              <w:jc w:val="right"/>
              <w:rPr>
                <w:sz w:val="20"/>
                <w:szCs w:val="20"/>
              </w:rPr>
            </w:pPr>
            <w:r>
              <w:rPr>
                <w:color w:val="000000"/>
                <w:spacing w:val="0"/>
                <w:w w:val="100"/>
                <w:position w:val="0"/>
                <w:sz w:val="20"/>
                <w:szCs w:val="20"/>
              </w:rPr>
              <w:t>购买日至年 末被购买方 的收入</w:t>
            </w:r>
          </w:p>
        </w:tc>
        <w:tc>
          <w:tcPr>
            <w:tcBorders/>
            <w:shd w:val="clear" w:color="auto" w:fill="FFFFFF"/>
            <w:vAlign w:val="top"/>
          </w:tcPr>
          <w:p>
            <w:pPr>
              <w:pStyle w:val="Style28"/>
              <w:keepNext w:val="0"/>
              <w:keepLines w:val="0"/>
              <w:widowControl w:val="0"/>
              <w:shd w:val="clear" w:color="auto" w:fill="auto"/>
              <w:bidi w:val="0"/>
              <w:spacing w:before="0" w:after="0" w:line="266" w:lineRule="exact"/>
              <w:ind w:left="0" w:right="0" w:firstLine="0"/>
              <w:jc w:val="right"/>
              <w:rPr>
                <w:sz w:val="20"/>
                <w:szCs w:val="20"/>
              </w:rPr>
            </w:pPr>
            <w:r>
              <w:rPr>
                <w:color w:val="000000"/>
                <w:spacing w:val="0"/>
                <w:w w:val="100"/>
                <w:position w:val="0"/>
                <w:sz w:val="20"/>
                <w:szCs w:val="20"/>
              </w:rPr>
              <w:t>购买日至年 末被购买方 的净亏损</w:t>
            </w:r>
          </w:p>
        </w:tc>
        <w:tc>
          <w:tcPr>
            <w:tcBorders/>
            <w:shd w:val="clear" w:color="auto" w:fill="FFFFFF"/>
            <w:vAlign w:val="top"/>
          </w:tcPr>
          <w:p>
            <w:pPr>
              <w:pStyle w:val="Style28"/>
              <w:keepNext w:val="0"/>
              <w:keepLines w:val="0"/>
              <w:widowControl w:val="0"/>
              <w:shd w:val="clear" w:color="auto" w:fill="auto"/>
              <w:bidi w:val="0"/>
              <w:spacing w:before="0" w:after="0" w:line="264" w:lineRule="exact"/>
              <w:ind w:left="0" w:right="0" w:firstLine="0"/>
              <w:jc w:val="right"/>
              <w:rPr>
                <w:sz w:val="20"/>
                <w:szCs w:val="20"/>
              </w:rPr>
            </w:pPr>
            <w:r>
              <w:rPr>
                <w:color w:val="000000"/>
                <w:spacing w:val="0"/>
                <w:w w:val="100"/>
                <w:position w:val="0"/>
                <w:sz w:val="20"/>
                <w:szCs w:val="20"/>
              </w:rPr>
              <w:t>购买日至年末被 购买方的经营活 动现金流量</w:t>
            </w:r>
          </w:p>
        </w:tc>
        <w:tc>
          <w:tcPr>
            <w:tcBorders/>
            <w:shd w:val="clear" w:color="auto" w:fill="FFFFFF"/>
            <w:vAlign w:val="top"/>
          </w:tcPr>
          <w:p>
            <w:pPr>
              <w:pStyle w:val="Style28"/>
              <w:keepNext w:val="0"/>
              <w:keepLines w:val="0"/>
              <w:widowControl w:val="0"/>
              <w:shd w:val="clear" w:color="auto" w:fill="auto"/>
              <w:bidi w:val="0"/>
              <w:spacing w:before="0" w:after="0" w:line="259" w:lineRule="exact"/>
              <w:ind w:left="0" w:right="0" w:firstLine="0"/>
              <w:jc w:val="right"/>
              <w:rPr>
                <w:sz w:val="20"/>
                <w:szCs w:val="20"/>
              </w:rPr>
            </w:pPr>
            <w:r>
              <w:rPr>
                <w:color w:val="000000"/>
                <w:spacing w:val="0"/>
                <w:w w:val="100"/>
                <w:position w:val="0"/>
                <w:sz w:val="20"/>
                <w:szCs w:val="20"/>
              </w:rPr>
              <w:t>购买日至年末 被购买方的现 金流量净额</w:t>
            </w:r>
          </w:p>
        </w:tc>
      </w:tr>
      <w:tr>
        <w:trPr>
          <w:trHeight w:val="394"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新兴制鞋业务</w:t>
            </w:r>
            <w:r>
              <w:rPr>
                <w:rFonts w:ascii="Times New Roman" w:eastAsia="Times New Roman" w:hAnsi="Times New Roman" w:cs="Times New Roman"/>
                <w:color w:val="000000"/>
                <w:spacing w:val="0"/>
                <w:w w:val="100"/>
                <w:position w:val="0"/>
                <w:sz w:val="20"/>
                <w:szCs w:val="20"/>
              </w:rPr>
              <w:t>(1)</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 xml:space="preserve">2016 </w:t>
            </w:r>
            <w:r>
              <w:rPr>
                <w:color w:val="000000"/>
                <w:spacing w:val="0"/>
                <w:w w:val="100"/>
                <w:position w:val="0"/>
                <w:sz w:val="20"/>
                <w:szCs w:val="20"/>
              </w:rPr>
              <w:t xml:space="preserve">年 </w:t>
            </w:r>
            <w:r>
              <w:rPr>
                <w:rFonts w:ascii="Times New Roman" w:eastAsia="Times New Roman" w:hAnsi="Times New Roman" w:cs="Times New Roman"/>
                <w:color w:val="000000"/>
                <w:spacing w:val="0"/>
                <w:w w:val="100"/>
                <w:position w:val="0"/>
                <w:sz w:val="20"/>
                <w:szCs w:val="20"/>
              </w:rPr>
              <w:t>8</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43,512</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100.00%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购买</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 xml:space="preserve">2016 </w:t>
            </w:r>
            <w:r>
              <w:rPr>
                <w:color w:val="000000"/>
                <w:spacing w:val="0"/>
                <w:w w:val="100"/>
                <w:position w:val="0"/>
                <w:sz w:val="20"/>
                <w:szCs w:val="20"/>
              </w:rPr>
              <w:t xml:space="preserve">年 </w:t>
            </w:r>
            <w:r>
              <w:rPr>
                <w:rFonts w:ascii="Times New Roman" w:eastAsia="Times New Roman" w:hAnsi="Times New Roman" w:cs="Times New Roman"/>
                <w:color w:val="000000"/>
                <w:spacing w:val="0"/>
                <w:w w:val="100"/>
                <w:position w:val="0"/>
                <w:sz w:val="20"/>
                <w:szCs w:val="20"/>
              </w:rPr>
              <w:t>8</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实际取得新</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61,107</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14,488</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200" w:firstLine="0"/>
              <w:jc w:val="right"/>
              <w:rPr>
                <w:sz w:val="20"/>
                <w:szCs w:val="20"/>
              </w:rPr>
            </w:pPr>
            <w:r>
              <w:rPr>
                <w:rFonts w:ascii="Times New Roman" w:eastAsia="Times New Roman" w:hAnsi="Times New Roman" w:cs="Times New Roman"/>
                <w:color w:val="000000"/>
                <w:spacing w:val="0"/>
                <w:w w:val="100"/>
                <w:position w:val="0"/>
                <w:sz w:val="20"/>
                <w:szCs w:val="20"/>
              </w:rPr>
              <w:t>278</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94</w:t>
            </w:r>
          </w:p>
        </w:tc>
      </w:tr>
    </w:tbl>
    <w:p>
      <w:pPr>
        <w:pStyle w:val="Style25"/>
        <w:keepNext w:val="0"/>
        <w:keepLines w:val="0"/>
        <w:widowControl w:val="0"/>
        <w:shd w:val="clear" w:color="auto" w:fill="auto"/>
        <w:tabs>
          <w:tab w:pos="4109" w:val="left"/>
        </w:tabs>
        <w:bidi w:val="0"/>
        <w:spacing w:before="0" w:after="0" w:line="240" w:lineRule="auto"/>
        <w:ind w:left="0" w:right="0" w:firstLine="0"/>
        <w:jc w:val="left"/>
        <w:rPr>
          <w:sz w:val="20"/>
          <w:szCs w:val="20"/>
        </w:rPr>
      </w:pP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w:t>
        <w:tab/>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 兴制鞋业务</w:t>
      </w:r>
    </w:p>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控制权</w:t>
      </w:r>
    </w:p>
    <w:p>
      <w:pPr>
        <w:widowControl w:val="0"/>
        <w:spacing w:after="259" w:line="1" w:lineRule="exact"/>
      </w:pPr>
    </w:p>
    <w:p>
      <w:pPr>
        <w:pStyle w:val="Style32"/>
        <w:keepNext w:val="0"/>
        <w:keepLines w:val="0"/>
        <w:widowControl w:val="0"/>
        <w:shd w:val="clear" w:color="auto" w:fill="auto"/>
        <w:bidi w:val="0"/>
        <w:spacing w:before="0" w:after="260" w:line="317" w:lineRule="exact"/>
        <w:ind w:left="1060" w:right="0" w:hanging="320"/>
        <w:jc w:val="left"/>
        <w:rPr>
          <w:sz w:val="24"/>
          <w:szCs w:val="24"/>
        </w:rPr>
        <w:sectPr>
          <w:headerReference w:type="default" r:id="rId175"/>
          <w:footerReference w:type="default" r:id="rId176"/>
          <w:headerReference w:type="even" r:id="rId177"/>
          <w:footerReference w:type="even" r:id="rId178"/>
          <w:footnotePr>
            <w:pos w:val="pageBottom"/>
            <w:numFmt w:val="decimal"/>
            <w:numRestart w:val="continuous"/>
          </w:footnotePr>
          <w:pgSz w:w="16840" w:h="11900" w:orient="landscape"/>
          <w:pgMar w:top="1350" w:right="1374" w:bottom="1350" w:left="668" w:header="0" w:footer="3" w:gutter="0"/>
          <w:cols w:space="720"/>
          <w:noEndnote/>
          <w:rtlGutter w:val="0"/>
          <w:docGrid w:linePitch="360"/>
        </w:sectPr>
      </w:pPr>
      <w:r>
        <w:rPr>
          <w:color w:val="000000"/>
          <w:spacing w:val="0"/>
          <w:w w:val="100"/>
          <w:position w:val="0"/>
          <w:sz w:val="24"/>
          <w:szCs w:val="24"/>
        </w:rPr>
        <w:t>⑴于</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8</w:t>
      </w:r>
      <w:r>
        <w:rPr>
          <w:color w:val="000000"/>
          <w:spacing w:val="0"/>
          <w:w w:val="100"/>
          <w:position w:val="0"/>
          <w:sz w:val="24"/>
          <w:szCs w:val="24"/>
        </w:rPr>
        <w:t>月，本集团向新兴制鞋工业株式会社和</w:t>
      </w:r>
      <w:r>
        <w:rPr>
          <w:rFonts w:ascii="Times New Roman" w:eastAsia="Times New Roman" w:hAnsi="Times New Roman" w:cs="Times New Roman"/>
          <w:color w:val="000000"/>
          <w:spacing w:val="0"/>
          <w:w w:val="100"/>
          <w:position w:val="0"/>
          <w:sz w:val="24"/>
          <w:szCs w:val="24"/>
        </w:rPr>
        <w:t>SHIN-EI</w:t>
      </w:r>
      <w:r>
        <w:rPr>
          <w:color w:val="000000"/>
          <w:spacing w:val="0"/>
          <w:w w:val="100"/>
          <w:position w:val="0"/>
          <w:sz w:val="24"/>
          <w:szCs w:val="24"/>
        </w:rPr>
        <w:t>株式会社的原股东收购了其持有的新兴制鞋工业株式会社和</w:t>
      </w:r>
      <w:r>
        <w:rPr>
          <w:rFonts w:ascii="Times New Roman" w:eastAsia="Times New Roman" w:hAnsi="Times New Roman" w:cs="Times New Roman"/>
          <w:color w:val="000000"/>
          <w:spacing w:val="0"/>
          <w:w w:val="100"/>
          <w:position w:val="0"/>
          <w:sz w:val="24"/>
          <w:szCs w:val="24"/>
        </w:rPr>
        <w:t xml:space="preserve">SHIN-EI </w:t>
      </w:r>
      <w:r>
        <w:rPr>
          <w:color w:val="000000"/>
          <w:spacing w:val="0"/>
          <w:w w:val="100"/>
          <w:position w:val="0"/>
          <w:sz w:val="24"/>
          <w:szCs w:val="24"/>
        </w:rPr>
        <w:t>株式会社的</w:t>
      </w:r>
      <w:r>
        <w:rPr>
          <w:rFonts w:ascii="Times New Roman" w:eastAsia="Times New Roman" w:hAnsi="Times New Roman" w:cs="Times New Roman"/>
          <w:color w:val="000000"/>
          <w:spacing w:val="0"/>
          <w:w w:val="100"/>
          <w:position w:val="0"/>
          <w:sz w:val="24"/>
          <w:szCs w:val="24"/>
        </w:rPr>
        <w:t>100%</w:t>
      </w:r>
      <w:r>
        <w:rPr>
          <w:color w:val="000000"/>
          <w:spacing w:val="0"/>
          <w:w w:val="100"/>
          <w:position w:val="0"/>
          <w:sz w:val="24"/>
          <w:szCs w:val="24"/>
        </w:rPr>
        <w:t>股权。本次交易的购买日为</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8</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日，系本集团实际取得新兴制鞋业务控制权的日期。</w:t>
      </w:r>
    </w:p>
    <w:p>
      <w:pPr>
        <w:pStyle w:val="Style32"/>
        <w:keepNext w:val="0"/>
        <w:keepLines w:val="0"/>
        <w:widowControl w:val="0"/>
        <w:shd w:val="clear" w:color="auto" w:fill="auto"/>
        <w:bidi w:val="0"/>
        <w:spacing w:before="0" w:after="0" w:line="240" w:lineRule="auto"/>
        <w:ind w:left="0" w:right="0" w:firstLine="720"/>
        <w:jc w:val="left"/>
        <w:rPr>
          <w:sz w:val="24"/>
          <w:szCs w:val="24"/>
        </w:rPr>
      </w:pPr>
      <w:r>
        <w:rPr>
          <w:b/>
          <w:bCs/>
          <w:color w:val="000000"/>
          <w:spacing w:val="0"/>
          <w:w w:val="100"/>
          <w:position w:val="0"/>
          <w:sz w:val="24"/>
          <w:szCs w:val="24"/>
        </w:rPr>
        <w:t>财务报表附注</w:t>
      </w:r>
    </w:p>
    <w:p>
      <w:pPr>
        <w:pStyle w:val="Style88"/>
        <w:keepNext/>
        <w:keepLines/>
        <w:widowControl w:val="0"/>
        <w:shd w:val="clear" w:color="auto" w:fill="auto"/>
        <w:bidi w:val="0"/>
        <w:spacing w:before="0" w:after="0" w:line="240" w:lineRule="auto"/>
        <w:ind w:left="0" w:right="0" w:firstLine="720"/>
        <w:jc w:val="left"/>
      </w:pPr>
      <w:bookmarkStart w:id="1009" w:name="bookmark1009"/>
      <w:bookmarkStart w:id="1010" w:name="bookmark1010"/>
      <w:bookmarkStart w:id="1011" w:name="bookmark1011"/>
      <w:r>
        <w:rPr>
          <w:color w:val="000000"/>
          <w:spacing w:val="0"/>
          <w:w w:val="100"/>
          <w:position w:val="0"/>
          <w:sz w:val="24"/>
          <w:szCs w:val="24"/>
        </w:rPr>
        <w:t>2016</w:t>
      </w:r>
      <w:r>
        <w:rPr>
          <w:rFonts w:ascii="SimSun" w:eastAsia="SimSun" w:hAnsi="SimSun" w:cs="SimSun"/>
          <w:b/>
          <w:bCs/>
          <w:color w:val="000000"/>
          <w:spacing w:val="0"/>
          <w:w w:val="100"/>
          <w:position w:val="0"/>
          <w:sz w:val="24"/>
          <w:szCs w:val="24"/>
        </w:rPr>
        <w:t>年度</w:t>
      </w:r>
      <w:bookmarkEnd w:id="1009"/>
      <w:bookmarkEnd w:id="1010"/>
      <w:bookmarkEnd w:id="1011"/>
    </w:p>
    <w:p>
      <w:pPr>
        <w:pStyle w:val="Style32"/>
        <w:keepNext w:val="0"/>
        <w:keepLines w:val="0"/>
        <w:widowControl w:val="0"/>
        <w:shd w:val="clear" w:color="auto" w:fill="auto"/>
        <w:bidi w:val="0"/>
        <w:spacing w:before="0" w:after="280" w:line="240" w:lineRule="auto"/>
        <w:ind w:left="0" w:right="0" w:firstLine="720"/>
        <w:jc w:val="left"/>
        <w:rPr>
          <w:sz w:val="24"/>
          <w:szCs w:val="24"/>
        </w:rPr>
      </w:pPr>
      <w:r>
        <w:rPr>
          <w:rFonts w:ascii="Arial" w:eastAsia="Arial" w:hAnsi="Arial" w:cs="Arial"/>
          <w:color w:val="000000"/>
          <w:spacing w:val="0"/>
          <w:w w:val="100"/>
          <w:position w:val="0"/>
          <w:sz w:val="20"/>
          <w:szCs w:val="20"/>
        </w:rPr>
        <w:t>(</w:t>
      </w:r>
      <w:r>
        <w:rPr>
          <w:color w:val="000000"/>
          <w:spacing w:val="0"/>
          <w:w w:val="100"/>
          <w:position w:val="0"/>
          <w:sz w:val="20"/>
          <w:szCs w:val="20"/>
        </w:rPr>
        <w:t>除特别注明外，金额单位为人民币千元</w:t>
      </w:r>
      <w:r>
        <w:rPr>
          <w:color w:val="000000"/>
          <w:spacing w:val="0"/>
          <w:w w:val="100"/>
          <w:position w:val="0"/>
          <w:sz w:val="24"/>
          <w:szCs w:val="24"/>
        </w:rPr>
        <w:t>)</w:t>
      </w:r>
    </w:p>
    <w:p>
      <w:pPr>
        <w:pStyle w:val="Style32"/>
        <w:keepNext w:val="0"/>
        <w:keepLines w:val="0"/>
        <w:widowControl w:val="0"/>
        <w:shd w:val="clear" w:color="auto" w:fill="auto"/>
        <w:tabs>
          <w:tab w:pos="661" w:val="left"/>
        </w:tabs>
        <w:bidi w:val="0"/>
        <w:spacing w:before="0" w:after="280" w:line="240" w:lineRule="auto"/>
        <w:ind w:left="0" w:right="0" w:firstLine="0"/>
        <w:jc w:val="left"/>
        <w:rPr>
          <w:sz w:val="24"/>
          <w:szCs w:val="24"/>
        </w:rPr>
      </w:pPr>
      <w:r>
        <w:rPr>
          <w:b/>
          <w:bCs/>
          <w:color w:val="000000"/>
          <w:spacing w:val="0"/>
          <w:w w:val="100"/>
          <w:position w:val="0"/>
          <w:sz w:val="24"/>
          <w:szCs w:val="24"/>
        </w:rPr>
        <w:t>五</w:t>
        <w:tab/>
        <w:t>合并范围的变更</w:t>
      </w:r>
      <w:r>
        <w:rPr>
          <w:rFonts w:ascii="Times New Roman" w:eastAsia="Times New Roman" w:hAnsi="Times New Roman" w:cs="Times New Roman"/>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4"/>
          <w:szCs w:val="24"/>
        </w:rPr>
        <w:t>)</w:t>
      </w:r>
    </w:p>
    <w:p>
      <w:pPr>
        <w:pStyle w:val="Style32"/>
        <w:keepNext w:val="0"/>
        <w:keepLines w:val="0"/>
        <w:widowControl w:val="0"/>
        <w:shd w:val="clear" w:color="auto" w:fill="auto"/>
        <w:tabs>
          <w:tab w:pos="661" w:val="left"/>
        </w:tabs>
        <w:bidi w:val="0"/>
        <w:spacing w:before="0" w:after="28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(1)</w:t>
        <w:tab/>
      </w:r>
      <w:r>
        <w:rPr>
          <w:b/>
          <w:bCs/>
          <w:color w:val="000000"/>
          <w:spacing w:val="0"/>
          <w:w w:val="100"/>
          <w:position w:val="0"/>
          <w:sz w:val="24"/>
          <w:szCs w:val="24"/>
        </w:rPr>
        <w:t>非同一控制下的企业合并</w:t>
      </w:r>
      <w:r>
        <w:rPr>
          <w:rFonts w:ascii="Times New Roman" w:eastAsia="Times New Roman" w:hAnsi="Times New Roman" w:cs="Times New Roman"/>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4"/>
          <w:szCs w:val="24"/>
        </w:rPr>
        <w:t>)</w:t>
      </w:r>
    </w:p>
    <w:p>
      <w:pPr>
        <w:pStyle w:val="Style32"/>
        <w:keepNext w:val="0"/>
        <w:keepLines w:val="0"/>
        <w:widowControl w:val="0"/>
        <w:shd w:val="clear" w:color="auto" w:fill="auto"/>
        <w:tabs>
          <w:tab w:pos="661" w:val="left"/>
        </w:tabs>
        <w:bidi w:val="0"/>
        <w:spacing w:before="0" w:after="28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(b)</w:t>
        <w:tab/>
      </w:r>
      <w:r>
        <w:rPr>
          <w:color w:val="000000"/>
          <w:spacing w:val="0"/>
          <w:w w:val="100"/>
          <w:position w:val="0"/>
          <w:sz w:val="24"/>
          <w:szCs w:val="24"/>
        </w:rPr>
        <w:t>合并成本以及商誉的确认情况如下：</w:t>
      </w:r>
    </w:p>
    <w:p>
      <w:pPr>
        <w:pStyle w:val="Style32"/>
        <w:keepNext w:val="0"/>
        <w:keepLines w:val="0"/>
        <w:widowControl w:val="0"/>
        <w:shd w:val="clear" w:color="auto" w:fill="auto"/>
        <w:bidi w:val="0"/>
        <w:spacing w:before="0" w:after="280" w:line="240" w:lineRule="auto"/>
        <w:ind w:left="0" w:right="0" w:firstLine="0"/>
        <w:jc w:val="right"/>
        <w:rPr>
          <w:sz w:val="24"/>
          <w:szCs w:val="24"/>
        </w:rPr>
      </w:pPr>
      <w:r>
        <w:rPr>
          <w:color w:val="000000"/>
          <w:spacing w:val="0"/>
          <w:w w:val="100"/>
          <w:position w:val="0"/>
          <w:sz w:val="24"/>
          <w:szCs w:val="24"/>
        </w:rPr>
        <w:t>新兴制鞋业务</w:t>
      </w:r>
    </w:p>
    <w:p>
      <w:pPr>
        <w:pStyle w:val="Style32"/>
        <w:keepNext w:val="0"/>
        <w:keepLines w:val="0"/>
        <w:widowControl w:val="0"/>
        <w:shd w:val="clear" w:color="auto" w:fill="auto"/>
        <w:bidi w:val="0"/>
        <w:spacing w:before="0" w:after="0" w:line="240" w:lineRule="auto"/>
        <w:ind w:left="0" w:right="0" w:firstLine="720"/>
        <w:jc w:val="left"/>
        <w:rPr>
          <w:sz w:val="24"/>
          <w:szCs w:val="24"/>
        </w:rPr>
      </w:pPr>
      <w:r>
        <w:rPr>
          <w:color w:val="000000"/>
          <w:spacing w:val="0"/>
          <w:w w:val="100"/>
          <w:position w:val="0"/>
          <w:sz w:val="24"/>
          <w:szCs w:val="24"/>
        </w:rPr>
        <w:t>合并成本</w:t>
      </w:r>
      <w:r>
        <w:rPr>
          <w:rFonts w:ascii="Times New Roman" w:eastAsia="Times New Roman" w:hAnsi="Times New Roman" w:cs="Times New Roman"/>
          <w:color w:val="000000"/>
          <w:spacing w:val="0"/>
          <w:w w:val="100"/>
          <w:position w:val="0"/>
          <w:sz w:val="24"/>
          <w:szCs w:val="24"/>
        </w:rPr>
        <w:t>-</w:t>
      </w:r>
    </w:p>
    <w:p>
      <w:pPr>
        <w:pStyle w:val="Style53"/>
        <w:keepNext w:val="0"/>
        <w:keepLines w:val="0"/>
        <w:widowControl w:val="0"/>
        <w:shd w:val="clear" w:color="auto" w:fill="auto"/>
        <w:tabs>
          <w:tab w:pos="9216" w:val="right"/>
        </w:tabs>
        <w:bidi w:val="0"/>
        <w:spacing w:before="0" w:after="60" w:line="240" w:lineRule="auto"/>
        <w:ind w:left="0" w:right="0" w:firstLine="720"/>
        <w:jc w:val="left"/>
        <w:rPr>
          <w:sz w:val="24"/>
          <w:szCs w:val="24"/>
        </w:rPr>
      </w:pPr>
      <w:r>
        <w:rPr>
          <w:rFonts w:ascii="SimSun" w:eastAsia="SimSun" w:hAnsi="SimSun" w:cs="SimSun"/>
          <w:color w:val="000000"/>
          <w:spacing w:val="0"/>
          <w:w w:val="100"/>
          <w:position w:val="0"/>
          <w:sz w:val="24"/>
          <w:szCs w:val="24"/>
        </w:rPr>
        <w:t>现金</w:t>
        <w:tab/>
      </w:r>
      <w:r>
        <w:rPr>
          <w:color w:val="000000"/>
          <w:spacing w:val="0"/>
          <w:w w:val="100"/>
          <w:position w:val="0"/>
          <w:sz w:val="24"/>
          <w:szCs w:val="24"/>
        </w:rPr>
        <w:t>43,512</w:t>
      </w:r>
    </w:p>
    <w:p>
      <w:pPr>
        <w:pStyle w:val="Style32"/>
        <w:keepNext w:val="0"/>
        <w:keepLines w:val="0"/>
        <w:widowControl w:val="0"/>
        <w:shd w:val="clear" w:color="auto" w:fill="auto"/>
        <w:tabs>
          <w:tab w:pos="8902" w:val="center"/>
        </w:tabs>
        <w:bidi w:val="0"/>
        <w:spacing w:before="0" w:after="0" w:line="240" w:lineRule="auto"/>
        <w:ind w:left="0" w:right="0" w:firstLine="720"/>
        <w:jc w:val="left"/>
        <w:rPr>
          <w:sz w:val="24"/>
          <w:szCs w:val="24"/>
        </w:rPr>
      </w:pPr>
      <w:r>
        <w:rPr>
          <w:color w:val="000000"/>
          <w:spacing w:val="0"/>
          <w:w w:val="100"/>
          <w:position w:val="0"/>
          <w:sz w:val="24"/>
          <w:szCs w:val="24"/>
        </w:rPr>
        <w:t>减：取得的可辨认净资产公允价值份额</w:t>
        <w:tab/>
        <w:t xml:space="preserve"> </w:t>
      </w:r>
      <w:r>
        <w:rPr>
          <w:rFonts w:ascii="Times New Roman" w:eastAsia="Times New Roman" w:hAnsi="Times New Roman" w:cs="Times New Roman"/>
          <w:color w:val="000000"/>
          <w:spacing w:val="0"/>
          <w:w w:val="100"/>
          <w:position w:val="0"/>
          <w:sz w:val="24"/>
          <w:szCs w:val="24"/>
          <w:u w:val="single"/>
        </w:rPr>
        <w:t>(74,818)</w:t>
      </w:r>
    </w:p>
    <w:p>
      <w:pPr>
        <w:pStyle w:val="Style53"/>
        <w:keepNext w:val="0"/>
        <w:keepLines w:val="0"/>
        <w:widowControl w:val="0"/>
        <w:shd w:val="clear" w:color="auto" w:fill="auto"/>
        <w:tabs>
          <w:tab w:pos="8902" w:val="center"/>
        </w:tabs>
        <w:bidi w:val="0"/>
        <w:spacing w:before="0" w:after="280" w:line="240" w:lineRule="auto"/>
        <w:ind w:left="0" w:right="0" w:firstLine="720"/>
        <w:jc w:val="left"/>
        <w:rPr>
          <w:sz w:val="24"/>
          <w:szCs w:val="24"/>
        </w:rPr>
      </w:pPr>
      <w:r>
        <w:rPr>
          <w:rFonts w:ascii="SimSun" w:eastAsia="SimSun" w:hAnsi="SimSun" w:cs="SimSun"/>
          <w:color w:val="000000"/>
          <w:spacing w:val="0"/>
          <w:w w:val="100"/>
          <w:position w:val="0"/>
          <w:sz w:val="24"/>
          <w:szCs w:val="24"/>
        </w:rPr>
        <w:t>商誉。)</w:t>
        <w:tab/>
        <w:t xml:space="preserve"> </w:t>
      </w:r>
      <w:r>
        <w:rPr>
          <w:color w:val="000000"/>
          <w:spacing w:val="0"/>
          <w:w w:val="100"/>
          <w:position w:val="0"/>
          <w:sz w:val="24"/>
          <w:szCs w:val="24"/>
          <w:u w:val="single"/>
        </w:rPr>
        <w:t>(31,306)</w:t>
      </w:r>
    </w:p>
    <w:p>
      <w:pPr>
        <w:pStyle w:val="Style32"/>
        <w:keepNext w:val="0"/>
        <w:keepLines w:val="0"/>
        <w:widowControl w:val="0"/>
        <w:shd w:val="clear" w:color="auto" w:fill="auto"/>
        <w:bidi w:val="0"/>
        <w:spacing w:before="0" w:after="280" w:line="293" w:lineRule="exact"/>
        <w:ind w:left="720" w:right="0" w:firstLine="20"/>
        <w:jc w:val="both"/>
        <w:rPr>
          <w:sz w:val="24"/>
          <w:szCs w:val="24"/>
        </w:rPr>
        <w:sectPr>
          <w:headerReference w:type="default" r:id="rId179"/>
          <w:footerReference w:type="default" r:id="rId180"/>
          <w:headerReference w:type="even" r:id="rId181"/>
          <w:footerReference w:type="even" r:id="rId182"/>
          <w:footnotePr>
            <w:pos w:val="pageBottom"/>
            <w:numFmt w:val="decimal"/>
            <w:numRestart w:val="continuous"/>
          </w:footnotePr>
          <w:pgSz w:w="11900" w:h="16840"/>
          <w:pgMar w:top="1354" w:right="828" w:bottom="1354" w:left="1698"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24"/>
          <w:szCs w:val="24"/>
        </w:rPr>
        <w:t>(i)</w:t>
      </w:r>
      <w:r>
        <w:rPr>
          <w:color w:val="000000"/>
          <w:spacing w:val="0"/>
          <w:w w:val="100"/>
          <w:position w:val="0"/>
          <w:sz w:val="24"/>
          <w:szCs w:val="24"/>
        </w:rPr>
        <w:t>本集团合并成本低于取得的新兴制鞋业务可辨认净资产公允价值份额之间的差 额约人民币</w:t>
      </w:r>
      <w:r>
        <w:rPr>
          <w:rFonts w:ascii="Times New Roman" w:eastAsia="Times New Roman" w:hAnsi="Times New Roman" w:cs="Times New Roman"/>
          <w:color w:val="000000"/>
          <w:spacing w:val="0"/>
          <w:w w:val="100"/>
          <w:position w:val="0"/>
          <w:sz w:val="24"/>
          <w:szCs w:val="24"/>
        </w:rPr>
        <w:t>3,131</w:t>
      </w:r>
      <w:r>
        <w:rPr>
          <w:color w:val="000000"/>
          <w:spacing w:val="0"/>
          <w:w w:val="100"/>
          <w:position w:val="0"/>
          <w:sz w:val="24"/>
          <w:szCs w:val="24"/>
        </w:rPr>
        <w:t>万元</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附注四</w:t>
      </w:r>
      <w:r>
        <w:rPr>
          <w:rFonts w:ascii="Times New Roman" w:eastAsia="Times New Roman" w:hAnsi="Times New Roman" w:cs="Times New Roman"/>
          <w:color w:val="000000"/>
          <w:spacing w:val="0"/>
          <w:w w:val="100"/>
          <w:position w:val="0"/>
          <w:sz w:val="24"/>
          <w:szCs w:val="24"/>
        </w:rPr>
        <w:t>(53))</w:t>
      </w:r>
      <w:r>
        <w:rPr>
          <w:color w:val="000000"/>
          <w:spacing w:val="0"/>
          <w:w w:val="100"/>
          <w:position w:val="0"/>
          <w:sz w:val="24"/>
          <w:szCs w:val="24"/>
        </w:rPr>
        <w:t>账列营业外收入。</w:t>
      </w:r>
    </w:p>
    <w:p>
      <w:pPr>
        <w:pStyle w:val="Style32"/>
        <w:keepNext w:val="0"/>
        <w:keepLines w:val="0"/>
        <w:widowControl w:val="0"/>
        <w:shd w:val="clear" w:color="auto" w:fill="auto"/>
        <w:bidi w:val="0"/>
        <w:spacing w:before="0" w:after="0" w:line="240" w:lineRule="auto"/>
        <w:ind w:left="0" w:right="0" w:firstLine="720"/>
        <w:jc w:val="left"/>
        <w:rPr>
          <w:sz w:val="24"/>
          <w:szCs w:val="24"/>
        </w:rPr>
      </w:pPr>
      <w:r>
        <w:rPr>
          <w:b/>
          <w:bCs/>
          <w:color w:val="000000"/>
          <w:spacing w:val="0"/>
          <w:w w:val="100"/>
          <w:position w:val="0"/>
          <w:sz w:val="24"/>
          <w:szCs w:val="24"/>
        </w:rPr>
        <w:t>财务报表附注</w:t>
      </w:r>
    </w:p>
    <w:p>
      <w:pPr>
        <w:pStyle w:val="Style88"/>
        <w:keepNext/>
        <w:keepLines/>
        <w:widowControl w:val="0"/>
        <w:shd w:val="clear" w:color="auto" w:fill="auto"/>
        <w:bidi w:val="0"/>
        <w:spacing w:before="0" w:after="0" w:line="240" w:lineRule="auto"/>
        <w:ind w:left="0" w:right="0" w:firstLine="720"/>
        <w:jc w:val="left"/>
      </w:pPr>
      <w:bookmarkStart w:id="1012" w:name="bookmark1012"/>
      <w:bookmarkStart w:id="1013" w:name="bookmark1013"/>
      <w:bookmarkStart w:id="1014" w:name="bookmark1014"/>
      <w:r>
        <w:rPr>
          <w:color w:val="000000"/>
          <w:spacing w:val="0"/>
          <w:w w:val="100"/>
          <w:position w:val="0"/>
          <w:sz w:val="24"/>
          <w:szCs w:val="24"/>
        </w:rPr>
        <w:t>2016</w:t>
      </w:r>
      <w:r>
        <w:rPr>
          <w:rFonts w:ascii="SimSun" w:eastAsia="SimSun" w:hAnsi="SimSun" w:cs="SimSun"/>
          <w:b/>
          <w:bCs/>
          <w:color w:val="000000"/>
          <w:spacing w:val="0"/>
          <w:w w:val="100"/>
          <w:position w:val="0"/>
          <w:sz w:val="24"/>
          <w:szCs w:val="24"/>
        </w:rPr>
        <w:t>年度</w:t>
      </w:r>
      <w:bookmarkEnd w:id="1012"/>
      <w:bookmarkEnd w:id="1013"/>
      <w:bookmarkEnd w:id="1014"/>
    </w:p>
    <w:p>
      <w:pPr>
        <w:pStyle w:val="Style32"/>
        <w:keepNext w:val="0"/>
        <w:keepLines w:val="0"/>
        <w:widowControl w:val="0"/>
        <w:shd w:val="clear" w:color="auto" w:fill="auto"/>
        <w:bidi w:val="0"/>
        <w:spacing w:before="0" w:after="240" w:line="240" w:lineRule="auto"/>
        <w:ind w:left="0" w:right="0" w:firstLine="720"/>
        <w:jc w:val="left"/>
        <w:rPr>
          <w:sz w:val="24"/>
          <w:szCs w:val="24"/>
        </w:rPr>
      </w:pPr>
      <w:r>
        <w:rPr>
          <w:rFonts w:ascii="Arial" w:eastAsia="Arial" w:hAnsi="Arial" w:cs="Arial"/>
          <w:color w:val="000000"/>
          <w:spacing w:val="0"/>
          <w:w w:val="100"/>
          <w:position w:val="0"/>
          <w:sz w:val="20"/>
          <w:szCs w:val="20"/>
        </w:rPr>
        <w:t>(</w:t>
      </w:r>
      <w:r>
        <w:rPr>
          <w:color w:val="000000"/>
          <w:spacing w:val="0"/>
          <w:w w:val="100"/>
          <w:position w:val="0"/>
          <w:sz w:val="20"/>
          <w:szCs w:val="20"/>
        </w:rPr>
        <w:t>除特别注明外，金额单位为人民币千元</w:t>
      </w:r>
      <w:r>
        <w:rPr>
          <w:color w:val="000000"/>
          <w:spacing w:val="0"/>
          <w:w w:val="100"/>
          <w:position w:val="0"/>
          <w:sz w:val="24"/>
          <w:szCs w:val="24"/>
        </w:rPr>
        <w:t>)</w:t>
      </w:r>
    </w:p>
    <w:p>
      <w:pPr>
        <w:pStyle w:val="Style32"/>
        <w:keepNext w:val="0"/>
        <w:keepLines w:val="0"/>
        <w:widowControl w:val="0"/>
        <w:shd w:val="clear" w:color="auto" w:fill="auto"/>
        <w:tabs>
          <w:tab w:pos="656" w:val="left"/>
        </w:tabs>
        <w:bidi w:val="0"/>
        <w:spacing w:before="0" w:after="240" w:line="240" w:lineRule="auto"/>
        <w:ind w:left="0" w:right="0" w:firstLine="0"/>
        <w:jc w:val="left"/>
        <w:rPr>
          <w:sz w:val="24"/>
          <w:szCs w:val="24"/>
        </w:rPr>
      </w:pPr>
      <w:r>
        <w:rPr>
          <w:b/>
          <w:bCs/>
          <w:color w:val="000000"/>
          <w:spacing w:val="0"/>
          <w:w w:val="100"/>
          <w:position w:val="0"/>
          <w:sz w:val="24"/>
          <w:szCs w:val="24"/>
        </w:rPr>
        <w:t>五</w:t>
        <w:tab/>
        <w:t>合并范围的变更</w:t>
      </w:r>
      <w:r>
        <w:rPr>
          <w:rFonts w:ascii="Times New Roman" w:eastAsia="Times New Roman" w:hAnsi="Times New Roman" w:cs="Times New Roman"/>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4"/>
          <w:szCs w:val="24"/>
        </w:rPr>
        <w:t>)</w:t>
      </w:r>
    </w:p>
    <w:p>
      <w:pPr>
        <w:pStyle w:val="Style32"/>
        <w:keepNext w:val="0"/>
        <w:keepLines w:val="0"/>
        <w:widowControl w:val="0"/>
        <w:shd w:val="clear" w:color="auto" w:fill="auto"/>
        <w:tabs>
          <w:tab w:pos="656" w:val="left"/>
        </w:tabs>
        <w:bidi w:val="0"/>
        <w:spacing w:before="0" w:after="24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(1)</w:t>
        <w:tab/>
      </w:r>
      <w:r>
        <w:rPr>
          <w:b/>
          <w:bCs/>
          <w:color w:val="000000"/>
          <w:spacing w:val="0"/>
          <w:w w:val="100"/>
          <w:position w:val="0"/>
          <w:sz w:val="24"/>
          <w:szCs w:val="24"/>
        </w:rPr>
        <w:t>非同一控制下的企业合并</w:t>
      </w:r>
      <w:r>
        <w:rPr>
          <w:rFonts w:ascii="Times New Roman" w:eastAsia="Times New Roman" w:hAnsi="Times New Roman" w:cs="Times New Roman"/>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4"/>
          <w:szCs w:val="24"/>
        </w:rPr>
        <w:t>)</w:t>
      </w:r>
    </w:p>
    <w:p>
      <w:pPr>
        <w:pStyle w:val="Style32"/>
        <w:keepNext w:val="0"/>
        <w:keepLines w:val="0"/>
        <w:widowControl w:val="0"/>
        <w:numPr>
          <w:ilvl w:val="0"/>
          <w:numId w:val="87"/>
        </w:numPr>
        <w:shd w:val="clear" w:color="auto" w:fill="auto"/>
        <w:tabs>
          <w:tab w:pos="656" w:val="left"/>
        </w:tabs>
        <w:bidi w:val="0"/>
        <w:spacing w:before="0" w:after="300" w:line="240" w:lineRule="auto"/>
        <w:ind w:left="0" w:right="0" w:firstLine="0"/>
        <w:jc w:val="left"/>
        <w:rPr>
          <w:sz w:val="24"/>
          <w:szCs w:val="24"/>
        </w:rPr>
      </w:pPr>
      <w:bookmarkStart w:id="1015" w:name="bookmark1015"/>
      <w:bookmarkEnd w:id="1015"/>
      <w:r>
        <w:rPr>
          <w:color w:val="000000"/>
          <w:spacing w:val="0"/>
          <w:w w:val="100"/>
          <w:position w:val="0"/>
          <w:sz w:val="24"/>
          <w:szCs w:val="24"/>
        </w:rPr>
        <w:t>被购买方于购买日的资产和负债情况列示如下：</w:t>
      </w:r>
    </w:p>
    <w:p>
      <w:pPr>
        <w:pStyle w:val="Style32"/>
        <w:keepNext w:val="0"/>
        <w:keepLines w:val="0"/>
        <w:widowControl w:val="0"/>
        <w:shd w:val="clear" w:color="auto" w:fill="auto"/>
        <w:bidi w:val="0"/>
        <w:spacing w:before="0" w:after="300" w:line="240" w:lineRule="auto"/>
        <w:ind w:left="0" w:right="0" w:firstLine="720"/>
        <w:jc w:val="left"/>
        <w:rPr>
          <w:sz w:val="24"/>
          <w:szCs w:val="24"/>
        </w:rPr>
      </w:pPr>
      <w:r>
        <w:rPr>
          <w:color w:val="000000"/>
          <w:spacing w:val="0"/>
          <w:w w:val="100"/>
          <w:position w:val="0"/>
          <w:sz w:val="24"/>
          <w:szCs w:val="24"/>
        </w:rPr>
        <w:t>新兴制鞋业务</w:t>
      </w:r>
    </w:p>
    <w:p>
      <w:pPr>
        <w:pStyle w:val="Style32"/>
        <w:keepNext w:val="0"/>
        <w:keepLines w:val="0"/>
        <w:widowControl w:val="0"/>
        <w:shd w:val="clear" w:color="auto" w:fill="auto"/>
        <w:tabs>
          <w:tab w:pos="2654" w:val="left"/>
        </w:tabs>
        <w:bidi w:val="0"/>
        <w:spacing w:before="0" w:after="0" w:line="240" w:lineRule="auto"/>
        <w:ind w:left="0" w:right="0" w:firstLine="0"/>
        <w:jc w:val="right"/>
        <w:rPr>
          <w:sz w:val="24"/>
          <w:szCs w:val="24"/>
        </w:rPr>
      </w:pPr>
      <w:r>
        <w:rPr>
          <w:color w:val="000000"/>
          <w:spacing w:val="0"/>
          <w:w w:val="100"/>
          <w:position w:val="0"/>
          <w:sz w:val="24"/>
          <w:szCs w:val="24"/>
        </w:rPr>
        <w:t>购买日</w:t>
        <w:tab/>
        <w:t>购买日</w:t>
      </w:r>
    </w:p>
    <w:p>
      <w:pPr>
        <w:pStyle w:val="Style32"/>
        <w:keepNext w:val="0"/>
        <w:keepLines w:val="0"/>
        <w:widowControl w:val="0"/>
        <w:shd w:val="clear" w:color="auto" w:fill="auto"/>
        <w:tabs>
          <w:tab w:pos="2654" w:val="left"/>
        </w:tabs>
        <w:bidi w:val="0"/>
        <w:spacing w:before="0" w:after="300" w:line="240" w:lineRule="auto"/>
        <w:ind w:left="0" w:right="0" w:firstLine="0"/>
        <w:jc w:val="right"/>
        <w:rPr>
          <w:sz w:val="24"/>
          <w:szCs w:val="24"/>
        </w:rPr>
      </w:pPr>
      <w:r>
        <w:rPr>
          <w:color w:val="000000"/>
          <w:spacing w:val="0"/>
          <w:w w:val="100"/>
          <w:position w:val="0"/>
          <w:sz w:val="24"/>
          <w:szCs w:val="24"/>
        </w:rPr>
        <w:t>公允价值</w:t>
        <w:tab/>
        <w:t>账面价值</w:t>
      </w:r>
    </w:p>
    <w:p>
      <w:pPr>
        <w:pStyle w:val="Style53"/>
        <w:keepNext w:val="0"/>
        <w:keepLines w:val="0"/>
        <w:widowControl w:val="0"/>
        <w:shd w:val="clear" w:color="auto" w:fill="auto"/>
        <w:tabs>
          <w:tab w:pos="6566" w:val="right"/>
          <w:tab w:pos="9204" w:val="right"/>
        </w:tabs>
        <w:bidi w:val="0"/>
        <w:spacing w:before="0" w:after="0" w:line="240" w:lineRule="auto"/>
        <w:ind w:left="0" w:right="0" w:firstLine="720"/>
        <w:jc w:val="both"/>
        <w:rPr>
          <w:sz w:val="24"/>
          <w:szCs w:val="24"/>
        </w:rPr>
      </w:pPr>
      <w:r>
        <w:rPr>
          <w:rFonts w:ascii="SimSun" w:eastAsia="SimSun" w:hAnsi="SimSun" w:cs="SimSun"/>
          <w:color w:val="000000"/>
          <w:spacing w:val="0"/>
          <w:w w:val="100"/>
          <w:position w:val="0"/>
          <w:sz w:val="24"/>
          <w:szCs w:val="24"/>
        </w:rPr>
        <w:t>应收款项</w:t>
        <w:tab/>
      </w:r>
      <w:r>
        <w:rPr>
          <w:color w:val="000000"/>
          <w:spacing w:val="0"/>
          <w:w w:val="100"/>
          <w:position w:val="0"/>
          <w:sz w:val="24"/>
          <w:szCs w:val="24"/>
        </w:rPr>
        <w:t>15,811</w:t>
        <w:tab/>
        <w:t>15,811</w:t>
      </w:r>
    </w:p>
    <w:p>
      <w:pPr>
        <w:pStyle w:val="Style53"/>
        <w:keepNext w:val="0"/>
        <w:keepLines w:val="0"/>
        <w:widowControl w:val="0"/>
        <w:shd w:val="clear" w:color="auto" w:fill="auto"/>
        <w:tabs>
          <w:tab w:pos="6566" w:val="right"/>
          <w:tab w:pos="9204" w:val="right"/>
        </w:tabs>
        <w:bidi w:val="0"/>
        <w:spacing w:before="0" w:after="0" w:line="240" w:lineRule="auto"/>
        <w:ind w:left="0" w:right="0" w:firstLine="720"/>
        <w:jc w:val="both"/>
        <w:rPr>
          <w:sz w:val="24"/>
          <w:szCs w:val="24"/>
        </w:rPr>
      </w:pPr>
      <w:r>
        <w:rPr>
          <w:rFonts w:ascii="SimSun" w:eastAsia="SimSun" w:hAnsi="SimSun" w:cs="SimSun"/>
          <w:color w:val="000000"/>
          <w:spacing w:val="0"/>
          <w:w w:val="100"/>
          <w:position w:val="0"/>
          <w:sz w:val="24"/>
          <w:szCs w:val="24"/>
        </w:rPr>
        <w:t>存货</w:t>
        <w:tab/>
      </w:r>
      <w:r>
        <w:rPr>
          <w:color w:val="000000"/>
          <w:spacing w:val="0"/>
          <w:w w:val="100"/>
          <w:position w:val="0"/>
          <w:sz w:val="24"/>
          <w:szCs w:val="24"/>
        </w:rPr>
        <w:t>64,970</w:t>
        <w:tab/>
        <w:t>64,970</w:t>
      </w:r>
    </w:p>
    <w:p>
      <w:pPr>
        <w:pStyle w:val="Style22"/>
        <w:keepNext w:val="0"/>
        <w:keepLines w:val="0"/>
        <w:widowControl w:val="0"/>
        <w:shd w:val="clear" w:color="auto" w:fill="auto"/>
        <w:tabs>
          <w:tab w:pos="6566" w:val="right"/>
          <w:tab w:pos="9204" w:val="right"/>
        </w:tabs>
        <w:bidi w:val="0"/>
        <w:spacing w:before="0" w:after="0" w:line="240" w:lineRule="auto"/>
        <w:ind w:left="0" w:right="0" w:firstLine="720"/>
        <w:jc w:val="both"/>
      </w:pPr>
      <w:r>
        <w:fldChar w:fldCharType="begin"/>
        <w:instrText xml:space="preserve"> TOC \o "1-5" \h \z </w:instrText>
        <w:fldChar w:fldCharType="separate"/>
      </w:r>
      <w:r>
        <w:rPr>
          <w:color w:val="000000"/>
          <w:spacing w:val="0"/>
          <w:w w:val="100"/>
          <w:position w:val="0"/>
          <w:sz w:val="24"/>
          <w:szCs w:val="24"/>
        </w:rPr>
        <w:t>固定资产</w:t>
        <w:tab/>
      </w:r>
      <w:r>
        <w:rPr>
          <w:rFonts w:ascii="Times New Roman" w:eastAsia="Times New Roman" w:hAnsi="Times New Roman" w:cs="Times New Roman"/>
          <w:color w:val="000000"/>
          <w:spacing w:val="0"/>
          <w:w w:val="100"/>
          <w:position w:val="0"/>
          <w:sz w:val="24"/>
          <w:szCs w:val="24"/>
        </w:rPr>
        <w:t>12,147</w:t>
        <w:tab/>
        <w:t>8,421</w:t>
      </w:r>
    </w:p>
    <w:p>
      <w:pPr>
        <w:pStyle w:val="Style22"/>
        <w:keepNext w:val="0"/>
        <w:keepLines w:val="0"/>
        <w:widowControl w:val="0"/>
        <w:shd w:val="clear" w:color="auto" w:fill="auto"/>
        <w:tabs>
          <w:tab w:pos="6566" w:val="right"/>
          <w:tab w:pos="9204" w:val="right"/>
        </w:tabs>
        <w:bidi w:val="0"/>
        <w:spacing w:before="0" w:after="0" w:line="240" w:lineRule="auto"/>
        <w:ind w:left="0" w:right="0" w:firstLine="720"/>
        <w:jc w:val="both"/>
      </w:pPr>
      <w:r>
        <w:rPr>
          <w:color w:val="000000"/>
          <w:spacing w:val="0"/>
          <w:w w:val="100"/>
          <w:position w:val="0"/>
          <w:sz w:val="24"/>
          <w:szCs w:val="24"/>
        </w:rPr>
        <w:t>无形资产</w:t>
        <w:tab/>
      </w:r>
      <w:r>
        <w:rPr>
          <w:rFonts w:ascii="Times New Roman" w:eastAsia="Times New Roman" w:hAnsi="Times New Roman" w:cs="Times New Roman"/>
          <w:color w:val="000000"/>
          <w:spacing w:val="0"/>
          <w:w w:val="100"/>
          <w:position w:val="0"/>
          <w:sz w:val="24"/>
          <w:szCs w:val="24"/>
        </w:rPr>
        <w:t>9,248</w:t>
        <w:tab/>
        <w:t>16,403</w:t>
      </w:r>
    </w:p>
    <w:p>
      <w:pPr>
        <w:pStyle w:val="Style22"/>
        <w:keepNext w:val="0"/>
        <w:keepLines w:val="0"/>
        <w:widowControl w:val="0"/>
        <w:shd w:val="clear" w:color="auto" w:fill="auto"/>
        <w:tabs>
          <w:tab w:pos="6566" w:val="right"/>
          <w:tab w:pos="9204" w:val="right"/>
        </w:tabs>
        <w:bidi w:val="0"/>
        <w:spacing w:before="0" w:after="0" w:line="240" w:lineRule="auto"/>
        <w:ind w:left="0" w:right="0" w:firstLine="720"/>
        <w:jc w:val="both"/>
      </w:pPr>
      <w:r>
        <w:rPr>
          <w:color w:val="000000"/>
          <w:spacing w:val="0"/>
          <w:w w:val="100"/>
          <w:position w:val="0"/>
          <w:sz w:val="24"/>
          <w:szCs w:val="24"/>
        </w:rPr>
        <w:t>其他非流动资产</w:t>
        <w:tab/>
      </w:r>
      <w:r>
        <w:rPr>
          <w:rFonts w:ascii="Times New Roman" w:eastAsia="Times New Roman" w:hAnsi="Times New Roman" w:cs="Times New Roman"/>
          <w:color w:val="000000"/>
          <w:spacing w:val="0"/>
          <w:w w:val="100"/>
          <w:position w:val="0"/>
          <w:sz w:val="24"/>
          <w:szCs w:val="24"/>
        </w:rPr>
        <w:t>55</w:t>
        <w:tab/>
        <w:t>55</w:t>
      </w:r>
    </w:p>
    <w:p>
      <w:pPr>
        <w:pStyle w:val="Style22"/>
        <w:keepNext w:val="0"/>
        <w:keepLines w:val="0"/>
        <w:widowControl w:val="0"/>
        <w:shd w:val="clear" w:color="auto" w:fill="auto"/>
        <w:tabs>
          <w:tab w:pos="6106" w:val="left"/>
          <w:tab w:pos="8798" w:val="left"/>
        </w:tabs>
        <w:bidi w:val="0"/>
        <w:spacing w:before="0" w:after="0" w:line="240" w:lineRule="auto"/>
        <w:ind w:left="0" w:right="0" w:firstLine="720"/>
        <w:jc w:val="both"/>
      </w:pPr>
      <w:r>
        <w:rPr>
          <w:color w:val="000000"/>
          <w:spacing w:val="0"/>
          <w:w w:val="100"/>
          <w:position w:val="0"/>
          <w:sz w:val="24"/>
          <w:szCs w:val="24"/>
        </w:rPr>
        <w:t>减：借款</w:t>
        <w:tab/>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184)</w:t>
        <w:tab/>
        <w:t>(184)</w:t>
      </w:r>
      <w:r>
        <w:fldChar w:fldCharType="end"/>
      </w:r>
    </w:p>
    <w:p>
      <w:pPr>
        <w:pStyle w:val="Style53"/>
        <w:keepNext w:val="0"/>
        <w:keepLines w:val="0"/>
        <w:widowControl w:val="0"/>
        <w:shd w:val="clear" w:color="auto" w:fill="auto"/>
        <w:tabs>
          <w:tab w:pos="3928" w:val="left"/>
          <w:tab w:leader="underscore" w:pos="5867" w:val="left"/>
          <w:tab w:leader="underscore" w:pos="8531" w:val="left"/>
        </w:tabs>
        <w:bidi w:val="0"/>
        <w:spacing w:before="0" w:after="0" w:line="240" w:lineRule="auto"/>
        <w:ind w:left="1240" w:right="0" w:firstLine="0"/>
        <w:jc w:val="both"/>
        <w:rPr>
          <w:sz w:val="24"/>
          <w:szCs w:val="24"/>
        </w:rPr>
      </w:pPr>
      <w:r>
        <w:rPr>
          <w:rFonts w:ascii="SimSun" w:eastAsia="SimSun" w:hAnsi="SimSun" w:cs="SimSun"/>
          <w:color w:val="000000"/>
          <w:spacing w:val="0"/>
          <w:w w:val="100"/>
          <w:position w:val="0"/>
          <w:sz w:val="24"/>
          <w:szCs w:val="24"/>
        </w:rPr>
        <w:t>应付款项</w:t>
        <w:tab/>
        <w:tab/>
      </w:r>
      <w:r>
        <w:rPr>
          <w:color w:val="000000"/>
          <w:spacing w:val="0"/>
          <w:w w:val="100"/>
          <w:position w:val="0"/>
          <w:sz w:val="24"/>
          <w:szCs w:val="24"/>
          <w:u w:val="single"/>
        </w:rPr>
        <w:t>(27,229)</w:t>
      </w:r>
      <w:r>
        <w:rPr>
          <w:color w:val="000000"/>
          <w:spacing w:val="0"/>
          <w:w w:val="100"/>
          <w:position w:val="0"/>
          <w:sz w:val="24"/>
          <w:szCs w:val="24"/>
        </w:rPr>
        <w:t xml:space="preserve"> </w:t>
        <w:tab/>
      </w:r>
      <w:r>
        <w:rPr>
          <w:color w:val="000000"/>
          <w:spacing w:val="0"/>
          <w:w w:val="100"/>
          <w:position w:val="0"/>
          <w:sz w:val="24"/>
          <w:szCs w:val="24"/>
          <w:u w:val="single"/>
        </w:rPr>
        <w:t>(27,229)</w:t>
      </w:r>
    </w:p>
    <w:p>
      <w:pPr>
        <w:pStyle w:val="Style53"/>
        <w:keepNext w:val="0"/>
        <w:keepLines w:val="0"/>
        <w:widowControl w:val="0"/>
        <w:shd w:val="clear" w:color="auto" w:fill="auto"/>
        <w:tabs>
          <w:tab w:pos="3928" w:val="left"/>
          <w:tab w:leader="underscore" w:pos="5867" w:val="left"/>
          <w:tab w:pos="6937" w:val="left"/>
          <w:tab w:leader="underscore" w:pos="8531" w:val="left"/>
        </w:tabs>
        <w:bidi w:val="0"/>
        <w:spacing w:before="0" w:after="240" w:line="240" w:lineRule="auto"/>
        <w:ind w:left="720" w:right="0" w:firstLine="20"/>
        <w:jc w:val="both"/>
        <w:rPr>
          <w:sz w:val="24"/>
          <w:szCs w:val="24"/>
        </w:rPr>
      </w:pPr>
      <w:r>
        <w:rPr>
          <w:rFonts w:ascii="SimSun" w:eastAsia="SimSun" w:hAnsi="SimSun" w:cs="SimSun"/>
          <w:color w:val="000000"/>
          <w:spacing w:val="0"/>
          <w:w w:val="100"/>
          <w:position w:val="0"/>
          <w:sz w:val="24"/>
          <w:szCs w:val="24"/>
        </w:rPr>
        <w:t>取得的净资产</w:t>
        <w:tab/>
        <w:tab/>
      </w:r>
      <w:r>
        <w:rPr>
          <w:color w:val="000000"/>
          <w:spacing w:val="0"/>
          <w:w w:val="100"/>
          <w:position w:val="0"/>
          <w:sz w:val="24"/>
          <w:szCs w:val="24"/>
          <w:u w:val="single"/>
        </w:rPr>
        <w:t>74,818</w:t>
      </w:r>
      <w:r>
        <w:rPr>
          <w:color w:val="000000"/>
          <w:spacing w:val="0"/>
          <w:w w:val="100"/>
          <w:position w:val="0"/>
          <w:sz w:val="24"/>
          <w:szCs w:val="24"/>
        </w:rPr>
        <w:tab/>
        <w:tab/>
      </w:r>
      <w:r>
        <w:rPr>
          <w:color w:val="000000"/>
          <w:spacing w:val="0"/>
          <w:w w:val="100"/>
          <w:position w:val="0"/>
          <w:sz w:val="24"/>
          <w:szCs w:val="24"/>
          <w:u w:val="single"/>
        </w:rPr>
        <w:t>78,247</w:t>
      </w:r>
    </w:p>
    <w:p>
      <w:pPr>
        <w:pStyle w:val="Style32"/>
        <w:keepNext w:val="0"/>
        <w:keepLines w:val="0"/>
        <w:widowControl w:val="0"/>
        <w:shd w:val="clear" w:color="auto" w:fill="auto"/>
        <w:bidi w:val="0"/>
        <w:spacing w:before="0" w:after="300" w:line="307" w:lineRule="exact"/>
        <w:ind w:left="720" w:right="0" w:firstLine="20"/>
        <w:jc w:val="both"/>
        <w:rPr>
          <w:sz w:val="24"/>
          <w:szCs w:val="24"/>
        </w:rPr>
      </w:pPr>
      <w:r>
        <w:rPr>
          <w:color w:val="000000"/>
          <w:spacing w:val="0"/>
          <w:w w:val="100"/>
          <w:position w:val="0"/>
          <w:sz w:val="24"/>
          <w:szCs w:val="24"/>
        </w:rPr>
        <w:t>本集团采用估值技术来确定新兴制鞋业务的各项可辨认资产和负债于购买日的公 允价值。主要资产的评估方法及其关键假设列示如下：</w:t>
      </w:r>
    </w:p>
    <w:p>
      <w:pPr>
        <w:pStyle w:val="Style32"/>
        <w:keepNext w:val="0"/>
        <w:keepLines w:val="0"/>
        <w:widowControl w:val="0"/>
        <w:shd w:val="clear" w:color="auto" w:fill="auto"/>
        <w:bidi w:val="0"/>
        <w:spacing w:before="0" w:after="0" w:line="315" w:lineRule="exact"/>
        <w:ind w:left="1000" w:right="0" w:hanging="260"/>
        <w:jc w:val="both"/>
        <w:rPr>
          <w:sz w:val="24"/>
          <w:szCs w:val="24"/>
        </w:rPr>
      </w:pPr>
      <w:r>
        <w:rPr>
          <w:rFonts w:ascii="Arial Unicode MS" w:eastAsia="Arial Unicode MS" w:hAnsi="Arial Unicode MS" w:cs="Arial Unicode MS"/>
          <w:color w:val="000000"/>
          <w:spacing w:val="0"/>
          <w:w w:val="100"/>
          <w:position w:val="0"/>
          <w:sz w:val="22"/>
          <w:szCs w:val="22"/>
        </w:rPr>
        <w:t>・</w:t>
      </w:r>
      <w:r>
        <w:rPr>
          <w:color w:val="000000"/>
          <w:spacing w:val="0"/>
          <w:w w:val="100"/>
          <w:position w:val="0"/>
          <w:sz w:val="24"/>
          <w:szCs w:val="24"/>
        </w:rPr>
        <w:t>国家现行的有关法律、法规及政策，国家宏观经济形势无重大变化；本次交易 各方所处地区的政治、经济和社会环境无重大变化；无其他不可预测和不可抗 力因素造成的重大不利影响；</w:t>
      </w:r>
    </w:p>
    <w:p>
      <w:pPr>
        <w:pStyle w:val="Style32"/>
        <w:keepNext w:val="0"/>
        <w:keepLines w:val="0"/>
        <w:widowControl w:val="0"/>
        <w:shd w:val="clear" w:color="auto" w:fill="auto"/>
        <w:bidi w:val="0"/>
        <w:spacing w:before="0" w:after="0" w:line="315" w:lineRule="exact"/>
        <w:ind w:left="1000" w:right="0" w:hanging="260"/>
        <w:jc w:val="both"/>
        <w:rPr>
          <w:sz w:val="24"/>
          <w:szCs w:val="24"/>
        </w:rPr>
        <w:sectPr>
          <w:footnotePr>
            <w:pos w:val="pageBottom"/>
            <w:numFmt w:val="decimal"/>
            <w:numRestart w:val="continuous"/>
          </w:footnotePr>
          <w:pgSz w:w="11900" w:h="16840"/>
          <w:pgMar w:top="1326" w:right="823" w:bottom="1326" w:left="1703" w:header="0" w:footer="3" w:gutter="0"/>
          <w:cols w:space="720"/>
          <w:noEndnote/>
          <w:rtlGutter w:val="0"/>
          <w:docGrid w:linePitch="360"/>
        </w:sectPr>
      </w:pPr>
      <w:r>
        <w:rPr>
          <w:rFonts w:ascii="Arial Unicode MS" w:eastAsia="Arial Unicode MS" w:hAnsi="Arial Unicode MS" w:cs="Arial Unicode MS"/>
          <w:color w:val="000000"/>
          <w:spacing w:val="0"/>
          <w:w w:val="100"/>
          <w:position w:val="0"/>
          <w:sz w:val="22"/>
          <w:szCs w:val="22"/>
        </w:rPr>
        <w:t>・</w:t>
      </w:r>
      <w:r>
        <w:rPr>
          <w:color w:val="000000"/>
          <w:spacing w:val="0"/>
          <w:w w:val="100"/>
          <w:position w:val="0"/>
          <w:sz w:val="24"/>
          <w:szCs w:val="24"/>
        </w:rPr>
        <w:t>评估以评估结果将用于在企业会计准则下对企业合并的会计处理和报告为基本 假设前提。</w:t>
      </w:r>
    </w:p>
    <w:p>
      <w:pPr>
        <w:pStyle w:val="Style32"/>
        <w:keepNext w:val="0"/>
        <w:keepLines w:val="0"/>
        <w:widowControl w:val="0"/>
        <w:shd w:val="clear" w:color="auto" w:fill="auto"/>
        <w:bidi w:val="0"/>
        <w:spacing w:before="0" w:after="0" w:line="240" w:lineRule="auto"/>
        <w:ind w:left="0" w:right="0" w:firstLine="720"/>
        <w:jc w:val="left"/>
        <w:rPr>
          <w:sz w:val="24"/>
          <w:szCs w:val="24"/>
        </w:rPr>
      </w:pPr>
      <w:r>
        <w:rPr>
          <w:b/>
          <w:bCs/>
          <w:color w:val="000000"/>
          <w:spacing w:val="0"/>
          <w:w w:val="100"/>
          <w:position w:val="0"/>
          <w:sz w:val="24"/>
          <w:szCs w:val="24"/>
        </w:rPr>
        <w:t>财务报表附注</w:t>
      </w:r>
    </w:p>
    <w:p>
      <w:pPr>
        <w:pStyle w:val="Style88"/>
        <w:keepNext/>
        <w:keepLines/>
        <w:widowControl w:val="0"/>
        <w:shd w:val="clear" w:color="auto" w:fill="auto"/>
        <w:bidi w:val="0"/>
        <w:spacing w:before="0" w:after="0" w:line="240" w:lineRule="auto"/>
        <w:ind w:left="0" w:right="0" w:firstLine="720"/>
        <w:jc w:val="left"/>
      </w:pPr>
      <w:bookmarkStart w:id="1016" w:name="bookmark1016"/>
      <w:bookmarkStart w:id="1017" w:name="bookmark1017"/>
      <w:bookmarkStart w:id="1018" w:name="bookmark1018"/>
      <w:r>
        <w:rPr>
          <w:color w:val="000000"/>
          <w:spacing w:val="0"/>
          <w:w w:val="100"/>
          <w:position w:val="0"/>
          <w:sz w:val="24"/>
          <w:szCs w:val="24"/>
        </w:rPr>
        <w:t>2016</w:t>
      </w:r>
      <w:r>
        <w:rPr>
          <w:rFonts w:ascii="SimSun" w:eastAsia="SimSun" w:hAnsi="SimSun" w:cs="SimSun"/>
          <w:b/>
          <w:bCs/>
          <w:color w:val="000000"/>
          <w:spacing w:val="0"/>
          <w:w w:val="100"/>
          <w:position w:val="0"/>
          <w:sz w:val="24"/>
          <w:szCs w:val="24"/>
        </w:rPr>
        <w:t>年度</w:t>
      </w:r>
      <w:bookmarkEnd w:id="1016"/>
      <w:bookmarkEnd w:id="1017"/>
      <w:bookmarkEnd w:id="1018"/>
    </w:p>
    <w:p>
      <w:pPr>
        <w:pStyle w:val="Style32"/>
        <w:keepNext w:val="0"/>
        <w:keepLines w:val="0"/>
        <w:widowControl w:val="0"/>
        <w:shd w:val="clear" w:color="auto" w:fill="auto"/>
        <w:bidi w:val="0"/>
        <w:spacing w:before="0" w:after="220" w:line="240" w:lineRule="auto"/>
        <w:ind w:left="0" w:right="0" w:firstLine="720"/>
        <w:jc w:val="left"/>
        <w:rPr>
          <w:sz w:val="24"/>
          <w:szCs w:val="24"/>
        </w:rPr>
      </w:pPr>
      <w:r>
        <w:rPr>
          <w:rFonts w:ascii="Arial" w:eastAsia="Arial" w:hAnsi="Arial" w:cs="Arial"/>
          <w:color w:val="000000"/>
          <w:spacing w:val="0"/>
          <w:w w:val="100"/>
          <w:position w:val="0"/>
          <w:sz w:val="20"/>
          <w:szCs w:val="20"/>
        </w:rPr>
        <w:t>(</w:t>
      </w:r>
      <w:r>
        <w:rPr>
          <w:color w:val="000000"/>
          <w:spacing w:val="0"/>
          <w:w w:val="100"/>
          <w:position w:val="0"/>
          <w:sz w:val="20"/>
          <w:szCs w:val="20"/>
        </w:rPr>
        <w:t>除特别注明外，金额单位为人民币千元</w:t>
      </w:r>
      <w:r>
        <w:rPr>
          <w:color w:val="000000"/>
          <w:spacing w:val="0"/>
          <w:w w:val="100"/>
          <w:position w:val="0"/>
          <w:sz w:val="24"/>
          <w:szCs w:val="24"/>
        </w:rPr>
        <w:t>)</w:t>
      </w:r>
    </w:p>
    <w:p>
      <w:pPr>
        <w:pStyle w:val="Style32"/>
        <w:keepNext w:val="0"/>
        <w:keepLines w:val="0"/>
        <w:widowControl w:val="0"/>
        <w:shd w:val="clear" w:color="auto" w:fill="auto"/>
        <w:tabs>
          <w:tab w:pos="631" w:val="left"/>
        </w:tabs>
        <w:bidi w:val="0"/>
        <w:spacing w:before="0" w:after="260" w:line="240" w:lineRule="auto"/>
        <w:ind w:left="0" w:right="0" w:firstLine="0"/>
        <w:jc w:val="left"/>
        <w:rPr>
          <w:sz w:val="24"/>
          <w:szCs w:val="24"/>
        </w:rPr>
      </w:pPr>
      <w:r>
        <w:rPr>
          <w:b/>
          <w:bCs/>
          <w:color w:val="000000"/>
          <w:spacing w:val="0"/>
          <w:w w:val="100"/>
          <w:position w:val="0"/>
          <w:sz w:val="24"/>
          <w:szCs w:val="24"/>
        </w:rPr>
        <w:t>五</w:t>
        <w:tab/>
        <w:t>合并范围的变更</w:t>
      </w:r>
      <w:r>
        <w:rPr>
          <w:rFonts w:ascii="Times New Roman" w:eastAsia="Times New Roman" w:hAnsi="Times New Roman" w:cs="Times New Roman"/>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4"/>
          <w:szCs w:val="24"/>
        </w:rPr>
        <w:t>)</w:t>
      </w:r>
    </w:p>
    <w:p>
      <w:pPr>
        <w:pStyle w:val="Style32"/>
        <w:keepNext w:val="0"/>
        <w:keepLines w:val="0"/>
        <w:widowControl w:val="0"/>
        <w:shd w:val="clear" w:color="auto" w:fill="auto"/>
        <w:bidi w:val="0"/>
        <w:spacing w:before="0" w:after="26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 xml:space="preserve">(2) </w:t>
      </w:r>
      <w:r>
        <w:rPr>
          <w:b/>
          <w:bCs/>
          <w:color w:val="000000"/>
          <w:spacing w:val="0"/>
          <w:w w:val="100"/>
          <w:position w:val="0"/>
          <w:sz w:val="24"/>
          <w:szCs w:val="24"/>
        </w:rPr>
        <w:t>处置子公司</w:t>
      </w:r>
    </w:p>
    <w:p>
      <w:pPr>
        <w:pStyle w:val="Style32"/>
        <w:keepNext w:val="0"/>
        <w:keepLines w:val="0"/>
        <w:widowControl w:val="0"/>
        <w:shd w:val="clear" w:color="auto" w:fill="auto"/>
        <w:tabs>
          <w:tab w:pos="631" w:val="left"/>
        </w:tabs>
        <w:bidi w:val="0"/>
        <w:spacing w:before="0" w:after="26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(a)</w:t>
        <w:tab/>
      </w:r>
      <w:r>
        <w:rPr>
          <w:color w:val="000000"/>
          <w:spacing w:val="0"/>
          <w:w w:val="100"/>
          <w:position w:val="0"/>
          <w:sz w:val="24"/>
          <w:szCs w:val="24"/>
        </w:rPr>
        <w:t>本年度处置子公司的相关信息汇总如下：</w:t>
      </w:r>
    </w:p>
    <w:p>
      <w:pPr>
        <w:pStyle w:val="Style32"/>
        <w:keepNext w:val="0"/>
        <w:keepLines w:val="0"/>
        <w:widowControl w:val="0"/>
        <w:shd w:val="clear" w:color="auto" w:fill="auto"/>
        <w:tabs>
          <w:tab w:pos="2491" w:val="left"/>
          <w:tab w:pos="3701" w:val="left"/>
          <w:tab w:pos="6010" w:val="left"/>
          <w:tab w:pos="9129" w:val="left"/>
        </w:tabs>
        <w:bidi w:val="0"/>
        <w:spacing w:before="0" w:after="0" w:line="240" w:lineRule="auto"/>
        <w:ind w:left="0" w:right="0" w:firstLine="720"/>
        <w:jc w:val="left"/>
        <w:rPr>
          <w:sz w:val="20"/>
          <w:szCs w:val="20"/>
        </w:rPr>
      </w:pPr>
      <w:r>
        <w:rPr>
          <w:color w:val="000000"/>
          <w:spacing w:val="0"/>
          <w:w w:val="100"/>
          <w:position w:val="0"/>
          <w:sz w:val="20"/>
          <w:szCs w:val="20"/>
        </w:rPr>
        <w:t>子公司名称</w:t>
        <w:tab/>
        <w:t>处置价款</w:t>
        <w:tab/>
        <w:t>处置比例处置方式</w:t>
        <w:tab/>
        <w:t>丧失控制权时点丧失控制权时</w:t>
        <w:tab/>
        <w:t>处置价款与处置投资对应的合并与原子公司股权投资相</w:t>
      </w:r>
    </w:p>
    <w:p>
      <w:pPr>
        <w:pStyle w:val="Style32"/>
        <w:keepNext w:val="0"/>
        <w:keepLines w:val="0"/>
        <w:widowControl w:val="0"/>
        <w:shd w:val="clear" w:color="auto" w:fill="auto"/>
        <w:tabs>
          <w:tab w:pos="9129" w:val="left"/>
        </w:tabs>
        <w:bidi w:val="0"/>
        <w:spacing w:before="0" w:after="0" w:line="240" w:lineRule="auto"/>
        <w:ind w:left="7660" w:right="0" w:firstLine="0"/>
        <w:jc w:val="left"/>
        <w:rPr>
          <w:sz w:val="20"/>
          <w:szCs w:val="20"/>
        </w:rPr>
      </w:pPr>
      <w:r>
        <mc:AlternateContent>
          <mc:Choice Requires="wps">
            <w:drawing>
              <wp:anchor distT="0" distB="0" distL="114300" distR="114300" simplePos="0" relativeHeight="125829438" behindDoc="0" locked="0" layoutInCell="1" allowOverlap="1">
                <wp:simplePos x="0" y="0"/>
                <wp:positionH relativeFrom="page">
                  <wp:posOffset>8218170</wp:posOffset>
                </wp:positionH>
                <wp:positionV relativeFrom="paragraph">
                  <wp:posOffset>12700</wp:posOffset>
                </wp:positionV>
                <wp:extent cx="1295400" cy="326390"/>
                <wp:wrapSquare wrapText="left"/>
                <wp:docPr id="398" name="Shape 398"/>
                <a:graphic xmlns:a="http://schemas.openxmlformats.org/drawingml/2006/main">
                  <a:graphicData uri="http://schemas.microsoft.com/office/word/2010/wordprocessingShape">
                    <wps:wsp>
                      <wps:cNvSpPr txBox="1"/>
                      <wps:spPr>
                        <a:xfrm>
                          <a:ext cx="1295400" cy="326390"/>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关的其他综合收益转入</w:t>
                            </w:r>
                          </w:p>
                          <w:p>
                            <w:pPr>
                              <w:pStyle w:val="Style3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投资损益的金额</w:t>
                            </w:r>
                          </w:p>
                        </w:txbxContent>
                      </wps:txbx>
                      <wps:bodyPr lIns="0" tIns="0" rIns="0" bIns="0">
                        <a:noAutoFit/>
                      </wps:bodyPr>
                    </wps:wsp>
                  </a:graphicData>
                </a:graphic>
              </wp:anchor>
            </w:drawing>
          </mc:Choice>
          <mc:Fallback>
            <w:pict>
              <v:shape id="_x0000_s1424" type="#_x0000_t202" style="position:absolute;margin-left:647.10000000000002pt;margin-top:1.pt;width:102.pt;height:25.699999999999999pt;z-index:-125829315;mso-wrap-distance-left:9.pt;mso-wrap-distance-right:9.pt;mso-position-horizontal-relative:page" filled="f" stroked="f">
                <v:textbox inset="0,0,0,0">
                  <w:txbxContent>
                    <w:p>
                      <w:pPr>
                        <w:pStyle w:val="Style3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关的其他综合收益转入</w:t>
                      </w:r>
                    </w:p>
                    <w:p>
                      <w:pPr>
                        <w:pStyle w:val="Style3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投资损益的金额</w:t>
                      </w:r>
                    </w:p>
                  </w:txbxContent>
                </v:textbox>
                <w10:wrap type="square" side="left" anchorx="page"/>
              </v:shape>
            </w:pict>
          </mc:Fallback>
        </mc:AlternateContent>
      </w:r>
      <w:r>
        <w:rPr>
          <w:color w:val="000000"/>
          <w:spacing w:val="0"/>
          <w:w w:val="100"/>
          <w:position w:val="0"/>
          <w:sz w:val="20"/>
          <w:szCs w:val="20"/>
        </w:rPr>
        <w:t>点的判断依据</w:t>
        <w:tab/>
        <w:t>财务报表层面享有该子公司净资</w:t>
      </w:r>
    </w:p>
    <w:p>
      <w:pPr>
        <w:pStyle w:val="Style32"/>
        <w:keepNext w:val="0"/>
        <w:keepLines w:val="0"/>
        <w:widowControl w:val="0"/>
        <w:shd w:val="clear" w:color="auto" w:fill="auto"/>
        <w:bidi w:val="0"/>
        <w:spacing w:before="0" w:after="260" w:line="240" w:lineRule="auto"/>
        <w:ind w:left="10780" w:right="0" w:firstLine="0"/>
        <w:jc w:val="left"/>
        <w:rPr>
          <w:sz w:val="20"/>
          <w:szCs w:val="20"/>
        </w:rPr>
      </w:pPr>
      <w:r>
        <w:rPr>
          <w:color w:val="000000"/>
          <w:spacing w:val="0"/>
          <w:w w:val="100"/>
          <w:position w:val="0"/>
          <w:sz w:val="20"/>
          <w:szCs w:val="20"/>
        </w:rPr>
        <w:t>产份额的差额</w:t>
      </w:r>
    </w:p>
    <w:p>
      <w:pPr>
        <w:pStyle w:val="Style113"/>
        <w:keepNext w:val="0"/>
        <w:keepLines w:val="0"/>
        <w:widowControl w:val="0"/>
        <w:shd w:val="clear" w:color="auto" w:fill="auto"/>
        <w:bidi w:val="0"/>
        <w:spacing w:before="0" w:after="0" w:line="240" w:lineRule="auto"/>
        <w:ind w:left="7780" w:right="0" w:firstLine="0"/>
        <w:jc w:val="left"/>
      </w:pPr>
      <w:r>
        <w:rPr>
          <w:color w:val="000000"/>
          <w:spacing w:val="0"/>
          <w:w w:val="100"/>
          <w:position w:val="0"/>
        </w:rPr>
        <w:t>实际失去北京</w:t>
      </w:r>
    </w:p>
    <w:p>
      <w:pPr>
        <w:pStyle w:val="Style113"/>
        <w:keepNext w:val="0"/>
        <w:keepLines w:val="0"/>
        <w:widowControl w:val="0"/>
        <w:shd w:val="clear" w:color="auto" w:fill="auto"/>
        <w:bidi w:val="0"/>
        <w:spacing w:before="0" w:after="0" w:line="240" w:lineRule="auto"/>
        <w:ind w:left="7780" w:right="0" w:firstLine="0"/>
        <w:jc w:val="left"/>
      </w:pPr>
      <w:r>
        <w:rPr>
          <w:color w:val="000000"/>
          <w:spacing w:val="0"/>
          <w:w w:val="100"/>
          <w:position w:val="0"/>
        </w:rPr>
        <w:t>京朝业务控制</w:t>
      </w:r>
    </w:p>
    <w:p>
      <w:pPr>
        <w:widowControl w:val="0"/>
        <w:spacing w:line="1" w:lineRule="exact"/>
      </w:pPr>
      <w:r>
        <mc:AlternateContent>
          <mc:Choice Requires="wps">
            <w:drawing>
              <wp:anchor distT="0" distB="12065" distL="0" distR="0" simplePos="0" relativeHeight="125829440" behindDoc="0" locked="0" layoutInCell="1" allowOverlap="1">
                <wp:simplePos x="0" y="0"/>
                <wp:positionH relativeFrom="page">
                  <wp:posOffset>875030</wp:posOffset>
                </wp:positionH>
                <wp:positionV relativeFrom="paragraph">
                  <wp:posOffset>0</wp:posOffset>
                </wp:positionV>
                <wp:extent cx="591185" cy="155575"/>
                <wp:wrapTopAndBottom/>
                <wp:docPr id="400" name="Shape 400"/>
                <a:graphic xmlns:a="http://schemas.openxmlformats.org/drawingml/2006/main">
                  <a:graphicData uri="http://schemas.microsoft.com/office/word/2010/wordprocessingShape">
                    <wps:wsp>
                      <wps:cNvSpPr txBox="1"/>
                      <wps:spPr>
                        <a:xfrm>
                          <a:ext cx="591185" cy="155575"/>
                        </a:xfrm>
                        <a:prstGeom prst="rect"/>
                        <a:noFill/>
                      </wps:spPr>
                      <wps:txbx>
                        <w:txbxContent>
                          <w:p>
                            <w:pPr>
                              <w:pStyle w:val="Style11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北京京朝⑴</w:t>
                            </w:r>
                          </w:p>
                        </w:txbxContent>
                      </wps:txbx>
                      <wps:bodyPr wrap="none" lIns="0" tIns="0" rIns="0" bIns="0">
                        <a:noAutoFit/>
                      </wps:bodyPr>
                    </wps:wsp>
                  </a:graphicData>
                </a:graphic>
              </wp:anchor>
            </w:drawing>
          </mc:Choice>
          <mc:Fallback>
            <w:pict>
              <v:shape id="_x0000_s1426" type="#_x0000_t202" style="position:absolute;margin-left:68.900000000000006pt;margin-top:0;width:46.550000000000004pt;height:12.25pt;z-index:-125829313;mso-wrap-distance-left:0;mso-wrap-distance-right:0;mso-wrap-distance-bottom:0.95000000000000007pt;mso-position-horizontal-relative:page" filled="f" stroked="f">
                <v:textbox inset="0,0,0,0">
                  <w:txbxContent>
                    <w:p>
                      <w:pPr>
                        <w:pStyle w:val="Style11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北京京朝⑴</w:t>
                      </w:r>
                    </w:p>
                  </w:txbxContent>
                </v:textbox>
                <w10:wrap type="topAndBottom" anchorx="page"/>
              </v:shape>
            </w:pict>
          </mc:Fallback>
        </mc:AlternateContent>
      </w:r>
      <w:r>
        <mc:AlternateContent>
          <mc:Choice Requires="wps">
            <w:drawing>
              <wp:anchor distT="6350" distB="0" distL="0" distR="0" simplePos="0" relativeHeight="125829442" behindDoc="0" locked="0" layoutInCell="1" allowOverlap="1">
                <wp:simplePos x="0" y="0"/>
                <wp:positionH relativeFrom="page">
                  <wp:posOffset>2085340</wp:posOffset>
                </wp:positionH>
                <wp:positionV relativeFrom="paragraph">
                  <wp:posOffset>6350</wp:posOffset>
                </wp:positionV>
                <wp:extent cx="478790" cy="161290"/>
                <wp:wrapTopAndBottom/>
                <wp:docPr id="402" name="Shape 402"/>
                <a:graphic xmlns:a="http://schemas.openxmlformats.org/drawingml/2006/main">
                  <a:graphicData uri="http://schemas.microsoft.com/office/word/2010/wordprocessingShape">
                    <wps:wsp>
                      <wps:cNvSpPr txBox="1"/>
                      <wps:spPr>
                        <a:xfrm>
                          <a:ext cx="478790" cy="161290"/>
                        </a:xfrm>
                        <a:prstGeom prst="rect"/>
                        <a:noFill/>
                      </wps:spPr>
                      <wps:txbx>
                        <w:txbxContent>
                          <w:p>
                            <w:pPr>
                              <w:pStyle w:val="Style134"/>
                              <w:keepNext w:val="0"/>
                              <w:keepLines w:val="0"/>
                              <w:widowControl w:val="0"/>
                              <w:shd w:val="clear" w:color="auto" w:fill="auto"/>
                              <w:bidi w:val="0"/>
                              <w:spacing w:before="0" w:after="0" w:line="240" w:lineRule="auto"/>
                              <w:ind w:left="0" w:right="0" w:firstLine="0"/>
                              <w:jc w:val="left"/>
                            </w:pPr>
                            <w:r>
                              <w:rPr>
                                <w:color w:val="000000"/>
                                <w:spacing w:val="0"/>
                                <w:w w:val="100"/>
                                <w:position w:val="0"/>
                              </w:rPr>
                              <w:t>1,304,837</w:t>
                            </w:r>
                          </w:p>
                        </w:txbxContent>
                      </wps:txbx>
                      <wps:bodyPr wrap="none" lIns="0" tIns="0" rIns="0" bIns="0">
                        <a:noAutoFit/>
                      </wps:bodyPr>
                    </wps:wsp>
                  </a:graphicData>
                </a:graphic>
              </wp:anchor>
            </w:drawing>
          </mc:Choice>
          <mc:Fallback>
            <w:pict>
              <v:shape id="_x0000_s1428" type="#_x0000_t202" style="position:absolute;margin-left:164.20000000000002pt;margin-top:0.5pt;width:37.700000000000003pt;height:12.700000000000001pt;z-index:-125829311;mso-wrap-distance-left:0;mso-wrap-distance-top:0.5pt;mso-wrap-distance-right:0;mso-position-horizontal-relative:page" filled="f" stroked="f">
                <v:textbox inset="0,0,0,0">
                  <w:txbxContent>
                    <w:p>
                      <w:pPr>
                        <w:pStyle w:val="Style134"/>
                        <w:keepNext w:val="0"/>
                        <w:keepLines w:val="0"/>
                        <w:widowControl w:val="0"/>
                        <w:shd w:val="clear" w:color="auto" w:fill="auto"/>
                        <w:bidi w:val="0"/>
                        <w:spacing w:before="0" w:after="0" w:line="240" w:lineRule="auto"/>
                        <w:ind w:left="0" w:right="0" w:firstLine="0"/>
                        <w:jc w:val="left"/>
                      </w:pPr>
                      <w:r>
                        <w:rPr>
                          <w:color w:val="000000"/>
                          <w:spacing w:val="0"/>
                          <w:w w:val="100"/>
                          <w:position w:val="0"/>
                        </w:rPr>
                        <w:t>1,304,837</w:t>
                      </w:r>
                    </w:p>
                  </w:txbxContent>
                </v:textbox>
                <w10:wrap type="topAndBottom" anchorx="page"/>
              </v:shape>
            </w:pict>
          </mc:Fallback>
        </mc:AlternateContent>
      </w:r>
      <w:r>
        <mc:AlternateContent>
          <mc:Choice Requires="wps">
            <w:drawing>
              <wp:anchor distT="6350" distB="0" distL="0" distR="0" simplePos="0" relativeHeight="125829444" behindDoc="0" locked="0" layoutInCell="1" allowOverlap="1">
                <wp:simplePos x="0" y="0"/>
                <wp:positionH relativeFrom="page">
                  <wp:posOffset>3060700</wp:posOffset>
                </wp:positionH>
                <wp:positionV relativeFrom="paragraph">
                  <wp:posOffset>6350</wp:posOffset>
                </wp:positionV>
                <wp:extent cx="289560" cy="161290"/>
                <wp:wrapTopAndBottom/>
                <wp:docPr id="404" name="Shape 404"/>
                <a:graphic xmlns:a="http://schemas.openxmlformats.org/drawingml/2006/main">
                  <a:graphicData uri="http://schemas.microsoft.com/office/word/2010/wordprocessingShape">
                    <wps:wsp>
                      <wps:cNvSpPr txBox="1"/>
                      <wps:spPr>
                        <a:xfrm>
                          <a:ext cx="289560" cy="161290"/>
                        </a:xfrm>
                        <a:prstGeom prst="rect"/>
                        <a:noFill/>
                      </wps:spPr>
                      <wps:txbx>
                        <w:txbxContent>
                          <w:p>
                            <w:pPr>
                              <w:pStyle w:val="Style134"/>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xbxContent>
                      </wps:txbx>
                      <wps:bodyPr wrap="none" lIns="0" tIns="0" rIns="0" bIns="0">
                        <a:noAutoFit/>
                      </wps:bodyPr>
                    </wps:wsp>
                  </a:graphicData>
                </a:graphic>
              </wp:anchor>
            </w:drawing>
          </mc:Choice>
          <mc:Fallback>
            <w:pict>
              <v:shape id="_x0000_s1430" type="#_x0000_t202" style="position:absolute;margin-left:241.pt;margin-top:0.5pt;width:22.800000000000001pt;height:12.700000000000001pt;z-index:-125829309;mso-wrap-distance-left:0;mso-wrap-distance-top:0.5pt;mso-wrap-distance-right:0;mso-position-horizontal-relative:page" filled="f" stroked="f">
                <v:textbox inset="0,0,0,0">
                  <w:txbxContent>
                    <w:p>
                      <w:pPr>
                        <w:pStyle w:val="Style134"/>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xbxContent>
                </v:textbox>
                <w10:wrap type="topAndBottom" anchorx="page"/>
              </v:shape>
            </w:pict>
          </mc:Fallback>
        </mc:AlternateContent>
      </w:r>
      <w:r>
        <mc:AlternateContent>
          <mc:Choice Requires="wps">
            <w:drawing>
              <wp:anchor distT="0" distB="18415" distL="0" distR="0" simplePos="0" relativeHeight="125829446" behindDoc="0" locked="0" layoutInCell="1" allowOverlap="1">
                <wp:simplePos x="0" y="0"/>
                <wp:positionH relativeFrom="page">
                  <wp:posOffset>3755390</wp:posOffset>
                </wp:positionH>
                <wp:positionV relativeFrom="paragraph">
                  <wp:posOffset>0</wp:posOffset>
                </wp:positionV>
                <wp:extent cx="247015" cy="149225"/>
                <wp:wrapTopAndBottom/>
                <wp:docPr id="406" name="Shape 406"/>
                <a:graphic xmlns:a="http://schemas.openxmlformats.org/drawingml/2006/main">
                  <a:graphicData uri="http://schemas.microsoft.com/office/word/2010/wordprocessingShape">
                    <wps:wsp>
                      <wps:cNvSpPr txBox="1"/>
                      <wps:spPr>
                        <a:xfrm>
                          <a:ext cx="247015" cy="149225"/>
                        </a:xfrm>
                        <a:prstGeom prst="rect"/>
                        <a:noFill/>
                      </wps:spPr>
                      <wps:txbx>
                        <w:txbxContent>
                          <w:p>
                            <w:pPr>
                              <w:pStyle w:val="Style113"/>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w:t>
                            </w:r>
                          </w:p>
                        </w:txbxContent>
                      </wps:txbx>
                      <wps:bodyPr wrap="none" lIns="0" tIns="0" rIns="0" bIns="0">
                        <a:noAutoFit/>
                      </wps:bodyPr>
                    </wps:wsp>
                  </a:graphicData>
                </a:graphic>
              </wp:anchor>
            </w:drawing>
          </mc:Choice>
          <mc:Fallback>
            <w:pict>
              <v:shape id="_x0000_s1432" type="#_x0000_t202" style="position:absolute;margin-left:295.69999999999999pt;margin-top:0;width:19.449999999999999pt;height:11.75pt;z-index:-125829307;mso-wrap-distance-left:0;mso-wrap-distance-right:0;mso-wrap-distance-bottom:1.45pt;mso-position-horizontal-relative:page" filled="f" stroked="f">
                <v:textbox inset="0,0,0,0">
                  <w:txbxContent>
                    <w:p>
                      <w:pPr>
                        <w:pStyle w:val="Style113"/>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w:t>
                      </w:r>
                    </w:p>
                  </w:txbxContent>
                </v:textbox>
                <w10:wrap type="topAndBottom" anchorx="page"/>
              </v:shape>
            </w:pict>
          </mc:Fallback>
        </mc:AlternateContent>
      </w:r>
      <w:r>
        <mc:AlternateContent>
          <mc:Choice Requires="wps">
            <w:drawing>
              <wp:anchor distT="0" distB="6350" distL="0" distR="0" simplePos="0" relativeHeight="125829448" behindDoc="0" locked="0" layoutInCell="1" allowOverlap="1">
                <wp:simplePos x="0" y="0"/>
                <wp:positionH relativeFrom="page">
                  <wp:posOffset>4270375</wp:posOffset>
                </wp:positionH>
                <wp:positionV relativeFrom="paragraph">
                  <wp:posOffset>0</wp:posOffset>
                </wp:positionV>
                <wp:extent cx="902335" cy="161290"/>
                <wp:wrapTopAndBottom/>
                <wp:docPr id="408" name="Shape 408"/>
                <a:graphic xmlns:a="http://schemas.openxmlformats.org/drawingml/2006/main">
                  <a:graphicData uri="http://schemas.microsoft.com/office/word/2010/wordprocessingShape">
                    <wps:wsp>
                      <wps:cNvSpPr txBox="1"/>
                      <wps:spPr>
                        <a:xfrm>
                          <a:ext cx="902335" cy="161290"/>
                        </a:xfrm>
                        <a:prstGeom prst="rect"/>
                        <a:noFill/>
                      </wps:spPr>
                      <wps:txbx>
                        <w:txbxContent>
                          <w:p>
                            <w:pPr>
                              <w:pStyle w:val="Style134"/>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2</w:t>
                            </w:r>
                            <w:r>
                              <w:rPr>
                                <w:rFonts w:ascii="SimSun" w:eastAsia="SimSun" w:hAnsi="SimSun" w:cs="SimSun"/>
                                <w:color w:val="000000"/>
                                <w:spacing w:val="0"/>
                                <w:w w:val="100"/>
                                <w:position w:val="0"/>
                              </w:rPr>
                              <w:t>日</w:t>
                            </w:r>
                          </w:p>
                        </w:txbxContent>
                      </wps:txbx>
                      <wps:bodyPr wrap="none" lIns="0" tIns="0" rIns="0" bIns="0">
                        <a:noAutoFit/>
                      </wps:bodyPr>
                    </wps:wsp>
                  </a:graphicData>
                </a:graphic>
              </wp:anchor>
            </w:drawing>
          </mc:Choice>
          <mc:Fallback>
            <w:pict>
              <v:shape id="_x0000_s1434" type="#_x0000_t202" style="position:absolute;margin-left:336.25pt;margin-top:0;width:71.049999999999997pt;height:12.700000000000001pt;z-index:-125829305;mso-wrap-distance-left:0;mso-wrap-distance-right:0;mso-wrap-distance-bottom:0.5pt;mso-position-horizontal-relative:page" filled="f" stroked="f">
                <v:textbox inset="0,0,0,0">
                  <w:txbxContent>
                    <w:p>
                      <w:pPr>
                        <w:pStyle w:val="Style134"/>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2</w:t>
                      </w:r>
                      <w:r>
                        <w:rPr>
                          <w:rFonts w:ascii="SimSun" w:eastAsia="SimSun" w:hAnsi="SimSun" w:cs="SimSun"/>
                          <w:color w:val="000000"/>
                          <w:spacing w:val="0"/>
                          <w:w w:val="100"/>
                          <w:position w:val="0"/>
                        </w:rPr>
                        <w:t>日</w:t>
                      </w:r>
                    </w:p>
                  </w:txbxContent>
                </v:textbox>
                <w10:wrap type="topAndBottom" anchorx="page"/>
              </v:shape>
            </w:pict>
          </mc:Fallback>
        </mc:AlternateContent>
      </w:r>
      <w:r>
        <mc:AlternateContent>
          <mc:Choice Requires="wps">
            <w:drawing>
              <wp:anchor distT="6350" distB="0" distL="0" distR="0" simplePos="0" relativeHeight="125829450" behindDoc="0" locked="0" layoutInCell="1" allowOverlap="1">
                <wp:simplePos x="0" y="0"/>
                <wp:positionH relativeFrom="page">
                  <wp:posOffset>7568565</wp:posOffset>
                </wp:positionH>
                <wp:positionV relativeFrom="paragraph">
                  <wp:posOffset>6350</wp:posOffset>
                </wp:positionV>
                <wp:extent cx="475615" cy="161290"/>
                <wp:wrapTopAndBottom/>
                <wp:docPr id="410" name="Shape 410"/>
                <a:graphic xmlns:a="http://schemas.openxmlformats.org/drawingml/2006/main">
                  <a:graphicData uri="http://schemas.microsoft.com/office/word/2010/wordprocessingShape">
                    <wps:wsp>
                      <wps:cNvSpPr txBox="1"/>
                      <wps:spPr>
                        <a:xfrm>
                          <a:ext cx="475615" cy="161290"/>
                        </a:xfrm>
                        <a:prstGeom prst="rect"/>
                        <a:noFill/>
                      </wps:spPr>
                      <wps:txbx>
                        <w:txbxContent>
                          <w:p>
                            <w:pPr>
                              <w:pStyle w:val="Style134"/>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1,304,071</w:t>
                            </w:r>
                          </w:p>
                        </w:txbxContent>
                      </wps:txbx>
                      <wps:bodyPr wrap="none" lIns="0" tIns="0" rIns="0" bIns="0">
                        <a:noAutoFit/>
                      </wps:bodyPr>
                    </wps:wsp>
                  </a:graphicData>
                </a:graphic>
              </wp:anchor>
            </w:drawing>
          </mc:Choice>
          <mc:Fallback>
            <w:pict>
              <v:shape id="_x0000_s1436" type="#_x0000_t202" style="position:absolute;margin-left:595.95000000000005pt;margin-top:0.5pt;width:37.450000000000003pt;height:12.700000000000001pt;z-index:-125829303;mso-wrap-distance-left:0;mso-wrap-distance-top:0.5pt;mso-wrap-distance-right:0;mso-position-horizontal-relative:page" filled="f" stroked="f">
                <v:textbox inset="0,0,0,0">
                  <w:txbxContent>
                    <w:p>
                      <w:pPr>
                        <w:pStyle w:val="Style134"/>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1,304,071</w:t>
                      </w:r>
                    </w:p>
                  </w:txbxContent>
                </v:textbox>
                <w10:wrap type="topAndBottom" anchorx="page"/>
              </v:shape>
            </w:pict>
          </mc:Fallback>
        </mc:AlternateContent>
      </w:r>
    </w:p>
    <w:p>
      <w:pPr>
        <w:pStyle w:val="Style32"/>
        <w:keepNext w:val="0"/>
        <w:keepLines w:val="0"/>
        <w:widowControl w:val="0"/>
        <w:shd w:val="clear" w:color="auto" w:fill="auto"/>
        <w:bidi w:val="0"/>
        <w:spacing w:before="0" w:after="0" w:line="312" w:lineRule="exact"/>
        <w:ind w:left="1100" w:right="0" w:hanging="380"/>
        <w:jc w:val="both"/>
        <w:rPr>
          <w:sz w:val="24"/>
          <w:szCs w:val="24"/>
        </w:rPr>
      </w:pPr>
      <w:r>
        <w:rPr>
          <w:color w:val="000000"/>
          <w:spacing w:val="0"/>
          <w:w w:val="100"/>
          <w:position w:val="0"/>
          <w:sz w:val="24"/>
          <w:szCs w:val="24"/>
        </w:rPr>
        <w:t>⑴于</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月，本集团与苏宁电器集团签订股权转让协议，将本集团持有的北京京朝</w:t>
      </w:r>
      <w:r>
        <w:rPr>
          <w:rFonts w:ascii="Times New Roman" w:eastAsia="Times New Roman" w:hAnsi="Times New Roman" w:cs="Times New Roman"/>
          <w:color w:val="000000"/>
          <w:spacing w:val="0"/>
          <w:w w:val="100"/>
          <w:position w:val="0"/>
          <w:sz w:val="24"/>
          <w:szCs w:val="24"/>
        </w:rPr>
        <w:t>100%</w:t>
      </w:r>
      <w:r>
        <w:rPr>
          <w:color w:val="000000"/>
          <w:spacing w:val="0"/>
          <w:w w:val="100"/>
          <w:position w:val="0"/>
          <w:sz w:val="24"/>
          <w:szCs w:val="24"/>
        </w:rPr>
        <w:t>的股权全部转让至苏宁电器集团。本 次交易的处置日为</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日，系本集团实际失去北京京朝业务控制权的日期。</w:t>
      </w:r>
    </w:p>
    <w:p>
      <w:pPr>
        <w:pStyle w:val="Style32"/>
        <w:keepNext w:val="0"/>
        <w:keepLines w:val="0"/>
        <w:widowControl w:val="0"/>
        <w:shd w:val="clear" w:color="auto" w:fill="auto"/>
        <w:bidi w:val="0"/>
        <w:spacing w:before="0" w:after="0" w:line="240" w:lineRule="auto"/>
        <w:ind w:left="0" w:right="0" w:firstLine="760"/>
        <w:jc w:val="left"/>
        <w:rPr>
          <w:sz w:val="24"/>
          <w:szCs w:val="24"/>
        </w:rPr>
      </w:pPr>
      <w:r>
        <w:rPr>
          <w:b/>
          <w:bCs/>
          <w:color w:val="000000"/>
          <w:spacing w:val="0"/>
          <w:w w:val="100"/>
          <w:position w:val="0"/>
          <w:sz w:val="24"/>
          <w:szCs w:val="24"/>
        </w:rPr>
        <w:t>财务报表附注</w:t>
      </w:r>
    </w:p>
    <w:p>
      <w:pPr>
        <w:pStyle w:val="Style88"/>
        <w:keepNext/>
        <w:keepLines/>
        <w:widowControl w:val="0"/>
        <w:shd w:val="clear" w:color="auto" w:fill="auto"/>
        <w:bidi w:val="0"/>
        <w:spacing w:before="0" w:after="0" w:line="240" w:lineRule="auto"/>
        <w:ind w:left="0" w:right="0" w:firstLine="760"/>
        <w:jc w:val="left"/>
      </w:pPr>
      <w:bookmarkStart w:id="1019" w:name="bookmark1019"/>
      <w:bookmarkStart w:id="1020" w:name="bookmark1020"/>
      <w:bookmarkStart w:id="1021" w:name="bookmark1021"/>
      <w:r>
        <w:rPr>
          <w:color w:val="000000"/>
          <w:spacing w:val="0"/>
          <w:w w:val="100"/>
          <w:position w:val="0"/>
          <w:sz w:val="24"/>
          <w:szCs w:val="24"/>
        </w:rPr>
        <w:t>2016</w:t>
      </w:r>
      <w:r>
        <w:rPr>
          <w:rFonts w:ascii="SimSun" w:eastAsia="SimSun" w:hAnsi="SimSun" w:cs="SimSun"/>
          <w:b/>
          <w:bCs/>
          <w:color w:val="000000"/>
          <w:spacing w:val="0"/>
          <w:w w:val="100"/>
          <w:position w:val="0"/>
          <w:sz w:val="24"/>
          <w:szCs w:val="24"/>
        </w:rPr>
        <w:t>年度</w:t>
      </w:r>
      <w:bookmarkEnd w:id="1019"/>
      <w:bookmarkEnd w:id="1020"/>
      <w:bookmarkEnd w:id="1021"/>
    </w:p>
    <w:p>
      <w:pPr>
        <w:pStyle w:val="Style32"/>
        <w:keepNext w:val="0"/>
        <w:keepLines w:val="0"/>
        <w:widowControl w:val="0"/>
        <w:shd w:val="clear" w:color="auto" w:fill="auto"/>
        <w:bidi w:val="0"/>
        <w:spacing w:before="0" w:after="0" w:line="240" w:lineRule="auto"/>
        <w:ind w:left="0" w:right="0" w:firstLine="760"/>
        <w:jc w:val="left"/>
        <w:rPr>
          <w:sz w:val="20"/>
          <w:szCs w:val="20"/>
        </w:rPr>
        <w:sectPr>
          <w:headerReference w:type="default" r:id="rId183"/>
          <w:footerReference w:type="default" r:id="rId184"/>
          <w:headerReference w:type="even" r:id="rId185"/>
          <w:footerReference w:type="even" r:id="rId186"/>
          <w:footnotePr>
            <w:pos w:val="pageBottom"/>
            <w:numFmt w:val="decimal"/>
            <w:numRestart w:val="continuous"/>
          </w:footnotePr>
          <w:pgSz w:w="16840" w:h="11900" w:orient="landscape"/>
          <w:pgMar w:top="1321" w:right="1494" w:bottom="5097" w:left="668" w:header="0" w:footer="3" w:gutter="0"/>
          <w:cols w:space="720"/>
          <w:noEndnote/>
          <w:rtlGutter w:val="0"/>
          <w:docGrid w:linePitch="360"/>
        </w:sectPr>
      </w:pPr>
      <w:r>
        <w:rPr>
          <w:rFonts w:ascii="Arial" w:eastAsia="Arial" w:hAnsi="Arial" w:cs="Arial"/>
          <w:color w:val="000000"/>
          <w:spacing w:val="0"/>
          <w:w w:val="100"/>
          <w:position w:val="0"/>
          <w:sz w:val="20"/>
          <w:szCs w:val="20"/>
        </w:rPr>
        <w:t>（</w:t>
      </w:r>
      <w:r>
        <w:rPr>
          <w:color w:val="000000"/>
          <w:spacing w:val="0"/>
          <w:w w:val="100"/>
          <w:position w:val="0"/>
          <w:sz w:val="20"/>
          <w:szCs w:val="20"/>
        </w:rPr>
        <w:t>除特别注明外，金额单位为人民币千元</w:t>
      </w:r>
      <w:r>
        <w:rPr>
          <w:rFonts w:ascii="Arial" w:eastAsia="Arial" w:hAnsi="Arial" w:cs="Arial"/>
          <w:color w:val="000000"/>
          <w:spacing w:val="0"/>
          <w:w w:val="100"/>
          <w:position w:val="0"/>
          <w:sz w:val="20"/>
          <w:szCs w:val="20"/>
        </w:rPr>
        <w:t>）</w:t>
      </w:r>
    </w:p>
    <w:tbl>
      <w:tblPr>
        <w:tblOverlap w:val="never"/>
        <w:jc w:val="center"/>
        <w:tblLayout w:type="fixed"/>
      </w:tblPr>
      <w:tblGrid>
        <w:gridCol w:w="514"/>
        <w:gridCol w:w="5918"/>
        <w:gridCol w:w="2688"/>
      </w:tblGrid>
      <w:tr>
        <w:trPr>
          <w:trHeight w:val="994"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20"/>
              <w:jc w:val="left"/>
              <w:rPr>
                <w:sz w:val="24"/>
                <w:szCs w:val="24"/>
              </w:rPr>
            </w:pPr>
            <w:r>
              <w:rPr>
                <w:b/>
                <w:bCs/>
                <w:color w:val="000000"/>
                <w:spacing w:val="0"/>
                <w:w w:val="100"/>
                <w:position w:val="0"/>
                <w:sz w:val="24"/>
                <w:szCs w:val="24"/>
              </w:rPr>
              <w:t>财务报表附注</w:t>
            </w:r>
          </w:p>
          <w:p>
            <w:pPr>
              <w:pStyle w:val="Style28"/>
              <w:keepNext w:val="0"/>
              <w:keepLines w:val="0"/>
              <w:widowControl w:val="0"/>
              <w:shd w:val="clear" w:color="auto" w:fill="auto"/>
              <w:bidi w:val="0"/>
              <w:spacing w:before="0" w:after="0" w:line="240" w:lineRule="auto"/>
              <w:ind w:left="0" w:right="0" w:firstLine="220"/>
              <w:jc w:val="left"/>
              <w:rPr>
                <w:sz w:val="24"/>
                <w:szCs w:val="24"/>
              </w:rPr>
            </w:pPr>
            <w:r>
              <w:rPr>
                <w:rFonts w:ascii="Arial" w:eastAsia="Arial" w:hAnsi="Arial" w:cs="Arial"/>
                <w:color w:val="000000"/>
                <w:spacing w:val="0"/>
                <w:w w:val="100"/>
                <w:position w:val="0"/>
                <w:sz w:val="24"/>
                <w:szCs w:val="24"/>
              </w:rPr>
              <w:t>2016</w:t>
            </w:r>
            <w:r>
              <w:rPr>
                <w:b/>
                <w:bCs/>
                <w:color w:val="000000"/>
                <w:spacing w:val="0"/>
                <w:w w:val="100"/>
                <w:position w:val="0"/>
                <w:sz w:val="24"/>
                <w:szCs w:val="24"/>
              </w:rPr>
              <w:t>年度</w:t>
            </w:r>
          </w:p>
          <w:p>
            <w:pPr>
              <w:pStyle w:val="Style28"/>
              <w:keepNext w:val="0"/>
              <w:keepLines w:val="0"/>
              <w:widowControl w:val="0"/>
              <w:shd w:val="clear" w:color="auto" w:fill="auto"/>
              <w:bidi w:val="0"/>
              <w:spacing w:before="0" w:after="0" w:line="240" w:lineRule="auto"/>
              <w:ind w:left="0" w:right="0" w:firstLine="220"/>
              <w:jc w:val="left"/>
              <w:rPr>
                <w:sz w:val="24"/>
                <w:szCs w:val="24"/>
              </w:rPr>
            </w:pPr>
            <w:r>
              <w:rPr>
                <w:rFonts w:ascii="Arial" w:eastAsia="Arial" w:hAnsi="Arial" w:cs="Arial"/>
                <w:color w:val="000000"/>
                <w:spacing w:val="0"/>
                <w:w w:val="100"/>
                <w:position w:val="0"/>
                <w:sz w:val="20"/>
                <w:szCs w:val="20"/>
              </w:rPr>
              <w:t>（</w:t>
            </w:r>
            <w:r>
              <w:rPr>
                <w:color w:val="000000"/>
                <w:spacing w:val="0"/>
                <w:w w:val="100"/>
                <w:position w:val="0"/>
                <w:sz w:val="20"/>
                <w:szCs w:val="20"/>
              </w:rPr>
              <w:t>除特别注明外，金额单位为人民币千元</w:t>
            </w:r>
            <w:r>
              <w:rPr>
                <w:color w:val="000000"/>
                <w:spacing w:val="0"/>
                <w:w w:val="100"/>
                <w:position w:val="0"/>
                <w:sz w:val="24"/>
                <w:szCs w:val="24"/>
              </w:rPr>
              <w:t>）</w:t>
            </w:r>
          </w:p>
        </w:tc>
        <w:tc>
          <w:tcPr>
            <w:tcBorders/>
            <w:shd w:val="clear" w:color="auto" w:fill="FFFFFF"/>
            <w:vAlign w:val="top"/>
          </w:tcPr>
          <w:p>
            <w:pPr>
              <w:widowControl w:val="0"/>
              <w:rPr>
                <w:sz w:val="10"/>
                <w:szCs w:val="10"/>
              </w:rPr>
            </w:pPr>
          </w:p>
        </w:tc>
      </w:tr>
      <w:tr>
        <w:trPr>
          <w:trHeight w:val="566"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五</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rPr>
                <w:sz w:val="24"/>
                <w:szCs w:val="24"/>
              </w:rPr>
            </w:pPr>
            <w:r>
              <w:rPr>
                <w:b/>
                <w:bCs/>
                <w:color w:val="000000"/>
                <w:spacing w:val="0"/>
                <w:w w:val="100"/>
                <w:position w:val="0"/>
                <w:sz w:val="24"/>
                <w:szCs w:val="24"/>
              </w:rPr>
              <w:t>合并范围的变更</w:t>
            </w:r>
            <w:r>
              <w:rPr>
                <w:rFonts w:ascii="Times New Roman" w:eastAsia="Times New Roman" w:hAnsi="Times New Roman" w:cs="Times New Roman"/>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4"/>
                <w:szCs w:val="24"/>
              </w:rPr>
              <w:t>）</w:t>
            </w:r>
          </w:p>
        </w:tc>
        <w:tc>
          <w:tcPr>
            <w:tcBorders/>
            <w:shd w:val="clear" w:color="auto" w:fill="FFFFFF"/>
            <w:vAlign w:val="top"/>
          </w:tcPr>
          <w:p>
            <w:pPr>
              <w:widowControl w:val="0"/>
              <w:rPr>
                <w:sz w:val="10"/>
                <w:szCs w:val="10"/>
              </w:rPr>
            </w:pPr>
          </w:p>
        </w:tc>
      </w:tr>
      <w:tr>
        <w:trPr>
          <w:trHeight w:val="581"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⑵</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rPr>
                <w:sz w:val="24"/>
                <w:szCs w:val="24"/>
              </w:rPr>
            </w:pPr>
            <w:r>
              <w:rPr>
                <w:b/>
                <w:bCs/>
                <w:color w:val="000000"/>
                <w:spacing w:val="0"/>
                <w:w w:val="100"/>
                <w:position w:val="0"/>
                <w:sz w:val="24"/>
                <w:szCs w:val="24"/>
              </w:rPr>
              <w:t>处置子公司</w:t>
            </w:r>
            <w:r>
              <w:rPr>
                <w:rFonts w:ascii="Times New Roman" w:eastAsia="Times New Roman" w:hAnsi="Times New Roman" w:cs="Times New Roman"/>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4"/>
                <w:szCs w:val="24"/>
              </w:rPr>
              <w:t>）</w:t>
            </w:r>
          </w:p>
        </w:tc>
        <w:tc>
          <w:tcPr>
            <w:tcBorders/>
            <w:shd w:val="clear" w:color="auto" w:fill="FFFFFF"/>
            <w:vAlign w:val="top"/>
          </w:tcPr>
          <w:p>
            <w:pPr>
              <w:widowControl w:val="0"/>
              <w:rPr>
                <w:sz w:val="10"/>
                <w:szCs w:val="10"/>
              </w:rPr>
            </w:pPr>
          </w:p>
        </w:tc>
      </w:tr>
      <w:tr>
        <w:trPr>
          <w:trHeight w:val="576"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(b)</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rPr>
                <w:sz w:val="24"/>
                <w:szCs w:val="24"/>
              </w:rPr>
            </w:pPr>
            <w:r>
              <w:rPr>
                <w:color w:val="000000"/>
                <w:spacing w:val="0"/>
                <w:w w:val="100"/>
                <w:position w:val="0"/>
                <w:sz w:val="24"/>
                <w:szCs w:val="24"/>
              </w:rPr>
              <w:t>处置损益以及相关现金流量信息如下：</w:t>
            </w:r>
          </w:p>
        </w:tc>
        <w:tc>
          <w:tcPr>
            <w:tcBorders/>
            <w:shd w:val="clear" w:color="auto" w:fill="FFFFFF"/>
            <w:vAlign w:val="top"/>
          </w:tcPr>
          <w:p>
            <w:pPr>
              <w:widowControl w:val="0"/>
              <w:rPr>
                <w:sz w:val="10"/>
                <w:szCs w:val="10"/>
              </w:rPr>
            </w:pPr>
          </w:p>
        </w:tc>
      </w:tr>
      <w:tr>
        <w:trPr>
          <w:trHeight w:val="902"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140" w:after="0" w:line="240" w:lineRule="auto"/>
              <w:ind w:left="0" w:right="0" w:firstLine="220"/>
              <w:jc w:val="left"/>
              <w:rPr>
                <w:sz w:val="24"/>
                <w:szCs w:val="24"/>
              </w:rPr>
            </w:pPr>
            <w:r>
              <w:rPr>
                <w:color w:val="000000"/>
                <w:spacing w:val="0"/>
                <w:w w:val="100"/>
                <w:position w:val="0"/>
                <w:sz w:val="24"/>
                <w:szCs w:val="24"/>
              </w:rPr>
              <w:t>北京京朝业务处置损益计算如下：</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金额</w:t>
            </w:r>
          </w:p>
        </w:tc>
      </w:tr>
      <w:tr>
        <w:trPr>
          <w:trHeight w:val="758"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left"/>
              <w:rPr>
                <w:sz w:val="24"/>
                <w:szCs w:val="24"/>
              </w:rPr>
            </w:pPr>
            <w:r>
              <w:rPr>
                <w:color w:val="000000"/>
                <w:spacing w:val="0"/>
                <w:w w:val="100"/>
                <w:position w:val="0"/>
                <w:sz w:val="24"/>
                <w:szCs w:val="24"/>
              </w:rPr>
              <w:t>处置价格</w:t>
            </w:r>
          </w:p>
          <w:p>
            <w:pPr>
              <w:pStyle w:val="Style28"/>
              <w:keepNext w:val="0"/>
              <w:keepLines w:val="0"/>
              <w:widowControl w:val="0"/>
              <w:shd w:val="clear" w:color="auto" w:fill="auto"/>
              <w:bidi w:val="0"/>
              <w:spacing w:before="0" w:after="0" w:line="240" w:lineRule="auto"/>
              <w:ind w:left="0" w:right="0" w:firstLine="220"/>
              <w:jc w:val="left"/>
              <w:rPr>
                <w:sz w:val="24"/>
                <w:szCs w:val="24"/>
              </w:rPr>
            </w:pPr>
            <w:r>
              <w:rPr>
                <w:color w:val="000000"/>
                <w:spacing w:val="0"/>
                <w:w w:val="100"/>
                <w:position w:val="0"/>
                <w:sz w:val="24"/>
                <w:szCs w:val="24"/>
              </w:rPr>
              <w:t>减：合并财务报表层面享有的北京京朝</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1,304,837</w:t>
            </w:r>
          </w:p>
        </w:tc>
      </w:tr>
      <w:tr>
        <w:trPr>
          <w:trHeight w:val="317"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00"/>
              <w:jc w:val="left"/>
              <w:rPr>
                <w:sz w:val="24"/>
                <w:szCs w:val="24"/>
              </w:rPr>
            </w:pPr>
            <w:r>
              <w:rPr>
                <w:color w:val="000000"/>
                <w:spacing w:val="0"/>
                <w:w w:val="100"/>
                <w:position w:val="0"/>
                <w:sz w:val="24"/>
                <w:szCs w:val="24"/>
              </w:rPr>
              <w:t>净资产份额</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(766)</w:t>
            </w:r>
          </w:p>
        </w:tc>
      </w:tr>
      <w:tr>
        <w:trPr>
          <w:trHeight w:val="331"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left"/>
              <w:rPr>
                <w:sz w:val="24"/>
                <w:szCs w:val="24"/>
              </w:rPr>
            </w:pPr>
            <w:r>
              <w:rPr>
                <w:color w:val="000000"/>
                <w:spacing w:val="0"/>
                <w:w w:val="100"/>
                <w:position w:val="0"/>
                <w:sz w:val="24"/>
                <w:szCs w:val="24"/>
              </w:rPr>
              <w:t>处置产生的投资收益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附注四</w:t>
            </w:r>
            <w:r>
              <w:rPr>
                <w:rFonts w:ascii="Times New Roman" w:eastAsia="Times New Roman" w:hAnsi="Times New Roman" w:cs="Times New Roman"/>
                <w:color w:val="000000"/>
                <w:spacing w:val="0"/>
                <w:w w:val="100"/>
                <w:position w:val="0"/>
                <w:sz w:val="24"/>
                <w:szCs w:val="24"/>
              </w:rPr>
              <w:t>（51））</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1,304,071</w:t>
            </w:r>
          </w:p>
        </w:tc>
      </w:tr>
      <w:tr>
        <w:trPr>
          <w:trHeight w:val="595"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(3)</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left"/>
              <w:rPr>
                <w:sz w:val="24"/>
                <w:szCs w:val="24"/>
              </w:rPr>
            </w:pPr>
            <w:r>
              <w:rPr>
                <w:color w:val="000000"/>
                <w:spacing w:val="0"/>
                <w:w w:val="100"/>
                <w:position w:val="0"/>
                <w:sz w:val="24"/>
                <w:szCs w:val="24"/>
              </w:rPr>
              <w:t>其他原因的合并范围变动</w:t>
            </w:r>
          </w:p>
        </w:tc>
        <w:tc>
          <w:tcPr>
            <w:tcBorders>
              <w:top w:val="single" w:sz="4"/>
            </w:tcBorders>
            <w:shd w:val="clear" w:color="auto" w:fill="FFFFFF"/>
            <w:vAlign w:val="top"/>
          </w:tcPr>
          <w:p>
            <w:pPr>
              <w:widowControl w:val="0"/>
              <w:rPr>
                <w:sz w:val="10"/>
                <w:szCs w:val="10"/>
              </w:rPr>
            </w:pPr>
          </w:p>
        </w:tc>
      </w:tr>
    </w:tbl>
    <w:p>
      <w:pPr>
        <w:widowControl w:val="0"/>
        <w:spacing w:after="259" w:line="1" w:lineRule="exact"/>
      </w:pPr>
    </w:p>
    <w:p>
      <w:pPr>
        <w:pStyle w:val="Style32"/>
        <w:keepNext w:val="0"/>
        <w:keepLines w:val="0"/>
        <w:widowControl w:val="0"/>
        <w:shd w:val="clear" w:color="auto" w:fill="auto"/>
        <w:bidi w:val="0"/>
        <w:spacing w:before="0" w:after="0" w:line="317" w:lineRule="exact"/>
        <w:ind w:left="740" w:right="0" w:firstLine="0"/>
        <w:jc w:val="both"/>
        <w:rPr>
          <w:sz w:val="24"/>
          <w:szCs w:val="24"/>
        </w:rPr>
        <w:sectPr>
          <w:headerReference w:type="default" r:id="rId187"/>
          <w:footerReference w:type="default" r:id="rId188"/>
          <w:headerReference w:type="even" r:id="rId189"/>
          <w:footerReference w:type="even" r:id="rId190"/>
          <w:footnotePr>
            <w:pos w:val="pageBottom"/>
            <w:numFmt w:val="decimal"/>
            <w:numRestart w:val="continuous"/>
          </w:footnotePr>
          <w:pgSz w:w="11900" w:h="16840"/>
          <w:pgMar w:top="1326" w:right="1369" w:bottom="1326" w:left="1412" w:header="0" w:footer="3" w:gutter="0"/>
          <w:cols w:space="720"/>
          <w:noEndnote/>
          <w:rtlGutter w:val="0"/>
          <w:docGrid w:linePitch="360"/>
        </w:sectPr>
      </w:pPr>
      <w:r>
        <w:rPr>
          <w:color w:val="000000"/>
          <w:spacing w:val="0"/>
          <w:w w:val="100"/>
          <w:position w:val="0"/>
          <w:sz w:val="24"/>
          <w:szCs w:val="24"/>
        </w:rPr>
        <w:t>于</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年度，本集团新设子公司</w:t>
      </w:r>
      <w:r>
        <w:rPr>
          <w:rFonts w:ascii="Times New Roman" w:eastAsia="Times New Roman" w:hAnsi="Times New Roman" w:cs="Times New Roman"/>
          <w:color w:val="000000"/>
          <w:spacing w:val="0"/>
          <w:w w:val="100"/>
          <w:position w:val="0"/>
          <w:sz w:val="24"/>
          <w:szCs w:val="24"/>
        </w:rPr>
        <w:t>32</w:t>
      </w:r>
      <w:r>
        <w:rPr>
          <w:color w:val="000000"/>
          <w:spacing w:val="0"/>
          <w:w w:val="100"/>
          <w:position w:val="0"/>
          <w:sz w:val="24"/>
          <w:szCs w:val="24"/>
        </w:rPr>
        <w:t>家，包括重庆猫宁电子商务有限公司、南 京紫宁新世纪国际贸易有限公司等，纳入合并范围；注销子公司</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家，包括 广州市苏宁精品电器有限公司、贵阳苏宁采购有限公司等，不再纳入合并范 围。</w:t>
      </w:r>
    </w:p>
    <w:p>
      <w:pPr>
        <w:pStyle w:val="Style32"/>
        <w:keepNext w:val="0"/>
        <w:keepLines w:val="0"/>
        <w:widowControl w:val="0"/>
        <w:shd w:val="clear" w:color="auto" w:fill="auto"/>
        <w:bidi w:val="0"/>
        <w:spacing w:before="0" w:after="0" w:line="240" w:lineRule="auto"/>
        <w:ind w:left="0" w:right="0" w:firstLine="700"/>
        <w:jc w:val="both"/>
        <w:rPr>
          <w:sz w:val="24"/>
          <w:szCs w:val="24"/>
        </w:rPr>
      </w:pPr>
      <w:r>
        <w:rPr>
          <w:b/>
          <w:bCs/>
          <w:color w:val="000000"/>
          <w:spacing w:val="0"/>
          <w:w w:val="100"/>
          <w:position w:val="0"/>
          <w:sz w:val="24"/>
          <w:szCs w:val="24"/>
        </w:rPr>
        <w:t>财务报表附注</w:t>
      </w:r>
    </w:p>
    <w:p>
      <w:pPr>
        <w:pStyle w:val="Style88"/>
        <w:keepNext/>
        <w:keepLines/>
        <w:widowControl w:val="0"/>
        <w:shd w:val="clear" w:color="auto" w:fill="auto"/>
        <w:bidi w:val="0"/>
        <w:spacing w:before="0" w:after="0" w:line="240" w:lineRule="auto"/>
        <w:ind w:left="0" w:right="0"/>
        <w:jc w:val="both"/>
      </w:pPr>
      <w:bookmarkStart w:id="1022" w:name="bookmark1022"/>
      <w:bookmarkStart w:id="1023" w:name="bookmark1023"/>
      <w:bookmarkStart w:id="1024" w:name="bookmark1024"/>
      <w:r>
        <w:rPr>
          <w:color w:val="000000"/>
          <w:spacing w:val="0"/>
          <w:w w:val="100"/>
          <w:position w:val="0"/>
          <w:sz w:val="24"/>
          <w:szCs w:val="24"/>
        </w:rPr>
        <w:t>2016</w:t>
      </w:r>
      <w:r>
        <w:rPr>
          <w:rFonts w:ascii="SimSun" w:eastAsia="SimSun" w:hAnsi="SimSun" w:cs="SimSun"/>
          <w:b/>
          <w:bCs/>
          <w:color w:val="000000"/>
          <w:spacing w:val="0"/>
          <w:w w:val="100"/>
          <w:position w:val="0"/>
          <w:sz w:val="24"/>
          <w:szCs w:val="24"/>
        </w:rPr>
        <w:t>年度</w:t>
      </w:r>
      <w:bookmarkEnd w:id="1022"/>
      <w:bookmarkEnd w:id="1023"/>
      <w:bookmarkEnd w:id="1024"/>
    </w:p>
    <w:p>
      <w:pPr>
        <w:pStyle w:val="Style32"/>
        <w:keepNext w:val="0"/>
        <w:keepLines w:val="0"/>
        <w:widowControl w:val="0"/>
        <w:shd w:val="clear" w:color="auto" w:fill="auto"/>
        <w:bidi w:val="0"/>
        <w:spacing w:before="0" w:after="280" w:line="240" w:lineRule="auto"/>
        <w:ind w:left="0" w:right="0" w:firstLine="700"/>
        <w:jc w:val="both"/>
        <w:rPr>
          <w:sz w:val="20"/>
          <w:szCs w:val="20"/>
        </w:rPr>
      </w:pPr>
      <w:r>
        <w:rPr>
          <w:color w:val="000000"/>
          <w:spacing w:val="0"/>
          <w:w w:val="100"/>
          <w:position w:val="0"/>
          <w:sz w:val="20"/>
          <w:szCs w:val="20"/>
        </w:rPr>
        <w:t>(除特别注明外，金额单位为人民币千元)</w:t>
      </w:r>
    </w:p>
    <w:p>
      <w:pPr>
        <w:pStyle w:val="Style32"/>
        <w:keepNext w:val="0"/>
        <w:keepLines w:val="0"/>
        <w:widowControl w:val="0"/>
        <w:shd w:val="clear" w:color="auto" w:fill="auto"/>
        <w:tabs>
          <w:tab w:pos="650" w:val="left"/>
        </w:tabs>
        <w:bidi w:val="0"/>
        <w:spacing w:before="0" w:after="320" w:line="240" w:lineRule="auto"/>
        <w:ind w:left="0" w:right="0" w:firstLine="0"/>
        <w:jc w:val="left"/>
        <w:rPr>
          <w:sz w:val="24"/>
          <w:szCs w:val="24"/>
        </w:rPr>
      </w:pPr>
      <w:r>
        <w:rPr>
          <w:b/>
          <w:bCs/>
          <w:color w:val="000000"/>
          <w:spacing w:val="0"/>
          <w:w w:val="100"/>
          <w:position w:val="0"/>
          <w:sz w:val="24"/>
          <w:szCs w:val="24"/>
        </w:rPr>
        <w:t>六</w:t>
        <w:tab/>
        <w:t>在其他主体中的权益</w:t>
      </w:r>
    </w:p>
    <w:p>
      <w:pPr>
        <w:pStyle w:val="Style32"/>
        <w:keepNext w:val="0"/>
        <w:keepLines w:val="0"/>
        <w:widowControl w:val="0"/>
        <w:shd w:val="clear" w:color="auto" w:fill="auto"/>
        <w:tabs>
          <w:tab w:pos="650" w:val="left"/>
        </w:tabs>
        <w:bidi w:val="0"/>
        <w:spacing w:before="0" w:after="28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(1)</w:t>
        <w:tab/>
      </w:r>
      <w:r>
        <w:rPr>
          <w:b/>
          <w:bCs/>
          <w:color w:val="000000"/>
          <w:spacing w:val="0"/>
          <w:w w:val="100"/>
          <w:position w:val="0"/>
          <w:sz w:val="24"/>
          <w:szCs w:val="24"/>
        </w:rPr>
        <w:t>在子公司中的权益</w:t>
      </w:r>
    </w:p>
    <w:p>
      <w:pPr>
        <w:pStyle w:val="Style32"/>
        <w:keepNext w:val="0"/>
        <w:keepLines w:val="0"/>
        <w:widowControl w:val="0"/>
        <w:shd w:val="clear" w:color="auto" w:fill="auto"/>
        <w:tabs>
          <w:tab w:pos="650" w:val="left"/>
        </w:tabs>
        <w:bidi w:val="0"/>
        <w:spacing w:before="0" w:after="28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(a)</w:t>
        <w:tab/>
      </w:r>
      <w:r>
        <w:rPr>
          <w:color w:val="000000"/>
          <w:spacing w:val="0"/>
          <w:w w:val="100"/>
          <w:position w:val="0"/>
          <w:sz w:val="24"/>
          <w:szCs w:val="24"/>
        </w:rPr>
        <w:t>企业集团的构成</w:t>
      </w:r>
    </w:p>
    <w:p>
      <w:pPr>
        <w:pStyle w:val="Style32"/>
        <w:keepNext w:val="0"/>
        <w:keepLines w:val="0"/>
        <w:widowControl w:val="0"/>
        <w:shd w:val="clear" w:color="auto" w:fill="auto"/>
        <w:tabs>
          <w:tab w:pos="3969" w:val="left"/>
          <w:tab w:pos="6083" w:val="right"/>
        </w:tabs>
        <w:bidi w:val="0"/>
        <w:spacing w:before="0" w:after="520" w:line="240" w:lineRule="auto"/>
        <w:ind w:left="0" w:right="0" w:firstLine="700"/>
        <w:jc w:val="both"/>
        <w:rPr>
          <w:sz w:val="20"/>
          <w:szCs w:val="20"/>
        </w:rPr>
      </w:pPr>
      <w:r>
        <w:rPr>
          <w:color w:val="000000"/>
          <w:spacing w:val="0"/>
          <w:w w:val="100"/>
          <w:position w:val="0"/>
          <w:sz w:val="20"/>
          <w:szCs w:val="20"/>
        </w:rPr>
        <w:t>主要子公司名称</w:t>
        <w:tab/>
        <w:t>主要经营地</w:t>
        <w:tab/>
        <w:t>注册地</w:t>
      </w:r>
    </w:p>
    <w:p>
      <w:pPr>
        <w:pStyle w:val="Style32"/>
        <w:keepNext w:val="0"/>
        <w:keepLines w:val="0"/>
        <w:widowControl w:val="0"/>
        <w:shd w:val="clear" w:color="auto" w:fill="auto"/>
        <w:tabs>
          <w:tab w:pos="5027" w:val="right"/>
          <w:tab w:pos="6083" w:val="right"/>
        </w:tabs>
        <w:bidi w:val="0"/>
        <w:spacing w:before="0" w:after="0" w:line="240" w:lineRule="auto"/>
        <w:ind w:left="0" w:right="0" w:firstLine="700"/>
        <w:jc w:val="both"/>
        <w:rPr>
          <w:sz w:val="20"/>
          <w:szCs w:val="20"/>
        </w:rPr>
      </w:pPr>
      <w:r>
        <w:rPr>
          <w:color w:val="000000"/>
          <w:spacing w:val="0"/>
          <w:w w:val="100"/>
          <w:position w:val="0"/>
          <w:sz w:val="20"/>
          <w:szCs w:val="20"/>
        </w:rPr>
        <w:t>北京苏宁云商销售有限公司</w:t>
        <w:tab/>
        <w:t>北京市</w:t>
        <w:tab/>
        <w:t>北京市</w:t>
      </w:r>
    </w:p>
    <w:p>
      <w:pPr>
        <w:pStyle w:val="Style32"/>
        <w:keepNext w:val="0"/>
        <w:keepLines w:val="0"/>
        <w:widowControl w:val="0"/>
        <w:shd w:val="clear" w:color="auto" w:fill="auto"/>
        <w:tabs>
          <w:tab w:pos="5027" w:val="right"/>
          <w:tab w:pos="6083" w:val="right"/>
        </w:tabs>
        <w:bidi w:val="0"/>
        <w:spacing w:before="0" w:after="0" w:line="240" w:lineRule="auto"/>
        <w:ind w:left="0" w:right="0" w:firstLine="700"/>
        <w:jc w:val="both"/>
        <w:rPr>
          <w:sz w:val="20"/>
          <w:szCs w:val="20"/>
        </w:rPr>
      </w:pPr>
      <w:r>
        <w:rPr>
          <w:color w:val="000000"/>
          <w:spacing w:val="0"/>
          <w:w w:val="100"/>
          <w:position w:val="0"/>
          <w:sz w:val="20"/>
          <w:szCs w:val="20"/>
        </w:rPr>
        <w:t>上海苏宁云商销售有限公司</w:t>
        <w:tab/>
        <w:t>上海市</w:t>
        <w:tab/>
        <w:t>上海市</w:t>
      </w:r>
    </w:p>
    <w:p>
      <w:pPr>
        <w:pStyle w:val="Style32"/>
        <w:keepNext w:val="0"/>
        <w:keepLines w:val="0"/>
        <w:widowControl w:val="0"/>
        <w:shd w:val="clear" w:color="auto" w:fill="auto"/>
        <w:tabs>
          <w:tab w:pos="5027" w:val="right"/>
          <w:tab w:pos="6083" w:val="right"/>
        </w:tabs>
        <w:bidi w:val="0"/>
        <w:spacing w:before="0" w:after="0" w:line="240" w:lineRule="auto"/>
        <w:ind w:left="0" w:right="0" w:firstLine="700"/>
        <w:jc w:val="both"/>
        <w:rPr>
          <w:sz w:val="20"/>
          <w:szCs w:val="20"/>
        </w:rPr>
      </w:pPr>
      <w:r>
        <w:rPr>
          <w:color w:val="000000"/>
          <w:spacing w:val="0"/>
          <w:w w:val="100"/>
          <w:position w:val="0"/>
          <w:sz w:val="20"/>
          <w:szCs w:val="20"/>
        </w:rPr>
        <w:t>重庆苏宁云商销售有限公司</w:t>
        <w:tab/>
        <w:t>重庆市</w:t>
        <w:tab/>
        <w:t>重庆市</w:t>
      </w:r>
    </w:p>
    <w:p>
      <w:pPr>
        <w:pStyle w:val="Style32"/>
        <w:keepNext w:val="0"/>
        <w:keepLines w:val="0"/>
        <w:widowControl w:val="0"/>
        <w:shd w:val="clear" w:color="auto" w:fill="auto"/>
        <w:tabs>
          <w:tab w:pos="5027" w:val="right"/>
          <w:tab w:pos="6083" w:val="right"/>
        </w:tabs>
        <w:bidi w:val="0"/>
        <w:spacing w:before="0" w:after="0" w:line="240" w:lineRule="auto"/>
        <w:ind w:left="0" w:right="0" w:firstLine="700"/>
        <w:jc w:val="both"/>
        <w:rPr>
          <w:sz w:val="20"/>
          <w:szCs w:val="20"/>
        </w:rPr>
      </w:pPr>
      <w:r>
        <w:rPr>
          <w:color w:val="000000"/>
          <w:spacing w:val="0"/>
          <w:w w:val="100"/>
          <w:position w:val="0"/>
          <w:sz w:val="20"/>
          <w:szCs w:val="20"/>
        </w:rPr>
        <w:t>四川苏宁云商销售有限公司</w:t>
        <w:tab/>
        <w:t>成都市</w:t>
        <w:tab/>
        <w:t>成都市</w:t>
      </w:r>
    </w:p>
    <w:p>
      <w:pPr>
        <w:pStyle w:val="Style32"/>
        <w:keepNext w:val="0"/>
        <w:keepLines w:val="0"/>
        <w:widowControl w:val="0"/>
        <w:shd w:val="clear" w:color="auto" w:fill="auto"/>
        <w:tabs>
          <w:tab w:pos="5027" w:val="right"/>
          <w:tab w:pos="6083" w:val="right"/>
        </w:tabs>
        <w:bidi w:val="0"/>
        <w:spacing w:before="0" w:after="0" w:line="240" w:lineRule="auto"/>
        <w:ind w:left="0" w:right="0" w:firstLine="700"/>
        <w:jc w:val="both"/>
        <w:rPr>
          <w:sz w:val="20"/>
          <w:szCs w:val="20"/>
        </w:rPr>
      </w:pPr>
      <w:r>
        <w:rPr>
          <w:color w:val="000000"/>
          <w:spacing w:val="0"/>
          <w:w w:val="100"/>
          <w:position w:val="0"/>
          <w:sz w:val="20"/>
          <w:szCs w:val="20"/>
        </w:rPr>
        <w:t>苏宁金融服务(上海)有限公司⑴</w:t>
        <w:tab/>
        <w:t>上海市</w:t>
        <w:tab/>
        <w:t>上海市</w:t>
      </w:r>
    </w:p>
    <w:p>
      <w:pPr>
        <w:pStyle w:val="Style32"/>
        <w:keepNext w:val="0"/>
        <w:keepLines w:val="0"/>
        <w:widowControl w:val="0"/>
        <w:shd w:val="clear" w:color="auto" w:fill="auto"/>
        <w:tabs>
          <w:tab w:pos="5027" w:val="right"/>
          <w:tab w:pos="6083" w:val="right"/>
        </w:tabs>
        <w:bidi w:val="0"/>
        <w:spacing w:before="0" w:after="0" w:line="240" w:lineRule="auto"/>
        <w:ind w:left="0" w:right="0" w:firstLine="700"/>
        <w:jc w:val="both"/>
        <w:rPr>
          <w:sz w:val="20"/>
          <w:szCs w:val="20"/>
        </w:rPr>
      </w:pPr>
      <w:r>
        <w:rPr>
          <w:color w:val="000000"/>
          <w:spacing w:val="0"/>
          <w:w w:val="100"/>
          <w:position w:val="0"/>
          <w:sz w:val="20"/>
          <w:szCs w:val="20"/>
        </w:rPr>
        <w:t>广东苏宁云商销售有限公司</w:t>
        <w:tab/>
        <w:t>广州市</w:t>
        <w:tab/>
        <w:t>广州市</w:t>
      </w:r>
    </w:p>
    <w:p>
      <w:pPr>
        <w:pStyle w:val="Style32"/>
        <w:keepNext w:val="0"/>
        <w:keepLines w:val="0"/>
        <w:widowControl w:val="0"/>
        <w:shd w:val="clear" w:color="auto" w:fill="auto"/>
        <w:tabs>
          <w:tab w:pos="5027" w:val="right"/>
          <w:tab w:pos="6083" w:val="right"/>
        </w:tabs>
        <w:bidi w:val="0"/>
        <w:spacing w:before="0" w:after="0" w:line="240" w:lineRule="auto"/>
        <w:ind w:left="0" w:right="0" w:firstLine="700"/>
        <w:jc w:val="both"/>
        <w:rPr>
          <w:sz w:val="20"/>
          <w:szCs w:val="20"/>
        </w:rPr>
      </w:pPr>
      <w:r>
        <w:rPr>
          <w:color w:val="000000"/>
          <w:spacing w:val="0"/>
          <w:w w:val="100"/>
          <w:position w:val="0"/>
          <w:sz w:val="20"/>
          <w:szCs w:val="20"/>
        </w:rPr>
        <w:t>福建苏宁云商商贸有限公司</w:t>
        <w:tab/>
        <w:t>福州市</w:t>
        <w:tab/>
        <w:t>福州市</w:t>
      </w:r>
    </w:p>
    <w:p>
      <w:pPr>
        <w:pStyle w:val="Style32"/>
        <w:keepNext w:val="0"/>
        <w:keepLines w:val="0"/>
        <w:widowControl w:val="0"/>
        <w:shd w:val="clear" w:color="auto" w:fill="auto"/>
        <w:tabs>
          <w:tab w:pos="5027" w:val="right"/>
          <w:tab w:pos="6083" w:val="right"/>
        </w:tabs>
        <w:bidi w:val="0"/>
        <w:spacing w:before="0" w:after="0" w:line="240" w:lineRule="auto"/>
        <w:ind w:left="0" w:right="0" w:firstLine="700"/>
        <w:jc w:val="both"/>
        <w:rPr>
          <w:sz w:val="20"/>
          <w:szCs w:val="20"/>
        </w:rPr>
      </w:pPr>
      <w:r>
        <w:rPr>
          <w:color w:val="000000"/>
          <w:spacing w:val="0"/>
          <w:w w:val="100"/>
          <w:position w:val="0"/>
          <w:sz w:val="20"/>
          <w:szCs w:val="20"/>
        </w:rPr>
        <w:t>沈阳苏宁云商销售有限公司</w:t>
        <w:tab/>
        <w:t>沈阳市</w:t>
        <w:tab/>
        <w:t>沈阳市</w:t>
      </w:r>
    </w:p>
    <w:p>
      <w:pPr>
        <w:pStyle w:val="Style32"/>
        <w:keepNext w:val="0"/>
        <w:keepLines w:val="0"/>
        <w:widowControl w:val="0"/>
        <w:shd w:val="clear" w:color="auto" w:fill="auto"/>
        <w:tabs>
          <w:tab w:pos="5027" w:val="right"/>
          <w:tab w:pos="6083" w:val="right"/>
        </w:tabs>
        <w:bidi w:val="0"/>
        <w:spacing w:before="0" w:after="0" w:line="240" w:lineRule="auto"/>
        <w:ind w:left="0" w:right="0" w:firstLine="700"/>
        <w:jc w:val="both"/>
        <w:rPr>
          <w:sz w:val="20"/>
          <w:szCs w:val="20"/>
        </w:rPr>
      </w:pPr>
      <w:r>
        <w:rPr>
          <w:color w:val="000000"/>
          <w:spacing w:val="0"/>
          <w:w w:val="100"/>
          <w:position w:val="0"/>
          <w:sz w:val="20"/>
          <w:szCs w:val="20"/>
        </w:rPr>
        <w:t>陕西苏宁云商销售有限公司</w:t>
        <w:tab/>
        <w:t>西安市</w:t>
        <w:tab/>
        <w:t>西安市</w:t>
      </w:r>
    </w:p>
    <w:p>
      <w:pPr>
        <w:pStyle w:val="Style32"/>
        <w:keepNext w:val="0"/>
        <w:keepLines w:val="0"/>
        <w:widowControl w:val="0"/>
        <w:shd w:val="clear" w:color="auto" w:fill="auto"/>
        <w:tabs>
          <w:tab w:pos="5027" w:val="right"/>
          <w:tab w:pos="6083" w:val="right"/>
        </w:tabs>
        <w:bidi w:val="0"/>
        <w:spacing w:before="0" w:after="0" w:line="240" w:lineRule="auto"/>
        <w:ind w:left="0" w:right="0" w:firstLine="700"/>
        <w:jc w:val="both"/>
        <w:rPr>
          <w:sz w:val="20"/>
          <w:szCs w:val="20"/>
        </w:rPr>
      </w:pPr>
      <w:r>
        <w:rPr>
          <w:color w:val="000000"/>
          <w:spacing w:val="0"/>
          <w:w w:val="100"/>
          <w:position w:val="0"/>
          <w:sz w:val="20"/>
          <w:szCs w:val="20"/>
        </w:rPr>
        <w:t>浙江苏宁云商商贸有限公司</w:t>
        <w:tab/>
        <w:t>杭州市</w:t>
        <w:tab/>
        <w:t>杭州市</w:t>
      </w:r>
    </w:p>
    <w:p>
      <w:pPr>
        <w:pStyle w:val="Style32"/>
        <w:keepNext w:val="0"/>
        <w:keepLines w:val="0"/>
        <w:widowControl w:val="0"/>
        <w:shd w:val="clear" w:color="auto" w:fill="auto"/>
        <w:tabs>
          <w:tab w:pos="5027" w:val="right"/>
          <w:tab w:pos="6083" w:val="right"/>
        </w:tabs>
        <w:bidi w:val="0"/>
        <w:spacing w:before="0" w:after="0" w:line="240" w:lineRule="auto"/>
        <w:ind w:left="0" w:right="0" w:firstLine="700"/>
        <w:jc w:val="both"/>
        <w:rPr>
          <w:sz w:val="20"/>
          <w:szCs w:val="20"/>
        </w:rPr>
      </w:pPr>
      <w:r>
        <w:rPr>
          <w:color w:val="000000"/>
          <w:spacing w:val="0"/>
          <w:w w:val="100"/>
          <w:position w:val="0"/>
          <w:sz w:val="20"/>
          <w:szCs w:val="20"/>
        </w:rPr>
        <w:t>深圳市苏宁云商销售有限公司</w:t>
        <w:tab/>
        <w:t>深圳市</w:t>
        <w:tab/>
        <w:t>深圳市</w:t>
      </w:r>
    </w:p>
    <w:p>
      <w:pPr>
        <w:pStyle w:val="Style32"/>
        <w:keepNext w:val="0"/>
        <w:keepLines w:val="0"/>
        <w:widowControl w:val="0"/>
        <w:shd w:val="clear" w:color="auto" w:fill="auto"/>
        <w:tabs>
          <w:tab w:pos="5027" w:val="right"/>
          <w:tab w:pos="6083" w:val="right"/>
        </w:tabs>
        <w:bidi w:val="0"/>
        <w:spacing w:before="0" w:after="0" w:line="240" w:lineRule="auto"/>
        <w:ind w:left="0" w:right="0" w:firstLine="700"/>
        <w:jc w:val="both"/>
        <w:rPr>
          <w:sz w:val="20"/>
          <w:szCs w:val="20"/>
        </w:rPr>
      </w:pPr>
      <w:r>
        <w:rPr>
          <w:color w:val="000000"/>
          <w:spacing w:val="0"/>
          <w:w w:val="100"/>
          <w:position w:val="0"/>
          <w:sz w:val="20"/>
          <w:szCs w:val="20"/>
        </w:rPr>
        <w:t>武汉苏宁云商销售有限公司</w:t>
        <w:tab/>
        <w:t>武汉市</w:t>
        <w:tab/>
        <w:t>武汉市</w:t>
      </w:r>
    </w:p>
    <w:p>
      <w:pPr>
        <w:pStyle w:val="Style32"/>
        <w:keepNext w:val="0"/>
        <w:keepLines w:val="0"/>
        <w:widowControl w:val="0"/>
        <w:shd w:val="clear" w:color="auto" w:fill="auto"/>
        <w:tabs>
          <w:tab w:pos="5027" w:val="right"/>
          <w:tab w:pos="6083" w:val="right"/>
        </w:tabs>
        <w:bidi w:val="0"/>
        <w:spacing w:before="0" w:after="0" w:line="240" w:lineRule="auto"/>
        <w:ind w:left="0" w:right="0" w:firstLine="700"/>
        <w:jc w:val="both"/>
        <w:rPr>
          <w:sz w:val="20"/>
          <w:szCs w:val="20"/>
        </w:rPr>
      </w:pPr>
      <w:r>
        <w:rPr>
          <w:color w:val="000000"/>
          <w:spacing w:val="0"/>
          <w:w w:val="100"/>
          <w:position w:val="0"/>
          <w:sz w:val="20"/>
          <w:szCs w:val="20"/>
        </w:rPr>
        <w:t>厦门苏宁云商销售有限公司</w:t>
        <w:tab/>
        <w:t>厦门市</w:t>
        <w:tab/>
        <w:t>厦门市</w:t>
      </w:r>
    </w:p>
    <w:p>
      <w:pPr>
        <w:pStyle w:val="Style32"/>
        <w:keepNext w:val="0"/>
        <w:keepLines w:val="0"/>
        <w:widowControl w:val="0"/>
        <w:shd w:val="clear" w:color="auto" w:fill="auto"/>
        <w:tabs>
          <w:tab w:pos="5027" w:val="right"/>
          <w:tab w:pos="6083" w:val="right"/>
        </w:tabs>
        <w:bidi w:val="0"/>
        <w:spacing w:before="0" w:after="0" w:line="240" w:lineRule="auto"/>
        <w:ind w:left="0" w:right="0" w:firstLine="700"/>
        <w:jc w:val="both"/>
        <w:rPr>
          <w:sz w:val="20"/>
          <w:szCs w:val="20"/>
        </w:rPr>
      </w:pPr>
      <w:r>
        <w:rPr>
          <w:color w:val="000000"/>
          <w:spacing w:val="0"/>
          <w:w w:val="100"/>
          <w:position w:val="0"/>
          <w:sz w:val="20"/>
          <w:szCs w:val="20"/>
        </w:rPr>
        <w:t>云南苏宁云商销售有限公司</w:t>
        <w:tab/>
        <w:t>昆明市</w:t>
        <w:tab/>
        <w:t>昆明市</w:t>
      </w:r>
    </w:p>
    <w:p>
      <w:pPr>
        <w:pStyle w:val="Style32"/>
        <w:keepNext w:val="0"/>
        <w:keepLines w:val="0"/>
        <w:widowControl w:val="0"/>
        <w:shd w:val="clear" w:color="auto" w:fill="auto"/>
        <w:tabs>
          <w:tab w:pos="5027" w:val="right"/>
          <w:tab w:pos="6083" w:val="right"/>
        </w:tabs>
        <w:bidi w:val="0"/>
        <w:spacing w:before="0" w:after="0" w:line="240" w:lineRule="auto"/>
        <w:ind w:left="0" w:right="0" w:firstLine="700"/>
        <w:jc w:val="both"/>
        <w:rPr>
          <w:sz w:val="20"/>
          <w:szCs w:val="20"/>
        </w:rPr>
      </w:pPr>
      <w:r>
        <w:rPr>
          <w:color w:val="000000"/>
          <w:spacing w:val="0"/>
          <w:w w:val="100"/>
          <w:position w:val="0"/>
          <w:sz w:val="20"/>
          <w:szCs w:val="20"/>
        </w:rPr>
        <w:t>苏宁商业保理有限公司⑴</w:t>
        <w:tab/>
        <w:t>天津市</w:t>
        <w:tab/>
        <w:t>天津市</w:t>
      </w:r>
    </w:p>
    <w:p>
      <w:pPr>
        <w:pStyle w:val="Style32"/>
        <w:keepNext w:val="0"/>
        <w:keepLines w:val="0"/>
        <w:widowControl w:val="0"/>
        <w:shd w:val="clear" w:color="auto" w:fill="auto"/>
        <w:tabs>
          <w:tab w:pos="5027" w:val="right"/>
          <w:tab w:pos="6083" w:val="right"/>
        </w:tabs>
        <w:bidi w:val="0"/>
        <w:spacing w:before="0" w:after="0" w:line="240" w:lineRule="auto"/>
        <w:ind w:left="0" w:right="0" w:firstLine="700"/>
        <w:jc w:val="both"/>
        <w:rPr>
          <w:sz w:val="20"/>
          <w:szCs w:val="20"/>
        </w:rPr>
      </w:pPr>
      <w:r>
        <w:rPr>
          <w:color w:val="000000"/>
          <w:spacing w:val="0"/>
          <w:w w:val="100"/>
          <w:position w:val="0"/>
          <w:sz w:val="20"/>
          <w:szCs w:val="20"/>
        </w:rPr>
        <w:t>重庆苏宁小额贷款有限公司</w:t>
      </w:r>
      <w:r>
        <w:rPr>
          <w:rFonts w:ascii="Times New Roman" w:eastAsia="Times New Roman" w:hAnsi="Times New Roman" w:cs="Times New Roman"/>
          <w:color w:val="000000"/>
          <w:spacing w:val="0"/>
          <w:w w:val="100"/>
          <w:position w:val="0"/>
          <w:sz w:val="20"/>
          <w:szCs w:val="20"/>
        </w:rPr>
        <w:t>(i)</w:t>
        <w:tab/>
      </w:r>
      <w:r>
        <w:rPr>
          <w:color w:val="000000"/>
          <w:spacing w:val="0"/>
          <w:w w:val="100"/>
          <w:position w:val="0"/>
          <w:sz w:val="20"/>
          <w:szCs w:val="20"/>
        </w:rPr>
        <w:t>重庆市</w:t>
        <w:tab/>
        <w:t>重庆市</w:t>
      </w:r>
    </w:p>
    <w:p>
      <w:pPr>
        <w:pStyle w:val="Style32"/>
        <w:keepNext w:val="0"/>
        <w:keepLines w:val="0"/>
        <w:widowControl w:val="0"/>
        <w:shd w:val="clear" w:color="auto" w:fill="auto"/>
        <w:tabs>
          <w:tab w:pos="5027" w:val="right"/>
          <w:tab w:pos="6083" w:val="right"/>
        </w:tabs>
        <w:bidi w:val="0"/>
        <w:spacing w:before="0" w:after="0" w:line="240" w:lineRule="auto"/>
        <w:ind w:left="0" w:right="0" w:firstLine="700"/>
        <w:jc w:val="both"/>
        <w:rPr>
          <w:sz w:val="20"/>
          <w:szCs w:val="20"/>
        </w:rPr>
      </w:pPr>
      <w:r>
        <w:rPr>
          <w:color w:val="000000"/>
          <w:spacing w:val="0"/>
          <w:w w:val="100"/>
          <w:position w:val="0"/>
          <w:sz w:val="20"/>
          <w:szCs w:val="20"/>
        </w:rPr>
        <w:t>北京苏宁云团科技有限公司</w:t>
        <w:tab/>
        <w:t>北京市</w:t>
        <w:tab/>
        <w:t>北京市</w:t>
      </w:r>
    </w:p>
    <w:p>
      <w:pPr>
        <w:pStyle w:val="Style32"/>
        <w:keepNext w:val="0"/>
        <w:keepLines w:val="0"/>
        <w:widowControl w:val="0"/>
        <w:shd w:val="clear" w:color="auto" w:fill="auto"/>
        <w:tabs>
          <w:tab w:pos="5027" w:val="right"/>
          <w:tab w:pos="6083" w:val="right"/>
        </w:tabs>
        <w:bidi w:val="0"/>
        <w:spacing w:before="0" w:after="0" w:line="240" w:lineRule="auto"/>
        <w:ind w:left="0" w:right="0" w:firstLine="700"/>
        <w:jc w:val="both"/>
        <w:rPr>
          <w:sz w:val="20"/>
          <w:szCs w:val="20"/>
        </w:rPr>
        <w:sectPr>
          <w:headerReference w:type="default" r:id="rId191"/>
          <w:footerReference w:type="default" r:id="rId192"/>
          <w:headerReference w:type="even" r:id="rId193"/>
          <w:footerReference w:type="even" r:id="rId194"/>
          <w:footnotePr>
            <w:pos w:val="pageBottom"/>
            <w:numFmt w:val="decimal"/>
            <w:numRestart w:val="continuous"/>
          </w:footnotePr>
          <w:pgSz w:w="7824" w:h="11909"/>
          <w:pgMar w:top="1354" w:right="231" w:bottom="1354" w:left="1421" w:header="0" w:footer="926" w:gutter="0"/>
          <w:pgNumType w:start="260"/>
          <w:cols w:space="720"/>
          <w:noEndnote/>
          <w:rtlGutter w:val="0"/>
          <w:docGrid w:linePitch="360"/>
        </w:sectPr>
      </w:pPr>
      <w:r>
        <w:rPr>
          <w:color w:val="000000"/>
          <w:spacing w:val="0"/>
          <w:w w:val="100"/>
          <w:position w:val="0"/>
          <w:sz w:val="20"/>
          <w:szCs w:val="20"/>
        </w:rPr>
        <w:t>江苏苏宁易达物流投资有限公司</w:t>
        <w:tab/>
        <w:t>南京市</w:t>
        <w:tab/>
        <w:t>南京市</w:t>
      </w:r>
    </w:p>
    <w:tbl>
      <w:tblPr>
        <w:tblOverlap w:val="never"/>
        <w:jc w:val="center"/>
        <w:tblLayout w:type="fixed"/>
      </w:tblPr>
      <w:tblGrid>
        <w:gridCol w:w="2990"/>
        <w:gridCol w:w="1550"/>
        <w:gridCol w:w="1248"/>
        <w:gridCol w:w="1483"/>
      </w:tblGrid>
      <w:tr>
        <w:trPr>
          <w:trHeight w:val="254" w:hRule="exact"/>
        </w:trPr>
        <w:tc>
          <w:tcPr>
            <w:vMerge w:val="restart"/>
            <w:tcBorders/>
            <w:shd w:val="clear" w:color="auto" w:fill="FFFFFF"/>
            <w:vAlign w:val="top"/>
          </w:tcPr>
          <w:p>
            <w:pPr>
              <w:pStyle w:val="Style28"/>
              <w:keepNext w:val="0"/>
              <w:keepLines w:val="0"/>
              <w:widowControl w:val="0"/>
              <w:shd w:val="clear" w:color="auto" w:fill="auto"/>
              <w:bidi w:val="0"/>
              <w:spacing w:before="0" w:after="0" w:line="240" w:lineRule="auto"/>
              <w:ind w:left="1760" w:right="0" w:firstLine="0"/>
              <w:jc w:val="left"/>
              <w:rPr>
                <w:sz w:val="20"/>
                <w:szCs w:val="20"/>
              </w:rPr>
            </w:pPr>
            <w:r>
              <w:rPr>
                <w:color w:val="000000"/>
                <w:spacing w:val="0"/>
                <w:w w:val="100"/>
                <w:position w:val="0"/>
                <w:sz w:val="20"/>
                <w:szCs w:val="20"/>
              </w:rPr>
              <w:t>业务性质—</w:t>
            </w:r>
          </w:p>
        </w:tc>
        <w:tc>
          <w:tcPr>
            <w:gridSpan w:val="2"/>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持股比例</w:t>
            </w:r>
          </w:p>
        </w:tc>
        <w:tc>
          <w:tcPr>
            <w:vMerge w:val="restart"/>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rPr>
              <w:t>取得方式</w:t>
            </w:r>
          </w:p>
        </w:tc>
      </w:tr>
      <w:tr>
        <w:trPr>
          <w:trHeight w:val="379" w:hRule="exact"/>
        </w:trPr>
        <w:tc>
          <w:tcPr>
            <w:vMerge/>
            <w:tcBorders/>
            <w:shd w:val="clear" w:color="auto" w:fill="FFFFFF"/>
            <w:vAlign w:val="top"/>
          </w:tcPr>
          <w:p>
            <w:pP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直接</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间接</w:t>
            </w:r>
          </w:p>
        </w:tc>
        <w:tc>
          <w:tcPr>
            <w:vMerge/>
            <w:tcBorders/>
            <w:shd w:val="clear" w:color="auto" w:fill="FFFFFF"/>
            <w:vAlign w:val="top"/>
          </w:tcPr>
          <w:p>
            <w:pPr/>
          </w:p>
        </w:tc>
      </w:tr>
      <w:tr>
        <w:trPr>
          <w:trHeight w:val="374"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电器和电子消费品的连锁销售</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89%</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11%</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rPr>
              <w:t>投资设立</w:t>
            </w:r>
          </w:p>
        </w:tc>
      </w:tr>
      <w:tr>
        <w:trPr>
          <w:trHeight w:val="259"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电器和电子消费品的连锁销售</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100%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rPr>
              <w:t>投资设立</w:t>
            </w:r>
          </w:p>
        </w:tc>
      </w:tr>
      <w:tr>
        <w:trPr>
          <w:trHeight w:val="259"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电器和电子消费品的连锁销售</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99%</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1%</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rPr>
              <w:t>投资设立</w:t>
            </w:r>
          </w:p>
        </w:tc>
      </w:tr>
      <w:tr>
        <w:trPr>
          <w:trHeight w:val="259"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电器和电子消费品的连锁销售</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100%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rPr>
              <w:t>投资设立</w:t>
            </w:r>
          </w:p>
        </w:tc>
      </w:tr>
      <w:tr>
        <w:trPr>
          <w:trHeight w:val="259"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电器和电子消费品的连锁销售</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65%</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rPr>
              <w:t>投资设立</w:t>
            </w:r>
          </w:p>
        </w:tc>
      </w:tr>
      <w:tr>
        <w:trPr>
          <w:trHeight w:val="259"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电器和电子消费品的连锁销售</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90%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10%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rPr>
              <w:t>投资设立</w:t>
            </w:r>
          </w:p>
        </w:tc>
      </w:tr>
      <w:tr>
        <w:trPr>
          <w:trHeight w:val="259"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电器和电子消费品的连锁销售</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90%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10%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rPr>
              <w:t>投资设立</w:t>
            </w:r>
          </w:p>
        </w:tc>
      </w:tr>
      <w:tr>
        <w:trPr>
          <w:trHeight w:val="259"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电器和电子消费品的连锁销售</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90%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10%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rPr>
              <w:t>投资设立</w:t>
            </w:r>
          </w:p>
        </w:tc>
      </w:tr>
      <w:tr>
        <w:trPr>
          <w:trHeight w:val="259"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电器和电子消费品的连锁销售</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90%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10%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rPr>
              <w:t>投资设立</w:t>
            </w:r>
          </w:p>
        </w:tc>
      </w:tr>
      <w:tr>
        <w:trPr>
          <w:trHeight w:val="259"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电器和电子消费品的连锁销售</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89%</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11%</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rPr>
              <w:t>投资设立</w:t>
            </w:r>
          </w:p>
        </w:tc>
      </w:tr>
      <w:tr>
        <w:trPr>
          <w:trHeight w:val="259"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电器和电子消费品的连锁销售</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90%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10%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rPr>
              <w:t>投资设立</w:t>
            </w:r>
          </w:p>
        </w:tc>
      </w:tr>
      <w:tr>
        <w:trPr>
          <w:trHeight w:val="259"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电器和电子消费品的连锁销售</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90%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10%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rPr>
              <w:t>投资设立</w:t>
            </w:r>
          </w:p>
        </w:tc>
      </w:tr>
      <w:tr>
        <w:trPr>
          <w:trHeight w:val="259"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电器和电子消费品的连锁销售</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10%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90%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rPr>
              <w:t>投资设立</w:t>
            </w:r>
          </w:p>
        </w:tc>
      </w:tr>
      <w:tr>
        <w:trPr>
          <w:trHeight w:val="264"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电器和电子消费品的连锁销售</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100%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rPr>
              <w:t>投资设立</w:t>
            </w:r>
          </w:p>
        </w:tc>
      </w:tr>
      <w:tr>
        <w:trPr>
          <w:trHeight w:val="269"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1760" w:right="0" w:firstLine="0"/>
              <w:jc w:val="left"/>
              <w:rPr>
                <w:sz w:val="20"/>
                <w:szCs w:val="20"/>
              </w:rPr>
            </w:pPr>
            <w:r>
              <w:rPr>
                <w:color w:val="000000"/>
                <w:spacing w:val="0"/>
                <w:w w:val="100"/>
                <w:position w:val="0"/>
                <w:sz w:val="20"/>
                <w:szCs w:val="20"/>
              </w:rPr>
              <w:t>商业保理</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0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65%</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rPr>
              <w:t>投资设立</w:t>
            </w:r>
          </w:p>
        </w:tc>
      </w:tr>
      <w:tr>
        <w:trPr>
          <w:trHeight w:val="274"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1760" w:right="0" w:firstLine="0"/>
              <w:jc w:val="left"/>
              <w:rPr>
                <w:sz w:val="20"/>
                <w:szCs w:val="20"/>
              </w:rPr>
            </w:pPr>
            <w:r>
              <w:rPr>
                <w:color w:val="000000"/>
                <w:spacing w:val="0"/>
                <w:w w:val="100"/>
                <w:position w:val="0"/>
                <w:sz w:val="20"/>
                <w:szCs w:val="20"/>
              </w:rPr>
              <w:t>小额贷款</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0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65%</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rPr>
              <w:t>投资设立</w:t>
            </w:r>
          </w:p>
        </w:tc>
      </w:tr>
      <w:tr>
        <w:trPr>
          <w:trHeight w:val="288"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1360" w:right="0" w:firstLine="0"/>
              <w:jc w:val="both"/>
              <w:rPr>
                <w:sz w:val="20"/>
                <w:szCs w:val="20"/>
              </w:rPr>
            </w:pPr>
            <w:r>
              <w:rPr>
                <w:color w:val="000000"/>
                <w:spacing w:val="0"/>
                <w:w w:val="100"/>
                <w:position w:val="0"/>
                <w:sz w:val="20"/>
                <w:szCs w:val="20"/>
              </w:rPr>
              <w:t>本地生活服务</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0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70%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rPr>
              <w:t>投资设立</w:t>
            </w:r>
          </w:p>
        </w:tc>
      </w:tr>
      <w:tr>
        <w:trPr>
          <w:trHeight w:val="259"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1560" w:right="0" w:firstLine="0"/>
              <w:jc w:val="both"/>
              <w:rPr>
                <w:sz w:val="20"/>
                <w:szCs w:val="20"/>
              </w:rPr>
            </w:pPr>
            <w:r>
              <w:rPr>
                <w:color w:val="000000"/>
                <w:spacing w:val="0"/>
                <w:w w:val="100"/>
                <w:position w:val="0"/>
                <w:sz w:val="20"/>
                <w:szCs w:val="20"/>
              </w:rPr>
              <w:t>物流业投资</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100%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rPr>
              <w:t>投资设立</w:t>
            </w:r>
          </w:p>
        </w:tc>
      </w:tr>
    </w:tbl>
    <w:p>
      <w:pPr>
        <w:sectPr>
          <w:headerReference w:type="default" r:id="rId195"/>
          <w:footerReference w:type="default" r:id="rId196"/>
          <w:headerReference w:type="even" r:id="rId197"/>
          <w:footerReference w:type="even" r:id="rId198"/>
          <w:footnotePr>
            <w:pos w:val="pageBottom"/>
            <w:numFmt w:val="decimal"/>
            <w:numRestart w:val="continuous"/>
          </w:footnotePr>
          <w:pgSz w:w="8400" w:h="11900"/>
          <w:pgMar w:top="4183" w:right="1085" w:bottom="2045" w:left="43" w:header="3755" w:footer="3" w:gutter="0"/>
          <w:pgNumType w:start="254"/>
          <w:cols w:space="720"/>
          <w:noEndnote/>
          <w:rtlGutter w:val="0"/>
          <w:docGrid w:linePitch="360"/>
        </w:sectPr>
      </w:pPr>
    </w:p>
    <w:p>
      <w:pPr>
        <w:pStyle w:val="Style32"/>
        <w:keepNext w:val="0"/>
        <w:keepLines w:val="0"/>
        <w:widowControl w:val="0"/>
        <w:shd w:val="clear" w:color="auto" w:fill="auto"/>
        <w:bidi w:val="0"/>
        <w:spacing w:before="0" w:after="0" w:line="240" w:lineRule="auto"/>
        <w:ind w:left="0" w:right="0" w:firstLine="720"/>
        <w:jc w:val="left"/>
        <w:rPr>
          <w:sz w:val="24"/>
          <w:szCs w:val="24"/>
        </w:rPr>
      </w:pPr>
      <w:r>
        <w:rPr>
          <w:b/>
          <w:bCs/>
          <w:color w:val="000000"/>
          <w:spacing w:val="0"/>
          <w:w w:val="100"/>
          <w:position w:val="0"/>
          <w:sz w:val="24"/>
          <w:szCs w:val="24"/>
        </w:rPr>
        <w:t>财务报表附注</w:t>
      </w:r>
    </w:p>
    <w:p>
      <w:pPr>
        <w:pStyle w:val="Style88"/>
        <w:keepNext/>
        <w:keepLines/>
        <w:widowControl w:val="0"/>
        <w:shd w:val="clear" w:color="auto" w:fill="auto"/>
        <w:bidi w:val="0"/>
        <w:spacing w:before="0" w:after="0" w:line="240" w:lineRule="auto"/>
        <w:ind w:left="0" w:right="0" w:firstLine="720"/>
        <w:jc w:val="left"/>
      </w:pPr>
      <w:bookmarkStart w:id="1025" w:name="bookmark1025"/>
      <w:bookmarkStart w:id="1026" w:name="bookmark1026"/>
      <w:bookmarkStart w:id="1027" w:name="bookmark1027"/>
      <w:r>
        <w:rPr>
          <w:color w:val="000000"/>
          <w:spacing w:val="0"/>
          <w:w w:val="100"/>
          <w:position w:val="0"/>
          <w:sz w:val="24"/>
          <w:szCs w:val="24"/>
        </w:rPr>
        <w:t>2016</w:t>
      </w:r>
      <w:r>
        <w:rPr>
          <w:rFonts w:ascii="SimSun" w:eastAsia="SimSun" w:hAnsi="SimSun" w:cs="SimSun"/>
          <w:b/>
          <w:bCs/>
          <w:color w:val="000000"/>
          <w:spacing w:val="0"/>
          <w:w w:val="100"/>
          <w:position w:val="0"/>
          <w:sz w:val="24"/>
          <w:szCs w:val="24"/>
        </w:rPr>
        <w:t>年度</w:t>
      </w:r>
      <w:bookmarkEnd w:id="1025"/>
      <w:bookmarkEnd w:id="1026"/>
      <w:bookmarkEnd w:id="1027"/>
    </w:p>
    <w:p>
      <w:pPr>
        <w:pStyle w:val="Style32"/>
        <w:keepNext w:val="0"/>
        <w:keepLines w:val="0"/>
        <w:widowControl w:val="0"/>
        <w:shd w:val="clear" w:color="auto" w:fill="auto"/>
        <w:bidi w:val="0"/>
        <w:spacing w:before="0" w:after="240" w:line="240" w:lineRule="auto"/>
        <w:ind w:left="0" w:right="0" w:firstLine="720"/>
        <w:jc w:val="left"/>
        <w:rPr>
          <w:sz w:val="20"/>
          <w:szCs w:val="20"/>
        </w:rPr>
      </w:pPr>
      <w:r>
        <w:rPr>
          <w:rFonts w:ascii="Arial" w:eastAsia="Arial" w:hAnsi="Arial" w:cs="Arial"/>
          <w:color w:val="000000"/>
          <w:spacing w:val="0"/>
          <w:w w:val="100"/>
          <w:position w:val="0"/>
          <w:sz w:val="20"/>
          <w:szCs w:val="20"/>
        </w:rPr>
        <w:t>（</w:t>
      </w:r>
      <w:r>
        <w:rPr>
          <w:color w:val="000000"/>
          <w:spacing w:val="0"/>
          <w:w w:val="100"/>
          <w:position w:val="0"/>
          <w:sz w:val="20"/>
          <w:szCs w:val="20"/>
        </w:rPr>
        <w:t>除特别注明外，金额单位为人民币千元</w:t>
      </w:r>
      <w:r>
        <w:rPr>
          <w:rFonts w:ascii="Arial" w:eastAsia="Arial" w:hAnsi="Arial" w:cs="Arial"/>
          <w:color w:val="000000"/>
          <w:spacing w:val="0"/>
          <w:w w:val="100"/>
          <w:position w:val="0"/>
          <w:sz w:val="20"/>
          <w:szCs w:val="20"/>
        </w:rPr>
        <w:t>）</w:t>
      </w:r>
    </w:p>
    <w:p>
      <w:pPr>
        <w:pStyle w:val="Style32"/>
        <w:keepNext w:val="0"/>
        <w:keepLines w:val="0"/>
        <w:widowControl w:val="0"/>
        <w:shd w:val="clear" w:color="auto" w:fill="auto"/>
        <w:tabs>
          <w:tab w:pos="630" w:val="left"/>
        </w:tabs>
        <w:bidi w:val="0"/>
        <w:spacing w:before="0" w:after="240" w:line="240" w:lineRule="auto"/>
        <w:ind w:left="0" w:right="0" w:firstLine="0"/>
        <w:jc w:val="left"/>
        <w:rPr>
          <w:sz w:val="24"/>
          <w:szCs w:val="24"/>
        </w:rPr>
      </w:pPr>
      <w:r>
        <w:rPr>
          <w:b/>
          <w:bCs/>
          <w:color w:val="000000"/>
          <w:spacing w:val="0"/>
          <w:w w:val="100"/>
          <w:position w:val="0"/>
          <w:sz w:val="24"/>
          <w:szCs w:val="24"/>
        </w:rPr>
        <w:t>六</w:t>
        <w:tab/>
        <w:t>在其他主体中的权益</w:t>
      </w:r>
      <w:r>
        <w:rPr>
          <w:rFonts w:ascii="Times New Roman" w:eastAsia="Times New Roman" w:hAnsi="Times New Roman" w:cs="Times New Roman"/>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4"/>
          <w:szCs w:val="24"/>
        </w:rPr>
        <w:t>）</w:t>
      </w:r>
    </w:p>
    <w:p>
      <w:pPr>
        <w:pStyle w:val="Style32"/>
        <w:keepNext w:val="0"/>
        <w:keepLines w:val="0"/>
        <w:widowControl w:val="0"/>
        <w:shd w:val="clear" w:color="auto" w:fill="auto"/>
        <w:tabs>
          <w:tab w:pos="630" w:val="left"/>
        </w:tabs>
        <w:bidi w:val="0"/>
        <w:spacing w:before="0" w:after="24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（1）</w:t>
        <w:tab/>
      </w:r>
      <w:r>
        <w:rPr>
          <w:b/>
          <w:bCs/>
          <w:color w:val="000000"/>
          <w:spacing w:val="0"/>
          <w:w w:val="100"/>
          <w:position w:val="0"/>
          <w:sz w:val="24"/>
          <w:szCs w:val="24"/>
        </w:rPr>
        <w:t>在子公司中的权益</w:t>
      </w:r>
      <w:r>
        <w:rPr>
          <w:rFonts w:ascii="Times New Roman" w:eastAsia="Times New Roman" w:hAnsi="Times New Roman" w:cs="Times New Roman"/>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4"/>
          <w:szCs w:val="24"/>
        </w:rPr>
        <w:t>）</w:t>
      </w:r>
    </w:p>
    <w:p>
      <w:pPr>
        <w:pStyle w:val="Style32"/>
        <w:keepNext w:val="0"/>
        <w:keepLines w:val="0"/>
        <w:widowControl w:val="0"/>
        <w:shd w:val="clear" w:color="auto" w:fill="auto"/>
        <w:tabs>
          <w:tab w:pos="630" w:val="left"/>
        </w:tabs>
        <w:bidi w:val="0"/>
        <w:spacing w:before="0" w:after="28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（a）</w:t>
        <w:tab/>
      </w:r>
      <w:r>
        <w:rPr>
          <w:color w:val="000000"/>
          <w:spacing w:val="0"/>
          <w:w w:val="100"/>
          <w:position w:val="0"/>
          <w:sz w:val="24"/>
          <w:szCs w:val="24"/>
        </w:rPr>
        <w:t>企业集团的构成</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续</w:t>
      </w:r>
      <w:r>
        <w:rPr>
          <w:color w:val="000000"/>
          <w:spacing w:val="0"/>
          <w:w w:val="100"/>
          <w:position w:val="0"/>
          <w:sz w:val="24"/>
          <w:szCs w:val="24"/>
        </w:rPr>
        <w:t>）</w:t>
      </w:r>
    </w:p>
    <w:tbl>
      <w:tblPr>
        <w:tblOverlap w:val="never"/>
        <w:jc w:val="center"/>
        <w:tblLayout w:type="fixed"/>
      </w:tblPr>
      <w:tblGrid>
        <w:gridCol w:w="3202"/>
        <w:gridCol w:w="1570"/>
        <w:gridCol w:w="1061"/>
        <w:gridCol w:w="3125"/>
        <w:gridCol w:w="1334"/>
        <w:gridCol w:w="826"/>
        <w:gridCol w:w="1982"/>
      </w:tblGrid>
      <w:tr>
        <w:trPr>
          <w:trHeight w:val="254" w:hRule="exact"/>
        </w:trPr>
        <w:tc>
          <w:tcPr>
            <w:vMerge w:val="restart"/>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主要子公司名称</w:t>
            </w:r>
          </w:p>
        </w:tc>
        <w:tc>
          <w:tcPr>
            <w:vMerge w:val="restart"/>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主要经营地</w:t>
            </w:r>
          </w:p>
        </w:tc>
        <w:tc>
          <w:tcPr>
            <w:vMerge w:val="restart"/>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注册地</w:t>
            </w:r>
          </w:p>
        </w:tc>
        <w:tc>
          <w:tcPr>
            <w:vMerge w:val="restart"/>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业务性质—</w:t>
            </w:r>
          </w:p>
        </w:tc>
        <w:tc>
          <w:tcPr>
            <w:gridSpan w:val="2"/>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持股比例</w:t>
            </w:r>
          </w:p>
        </w:tc>
        <w:tc>
          <w:tcPr>
            <w:vMerge w:val="restart"/>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取得方式</w:t>
            </w:r>
          </w:p>
        </w:tc>
      </w:tr>
      <w:tr>
        <w:trPr>
          <w:trHeight w:val="379" w:hRule="exact"/>
        </w:trPr>
        <w:tc>
          <w:tcPr>
            <w:vMerge/>
            <w:tcBorders/>
            <w:shd w:val="clear" w:color="auto" w:fill="FFFFFF"/>
            <w:vAlign w:val="top"/>
          </w:tcPr>
          <w:p>
            <w:pPr/>
          </w:p>
        </w:tc>
        <w:tc>
          <w:tcPr>
            <w:vMerge/>
            <w:tcBorders/>
            <w:shd w:val="clear" w:color="auto" w:fill="FFFFFF"/>
            <w:vAlign w:val="top"/>
          </w:tcPr>
          <w:p>
            <w:pPr/>
          </w:p>
        </w:tc>
        <w:tc>
          <w:tcPr>
            <w:vMerge/>
            <w:tcBorders/>
            <w:shd w:val="clear" w:color="auto" w:fill="FFFFFF"/>
            <w:vAlign w:val="top"/>
          </w:tcPr>
          <w:p>
            <w:pPr/>
          </w:p>
        </w:tc>
        <w:tc>
          <w:tcPr>
            <w:vMerge/>
            <w:tcBorders/>
            <w:shd w:val="clear" w:color="auto" w:fill="FFFFFF"/>
            <w:vAlign w:val="top"/>
          </w:tcPr>
          <w:p>
            <w:pP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直接</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140" w:firstLine="0"/>
              <w:jc w:val="right"/>
              <w:rPr>
                <w:sz w:val="20"/>
                <w:szCs w:val="20"/>
              </w:rPr>
            </w:pPr>
            <w:r>
              <w:rPr>
                <w:color w:val="000000"/>
                <w:spacing w:val="0"/>
                <w:w w:val="100"/>
                <w:position w:val="0"/>
                <w:sz w:val="20"/>
                <w:szCs w:val="20"/>
              </w:rPr>
              <w:t>间接</w:t>
            </w:r>
          </w:p>
        </w:tc>
        <w:tc>
          <w:tcPr>
            <w:vMerge/>
            <w:tcBorders/>
            <w:shd w:val="clear" w:color="auto" w:fill="FFFFFF"/>
            <w:vAlign w:val="top"/>
          </w:tcPr>
          <w:p>
            <w:pPr/>
          </w:p>
        </w:tc>
      </w:tr>
      <w:tr>
        <w:trPr>
          <w:trHeight w:val="374"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江苏昌祺贸易有限公司</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20"/>
              <w:jc w:val="left"/>
              <w:rPr>
                <w:sz w:val="20"/>
                <w:szCs w:val="20"/>
              </w:rPr>
            </w:pPr>
            <w:r>
              <w:rPr>
                <w:color w:val="000000"/>
                <w:spacing w:val="0"/>
                <w:w w:val="100"/>
                <w:position w:val="0"/>
                <w:sz w:val="20"/>
                <w:szCs w:val="20"/>
              </w:rPr>
              <w:t>南京市</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南京市</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400" w:firstLine="0"/>
              <w:jc w:val="right"/>
              <w:rPr>
                <w:sz w:val="20"/>
                <w:szCs w:val="20"/>
              </w:rPr>
            </w:pPr>
            <w:r>
              <w:rPr>
                <w:color w:val="000000"/>
                <w:spacing w:val="0"/>
                <w:w w:val="100"/>
                <w:position w:val="0"/>
                <w:sz w:val="20"/>
                <w:szCs w:val="20"/>
              </w:rPr>
              <w:t>工程项目开发</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100%</w:t>
            </w:r>
          </w:p>
        </w:tc>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同一控制企业合并</w:t>
            </w:r>
          </w:p>
        </w:tc>
      </w:tr>
      <w:tr>
        <w:trPr>
          <w:trHeight w:val="259"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日本</w:t>
            </w:r>
            <w:r>
              <w:rPr>
                <w:rFonts w:ascii="Times New Roman" w:eastAsia="Times New Roman" w:hAnsi="Times New Roman" w:cs="Times New Roman"/>
                <w:color w:val="000000"/>
                <w:spacing w:val="0"/>
                <w:w w:val="100"/>
                <w:position w:val="0"/>
                <w:sz w:val="20"/>
                <w:szCs w:val="20"/>
              </w:rPr>
              <w:t>LAOX</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20"/>
              <w:jc w:val="left"/>
              <w:rPr>
                <w:sz w:val="20"/>
                <w:szCs w:val="20"/>
              </w:rPr>
            </w:pPr>
            <w:r>
              <w:rPr>
                <w:color w:val="000000"/>
                <w:spacing w:val="0"/>
                <w:w w:val="100"/>
                <w:position w:val="0"/>
                <w:sz w:val="20"/>
                <w:szCs w:val="20"/>
              </w:rPr>
              <w:t>日本</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日本</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电器和电子消费品的连锁销售</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0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41.85%</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非同一控制企业合并</w:t>
            </w:r>
          </w:p>
        </w:tc>
      </w:tr>
      <w:tr>
        <w:trPr>
          <w:trHeight w:val="259"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无锡胜利门苏宁云商销售有限公司</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20"/>
              <w:jc w:val="left"/>
              <w:rPr>
                <w:sz w:val="20"/>
                <w:szCs w:val="20"/>
              </w:rPr>
            </w:pPr>
            <w:r>
              <w:rPr>
                <w:color w:val="000000"/>
                <w:spacing w:val="0"/>
                <w:w w:val="100"/>
                <w:position w:val="0"/>
                <w:sz w:val="20"/>
                <w:szCs w:val="20"/>
              </w:rPr>
              <w:t>无锡市</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无锡市</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电器和电子消费品的连锁销售</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100%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14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非同一控制企业合并</w:t>
            </w:r>
          </w:p>
        </w:tc>
      </w:tr>
      <w:tr>
        <w:trPr>
          <w:trHeight w:val="259"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南京红孩子企业管理有限公司</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20"/>
              <w:jc w:val="left"/>
              <w:rPr>
                <w:sz w:val="20"/>
                <w:szCs w:val="20"/>
              </w:rPr>
            </w:pPr>
            <w:r>
              <w:rPr>
                <w:color w:val="000000"/>
                <w:spacing w:val="0"/>
                <w:w w:val="100"/>
                <w:position w:val="0"/>
                <w:sz w:val="20"/>
                <w:szCs w:val="20"/>
              </w:rPr>
              <w:t>南京市</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南京市</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企业管理服务及信息咨询服务</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100%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14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非同一控制企业合并</w:t>
            </w:r>
          </w:p>
        </w:tc>
      </w:tr>
      <w:tr>
        <w:trPr>
          <w:trHeight w:val="259"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北京红孩子互联科技有限公司</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20"/>
              <w:jc w:val="left"/>
              <w:rPr>
                <w:sz w:val="20"/>
                <w:szCs w:val="20"/>
              </w:rPr>
            </w:pPr>
            <w:r>
              <w:rPr>
                <w:color w:val="000000"/>
                <w:spacing w:val="0"/>
                <w:w w:val="100"/>
                <w:position w:val="0"/>
                <w:sz w:val="20"/>
                <w:szCs w:val="20"/>
              </w:rPr>
              <w:t>北京市</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北京市</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企业管理服务及信息咨询服务</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0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140" w:firstLine="0"/>
              <w:jc w:val="right"/>
              <w:rPr>
                <w:sz w:val="20"/>
                <w:szCs w:val="20"/>
              </w:rPr>
            </w:pPr>
            <w:r>
              <w:rPr>
                <w:rFonts w:ascii="Times New Roman" w:eastAsia="Times New Roman" w:hAnsi="Times New Roman" w:cs="Times New Roman"/>
                <w:color w:val="000000"/>
                <w:spacing w:val="0"/>
                <w:w w:val="100"/>
                <w:position w:val="0"/>
                <w:sz w:val="20"/>
                <w:szCs w:val="20"/>
              </w:rPr>
              <w:t>100%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非同一控制企业合并</w:t>
            </w:r>
          </w:p>
        </w:tc>
      </w:tr>
      <w:tr>
        <w:trPr>
          <w:trHeight w:val="250"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重庆猫宁电子商务有限公司</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20"/>
              <w:jc w:val="left"/>
              <w:rPr>
                <w:sz w:val="20"/>
                <w:szCs w:val="20"/>
              </w:rPr>
            </w:pPr>
            <w:r>
              <w:rPr>
                <w:color w:val="000000"/>
                <w:spacing w:val="0"/>
                <w:w w:val="100"/>
                <w:position w:val="0"/>
                <w:sz w:val="20"/>
                <w:szCs w:val="20"/>
              </w:rPr>
              <w:t>重庆市</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重庆市</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电器和电子消费品的连锁销售</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51%</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14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投资设立</w:t>
            </w:r>
          </w:p>
        </w:tc>
      </w:tr>
    </w:tbl>
    <w:p>
      <w:pPr>
        <w:widowControl w:val="0"/>
        <w:spacing w:after="239" w:line="1" w:lineRule="exact"/>
      </w:pPr>
    </w:p>
    <w:p>
      <w:pPr>
        <w:pStyle w:val="Style32"/>
        <w:keepNext w:val="0"/>
        <w:keepLines w:val="0"/>
        <w:widowControl w:val="0"/>
        <w:shd w:val="clear" w:color="auto" w:fill="auto"/>
        <w:bidi w:val="0"/>
        <w:spacing w:before="0" w:after="240" w:line="317" w:lineRule="exact"/>
        <w:ind w:left="1120" w:right="0" w:hanging="400"/>
        <w:jc w:val="left"/>
        <w:rPr>
          <w:sz w:val="24"/>
          <w:szCs w:val="24"/>
        </w:rPr>
        <w:sectPr>
          <w:headerReference w:type="default" r:id="rId199"/>
          <w:footerReference w:type="default" r:id="rId200"/>
          <w:headerReference w:type="even" r:id="rId201"/>
          <w:footerReference w:type="even" r:id="rId202"/>
          <w:footnotePr>
            <w:pos w:val="pageBottom"/>
            <w:numFmt w:val="decimal"/>
            <w:numRestart w:val="continuous"/>
          </w:footnotePr>
          <w:pgSz w:w="16840" w:h="11900" w:orient="landscape"/>
          <w:pgMar w:top="1321" w:right="1595" w:bottom="1321" w:left="1422" w:header="0" w:footer="3" w:gutter="0"/>
          <w:cols w:space="720"/>
          <w:noEndnote/>
          <w:rtlGutter w:val="0"/>
          <w:docGrid w:linePitch="360"/>
        </w:sectPr>
      </w:pPr>
      <w:r>
        <w:rPr>
          <w:color w:val="000000"/>
          <w:spacing w:val="0"/>
          <w:w w:val="100"/>
          <w:position w:val="0"/>
          <w:sz w:val="24"/>
          <w:szCs w:val="24"/>
        </w:rPr>
        <w:t>⑴ 于</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26</w:t>
      </w:r>
      <w:r>
        <w:rPr>
          <w:color w:val="000000"/>
          <w:spacing w:val="0"/>
          <w:w w:val="100"/>
          <w:position w:val="0"/>
          <w:sz w:val="24"/>
          <w:szCs w:val="24"/>
        </w:rPr>
        <w:t>日，苏宁金控向本集团子公司苏宁金融服务</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上海</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有限公司增资人民币</w:t>
      </w:r>
      <w:r>
        <w:rPr>
          <w:rFonts w:ascii="Times New Roman" w:eastAsia="Times New Roman" w:hAnsi="Times New Roman" w:cs="Times New Roman"/>
          <w:color w:val="000000"/>
          <w:spacing w:val="0"/>
          <w:w w:val="100"/>
          <w:position w:val="0"/>
          <w:sz w:val="24"/>
          <w:szCs w:val="24"/>
        </w:rPr>
        <w:t>58.33</w:t>
      </w:r>
      <w:r>
        <w:rPr>
          <w:color w:val="000000"/>
          <w:spacing w:val="0"/>
          <w:w w:val="100"/>
          <w:position w:val="0"/>
          <w:sz w:val="24"/>
          <w:szCs w:val="24"/>
        </w:rPr>
        <w:t>亿元。增资完成后，本集 团持有苏宁金融服务</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上海</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有限公司</w:t>
      </w:r>
      <w:r>
        <w:rPr>
          <w:rFonts w:ascii="Times New Roman" w:eastAsia="Times New Roman" w:hAnsi="Times New Roman" w:cs="Times New Roman"/>
          <w:color w:val="000000"/>
          <w:spacing w:val="0"/>
          <w:w w:val="100"/>
          <w:position w:val="0"/>
          <w:sz w:val="24"/>
          <w:szCs w:val="24"/>
        </w:rPr>
        <w:t>65%</w:t>
      </w:r>
      <w:r>
        <w:rPr>
          <w:color w:val="000000"/>
          <w:spacing w:val="0"/>
          <w:w w:val="100"/>
          <w:position w:val="0"/>
          <w:sz w:val="24"/>
          <w:szCs w:val="24"/>
        </w:rPr>
        <w:t>股份，苏宁金控持有苏宁金服</w:t>
      </w:r>
      <w:r>
        <w:rPr>
          <w:rFonts w:ascii="Times New Roman" w:eastAsia="Times New Roman" w:hAnsi="Times New Roman" w:cs="Times New Roman"/>
          <w:color w:val="000000"/>
          <w:spacing w:val="0"/>
          <w:w w:val="100"/>
          <w:position w:val="0"/>
          <w:sz w:val="24"/>
          <w:szCs w:val="24"/>
        </w:rPr>
        <w:t>35%</w:t>
      </w:r>
      <w:r>
        <w:rPr>
          <w:color w:val="000000"/>
          <w:spacing w:val="0"/>
          <w:w w:val="100"/>
          <w:position w:val="0"/>
          <w:sz w:val="24"/>
          <w:szCs w:val="24"/>
        </w:rPr>
        <w:t>股份</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附注四</w:t>
      </w:r>
      <w:r>
        <w:rPr>
          <w:rFonts w:ascii="Times New Roman" w:eastAsia="Times New Roman" w:hAnsi="Times New Roman" w:cs="Times New Roman"/>
          <w:color w:val="000000"/>
          <w:spacing w:val="0"/>
          <w:w w:val="100"/>
          <w:position w:val="0"/>
          <w:sz w:val="24"/>
          <w:szCs w:val="24"/>
        </w:rPr>
        <w:t>（40）（b））</w:t>
      </w:r>
      <w:r>
        <w:rPr>
          <w:color w:val="000000"/>
          <w:spacing w:val="0"/>
          <w:w w:val="100"/>
          <w:position w:val="0"/>
          <w:sz w:val="24"/>
          <w:szCs w:val="24"/>
        </w:rPr>
        <w:t>。</w:t>
      </w:r>
    </w:p>
    <w:p>
      <w:pPr>
        <w:pStyle w:val="Style32"/>
        <w:keepNext w:val="0"/>
        <w:keepLines w:val="0"/>
        <w:widowControl w:val="0"/>
        <w:shd w:val="clear" w:color="auto" w:fill="auto"/>
        <w:bidi w:val="0"/>
        <w:spacing w:before="0" w:after="0" w:line="240" w:lineRule="auto"/>
        <w:ind w:left="0" w:right="0" w:firstLine="700"/>
        <w:jc w:val="both"/>
        <w:rPr>
          <w:sz w:val="24"/>
          <w:szCs w:val="24"/>
        </w:rPr>
      </w:pPr>
      <w:r>
        <w:rPr>
          <w:b/>
          <w:bCs/>
          <w:color w:val="000000"/>
          <w:spacing w:val="0"/>
          <w:w w:val="100"/>
          <w:position w:val="0"/>
          <w:sz w:val="24"/>
          <w:szCs w:val="24"/>
        </w:rPr>
        <w:t>财务报表附注</w:t>
      </w:r>
    </w:p>
    <w:p>
      <w:pPr>
        <w:pStyle w:val="Style88"/>
        <w:keepNext/>
        <w:keepLines/>
        <w:widowControl w:val="0"/>
        <w:shd w:val="clear" w:color="auto" w:fill="auto"/>
        <w:bidi w:val="0"/>
        <w:spacing w:before="0" w:after="0" w:line="240" w:lineRule="auto"/>
        <w:ind w:left="0" w:right="0"/>
        <w:jc w:val="both"/>
      </w:pPr>
      <w:bookmarkStart w:id="1028" w:name="bookmark1028"/>
      <w:bookmarkStart w:id="1029" w:name="bookmark1029"/>
      <w:bookmarkStart w:id="1030" w:name="bookmark1030"/>
      <w:r>
        <w:rPr>
          <w:color w:val="000000"/>
          <w:spacing w:val="0"/>
          <w:w w:val="100"/>
          <w:position w:val="0"/>
          <w:sz w:val="24"/>
          <w:szCs w:val="24"/>
        </w:rPr>
        <w:t>2016</w:t>
      </w:r>
      <w:r>
        <w:rPr>
          <w:rFonts w:ascii="SimSun" w:eastAsia="SimSun" w:hAnsi="SimSun" w:cs="SimSun"/>
          <w:b/>
          <w:bCs/>
          <w:color w:val="000000"/>
          <w:spacing w:val="0"/>
          <w:w w:val="100"/>
          <w:position w:val="0"/>
          <w:sz w:val="24"/>
          <w:szCs w:val="24"/>
        </w:rPr>
        <w:t>年度</w:t>
      </w:r>
      <w:bookmarkEnd w:id="1028"/>
      <w:bookmarkEnd w:id="1029"/>
      <w:bookmarkEnd w:id="1030"/>
    </w:p>
    <w:p>
      <w:pPr>
        <w:pStyle w:val="Style32"/>
        <w:keepNext w:val="0"/>
        <w:keepLines w:val="0"/>
        <w:widowControl w:val="0"/>
        <w:shd w:val="clear" w:color="auto" w:fill="auto"/>
        <w:bidi w:val="0"/>
        <w:spacing w:before="0" w:after="0" w:line="278" w:lineRule="exact"/>
        <w:ind w:left="0" w:right="0" w:firstLine="700"/>
        <w:jc w:val="both"/>
        <w:rPr>
          <w:sz w:val="20"/>
          <w:szCs w:val="20"/>
        </w:rPr>
      </w:pPr>
      <w:r>
        <w:rPr>
          <w:color w:val="000000"/>
          <w:spacing w:val="0"/>
          <w:w w:val="100"/>
          <w:position w:val="0"/>
          <w:sz w:val="20"/>
          <w:szCs w:val="20"/>
        </w:rPr>
        <w:t>（除特别注明外，金额单位为人民币千元）</w:t>
      </w:r>
    </w:p>
    <w:p>
      <w:pPr>
        <w:pStyle w:val="Style32"/>
        <w:keepNext w:val="0"/>
        <w:keepLines w:val="0"/>
        <w:widowControl w:val="0"/>
        <w:shd w:val="clear" w:color="auto" w:fill="auto"/>
        <w:tabs>
          <w:tab w:pos="678" w:val="left"/>
        </w:tabs>
        <w:bidi w:val="0"/>
        <w:spacing w:before="0" w:after="280" w:line="240" w:lineRule="auto"/>
        <w:ind w:left="0" w:right="0" w:firstLine="0"/>
        <w:jc w:val="left"/>
        <w:rPr>
          <w:sz w:val="24"/>
          <w:szCs w:val="24"/>
        </w:rPr>
      </w:pPr>
      <w:r>
        <w:rPr>
          <w:b/>
          <w:bCs/>
          <w:color w:val="000000"/>
          <w:spacing w:val="0"/>
          <w:w w:val="100"/>
          <w:position w:val="0"/>
          <w:sz w:val="24"/>
          <w:szCs w:val="24"/>
        </w:rPr>
        <w:t>六</w:t>
        <w:tab/>
        <w:t>在其他主体中的权益（续）</w:t>
      </w:r>
    </w:p>
    <w:p>
      <w:pPr>
        <w:pStyle w:val="Style32"/>
        <w:keepNext w:val="0"/>
        <w:keepLines w:val="0"/>
        <w:widowControl w:val="0"/>
        <w:shd w:val="clear" w:color="auto" w:fill="auto"/>
        <w:tabs>
          <w:tab w:pos="678" w:val="left"/>
        </w:tabs>
        <w:bidi w:val="0"/>
        <w:spacing w:before="0" w:after="28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（1）</w:t>
        <w:tab/>
      </w:r>
      <w:r>
        <w:rPr>
          <w:b/>
          <w:bCs/>
          <w:color w:val="000000"/>
          <w:spacing w:val="0"/>
          <w:w w:val="100"/>
          <w:position w:val="0"/>
          <w:sz w:val="24"/>
          <w:szCs w:val="24"/>
        </w:rPr>
        <w:t>在子公司中的权益（续）</w:t>
      </w:r>
    </w:p>
    <w:p>
      <w:pPr>
        <w:pStyle w:val="Style32"/>
        <w:keepNext w:val="0"/>
        <w:keepLines w:val="0"/>
        <w:widowControl w:val="0"/>
        <w:shd w:val="clear" w:color="auto" w:fill="auto"/>
        <w:tabs>
          <w:tab w:pos="678" w:val="left"/>
        </w:tabs>
        <w:bidi w:val="0"/>
        <w:spacing w:before="0" w:after="220" w:line="240" w:lineRule="auto"/>
        <w:ind w:left="0" w:right="0" w:firstLine="0"/>
        <w:jc w:val="left"/>
        <w:rPr>
          <w:sz w:val="24"/>
          <w:szCs w:val="24"/>
        </w:rPr>
      </w:pPr>
      <w:r>
        <w:rPr>
          <w:rFonts w:ascii="Arial" w:eastAsia="Arial" w:hAnsi="Arial" w:cs="Arial"/>
          <w:color w:val="000000"/>
          <w:spacing w:val="0"/>
          <w:w w:val="100"/>
          <w:position w:val="0"/>
          <w:sz w:val="24"/>
          <w:szCs w:val="24"/>
        </w:rPr>
        <w:t>（b）</w:t>
        <w:tab/>
      </w:r>
      <w:r>
        <w:rPr>
          <w:color w:val="000000"/>
          <w:spacing w:val="0"/>
          <w:w w:val="100"/>
          <w:position w:val="0"/>
          <w:sz w:val="24"/>
          <w:szCs w:val="24"/>
        </w:rPr>
        <w:t>存在重要少数股东权益的子公司</w:t>
      </w:r>
    </w:p>
    <w:p>
      <w:pPr>
        <w:pStyle w:val="Style32"/>
        <w:keepNext w:val="0"/>
        <w:keepLines w:val="0"/>
        <w:widowControl w:val="0"/>
        <w:shd w:val="clear" w:color="auto" w:fill="auto"/>
        <w:tabs>
          <w:tab w:pos="5956" w:val="left"/>
        </w:tabs>
        <w:bidi w:val="0"/>
        <w:spacing w:before="0" w:after="0" w:line="278" w:lineRule="exact"/>
        <w:ind w:left="0" w:right="0" w:firstLine="700"/>
        <w:jc w:val="both"/>
        <w:rPr>
          <w:sz w:val="20"/>
          <w:szCs w:val="20"/>
        </w:rPr>
      </w:pPr>
      <w:r>
        <w:rPr>
          <w:color w:val="000000"/>
          <w:spacing w:val="0"/>
          <w:w w:val="100"/>
          <w:position w:val="0"/>
          <w:sz w:val="20"/>
          <w:szCs w:val="20"/>
        </w:rPr>
        <w:t>子公司名称</w:t>
        <w:tab/>
        <w:t>少数股东的</w:t>
      </w:r>
    </w:p>
    <w:p>
      <w:pPr>
        <w:pStyle w:val="Style32"/>
        <w:keepNext w:val="0"/>
        <w:keepLines w:val="0"/>
        <w:widowControl w:val="0"/>
        <w:shd w:val="clear" w:color="auto" w:fill="auto"/>
        <w:bidi w:val="0"/>
        <w:spacing w:before="0" w:after="220" w:line="278" w:lineRule="exact"/>
        <w:ind w:left="0" w:right="0" w:firstLine="0"/>
        <w:jc w:val="right"/>
        <w:rPr>
          <w:sz w:val="20"/>
          <w:szCs w:val="20"/>
        </w:rPr>
      </w:pPr>
      <w:r>
        <w:rPr>
          <w:color w:val="000000"/>
          <w:spacing w:val="0"/>
          <w:w w:val="100"/>
          <w:position w:val="0"/>
          <w:sz w:val="20"/>
          <w:szCs w:val="20"/>
        </w:rPr>
        <w:t>持股比例</w:t>
      </w:r>
    </w:p>
    <w:p>
      <w:pPr>
        <w:pStyle w:val="Style53"/>
        <w:keepNext w:val="0"/>
        <w:keepLines w:val="0"/>
        <w:widowControl w:val="0"/>
        <w:shd w:val="clear" w:color="auto" w:fill="auto"/>
        <w:tabs>
          <w:tab w:pos="6936" w:val="right"/>
        </w:tabs>
        <w:bidi w:val="0"/>
        <w:spacing w:before="0" w:after="0" w:line="278" w:lineRule="exact"/>
        <w:ind w:left="0" w:right="0" w:firstLine="700"/>
        <w:jc w:val="both"/>
        <w:rPr>
          <w:sz w:val="20"/>
          <w:szCs w:val="20"/>
        </w:rPr>
      </w:pPr>
      <w:r>
        <w:rPr>
          <w:rFonts w:ascii="SimSun" w:eastAsia="SimSun" w:hAnsi="SimSun" w:cs="SimSun"/>
          <w:color w:val="000000"/>
          <w:spacing w:val="0"/>
          <w:w w:val="100"/>
          <w:position w:val="0"/>
          <w:sz w:val="20"/>
          <w:szCs w:val="20"/>
        </w:rPr>
        <w:t xml:space="preserve">日本 </w:t>
      </w:r>
      <w:r>
        <w:rPr>
          <w:color w:val="000000"/>
          <w:spacing w:val="0"/>
          <w:w w:val="100"/>
          <w:position w:val="0"/>
          <w:sz w:val="20"/>
          <w:szCs w:val="20"/>
        </w:rPr>
        <w:t>LAOX</w:t>
        <w:tab/>
      </w:r>
      <w:r>
        <w:rPr>
          <w:color w:val="000000"/>
          <w:spacing w:val="0"/>
          <w:w w:val="100"/>
          <w:position w:val="0"/>
          <w:sz w:val="20"/>
          <w:szCs w:val="20"/>
        </w:rPr>
        <w:t>58.15%</w:t>
      </w:r>
    </w:p>
    <w:p>
      <w:pPr>
        <w:pStyle w:val="Style32"/>
        <w:keepNext w:val="0"/>
        <w:keepLines w:val="0"/>
        <w:widowControl w:val="0"/>
        <w:shd w:val="clear" w:color="auto" w:fill="auto"/>
        <w:tabs>
          <w:tab w:pos="6936" w:val="right"/>
        </w:tabs>
        <w:bidi w:val="0"/>
        <w:spacing w:before="0" w:after="0" w:line="278" w:lineRule="exact"/>
        <w:ind w:left="0" w:right="0" w:firstLine="700"/>
        <w:jc w:val="both"/>
        <w:rPr>
          <w:sz w:val="20"/>
          <w:szCs w:val="20"/>
        </w:rPr>
      </w:pPr>
      <w:r>
        <w:rPr>
          <w:color w:val="000000"/>
          <w:spacing w:val="0"/>
          <w:w w:val="100"/>
          <w:position w:val="0"/>
          <w:sz w:val="20"/>
          <w:szCs w:val="20"/>
        </w:rPr>
        <w:t>江苏苏宁易购有限公司</w:t>
        <w:tab/>
      </w:r>
      <w:r>
        <w:rPr>
          <w:rFonts w:ascii="Times New Roman" w:eastAsia="Times New Roman" w:hAnsi="Times New Roman" w:cs="Times New Roman"/>
          <w:color w:val="000000"/>
          <w:spacing w:val="0"/>
          <w:w w:val="100"/>
          <w:position w:val="0"/>
          <w:sz w:val="20"/>
          <w:szCs w:val="20"/>
        </w:rPr>
        <w:t>30%</w:t>
      </w:r>
    </w:p>
    <w:p>
      <w:pPr>
        <w:pStyle w:val="Style32"/>
        <w:keepNext w:val="0"/>
        <w:keepLines w:val="0"/>
        <w:widowControl w:val="0"/>
        <w:shd w:val="clear" w:color="auto" w:fill="auto"/>
        <w:tabs>
          <w:tab w:pos="6936" w:val="right"/>
        </w:tabs>
        <w:bidi w:val="0"/>
        <w:spacing w:before="0" w:after="0" w:line="278" w:lineRule="exact"/>
        <w:ind w:left="0" w:right="0" w:firstLine="700"/>
        <w:jc w:val="both"/>
        <w:rPr>
          <w:sz w:val="20"/>
          <w:szCs w:val="20"/>
        </w:rPr>
      </w:pPr>
      <w:r>
        <w:rPr>
          <w:color w:val="000000"/>
          <w:spacing w:val="0"/>
          <w:w w:val="100"/>
          <w:position w:val="0"/>
          <w:sz w:val="20"/>
          <w:szCs w:val="20"/>
        </w:rPr>
        <w:t>苏宁保险销售有限公司</w:t>
        <w:tab/>
      </w:r>
      <w:r>
        <w:rPr>
          <w:rFonts w:ascii="Times New Roman" w:eastAsia="Times New Roman" w:hAnsi="Times New Roman" w:cs="Times New Roman"/>
          <w:color w:val="000000"/>
          <w:spacing w:val="0"/>
          <w:w w:val="100"/>
          <w:position w:val="0"/>
          <w:sz w:val="20"/>
          <w:szCs w:val="20"/>
        </w:rPr>
        <w:t>25%</w:t>
      </w:r>
    </w:p>
    <w:p>
      <w:pPr>
        <w:pStyle w:val="Style32"/>
        <w:keepNext w:val="0"/>
        <w:keepLines w:val="0"/>
        <w:widowControl w:val="0"/>
        <w:shd w:val="clear" w:color="auto" w:fill="auto"/>
        <w:tabs>
          <w:tab w:pos="6936" w:val="right"/>
        </w:tabs>
        <w:bidi w:val="0"/>
        <w:spacing w:before="0" w:after="0" w:line="278" w:lineRule="exact"/>
        <w:ind w:left="0" w:right="0" w:firstLine="700"/>
        <w:jc w:val="both"/>
        <w:rPr>
          <w:sz w:val="20"/>
          <w:szCs w:val="20"/>
        </w:rPr>
      </w:pPr>
      <w:r>
        <w:rPr>
          <w:color w:val="000000"/>
          <w:spacing w:val="0"/>
          <w:w w:val="100"/>
          <w:position w:val="0"/>
          <w:sz w:val="20"/>
          <w:szCs w:val="20"/>
        </w:rPr>
        <w:t>湖南苏宁先锋电子有限公司</w:t>
        <w:tab/>
      </w:r>
      <w:r>
        <w:rPr>
          <w:rFonts w:ascii="Times New Roman" w:eastAsia="Times New Roman" w:hAnsi="Times New Roman" w:cs="Times New Roman"/>
          <w:color w:val="000000"/>
          <w:spacing w:val="0"/>
          <w:w w:val="100"/>
          <w:position w:val="0"/>
          <w:sz w:val="20"/>
          <w:szCs w:val="20"/>
        </w:rPr>
        <w:t>10%</w:t>
      </w:r>
    </w:p>
    <w:p>
      <w:pPr>
        <w:pStyle w:val="Style32"/>
        <w:keepNext w:val="0"/>
        <w:keepLines w:val="0"/>
        <w:widowControl w:val="0"/>
        <w:shd w:val="clear" w:color="auto" w:fill="auto"/>
        <w:tabs>
          <w:tab w:pos="6936" w:val="right"/>
        </w:tabs>
        <w:bidi w:val="0"/>
        <w:spacing w:before="0" w:after="0" w:line="278" w:lineRule="exact"/>
        <w:ind w:left="0" w:right="0" w:firstLine="700"/>
        <w:jc w:val="both"/>
        <w:rPr>
          <w:sz w:val="20"/>
          <w:szCs w:val="20"/>
        </w:rPr>
      </w:pPr>
      <w:r>
        <w:rPr>
          <w:color w:val="000000"/>
          <w:spacing w:val="0"/>
          <w:w w:val="100"/>
          <w:position w:val="0"/>
          <w:sz w:val="20"/>
          <w:szCs w:val="20"/>
        </w:rPr>
        <w:t>江苏苏宁贸易有限公司</w:t>
        <w:tab/>
      </w:r>
      <w:r>
        <w:rPr>
          <w:rFonts w:ascii="Times New Roman" w:eastAsia="Times New Roman" w:hAnsi="Times New Roman" w:cs="Times New Roman"/>
          <w:color w:val="000000"/>
          <w:spacing w:val="0"/>
          <w:w w:val="100"/>
          <w:position w:val="0"/>
          <w:sz w:val="20"/>
          <w:szCs w:val="20"/>
        </w:rPr>
        <w:t>40%</w:t>
      </w:r>
    </w:p>
    <w:p>
      <w:pPr>
        <w:pStyle w:val="Style32"/>
        <w:keepNext w:val="0"/>
        <w:keepLines w:val="0"/>
        <w:widowControl w:val="0"/>
        <w:shd w:val="clear" w:color="auto" w:fill="auto"/>
        <w:tabs>
          <w:tab w:pos="6936" w:val="right"/>
        </w:tabs>
        <w:bidi w:val="0"/>
        <w:spacing w:before="0" w:after="0" w:line="278" w:lineRule="exact"/>
        <w:ind w:left="0" w:right="0" w:firstLine="700"/>
        <w:jc w:val="both"/>
        <w:rPr>
          <w:sz w:val="20"/>
          <w:szCs w:val="20"/>
        </w:rPr>
      </w:pPr>
      <w:r>
        <w:rPr>
          <w:color w:val="000000"/>
          <w:spacing w:val="0"/>
          <w:w w:val="100"/>
          <w:position w:val="0"/>
          <w:sz w:val="20"/>
          <w:szCs w:val="20"/>
        </w:rPr>
        <w:t>苏宁金融服务（上海）有限公司</w:t>
        <w:tab/>
      </w:r>
      <w:r>
        <w:rPr>
          <w:rFonts w:ascii="Times New Roman" w:eastAsia="Times New Roman" w:hAnsi="Times New Roman" w:cs="Times New Roman"/>
          <w:color w:val="000000"/>
          <w:spacing w:val="0"/>
          <w:w w:val="100"/>
          <w:position w:val="0"/>
          <w:sz w:val="20"/>
          <w:szCs w:val="20"/>
        </w:rPr>
        <w:t>35%</w:t>
      </w:r>
    </w:p>
    <w:p>
      <w:pPr>
        <w:pStyle w:val="Style32"/>
        <w:keepNext w:val="0"/>
        <w:keepLines w:val="0"/>
        <w:widowControl w:val="0"/>
        <w:shd w:val="clear" w:color="auto" w:fill="auto"/>
        <w:tabs>
          <w:tab w:pos="6936" w:val="right"/>
        </w:tabs>
        <w:bidi w:val="0"/>
        <w:spacing w:before="0" w:after="0" w:line="278" w:lineRule="exact"/>
        <w:ind w:left="0" w:right="0" w:firstLine="700"/>
        <w:jc w:val="both"/>
        <w:rPr>
          <w:sz w:val="20"/>
          <w:szCs w:val="20"/>
        </w:rPr>
      </w:pPr>
      <w:r>
        <w:rPr>
          <w:color w:val="000000"/>
          <w:spacing w:val="0"/>
          <w:w w:val="100"/>
          <w:position w:val="0"/>
          <w:sz w:val="20"/>
          <w:szCs w:val="20"/>
        </w:rPr>
        <w:t>重庆猫宁电子商务有限公司</w:t>
        <w:tab/>
      </w:r>
      <w:r>
        <w:rPr>
          <w:rFonts w:ascii="Times New Roman" w:eastAsia="Times New Roman" w:hAnsi="Times New Roman" w:cs="Times New Roman"/>
          <w:color w:val="000000"/>
          <w:spacing w:val="0"/>
          <w:w w:val="100"/>
          <w:position w:val="0"/>
          <w:sz w:val="20"/>
          <w:szCs w:val="20"/>
        </w:rPr>
        <w:t>49%</w:t>
      </w:r>
    </w:p>
    <w:p>
      <w:pPr>
        <w:pStyle w:val="Style32"/>
        <w:keepNext w:val="0"/>
        <w:keepLines w:val="0"/>
        <w:widowControl w:val="0"/>
        <w:shd w:val="clear" w:color="auto" w:fill="auto"/>
        <w:bidi w:val="0"/>
        <w:spacing w:before="0" w:after="220" w:line="278" w:lineRule="exact"/>
        <w:ind w:left="700" w:right="0" w:firstLine="20"/>
        <w:jc w:val="left"/>
        <w:rPr>
          <w:sz w:val="20"/>
          <w:szCs w:val="20"/>
        </w:rPr>
        <w:sectPr>
          <w:headerReference w:type="default" r:id="rId203"/>
          <w:footerReference w:type="default" r:id="rId204"/>
          <w:headerReference w:type="even" r:id="rId205"/>
          <w:footerReference w:type="even" r:id="rId206"/>
          <w:footnotePr>
            <w:pos w:val="pageBottom"/>
            <w:numFmt w:val="decimal"/>
            <w:numRestart w:val="continuous"/>
          </w:footnotePr>
          <w:pgSz w:w="8400" w:h="11900"/>
          <w:pgMar w:top="1324" w:right="0" w:bottom="1324" w:left="1402" w:header="0" w:footer="896" w:gutter="0"/>
          <w:pgNumType w:start="263"/>
          <w:cols w:space="720"/>
          <w:noEndnote/>
          <w:rtlGutter w:val="0"/>
          <w:docGrid w:linePitch="360"/>
        </w:sectPr>
      </w:pPr>
      <w:r>
        <w:rPr>
          <w:color w:val="000000"/>
          <w:spacing w:val="0"/>
          <w:w w:val="100"/>
          <w:position w:val="0"/>
          <w:sz w:val="20"/>
          <w:szCs w:val="20"/>
        </w:rPr>
        <w:t>其他（单个子公司少数股东权益小于人民币</w:t>
      </w:r>
      <w:r>
        <w:rPr>
          <w:rFonts w:ascii="Times New Roman" w:eastAsia="Times New Roman" w:hAnsi="Times New Roman" w:cs="Times New Roman"/>
          <w:color w:val="000000"/>
          <w:spacing w:val="0"/>
          <w:w w:val="100"/>
          <w:position w:val="0"/>
          <w:sz w:val="20"/>
          <w:szCs w:val="20"/>
        </w:rPr>
        <w:t>1,000</w:t>
      </w:r>
      <w:r>
        <w:rPr>
          <w:color w:val="000000"/>
          <w:spacing w:val="0"/>
          <w:w w:val="100"/>
          <w:position w:val="0"/>
          <w:sz w:val="20"/>
          <w:szCs w:val="20"/>
        </w:rPr>
        <w:t>万元） 合计</w:t>
      </w:r>
    </w:p>
    <w:tbl>
      <w:tblPr>
        <w:tblOverlap w:val="never"/>
        <w:jc w:val="center"/>
        <w:tblLayout w:type="fixed"/>
      </w:tblPr>
      <w:tblGrid>
        <w:gridCol w:w="2194"/>
        <w:gridCol w:w="2381"/>
        <w:gridCol w:w="2016"/>
      </w:tblGrid>
      <w:tr>
        <w:trPr>
          <w:trHeight w:val="643"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年度归属于少数</w:t>
            </w:r>
          </w:p>
          <w:p>
            <w:pPr>
              <w:pStyle w:val="Style28"/>
              <w:keepNext w:val="0"/>
              <w:keepLines w:val="0"/>
              <w:widowControl w:val="0"/>
              <w:shd w:val="clear" w:color="auto" w:fill="auto"/>
              <w:bidi w:val="0"/>
              <w:spacing w:before="0" w:after="0" w:line="240" w:lineRule="auto"/>
              <w:ind w:left="0" w:right="300" w:firstLine="0"/>
              <w:jc w:val="right"/>
              <w:rPr>
                <w:sz w:val="20"/>
                <w:szCs w:val="20"/>
              </w:rPr>
            </w:pPr>
            <w:r>
              <w:rPr>
                <w:color w:val="000000"/>
                <w:spacing w:val="0"/>
                <w:w w:val="100"/>
                <w:position w:val="0"/>
                <w:sz w:val="20"/>
                <w:szCs w:val="20"/>
              </w:rPr>
              <w:t>股东的损益</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300" w:firstLine="0"/>
              <w:jc w:val="center"/>
              <w:rPr>
                <w:sz w:val="20"/>
                <w:szCs w:val="20"/>
              </w:rPr>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年度向少数股东</w:t>
            </w:r>
          </w:p>
          <w:p>
            <w:pPr>
              <w:pStyle w:val="Style28"/>
              <w:keepNext w:val="0"/>
              <w:keepLines w:val="0"/>
              <w:widowControl w:val="0"/>
              <w:shd w:val="clear" w:color="auto" w:fill="auto"/>
              <w:bidi w:val="0"/>
              <w:spacing w:before="0" w:after="0" w:line="240" w:lineRule="auto"/>
              <w:ind w:left="0" w:right="300" w:firstLine="0"/>
              <w:jc w:val="center"/>
              <w:rPr>
                <w:sz w:val="20"/>
                <w:szCs w:val="20"/>
              </w:rPr>
            </w:pPr>
            <w:r>
              <w:rPr>
                <w:color w:val="000000"/>
                <w:spacing w:val="0"/>
                <w:w w:val="100"/>
                <w:position w:val="0"/>
                <w:sz w:val="20"/>
                <w:szCs w:val="20"/>
              </w:rPr>
              <w:t>分派股利</w:t>
            </w:r>
          </w:p>
        </w:tc>
        <w:tc>
          <w:tcPr>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 少数股东权益</w:t>
            </w:r>
          </w:p>
        </w:tc>
      </w:tr>
      <w:tr>
        <w:trPr>
          <w:trHeight w:val="389"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220" w:firstLine="0"/>
              <w:jc w:val="right"/>
              <w:rPr>
                <w:sz w:val="20"/>
                <w:szCs w:val="20"/>
              </w:rPr>
            </w:pPr>
            <w:r>
              <w:rPr>
                <w:rFonts w:ascii="Times New Roman" w:eastAsia="Times New Roman" w:hAnsi="Times New Roman" w:cs="Times New Roman"/>
                <w:color w:val="000000"/>
                <w:spacing w:val="0"/>
                <w:w w:val="100"/>
                <w:position w:val="0"/>
                <w:sz w:val="20"/>
                <w:szCs w:val="20"/>
              </w:rPr>
              <w:t>(88,415)</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2020" w:right="0" w:firstLine="0"/>
              <w:jc w:val="left"/>
              <w:rPr>
                <w:sz w:val="24"/>
                <w:szCs w:val="24"/>
              </w:rPr>
            </w:pPr>
            <w:r>
              <w:rPr>
                <w:color w:val="000000"/>
                <w:spacing w:val="0"/>
                <w:w w:val="100"/>
                <w:position w:val="0"/>
                <w:sz w:val="24"/>
                <w:szCs w:val="24"/>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100" w:right="0" w:firstLine="0"/>
              <w:jc w:val="both"/>
              <w:rPr>
                <w:sz w:val="20"/>
                <w:szCs w:val="20"/>
              </w:rPr>
            </w:pPr>
            <w:r>
              <w:rPr>
                <w:rFonts w:ascii="Times New Roman" w:eastAsia="Times New Roman" w:hAnsi="Times New Roman" w:cs="Times New Roman"/>
                <w:color w:val="000000"/>
                <w:spacing w:val="0"/>
                <w:w w:val="100"/>
                <w:position w:val="0"/>
                <w:sz w:val="20"/>
                <w:szCs w:val="20"/>
              </w:rPr>
              <w:t>1,613,165</w:t>
            </w:r>
          </w:p>
        </w:tc>
      </w:tr>
      <w:tr>
        <w:trPr>
          <w:trHeight w:val="269"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1120" w:right="0" w:firstLine="0"/>
              <w:jc w:val="left"/>
              <w:rPr>
                <w:sz w:val="20"/>
                <w:szCs w:val="20"/>
              </w:rPr>
            </w:pPr>
            <w:r>
              <w:rPr>
                <w:rFonts w:ascii="Times New Roman" w:eastAsia="Times New Roman" w:hAnsi="Times New Roman" w:cs="Times New Roman"/>
                <w:color w:val="000000"/>
                <w:spacing w:val="0"/>
                <w:w w:val="100"/>
                <w:position w:val="0"/>
                <w:sz w:val="20"/>
                <w:szCs w:val="20"/>
              </w:rPr>
              <w:t>(131,049)</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2020" w:right="0" w:firstLine="0"/>
              <w:jc w:val="left"/>
              <w:rPr>
                <w:sz w:val="24"/>
                <w:szCs w:val="24"/>
              </w:rPr>
            </w:pPr>
            <w:r>
              <w:rPr>
                <w:color w:val="000000"/>
                <w:spacing w:val="0"/>
                <w:w w:val="100"/>
                <w:position w:val="0"/>
                <w:sz w:val="24"/>
                <w:szCs w:val="24"/>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(386,732)</w:t>
            </w:r>
          </w:p>
        </w:tc>
      </w:tr>
      <w:tr>
        <w:trPr>
          <w:trHeight w:val="269"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1400" w:right="0" w:firstLine="0"/>
              <w:jc w:val="left"/>
              <w:rPr>
                <w:sz w:val="20"/>
                <w:szCs w:val="20"/>
              </w:rPr>
            </w:pPr>
            <w:r>
              <w:rPr>
                <w:rFonts w:ascii="Times New Roman" w:eastAsia="Times New Roman" w:hAnsi="Times New Roman" w:cs="Times New Roman"/>
                <w:color w:val="000000"/>
                <w:spacing w:val="0"/>
                <w:w w:val="100"/>
                <w:position w:val="0"/>
                <w:sz w:val="20"/>
                <w:szCs w:val="20"/>
              </w:rPr>
              <w:t>1,745</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2020" w:right="0" w:firstLine="0"/>
              <w:jc w:val="left"/>
              <w:rPr>
                <w:sz w:val="24"/>
                <w:szCs w:val="24"/>
              </w:rPr>
            </w:pPr>
            <w:r>
              <w:rPr>
                <w:color w:val="000000"/>
                <w:spacing w:val="0"/>
                <w:w w:val="100"/>
                <w:position w:val="0"/>
                <w:sz w:val="24"/>
                <w:szCs w:val="24"/>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1360" w:right="0" w:firstLine="0"/>
              <w:jc w:val="both"/>
              <w:rPr>
                <w:sz w:val="20"/>
                <w:szCs w:val="20"/>
              </w:rPr>
            </w:pPr>
            <w:r>
              <w:rPr>
                <w:rFonts w:ascii="Times New Roman" w:eastAsia="Times New Roman" w:hAnsi="Times New Roman" w:cs="Times New Roman"/>
                <w:color w:val="000000"/>
                <w:spacing w:val="0"/>
                <w:w w:val="100"/>
                <w:position w:val="0"/>
                <w:sz w:val="20"/>
                <w:szCs w:val="20"/>
              </w:rPr>
              <w:t>31,735</w:t>
            </w:r>
          </w:p>
        </w:tc>
      </w:tr>
      <w:tr>
        <w:trPr>
          <w:trHeight w:val="278"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1400" w:right="0" w:firstLine="0"/>
              <w:jc w:val="left"/>
              <w:rPr>
                <w:sz w:val="20"/>
                <w:szCs w:val="20"/>
              </w:rPr>
            </w:pPr>
            <w:r>
              <w:rPr>
                <w:rFonts w:ascii="Times New Roman" w:eastAsia="Times New Roman" w:hAnsi="Times New Roman" w:cs="Times New Roman"/>
                <w:color w:val="000000"/>
                <w:spacing w:val="0"/>
                <w:w w:val="100"/>
                <w:position w:val="0"/>
                <w:sz w:val="20"/>
                <w:szCs w:val="20"/>
              </w:rPr>
              <w:t>1,389</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2020" w:right="0" w:firstLine="0"/>
              <w:jc w:val="left"/>
              <w:rPr>
                <w:sz w:val="24"/>
                <w:szCs w:val="24"/>
              </w:rPr>
            </w:pPr>
            <w:r>
              <w:rPr>
                <w:color w:val="000000"/>
                <w:spacing w:val="0"/>
                <w:w w:val="100"/>
                <w:position w:val="0"/>
                <w:sz w:val="24"/>
                <w:szCs w:val="24"/>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1360" w:right="0" w:firstLine="0"/>
              <w:jc w:val="both"/>
              <w:rPr>
                <w:sz w:val="20"/>
                <w:szCs w:val="20"/>
              </w:rPr>
            </w:pPr>
            <w:r>
              <w:rPr>
                <w:rFonts w:ascii="Times New Roman" w:eastAsia="Times New Roman" w:hAnsi="Times New Roman" w:cs="Times New Roman"/>
                <w:color w:val="000000"/>
                <w:spacing w:val="0"/>
                <w:w w:val="100"/>
                <w:position w:val="0"/>
                <w:sz w:val="20"/>
                <w:szCs w:val="20"/>
              </w:rPr>
              <w:t>19,643</w:t>
            </w:r>
          </w:p>
        </w:tc>
      </w:tr>
      <w:tr>
        <w:trPr>
          <w:trHeight w:val="278"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1400" w:right="0" w:firstLine="0"/>
              <w:jc w:val="left"/>
              <w:rPr>
                <w:sz w:val="20"/>
                <w:szCs w:val="20"/>
              </w:rPr>
            </w:pPr>
            <w:r>
              <w:rPr>
                <w:rFonts w:ascii="Times New Roman" w:eastAsia="Times New Roman" w:hAnsi="Times New Roman" w:cs="Times New Roman"/>
                <w:color w:val="000000"/>
                <w:spacing w:val="0"/>
                <w:w w:val="100"/>
                <w:position w:val="0"/>
                <w:sz w:val="20"/>
                <w:szCs w:val="20"/>
              </w:rPr>
              <w:t>1,511</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2020" w:right="0" w:firstLine="0"/>
              <w:jc w:val="left"/>
              <w:rPr>
                <w:sz w:val="24"/>
                <w:szCs w:val="24"/>
              </w:rPr>
            </w:pPr>
            <w:r>
              <w:rPr>
                <w:color w:val="000000"/>
                <w:spacing w:val="0"/>
                <w:w w:val="100"/>
                <w:position w:val="0"/>
                <w:sz w:val="24"/>
                <w:szCs w:val="24"/>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360" w:right="0" w:firstLine="0"/>
              <w:jc w:val="both"/>
              <w:rPr>
                <w:sz w:val="20"/>
                <w:szCs w:val="20"/>
              </w:rPr>
            </w:pPr>
            <w:r>
              <w:rPr>
                <w:rFonts w:ascii="Times New Roman" w:eastAsia="Times New Roman" w:hAnsi="Times New Roman" w:cs="Times New Roman"/>
                <w:color w:val="000000"/>
                <w:spacing w:val="0"/>
                <w:w w:val="100"/>
                <w:position w:val="0"/>
                <w:sz w:val="20"/>
                <w:szCs w:val="20"/>
              </w:rPr>
              <w:t>(1,272)</w:t>
            </w:r>
          </w:p>
        </w:tc>
      </w:tr>
      <w:tr>
        <w:trPr>
          <w:trHeight w:val="274"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1400" w:right="0" w:firstLine="0"/>
              <w:jc w:val="left"/>
              <w:rPr>
                <w:sz w:val="20"/>
                <w:szCs w:val="20"/>
              </w:rPr>
            </w:pPr>
            <w:r>
              <w:rPr>
                <w:rFonts w:ascii="Times New Roman" w:eastAsia="Times New Roman" w:hAnsi="Times New Roman" w:cs="Times New Roman"/>
                <w:color w:val="000000"/>
                <w:spacing w:val="0"/>
                <w:w w:val="100"/>
                <w:position w:val="0"/>
                <w:sz w:val="20"/>
                <w:szCs w:val="20"/>
              </w:rPr>
              <w:t>4,253</w:t>
            </w:r>
          </w:p>
        </w:tc>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100" w:right="0" w:firstLine="0"/>
              <w:jc w:val="both"/>
              <w:rPr>
                <w:sz w:val="20"/>
                <w:szCs w:val="20"/>
              </w:rPr>
            </w:pPr>
            <w:r>
              <w:rPr>
                <w:rFonts w:ascii="Times New Roman" w:eastAsia="Times New Roman" w:hAnsi="Times New Roman" w:cs="Times New Roman"/>
                <w:color w:val="000000"/>
                <w:spacing w:val="0"/>
                <w:w w:val="100"/>
                <w:position w:val="0"/>
                <w:sz w:val="20"/>
                <w:szCs w:val="20"/>
              </w:rPr>
              <w:t>2,429,642</w:t>
            </w:r>
          </w:p>
        </w:tc>
      </w:tr>
      <w:tr>
        <w:trPr>
          <w:trHeight w:val="264"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300" w:firstLine="0"/>
              <w:jc w:val="right"/>
              <w:rPr>
                <w:sz w:val="20"/>
                <w:szCs w:val="20"/>
              </w:rPr>
            </w:pPr>
            <w:r>
              <w:rPr>
                <w:rFonts w:ascii="Times New Roman" w:eastAsia="Times New Roman" w:hAnsi="Times New Roman" w:cs="Times New Roman"/>
                <w:color w:val="000000"/>
                <w:spacing w:val="0"/>
                <w:w w:val="100"/>
                <w:position w:val="0"/>
                <w:sz w:val="20"/>
                <w:szCs w:val="20"/>
              </w:rPr>
              <w:t>165</w:t>
            </w:r>
          </w:p>
        </w:tc>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490,330</w:t>
            </w:r>
          </w:p>
        </w:tc>
      </w:tr>
      <w:tr>
        <w:trPr>
          <w:trHeight w:val="254"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220" w:firstLine="0"/>
              <w:jc w:val="right"/>
              <w:rPr>
                <w:sz w:val="20"/>
                <w:szCs w:val="20"/>
              </w:rPr>
            </w:pPr>
            <w:r>
              <w:rPr>
                <w:rFonts w:ascii="Times New Roman" w:eastAsia="Times New Roman" w:hAnsi="Times New Roman" w:cs="Times New Roman"/>
                <w:color w:val="000000"/>
                <w:spacing w:val="0"/>
                <w:w w:val="100"/>
                <w:position w:val="0"/>
                <w:sz w:val="20"/>
                <w:szCs w:val="20"/>
              </w:rPr>
              <w:t>(781)</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2020" w:right="0" w:firstLine="0"/>
              <w:jc w:val="left"/>
              <w:rPr>
                <w:sz w:val="24"/>
                <w:szCs w:val="24"/>
              </w:rPr>
            </w:pPr>
            <w:r>
              <w:rPr>
                <w:color w:val="000000"/>
                <w:spacing w:val="0"/>
                <w:w w:val="100"/>
                <w:position w:val="0"/>
                <w:sz w:val="24"/>
                <w:szCs w:val="24"/>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360" w:right="0" w:firstLine="0"/>
              <w:jc w:val="left"/>
              <w:rPr>
                <w:sz w:val="20"/>
                <w:szCs w:val="20"/>
              </w:rPr>
            </w:pPr>
            <w:r>
              <w:rPr>
                <w:rFonts w:ascii="Times New Roman" w:eastAsia="Times New Roman" w:hAnsi="Times New Roman" w:cs="Times New Roman"/>
                <w:color w:val="000000"/>
                <w:spacing w:val="0"/>
                <w:w w:val="100"/>
                <w:position w:val="0"/>
                <w:sz w:val="20"/>
                <w:szCs w:val="20"/>
              </w:rPr>
              <w:t>15,787</w:t>
            </w:r>
          </w:p>
        </w:tc>
      </w:tr>
      <w:tr>
        <w:trPr>
          <w:trHeight w:val="312" w:hRule="exact"/>
        </w:trPr>
        <w:tc>
          <w:tcPr>
            <w:tcBorders>
              <w:top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120" w:right="0" w:firstLine="0"/>
              <w:jc w:val="left"/>
              <w:rPr>
                <w:sz w:val="20"/>
                <w:szCs w:val="20"/>
              </w:rPr>
            </w:pPr>
            <w:r>
              <w:rPr>
                <w:rFonts w:ascii="Times New Roman" w:eastAsia="Times New Roman" w:hAnsi="Times New Roman" w:cs="Times New Roman"/>
                <w:color w:val="000000"/>
                <w:spacing w:val="0"/>
                <w:w w:val="100"/>
                <w:position w:val="0"/>
                <w:sz w:val="20"/>
                <w:szCs w:val="20"/>
              </w:rPr>
              <w:t>(211,182)</w:t>
            </w:r>
          </w:p>
        </w:tc>
        <w:tc>
          <w:tcPr>
            <w:tcBorders>
              <w:top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2020" w:right="0" w:firstLine="0"/>
              <w:jc w:val="left"/>
              <w:rPr>
                <w:sz w:val="24"/>
                <w:szCs w:val="24"/>
              </w:rPr>
            </w:pPr>
            <w:r>
              <w:rPr>
                <w:color w:val="000000"/>
                <w:spacing w:val="0"/>
                <w:w w:val="100"/>
                <w:position w:val="0"/>
                <w:sz w:val="24"/>
                <w:szCs w:val="24"/>
              </w:rPr>
              <w:t>-</w:t>
            </w:r>
          </w:p>
        </w:tc>
        <w:tc>
          <w:tcPr>
            <w:tcBorders>
              <w:top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100" w:right="0" w:firstLine="0"/>
              <w:jc w:val="both"/>
              <w:rPr>
                <w:sz w:val="20"/>
                <w:szCs w:val="20"/>
              </w:rPr>
            </w:pPr>
            <w:r>
              <w:rPr>
                <w:rFonts w:ascii="Times New Roman" w:eastAsia="Times New Roman" w:hAnsi="Times New Roman" w:cs="Times New Roman"/>
                <w:color w:val="000000"/>
                <w:spacing w:val="0"/>
                <w:w w:val="100"/>
                <w:position w:val="0"/>
                <w:sz w:val="20"/>
                <w:szCs w:val="20"/>
              </w:rPr>
              <w:t>4,212,298</w:t>
            </w:r>
          </w:p>
        </w:tc>
      </w:tr>
    </w:tbl>
    <w:p>
      <w:pPr>
        <w:sectPr>
          <w:headerReference w:type="default" r:id="rId207"/>
          <w:footerReference w:type="default" r:id="rId208"/>
          <w:headerReference w:type="even" r:id="rId209"/>
          <w:footerReference w:type="even" r:id="rId210"/>
          <w:footnotePr>
            <w:pos w:val="pageBottom"/>
            <w:numFmt w:val="decimal"/>
            <w:numRestart w:val="continuous"/>
          </w:footnotePr>
          <w:pgSz w:w="8400" w:h="11900"/>
          <w:pgMar w:top="3953" w:right="1147" w:bottom="3953" w:left="254" w:header="3525" w:footer="3" w:gutter="0"/>
          <w:pgNumType w:start="256"/>
          <w:cols w:space="720"/>
          <w:noEndnote/>
          <w:rtlGutter w:val="0"/>
          <w:docGrid w:linePitch="360"/>
        </w:sectPr>
      </w:pPr>
    </w:p>
    <w:p>
      <w:pPr>
        <w:pStyle w:val="Style32"/>
        <w:keepNext w:val="0"/>
        <w:keepLines w:val="0"/>
        <w:widowControl w:val="0"/>
        <w:shd w:val="clear" w:color="auto" w:fill="auto"/>
        <w:bidi w:val="0"/>
        <w:spacing w:before="0" w:after="0" w:line="240" w:lineRule="auto"/>
        <w:ind w:left="0" w:right="0" w:firstLine="620"/>
        <w:jc w:val="left"/>
        <w:rPr>
          <w:sz w:val="24"/>
          <w:szCs w:val="24"/>
        </w:rPr>
      </w:pPr>
      <w:r>
        <w:rPr>
          <w:b/>
          <w:bCs/>
          <w:color w:val="000000"/>
          <w:spacing w:val="0"/>
          <w:w w:val="100"/>
          <w:position w:val="0"/>
          <w:sz w:val="24"/>
          <w:szCs w:val="24"/>
        </w:rPr>
        <w:t>财务报表附注</w:t>
      </w:r>
    </w:p>
    <w:p>
      <w:pPr>
        <w:pStyle w:val="Style88"/>
        <w:keepNext/>
        <w:keepLines/>
        <w:widowControl w:val="0"/>
        <w:shd w:val="clear" w:color="auto" w:fill="auto"/>
        <w:bidi w:val="0"/>
        <w:spacing w:before="0" w:after="0" w:line="240" w:lineRule="auto"/>
        <w:ind w:left="0" w:right="0" w:firstLine="620"/>
        <w:jc w:val="left"/>
      </w:pPr>
      <w:bookmarkStart w:id="1031" w:name="bookmark1031"/>
      <w:bookmarkStart w:id="1032" w:name="bookmark1032"/>
      <w:bookmarkStart w:id="1033" w:name="bookmark1033"/>
      <w:r>
        <w:rPr>
          <w:color w:val="000000"/>
          <w:spacing w:val="0"/>
          <w:w w:val="100"/>
          <w:position w:val="0"/>
          <w:sz w:val="24"/>
          <w:szCs w:val="24"/>
        </w:rPr>
        <w:t>2016</w:t>
      </w:r>
      <w:r>
        <w:rPr>
          <w:rFonts w:ascii="SimSun" w:eastAsia="SimSun" w:hAnsi="SimSun" w:cs="SimSun"/>
          <w:b/>
          <w:bCs/>
          <w:color w:val="000000"/>
          <w:spacing w:val="0"/>
          <w:w w:val="100"/>
          <w:position w:val="0"/>
          <w:sz w:val="24"/>
          <w:szCs w:val="24"/>
        </w:rPr>
        <w:t>年度</w:t>
      </w:r>
      <w:bookmarkEnd w:id="1031"/>
      <w:bookmarkEnd w:id="1032"/>
      <w:bookmarkEnd w:id="1033"/>
    </w:p>
    <w:p>
      <w:pPr>
        <w:pStyle w:val="Style32"/>
        <w:keepNext w:val="0"/>
        <w:keepLines w:val="0"/>
        <w:widowControl w:val="0"/>
        <w:shd w:val="clear" w:color="auto" w:fill="auto"/>
        <w:bidi w:val="0"/>
        <w:spacing w:before="0" w:after="240" w:line="240" w:lineRule="auto"/>
        <w:ind w:left="0" w:right="0" w:firstLine="620"/>
        <w:jc w:val="left"/>
        <w:rPr>
          <w:sz w:val="24"/>
          <w:szCs w:val="24"/>
        </w:rPr>
      </w:pPr>
      <w:r>
        <w:rPr>
          <w:rFonts w:ascii="Arial" w:eastAsia="Arial" w:hAnsi="Arial" w:cs="Arial"/>
          <w:color w:val="000000"/>
          <w:spacing w:val="0"/>
          <w:w w:val="100"/>
          <w:position w:val="0"/>
          <w:sz w:val="20"/>
          <w:szCs w:val="20"/>
        </w:rPr>
        <w:t>（</w:t>
      </w:r>
      <w:r>
        <w:rPr>
          <w:color w:val="000000"/>
          <w:spacing w:val="0"/>
          <w:w w:val="100"/>
          <w:position w:val="0"/>
          <w:sz w:val="20"/>
          <w:szCs w:val="20"/>
        </w:rPr>
        <w:t>除特别注明外，金额单位为人民币千元</w:t>
      </w:r>
      <w:r>
        <w:rPr>
          <w:color w:val="000000"/>
          <w:spacing w:val="0"/>
          <w:w w:val="100"/>
          <w:position w:val="0"/>
          <w:sz w:val="24"/>
          <w:szCs w:val="24"/>
        </w:rPr>
        <w:t>）</w:t>
      </w:r>
    </w:p>
    <w:p>
      <w:pPr>
        <w:pStyle w:val="Style32"/>
        <w:keepNext w:val="0"/>
        <w:keepLines w:val="0"/>
        <w:widowControl w:val="0"/>
        <w:shd w:val="clear" w:color="auto" w:fill="auto"/>
        <w:tabs>
          <w:tab w:pos="645" w:val="left"/>
        </w:tabs>
        <w:bidi w:val="0"/>
        <w:spacing w:before="0" w:after="240" w:line="240" w:lineRule="auto"/>
        <w:ind w:left="0" w:right="0" w:firstLine="0"/>
        <w:jc w:val="left"/>
        <w:rPr>
          <w:sz w:val="24"/>
          <w:szCs w:val="24"/>
        </w:rPr>
      </w:pPr>
      <w:r>
        <w:rPr>
          <w:b/>
          <w:bCs/>
          <w:color w:val="000000"/>
          <w:spacing w:val="0"/>
          <w:w w:val="100"/>
          <w:position w:val="0"/>
          <w:sz w:val="24"/>
          <w:szCs w:val="24"/>
        </w:rPr>
        <w:t>六</w:t>
        <w:tab/>
        <w:t>在其他主体中的权益</w:t>
      </w:r>
      <w:r>
        <w:rPr>
          <w:rFonts w:ascii="Times New Roman" w:eastAsia="Times New Roman" w:hAnsi="Times New Roman" w:cs="Times New Roman"/>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4"/>
          <w:szCs w:val="24"/>
        </w:rPr>
        <w:t>）</w:t>
      </w:r>
    </w:p>
    <w:p>
      <w:pPr>
        <w:pStyle w:val="Style32"/>
        <w:keepNext w:val="0"/>
        <w:keepLines w:val="0"/>
        <w:widowControl w:val="0"/>
        <w:shd w:val="clear" w:color="auto" w:fill="auto"/>
        <w:tabs>
          <w:tab w:pos="645" w:val="left"/>
        </w:tabs>
        <w:bidi w:val="0"/>
        <w:spacing w:before="0" w:after="24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（1）</w:t>
        <w:tab/>
      </w:r>
      <w:r>
        <w:rPr>
          <w:b/>
          <w:bCs/>
          <w:color w:val="000000"/>
          <w:spacing w:val="0"/>
          <w:w w:val="100"/>
          <w:position w:val="0"/>
          <w:sz w:val="24"/>
          <w:szCs w:val="24"/>
        </w:rPr>
        <w:t>在子公司中的权益</w:t>
      </w:r>
      <w:r>
        <w:rPr>
          <w:rFonts w:ascii="Times New Roman" w:eastAsia="Times New Roman" w:hAnsi="Times New Roman" w:cs="Times New Roman"/>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4"/>
          <w:szCs w:val="24"/>
        </w:rPr>
        <w:t>）</w:t>
      </w:r>
    </w:p>
    <w:p>
      <w:pPr>
        <w:pStyle w:val="Style32"/>
        <w:keepNext w:val="0"/>
        <w:keepLines w:val="0"/>
        <w:widowControl w:val="0"/>
        <w:shd w:val="clear" w:color="auto" w:fill="auto"/>
        <w:tabs>
          <w:tab w:pos="645" w:val="left"/>
        </w:tabs>
        <w:bidi w:val="0"/>
        <w:spacing w:before="0" w:after="30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（b）</w:t>
        <w:tab/>
      </w:r>
      <w:r>
        <w:rPr>
          <w:color w:val="000000"/>
          <w:spacing w:val="0"/>
          <w:w w:val="100"/>
          <w:position w:val="0"/>
          <w:sz w:val="24"/>
          <w:szCs w:val="24"/>
        </w:rPr>
        <w:t>存在重要少数股东权益的子公司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续</w:t>
      </w:r>
      <w:r>
        <w:rPr>
          <w:rFonts w:ascii="Times New Roman" w:eastAsia="Times New Roman" w:hAnsi="Times New Roman" w:cs="Times New Roman"/>
          <w:color w:val="000000"/>
          <w:spacing w:val="0"/>
          <w:w w:val="100"/>
          <w:position w:val="0"/>
          <w:sz w:val="24"/>
          <w:szCs w:val="24"/>
        </w:rPr>
        <w:t>）</w:t>
      </w:r>
    </w:p>
    <w:p>
      <w:pPr>
        <w:pStyle w:val="Style32"/>
        <w:keepNext w:val="0"/>
        <w:keepLines w:val="0"/>
        <w:widowControl w:val="0"/>
        <w:shd w:val="clear" w:color="auto" w:fill="auto"/>
        <w:bidi w:val="0"/>
        <w:spacing w:before="0" w:after="300" w:line="240" w:lineRule="auto"/>
        <w:ind w:left="0" w:right="0" w:firstLine="720"/>
        <w:jc w:val="both"/>
        <w:rPr>
          <w:sz w:val="24"/>
          <w:szCs w:val="24"/>
        </w:rPr>
      </w:pPr>
      <w:r>
        <w:rPr>
          <w:color w:val="000000"/>
          <w:spacing w:val="0"/>
          <w:w w:val="100"/>
          <w:position w:val="0"/>
          <w:sz w:val="24"/>
          <w:szCs w:val="24"/>
        </w:rPr>
        <w:t>上述重要非全资子公司的主要财务信息列示如下:</w:t>
      </w:r>
    </w:p>
    <w:p>
      <w:pPr>
        <w:pStyle w:val="Style25"/>
        <w:keepNext w:val="0"/>
        <w:keepLines w:val="0"/>
        <w:widowControl w:val="0"/>
        <w:shd w:val="clear" w:color="auto" w:fill="auto"/>
        <w:tabs>
          <w:tab w:pos="6792" w:val="left"/>
        </w:tabs>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tab/>
      </w: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tbl>
      <w:tblPr>
        <w:tblOverlap w:val="never"/>
        <w:jc w:val="center"/>
        <w:tblLayout w:type="fixed"/>
      </w:tblPr>
      <w:tblGrid>
        <w:gridCol w:w="1440"/>
        <w:gridCol w:w="1008"/>
        <w:gridCol w:w="1214"/>
        <w:gridCol w:w="1142"/>
        <w:gridCol w:w="1046"/>
        <w:gridCol w:w="1214"/>
        <w:gridCol w:w="1205"/>
        <w:gridCol w:w="1123"/>
        <w:gridCol w:w="1176"/>
        <w:gridCol w:w="1037"/>
        <w:gridCol w:w="989"/>
        <w:gridCol w:w="1166"/>
        <w:gridCol w:w="989"/>
      </w:tblGrid>
      <w:tr>
        <w:trPr>
          <w:trHeight w:val="394" w:hRule="exact"/>
        </w:trPr>
        <w:tc>
          <w:tcPr>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流动资产</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非流动资产</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资产合计</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流动负债</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非流动负债</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负债合计</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流动资产</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160" w:firstLine="0"/>
              <w:jc w:val="right"/>
              <w:rPr>
                <w:sz w:val="18"/>
                <w:szCs w:val="18"/>
              </w:rPr>
            </w:pPr>
            <w:r>
              <w:rPr>
                <w:color w:val="000000"/>
                <w:spacing w:val="0"/>
                <w:w w:val="100"/>
                <w:position w:val="0"/>
                <w:sz w:val="18"/>
                <w:szCs w:val="18"/>
              </w:rPr>
              <w:t>非流动资产</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资产合计</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流动负债</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非流动负债</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负债合计</w:t>
            </w:r>
          </w:p>
        </w:tc>
      </w:tr>
      <w:tr>
        <w:trPr>
          <w:trHeight w:val="610"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日本</w:t>
            </w:r>
            <w:r>
              <w:rPr>
                <w:rFonts w:ascii="Times New Roman" w:eastAsia="Times New Roman" w:hAnsi="Times New Roman" w:cs="Times New Roman"/>
                <w:color w:val="000000"/>
                <w:spacing w:val="0"/>
                <w:w w:val="100"/>
                <w:position w:val="0"/>
                <w:sz w:val="18"/>
                <w:szCs w:val="18"/>
              </w:rPr>
              <w:t>LAOX</w:t>
            </w:r>
          </w:p>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江苏苏宁易购有</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2,501,028</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1,249,539</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3,750,567</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768,600</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207,822</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976,422</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2,628,585</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821,207</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3,449,792</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483,298</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195,921</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679,219</w:t>
            </w:r>
          </w:p>
        </w:tc>
      </w:tr>
      <w:tr>
        <w:trPr>
          <w:trHeight w:val="470"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限公司</w:t>
            </w:r>
          </w:p>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苏宁保险销售有</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1,995,413</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118,245</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2,113,658</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3,402,763</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3,402,763</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3,243,964</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700,918</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3,944,882</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4,098,375</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160" w:firstLine="0"/>
              <w:jc w:val="right"/>
              <w:rPr>
                <w:sz w:val="18"/>
                <w:szCs w:val="18"/>
              </w:rPr>
            </w:pPr>
            <w:r>
              <w:rPr>
                <w:rFonts w:ascii="Times New Roman" w:eastAsia="Times New Roman" w:hAnsi="Times New Roman" w:cs="Times New Roman"/>
                <w:color w:val="000000"/>
                <w:spacing w:val="0"/>
                <w:w w:val="100"/>
                <w:position w:val="0"/>
                <w:sz w:val="18"/>
                <w:szCs w:val="18"/>
              </w:rPr>
              <w:t>427</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4,098,802</w:t>
            </w:r>
          </w:p>
        </w:tc>
      </w:tr>
      <w:tr>
        <w:trPr>
          <w:trHeight w:val="461" w:hRule="exact"/>
        </w:trPr>
        <w:tc>
          <w:tcPr>
            <w:tcBorders/>
            <w:shd w:val="clear" w:color="auto" w:fill="FFFFFF"/>
            <w:vAlign w:val="bottom"/>
          </w:tcPr>
          <w:p>
            <w:pPr>
              <w:pStyle w:val="Style28"/>
              <w:keepNext w:val="0"/>
              <w:keepLines w:val="0"/>
              <w:widowControl w:val="0"/>
              <w:shd w:val="clear" w:color="auto" w:fill="auto"/>
              <w:bidi w:val="0"/>
              <w:spacing w:before="0" w:after="40" w:line="240" w:lineRule="auto"/>
              <w:ind w:left="0" w:right="0" w:firstLine="200"/>
              <w:jc w:val="left"/>
              <w:rPr>
                <w:sz w:val="18"/>
                <w:szCs w:val="18"/>
              </w:rPr>
            </w:pPr>
            <w:r>
              <w:rPr>
                <w:color w:val="000000"/>
                <w:spacing w:val="0"/>
                <w:w w:val="100"/>
                <w:position w:val="0"/>
                <w:sz w:val="18"/>
                <w:szCs w:val="18"/>
              </w:rPr>
              <w:t>限公司</w:t>
            </w:r>
          </w:p>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湖南苏宁先锋电</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205,211</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31,841</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237,052</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110,017</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95</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110,112</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124,909</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5,013</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140" w:firstLine="0"/>
              <w:jc w:val="right"/>
              <w:rPr>
                <w:sz w:val="18"/>
                <w:szCs w:val="18"/>
              </w:rPr>
            </w:pPr>
            <w:r>
              <w:rPr>
                <w:rFonts w:ascii="Times New Roman" w:eastAsia="Times New Roman" w:hAnsi="Times New Roman" w:cs="Times New Roman"/>
                <w:color w:val="000000"/>
                <w:spacing w:val="0"/>
                <w:w w:val="100"/>
                <w:position w:val="0"/>
                <w:sz w:val="18"/>
                <w:szCs w:val="18"/>
              </w:rPr>
              <w:t>129,922</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16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2,671</w:t>
            </w:r>
          </w:p>
        </w:tc>
      </w:tr>
      <w:tr>
        <w:trPr>
          <w:trHeight w:val="470" w:hRule="exact"/>
        </w:trPr>
        <w:tc>
          <w:tcPr>
            <w:tcBorders/>
            <w:shd w:val="clear" w:color="auto" w:fill="FFFFFF"/>
            <w:vAlign w:val="bottom"/>
          </w:tcPr>
          <w:p>
            <w:pPr>
              <w:pStyle w:val="Style28"/>
              <w:keepNext w:val="0"/>
              <w:keepLines w:val="0"/>
              <w:widowControl w:val="0"/>
              <w:shd w:val="clear" w:color="auto" w:fill="auto"/>
              <w:bidi w:val="0"/>
              <w:spacing w:before="0" w:after="0" w:line="235" w:lineRule="exact"/>
              <w:ind w:left="0" w:right="0" w:firstLine="200"/>
              <w:jc w:val="left"/>
              <w:rPr>
                <w:sz w:val="18"/>
                <w:szCs w:val="18"/>
              </w:rPr>
            </w:pPr>
            <w:r>
              <w:rPr>
                <w:color w:val="000000"/>
                <w:spacing w:val="0"/>
                <w:w w:val="100"/>
                <w:position w:val="0"/>
                <w:sz w:val="18"/>
                <w:szCs w:val="18"/>
              </w:rPr>
              <w:t>子有限公司 江苏苏宁贸易有</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490,213</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235</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490,448</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294,014</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294,014</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1,397,664</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3,046</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1,400,710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1,218,168</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16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1,218,168</w:t>
            </w:r>
          </w:p>
        </w:tc>
      </w:tr>
      <w:tr>
        <w:trPr>
          <w:trHeight w:val="710" w:hRule="exact"/>
        </w:trPr>
        <w:tc>
          <w:tcPr>
            <w:tcBorders/>
            <w:shd w:val="clear" w:color="auto" w:fill="FFFFFF"/>
            <w:vAlign w:val="bottom"/>
          </w:tcPr>
          <w:p>
            <w:pPr>
              <w:pStyle w:val="Style28"/>
              <w:keepNext w:val="0"/>
              <w:keepLines w:val="0"/>
              <w:widowControl w:val="0"/>
              <w:shd w:val="clear" w:color="auto" w:fill="auto"/>
              <w:bidi w:val="0"/>
              <w:spacing w:before="0" w:after="0" w:line="245" w:lineRule="exact"/>
              <w:ind w:left="0" w:right="0" w:firstLine="200"/>
              <w:jc w:val="left"/>
              <w:rPr>
                <w:sz w:val="18"/>
                <w:szCs w:val="18"/>
              </w:rPr>
            </w:pPr>
            <w:r>
              <w:rPr>
                <w:color w:val="000000"/>
                <w:spacing w:val="0"/>
                <w:w w:val="100"/>
                <w:position w:val="0"/>
                <w:sz w:val="18"/>
                <w:szCs w:val="18"/>
              </w:rPr>
              <w:t>限公司 苏宁金融服务</w:t>
            </w:r>
          </w:p>
          <w:p>
            <w:pPr>
              <w:pStyle w:val="Style28"/>
              <w:keepNext w:val="0"/>
              <w:keepLines w:val="0"/>
              <w:widowControl w:val="0"/>
              <w:shd w:val="clear" w:color="auto" w:fill="auto"/>
              <w:bidi w:val="0"/>
              <w:spacing w:before="0" w:after="0" w:line="283"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上海</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有限公</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197,043</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692</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197,735</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200,914</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200,914</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213,296</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1,951</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140" w:firstLine="0"/>
              <w:jc w:val="right"/>
              <w:rPr>
                <w:sz w:val="18"/>
                <w:szCs w:val="18"/>
              </w:rPr>
            </w:pPr>
            <w:r>
              <w:rPr>
                <w:rFonts w:ascii="Times New Roman" w:eastAsia="Times New Roman" w:hAnsi="Times New Roman" w:cs="Times New Roman"/>
                <w:color w:val="000000"/>
                <w:spacing w:val="0"/>
                <w:w w:val="100"/>
                <w:position w:val="0"/>
                <w:sz w:val="18"/>
                <w:szCs w:val="18"/>
              </w:rPr>
              <w:t>215,247</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222,204</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16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222,204</w:t>
            </w:r>
          </w:p>
        </w:tc>
      </w:tr>
      <w:tr>
        <w:trPr>
          <w:trHeight w:val="451"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司</w:t>
            </w:r>
          </w:p>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重庆猫宁电子商</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3,504,107</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4,829,962</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8,334,069</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1,391,163</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1,071</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139,2234</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1,523,859</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160" w:firstLine="0"/>
              <w:jc w:val="right"/>
              <w:rPr>
                <w:sz w:val="18"/>
                <w:szCs w:val="18"/>
              </w:rPr>
            </w:pPr>
            <w:r>
              <w:rPr>
                <w:rFonts w:ascii="Times New Roman" w:eastAsia="Times New Roman" w:hAnsi="Times New Roman" w:cs="Times New Roman"/>
                <w:color w:val="000000"/>
                <w:spacing w:val="0"/>
                <w:w w:val="100"/>
                <w:position w:val="0"/>
                <w:sz w:val="18"/>
                <w:szCs w:val="18"/>
              </w:rPr>
              <w:t>49,334</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1,573,193</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481,509</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16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481,509</w:t>
            </w:r>
          </w:p>
        </w:tc>
      </w:tr>
      <w:tr>
        <w:trPr>
          <w:trHeight w:val="240"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务有限公司</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950,328</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50,570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1,000,898</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112</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113</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225</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16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14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16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sectPr>
          <w:headerReference w:type="default" r:id="rId211"/>
          <w:footerReference w:type="default" r:id="rId212"/>
          <w:headerReference w:type="even" r:id="rId213"/>
          <w:footerReference w:type="even" r:id="rId214"/>
          <w:footnotePr>
            <w:pos w:val="pageBottom"/>
            <w:numFmt w:val="decimal"/>
            <w:numRestart w:val="continuous"/>
          </w:footnotePr>
          <w:pgSz w:w="16840" w:h="11900" w:orient="landscape"/>
          <w:pgMar w:top="1350" w:right="562" w:bottom="1350" w:left="1527" w:header="0" w:footer="3" w:gutter="0"/>
          <w:cols w:space="720"/>
          <w:noEndnote/>
          <w:rtlGutter w:val="0"/>
          <w:docGrid w:linePitch="360"/>
        </w:sectPr>
      </w:pPr>
    </w:p>
    <w:p>
      <w:pPr>
        <w:pStyle w:val="Style32"/>
        <w:keepNext w:val="0"/>
        <w:keepLines w:val="0"/>
        <w:widowControl w:val="0"/>
        <w:shd w:val="clear" w:color="auto" w:fill="auto"/>
        <w:bidi w:val="0"/>
        <w:spacing w:before="0" w:after="0" w:line="240" w:lineRule="auto"/>
        <w:ind w:left="1380" w:right="0" w:firstLine="0"/>
        <w:jc w:val="left"/>
        <w:rPr>
          <w:sz w:val="24"/>
          <w:szCs w:val="24"/>
        </w:rPr>
      </w:pPr>
      <w:r>
        <w:rPr>
          <w:b/>
          <w:bCs/>
          <w:color w:val="000000"/>
          <w:spacing w:val="0"/>
          <w:w w:val="100"/>
          <w:position w:val="0"/>
          <w:sz w:val="24"/>
          <w:szCs w:val="24"/>
        </w:rPr>
        <w:t>财务报表附注</w:t>
      </w:r>
    </w:p>
    <w:p>
      <w:pPr>
        <w:pStyle w:val="Style88"/>
        <w:keepNext/>
        <w:keepLines/>
        <w:widowControl w:val="0"/>
        <w:shd w:val="clear" w:color="auto" w:fill="auto"/>
        <w:bidi w:val="0"/>
        <w:spacing w:before="0" w:after="0" w:line="240" w:lineRule="auto"/>
        <w:ind w:left="1380" w:right="0" w:firstLine="0"/>
        <w:jc w:val="left"/>
      </w:pPr>
      <w:bookmarkStart w:id="1034" w:name="bookmark1034"/>
      <w:bookmarkStart w:id="1035" w:name="bookmark1035"/>
      <w:bookmarkStart w:id="1036" w:name="bookmark1036"/>
      <w:r>
        <w:rPr>
          <w:color w:val="000000"/>
          <w:spacing w:val="0"/>
          <w:w w:val="100"/>
          <w:position w:val="0"/>
          <w:sz w:val="24"/>
          <w:szCs w:val="24"/>
        </w:rPr>
        <w:t>2016</w:t>
      </w:r>
      <w:r>
        <w:rPr>
          <w:rFonts w:ascii="SimSun" w:eastAsia="SimSun" w:hAnsi="SimSun" w:cs="SimSun"/>
          <w:b/>
          <w:bCs/>
          <w:color w:val="000000"/>
          <w:spacing w:val="0"/>
          <w:w w:val="100"/>
          <w:position w:val="0"/>
          <w:sz w:val="24"/>
          <w:szCs w:val="24"/>
        </w:rPr>
        <w:t>年度</w:t>
      </w:r>
      <w:bookmarkEnd w:id="1034"/>
      <w:bookmarkEnd w:id="1035"/>
      <w:bookmarkEnd w:id="1036"/>
    </w:p>
    <w:p>
      <w:pPr>
        <w:pStyle w:val="Style32"/>
        <w:keepNext w:val="0"/>
        <w:keepLines w:val="0"/>
        <w:widowControl w:val="0"/>
        <w:shd w:val="clear" w:color="auto" w:fill="auto"/>
        <w:bidi w:val="0"/>
        <w:spacing w:before="0" w:after="280" w:line="240" w:lineRule="auto"/>
        <w:ind w:left="1380" w:right="0" w:firstLine="0"/>
        <w:jc w:val="left"/>
        <w:rPr>
          <w:sz w:val="20"/>
          <w:szCs w:val="20"/>
        </w:rPr>
      </w:pPr>
      <w:r>
        <w:rPr>
          <w:color w:val="000000"/>
          <w:spacing w:val="0"/>
          <w:w w:val="100"/>
          <w:position w:val="0"/>
          <w:sz w:val="20"/>
          <w:szCs w:val="20"/>
        </w:rPr>
        <w:t>（除特别注明外，金额单位为人民币千元）</w:t>
      </w:r>
    </w:p>
    <w:p>
      <w:pPr>
        <w:pStyle w:val="Style32"/>
        <w:keepNext w:val="0"/>
        <w:keepLines w:val="0"/>
        <w:widowControl w:val="0"/>
        <w:shd w:val="clear" w:color="auto" w:fill="auto"/>
        <w:tabs>
          <w:tab w:pos="1428" w:val="left"/>
        </w:tabs>
        <w:bidi w:val="0"/>
        <w:spacing w:before="0" w:after="280" w:line="240" w:lineRule="auto"/>
        <w:ind w:left="0" w:right="0" w:firstLine="780"/>
        <w:jc w:val="left"/>
        <w:rPr>
          <w:sz w:val="24"/>
          <w:szCs w:val="24"/>
        </w:rPr>
      </w:pPr>
      <w:r>
        <w:rPr>
          <w:b/>
          <w:bCs/>
          <w:color w:val="000000"/>
          <w:spacing w:val="0"/>
          <w:w w:val="100"/>
          <w:position w:val="0"/>
          <w:sz w:val="24"/>
          <w:szCs w:val="24"/>
        </w:rPr>
        <w:t>六</w:t>
        <w:tab/>
        <w:t>在其他主体中的权益（续）</w:t>
      </w:r>
    </w:p>
    <w:p>
      <w:pPr>
        <w:pStyle w:val="Style32"/>
        <w:keepNext w:val="0"/>
        <w:keepLines w:val="0"/>
        <w:widowControl w:val="0"/>
        <w:shd w:val="clear" w:color="auto" w:fill="auto"/>
        <w:tabs>
          <w:tab w:pos="1428" w:val="left"/>
        </w:tabs>
        <w:bidi w:val="0"/>
        <w:spacing w:before="0" w:after="280" w:line="240" w:lineRule="auto"/>
        <w:ind w:left="0" w:right="0" w:firstLine="780"/>
        <w:jc w:val="left"/>
        <w:rPr>
          <w:sz w:val="24"/>
          <w:szCs w:val="24"/>
        </w:rPr>
      </w:pPr>
      <w:r>
        <w:rPr>
          <w:rFonts w:ascii="Times New Roman" w:eastAsia="Times New Roman" w:hAnsi="Times New Roman" w:cs="Times New Roman"/>
          <w:color w:val="000000"/>
          <w:spacing w:val="0"/>
          <w:w w:val="100"/>
          <w:position w:val="0"/>
          <w:sz w:val="24"/>
          <w:szCs w:val="24"/>
        </w:rPr>
        <w:t>（1）</w:t>
        <w:tab/>
      </w:r>
      <w:r>
        <w:rPr>
          <w:b/>
          <w:bCs/>
          <w:color w:val="000000"/>
          <w:spacing w:val="0"/>
          <w:w w:val="100"/>
          <w:position w:val="0"/>
          <w:sz w:val="24"/>
          <w:szCs w:val="24"/>
        </w:rPr>
        <w:t>在子公司中的权益（续）</w:t>
      </w:r>
    </w:p>
    <w:p>
      <w:pPr>
        <w:pStyle w:val="Style32"/>
        <w:keepNext w:val="0"/>
        <w:keepLines w:val="0"/>
        <w:widowControl w:val="0"/>
        <w:shd w:val="clear" w:color="auto" w:fill="auto"/>
        <w:tabs>
          <w:tab w:pos="1428" w:val="left"/>
        </w:tabs>
        <w:bidi w:val="0"/>
        <w:spacing w:before="0" w:after="280" w:line="240" w:lineRule="auto"/>
        <w:ind w:left="0" w:right="0" w:firstLine="780"/>
        <w:jc w:val="left"/>
        <w:rPr>
          <w:sz w:val="24"/>
          <w:szCs w:val="24"/>
        </w:rPr>
      </w:pPr>
      <w:r>
        <w:rPr>
          <w:rFonts w:ascii="Times New Roman" w:eastAsia="Times New Roman" w:hAnsi="Times New Roman" w:cs="Times New Roman"/>
          <w:color w:val="000000"/>
          <w:spacing w:val="0"/>
          <w:w w:val="100"/>
          <w:position w:val="0"/>
          <w:sz w:val="24"/>
          <w:szCs w:val="24"/>
        </w:rPr>
        <w:t>（b）</w:t>
        <w:tab/>
      </w:r>
      <w:r>
        <w:rPr>
          <w:color w:val="000000"/>
          <w:spacing w:val="0"/>
          <w:w w:val="100"/>
          <w:position w:val="0"/>
          <w:sz w:val="24"/>
          <w:szCs w:val="24"/>
        </w:rPr>
        <w:t>存在重要少数股东权益的子公司（续）</w:t>
      </w:r>
    </w:p>
    <w:p>
      <w:pPr>
        <w:pStyle w:val="Style32"/>
        <w:keepNext w:val="0"/>
        <w:keepLines w:val="0"/>
        <w:widowControl w:val="0"/>
        <w:shd w:val="clear" w:color="auto" w:fill="auto"/>
        <w:bidi w:val="0"/>
        <w:spacing w:before="0" w:after="280" w:line="240" w:lineRule="auto"/>
        <w:ind w:left="1480" w:right="0" w:firstLine="0"/>
        <w:jc w:val="left"/>
        <w:rPr>
          <w:sz w:val="24"/>
          <w:szCs w:val="24"/>
        </w:rPr>
      </w:pPr>
      <w:r>
        <w:rPr>
          <w:color w:val="000000"/>
          <w:spacing w:val="0"/>
          <w:w w:val="100"/>
          <w:position w:val="0"/>
          <w:sz w:val="24"/>
          <w:szCs w:val="24"/>
        </w:rPr>
        <w:t>上述重要非全资子公司的主要财务信息列示如下:</w:t>
      </w:r>
    </w:p>
    <w:p>
      <w:pPr>
        <w:pStyle w:val="Style25"/>
        <w:keepNext w:val="0"/>
        <w:keepLines w:val="0"/>
        <w:widowControl w:val="0"/>
        <w:shd w:val="clear" w:color="auto" w:fill="auto"/>
        <w:bidi w:val="0"/>
        <w:spacing w:before="0" w:after="0" w:line="240" w:lineRule="auto"/>
        <w:ind w:left="0" w:right="0" w:firstLine="0"/>
        <w:jc w:val="distribute"/>
        <w:rPr>
          <w:sz w:val="18"/>
          <w:szCs w:val="18"/>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8"/>
          <w:szCs w:val="18"/>
        </w:rPr>
        <w:t>年度</w:t>
      </w:r>
    </w:p>
    <w:tbl>
      <w:tblPr>
        <w:tblOverlap w:val="never"/>
        <w:jc w:val="right"/>
        <w:tblLayout w:type="fixed"/>
      </w:tblPr>
      <w:tblGrid>
        <w:gridCol w:w="2270"/>
        <w:gridCol w:w="1344"/>
        <w:gridCol w:w="1171"/>
        <w:gridCol w:w="1387"/>
      </w:tblGrid>
      <w:tr>
        <w:trPr>
          <w:trHeight w:val="384"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营业收入</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200" w:firstLine="0"/>
              <w:jc w:val="right"/>
              <w:rPr>
                <w:sz w:val="18"/>
                <w:szCs w:val="18"/>
              </w:rPr>
            </w:pPr>
            <w:r>
              <w:rPr>
                <w:color w:val="000000"/>
                <w:spacing w:val="0"/>
                <w:w w:val="100"/>
                <w:position w:val="0"/>
                <w:sz w:val="18"/>
                <w:szCs w:val="18"/>
              </w:rPr>
              <w:t>净利润</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综合收益总额</w:t>
            </w:r>
          </w:p>
        </w:tc>
      </w:tr>
      <w:tr>
        <w:trPr>
          <w:trHeight w:val="408"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日本</w:t>
            </w:r>
            <w:r>
              <w:rPr>
                <w:rFonts w:ascii="Times New Roman" w:eastAsia="Times New Roman" w:hAnsi="Times New Roman" w:cs="Times New Roman"/>
                <w:color w:val="000000"/>
                <w:spacing w:val="0"/>
                <w:w w:val="100"/>
                <w:position w:val="0"/>
                <w:sz w:val="18"/>
                <w:szCs w:val="18"/>
              </w:rPr>
              <w:t>LAOX</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3,560,607</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200" w:firstLine="0"/>
              <w:jc w:val="right"/>
              <w:rPr>
                <w:sz w:val="18"/>
                <w:szCs w:val="18"/>
              </w:rPr>
            </w:pPr>
            <w:r>
              <w:rPr>
                <w:rFonts w:ascii="Times New Roman" w:eastAsia="Times New Roman" w:hAnsi="Times New Roman" w:cs="Times New Roman"/>
                <w:color w:val="000000"/>
                <w:spacing w:val="0"/>
                <w:w w:val="100"/>
                <w:position w:val="0"/>
                <w:sz w:val="18"/>
                <w:szCs w:val="18"/>
              </w:rPr>
              <w:t>(152,047)</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3,335</w:t>
            </w:r>
          </w:p>
        </w:tc>
      </w:tr>
      <w:tr>
        <w:trPr>
          <w:trHeight w:val="254"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江苏苏宁易购有限公司</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1,619,303</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(436,829)</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(428,760)</w:t>
            </w:r>
          </w:p>
        </w:tc>
      </w:tr>
      <w:tr>
        <w:trPr>
          <w:trHeight w:val="235"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苏宁保险销售有限公司</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11,742</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6,981</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7,504</w:t>
            </w:r>
          </w:p>
        </w:tc>
      </w:tr>
      <w:tr>
        <w:trPr>
          <w:trHeight w:val="240"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湖南苏宁先锋电子有限</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40"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公司</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562,765</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13,893</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13,893</w:t>
            </w:r>
          </w:p>
        </w:tc>
      </w:tr>
      <w:tr>
        <w:trPr>
          <w:trHeight w:val="240"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江苏苏宁贸易有限公司</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202,119</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3,777</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3,777</w:t>
            </w:r>
          </w:p>
        </w:tc>
      </w:tr>
      <w:tr>
        <w:trPr>
          <w:trHeight w:val="254"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苏宁金融服务（上海）有限</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21"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公司</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1,070,402</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11,422</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16,820</w:t>
            </w:r>
          </w:p>
        </w:tc>
      </w:tr>
      <w:tr>
        <w:trPr>
          <w:trHeight w:val="226"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重庆猫宁电子商务有限</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21"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公司</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20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200" w:firstLine="0"/>
              <w:jc w:val="right"/>
              <w:rPr>
                <w:sz w:val="18"/>
                <w:szCs w:val="18"/>
              </w:rPr>
            </w:pPr>
            <w:r>
              <w:rPr>
                <w:rFonts w:ascii="Times New Roman" w:eastAsia="Times New Roman" w:hAnsi="Times New Roman" w:cs="Times New Roman"/>
                <w:color w:val="000000"/>
                <w:spacing w:val="0"/>
                <w:w w:val="100"/>
                <w:position w:val="0"/>
                <w:sz w:val="18"/>
                <w:szCs w:val="18"/>
              </w:rPr>
              <w:t>336</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674</w:t>
            </w:r>
          </w:p>
        </w:tc>
      </w:tr>
    </w:tbl>
    <w:p>
      <w:pPr>
        <w:sectPr>
          <w:headerReference w:type="default" r:id="rId215"/>
          <w:footerReference w:type="default" r:id="rId216"/>
          <w:headerReference w:type="even" r:id="rId217"/>
          <w:footerReference w:type="even" r:id="rId218"/>
          <w:footnotePr>
            <w:pos w:val="pageBottom"/>
            <w:numFmt w:val="decimal"/>
            <w:numRestart w:val="continuous"/>
          </w:footnotePr>
          <w:pgSz w:w="8400" w:h="11900"/>
          <w:pgMar w:top="1323" w:right="10" w:bottom="1323" w:left="730" w:header="0" w:footer="895" w:gutter="0"/>
          <w:pgNumType w:start="266"/>
          <w:cols w:space="720"/>
          <w:noEndnote/>
          <w:rtlGutter w:val="0"/>
          <w:docGrid w:linePitch="360"/>
        </w:sectPr>
      </w:pPr>
    </w:p>
    <w:p>
      <w:pPr>
        <w:pStyle w:val="Style25"/>
        <w:keepNext w:val="0"/>
        <w:keepLines w:val="0"/>
        <w:widowControl w:val="0"/>
        <w:shd w:val="clear" w:color="auto" w:fill="auto"/>
        <w:bidi w:val="0"/>
        <w:spacing w:before="0" w:after="0" w:line="240" w:lineRule="auto"/>
        <w:ind w:left="4320" w:right="0" w:firstLine="0"/>
        <w:jc w:val="left"/>
        <w:rPr>
          <w:sz w:val="18"/>
          <w:szCs w:val="18"/>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8"/>
          <w:szCs w:val="18"/>
        </w:rPr>
        <w:t>年度</w:t>
      </w:r>
    </w:p>
    <w:tbl>
      <w:tblPr>
        <w:tblOverlap w:val="never"/>
        <w:jc w:val="center"/>
        <w:tblLayout w:type="fixed"/>
      </w:tblPr>
      <w:tblGrid>
        <w:gridCol w:w="1910"/>
        <w:gridCol w:w="1493"/>
        <w:gridCol w:w="1128"/>
        <w:gridCol w:w="1450"/>
        <w:gridCol w:w="1680"/>
      </w:tblGrid>
      <w:tr>
        <w:trPr>
          <w:trHeight w:val="413" w:hRule="exact"/>
        </w:trPr>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经营活动现金流量</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营业收入</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净利润</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180" w:firstLine="0"/>
              <w:jc w:val="right"/>
              <w:rPr>
                <w:sz w:val="18"/>
                <w:szCs w:val="18"/>
              </w:rPr>
            </w:pPr>
            <w:r>
              <w:rPr>
                <w:color w:val="000000"/>
                <w:spacing w:val="0"/>
                <w:w w:val="100"/>
                <w:position w:val="0"/>
                <w:sz w:val="18"/>
                <w:szCs w:val="18"/>
              </w:rPr>
              <w:t>综合收益总额</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经营活动现金流量</w:t>
            </w:r>
          </w:p>
        </w:tc>
      </w:tr>
      <w:tr>
        <w:trPr>
          <w:trHeight w:val="408"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70,511</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4,877,558</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440,345</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563,777</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(49,123)</w:t>
            </w:r>
          </w:p>
        </w:tc>
      </w:tr>
      <w:tr>
        <w:trPr>
          <w:trHeight w:val="254"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1,177,787</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3,335,544</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(44,169)</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(42,888)</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1,398,984</w:t>
            </w:r>
          </w:p>
        </w:tc>
      </w:tr>
      <w:tr>
        <w:trPr>
          <w:trHeight w:val="365"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(66,568)</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7,415</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4,705</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180" w:firstLine="0"/>
              <w:jc w:val="right"/>
              <w:rPr>
                <w:sz w:val="18"/>
                <w:szCs w:val="18"/>
              </w:rPr>
            </w:pPr>
            <w:r>
              <w:rPr>
                <w:rFonts w:ascii="Times New Roman" w:eastAsia="Times New Roman" w:hAnsi="Times New Roman" w:cs="Times New Roman"/>
                <w:color w:val="000000"/>
                <w:spacing w:val="0"/>
                <w:w w:val="100"/>
                <w:position w:val="0"/>
                <w:sz w:val="18"/>
                <w:szCs w:val="18"/>
              </w:rPr>
              <w:t>4,283</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(119,481)</w:t>
            </w:r>
          </w:p>
        </w:tc>
      </w:tr>
      <w:tr>
        <w:trPr>
          <w:trHeight w:val="355"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(262)</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874,393</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14,089</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180" w:firstLine="0"/>
              <w:jc w:val="right"/>
              <w:rPr>
                <w:sz w:val="18"/>
                <w:szCs w:val="18"/>
              </w:rPr>
            </w:pPr>
            <w:r>
              <w:rPr>
                <w:rFonts w:ascii="Times New Roman" w:eastAsia="Times New Roman" w:hAnsi="Times New Roman" w:cs="Times New Roman"/>
                <w:color w:val="000000"/>
                <w:spacing w:val="0"/>
                <w:w w:val="100"/>
                <w:position w:val="0"/>
                <w:sz w:val="18"/>
                <w:szCs w:val="18"/>
              </w:rPr>
              <w:t>14,089</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(1,727)</w:t>
            </w:r>
          </w:p>
        </w:tc>
      </w:tr>
      <w:tr>
        <w:trPr>
          <w:trHeight w:val="355"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820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264,039</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164</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w:t>
            </w:r>
          </w:p>
        </w:tc>
      </w:tr>
      <w:tr>
        <w:trPr>
          <w:trHeight w:val="475"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195,271</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1,183,160</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313,905</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313,905</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(850,455)</w:t>
            </w:r>
          </w:p>
        </w:tc>
      </w:tr>
      <w:tr>
        <w:trPr>
          <w:trHeight w:val="312"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bl>
    <w:p>
      <w:pPr>
        <w:sectPr>
          <w:headerReference w:type="default" r:id="rId219"/>
          <w:footerReference w:type="default" r:id="rId220"/>
          <w:headerReference w:type="even" r:id="rId221"/>
          <w:footerReference w:type="even" r:id="rId222"/>
          <w:footnotePr>
            <w:pos w:val="pageBottom"/>
            <w:numFmt w:val="decimal"/>
            <w:numRestart w:val="continuous"/>
          </w:footnotePr>
          <w:pgSz w:w="8400" w:h="11900"/>
          <w:pgMar w:top="4726" w:right="524" w:bottom="3802" w:left="215" w:header="4298" w:footer="3" w:gutter="0"/>
          <w:pgNumType w:start="258"/>
          <w:cols w:space="720"/>
          <w:noEndnote/>
          <w:rtlGutter w:val="0"/>
          <w:docGrid w:linePitch="360"/>
        </w:sectPr>
      </w:pPr>
    </w:p>
    <w:p>
      <w:pPr>
        <w:pStyle w:val="Style32"/>
        <w:keepNext w:val="0"/>
        <w:keepLines w:val="0"/>
        <w:widowControl w:val="0"/>
        <w:shd w:val="clear" w:color="auto" w:fill="auto"/>
        <w:bidi w:val="0"/>
        <w:spacing w:before="0" w:after="0" w:line="240" w:lineRule="auto"/>
        <w:ind w:left="0" w:right="0" w:firstLine="680"/>
        <w:jc w:val="left"/>
        <w:rPr>
          <w:sz w:val="24"/>
          <w:szCs w:val="24"/>
        </w:rPr>
      </w:pPr>
      <w:r>
        <w:rPr>
          <w:b/>
          <w:bCs/>
          <w:color w:val="000000"/>
          <w:spacing w:val="0"/>
          <w:w w:val="100"/>
          <w:position w:val="0"/>
          <w:sz w:val="24"/>
          <w:szCs w:val="24"/>
        </w:rPr>
        <w:t>财务报表附注</w:t>
      </w:r>
    </w:p>
    <w:p>
      <w:pPr>
        <w:pStyle w:val="Style88"/>
        <w:keepNext/>
        <w:keepLines/>
        <w:widowControl w:val="0"/>
        <w:shd w:val="clear" w:color="auto" w:fill="auto"/>
        <w:bidi w:val="0"/>
        <w:spacing w:before="0" w:after="0" w:line="240" w:lineRule="auto"/>
        <w:ind w:left="0" w:right="0" w:firstLine="680"/>
        <w:jc w:val="left"/>
      </w:pPr>
      <w:bookmarkStart w:id="1037" w:name="bookmark1037"/>
      <w:bookmarkStart w:id="1038" w:name="bookmark1038"/>
      <w:bookmarkStart w:id="1039" w:name="bookmark1039"/>
      <w:r>
        <w:rPr>
          <w:color w:val="000000"/>
          <w:spacing w:val="0"/>
          <w:w w:val="100"/>
          <w:position w:val="0"/>
          <w:sz w:val="24"/>
          <w:szCs w:val="24"/>
        </w:rPr>
        <w:t>2016</w:t>
      </w:r>
      <w:r>
        <w:rPr>
          <w:rFonts w:ascii="SimSun" w:eastAsia="SimSun" w:hAnsi="SimSun" w:cs="SimSun"/>
          <w:b/>
          <w:bCs/>
          <w:color w:val="000000"/>
          <w:spacing w:val="0"/>
          <w:w w:val="100"/>
          <w:position w:val="0"/>
          <w:sz w:val="24"/>
          <w:szCs w:val="24"/>
        </w:rPr>
        <w:t>年度</w:t>
      </w:r>
      <w:bookmarkEnd w:id="1037"/>
      <w:bookmarkEnd w:id="1038"/>
      <w:bookmarkEnd w:id="1039"/>
    </w:p>
    <w:p>
      <w:pPr>
        <w:pStyle w:val="Style32"/>
        <w:keepNext w:val="0"/>
        <w:keepLines w:val="0"/>
        <w:widowControl w:val="0"/>
        <w:shd w:val="clear" w:color="auto" w:fill="auto"/>
        <w:bidi w:val="0"/>
        <w:spacing w:before="0" w:after="260" w:line="240" w:lineRule="auto"/>
        <w:ind w:left="0" w:right="0" w:firstLine="680"/>
        <w:jc w:val="both"/>
        <w:rPr>
          <w:sz w:val="24"/>
          <w:szCs w:val="24"/>
        </w:rPr>
      </w:pPr>
      <w:r>
        <w:rPr>
          <w:rFonts w:ascii="Arial" w:eastAsia="Arial" w:hAnsi="Arial" w:cs="Arial"/>
          <w:color w:val="000000"/>
          <w:spacing w:val="0"/>
          <w:w w:val="100"/>
          <w:position w:val="0"/>
          <w:sz w:val="20"/>
          <w:szCs w:val="20"/>
        </w:rPr>
        <w:t>(</w:t>
      </w:r>
      <w:r>
        <w:rPr>
          <w:color w:val="000000"/>
          <w:spacing w:val="0"/>
          <w:w w:val="100"/>
          <w:position w:val="0"/>
          <w:sz w:val="20"/>
          <w:szCs w:val="20"/>
        </w:rPr>
        <w:t>除特别注明外，金额单位为人民币千元</w:t>
      </w:r>
      <w:r>
        <w:rPr>
          <w:color w:val="000000"/>
          <w:spacing w:val="0"/>
          <w:w w:val="100"/>
          <w:position w:val="0"/>
          <w:sz w:val="24"/>
          <w:szCs w:val="24"/>
        </w:rPr>
        <w:t>)</w:t>
      </w:r>
    </w:p>
    <w:p>
      <w:pPr>
        <w:pStyle w:val="Style32"/>
        <w:keepNext w:val="0"/>
        <w:keepLines w:val="0"/>
        <w:widowControl w:val="0"/>
        <w:shd w:val="clear" w:color="auto" w:fill="auto"/>
        <w:tabs>
          <w:tab w:pos="622" w:val="left"/>
        </w:tabs>
        <w:bidi w:val="0"/>
        <w:spacing w:before="0" w:after="260" w:line="240" w:lineRule="auto"/>
        <w:ind w:left="0" w:right="0" w:firstLine="0"/>
        <w:jc w:val="left"/>
        <w:rPr>
          <w:sz w:val="24"/>
          <w:szCs w:val="24"/>
        </w:rPr>
      </w:pPr>
      <w:r>
        <w:rPr>
          <w:b/>
          <w:bCs/>
          <w:color w:val="000000"/>
          <w:spacing w:val="0"/>
          <w:w w:val="100"/>
          <w:position w:val="0"/>
          <w:sz w:val="24"/>
          <w:szCs w:val="24"/>
        </w:rPr>
        <w:t>六</w:t>
        <w:tab/>
        <w:t>在其他主体中的权益</w:t>
      </w:r>
      <w:r>
        <w:rPr>
          <w:rFonts w:ascii="Times New Roman" w:eastAsia="Times New Roman" w:hAnsi="Times New Roman" w:cs="Times New Roman"/>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4"/>
          <w:szCs w:val="24"/>
        </w:rPr>
        <w:t>)</w:t>
      </w:r>
    </w:p>
    <w:p>
      <w:pPr>
        <w:pStyle w:val="Style32"/>
        <w:keepNext w:val="0"/>
        <w:keepLines w:val="0"/>
        <w:widowControl w:val="0"/>
        <w:shd w:val="clear" w:color="auto" w:fill="auto"/>
        <w:tabs>
          <w:tab w:pos="622" w:val="left"/>
        </w:tabs>
        <w:bidi w:val="0"/>
        <w:spacing w:before="0" w:after="26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(2)</w:t>
        <w:tab/>
      </w:r>
      <w:r>
        <w:rPr>
          <w:b/>
          <w:bCs/>
          <w:color w:val="000000"/>
          <w:spacing w:val="0"/>
          <w:w w:val="100"/>
          <w:position w:val="0"/>
          <w:sz w:val="24"/>
          <w:szCs w:val="24"/>
        </w:rPr>
        <w:t>在合营企业和联营企业中的权益</w:t>
      </w:r>
    </w:p>
    <w:p>
      <w:pPr>
        <w:pStyle w:val="Style32"/>
        <w:keepNext w:val="0"/>
        <w:keepLines w:val="0"/>
        <w:widowControl w:val="0"/>
        <w:shd w:val="clear" w:color="auto" w:fill="auto"/>
        <w:tabs>
          <w:tab w:pos="622" w:val="left"/>
        </w:tabs>
        <w:bidi w:val="0"/>
        <w:spacing w:before="0" w:after="44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(a)</w:t>
        <w:tab/>
      </w:r>
      <w:r>
        <w:rPr>
          <w:color w:val="000000"/>
          <w:spacing w:val="0"/>
          <w:w w:val="100"/>
          <w:position w:val="0"/>
          <w:sz w:val="24"/>
          <w:szCs w:val="24"/>
        </w:rPr>
        <w:t>重要合营企业和联营企业的基础信息</w:t>
      </w:r>
    </w:p>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对集团活动是</w:t>
      </w:r>
    </w:p>
    <w:tbl>
      <w:tblPr>
        <w:tblOverlap w:val="never"/>
        <w:jc w:val="center"/>
        <w:tblLayout w:type="fixed"/>
      </w:tblPr>
      <w:tblGrid>
        <w:gridCol w:w="1738"/>
        <w:gridCol w:w="1776"/>
        <w:gridCol w:w="883"/>
        <w:gridCol w:w="1584"/>
        <w:gridCol w:w="883"/>
        <w:gridCol w:w="1546"/>
      </w:tblGrid>
      <w:tr>
        <w:trPr>
          <w:trHeight w:val="254" w:hRule="exact"/>
        </w:trPr>
        <w:tc>
          <w:tcPr>
            <w:gridSpan w:val="3"/>
            <w:tcBorders/>
            <w:shd w:val="clear" w:color="auto" w:fill="FFFFFF"/>
            <w:vAlign w:val="top"/>
          </w:tcPr>
          <w:p>
            <w:pPr>
              <w:pStyle w:val="Style28"/>
              <w:keepNext w:val="0"/>
              <w:keepLines w:val="0"/>
              <w:widowControl w:val="0"/>
              <w:shd w:val="clear" w:color="auto" w:fill="auto"/>
              <w:bidi w:val="0"/>
              <w:spacing w:before="0" w:after="0" w:line="240" w:lineRule="auto"/>
              <w:ind w:left="2460" w:right="0" w:firstLine="0"/>
              <w:jc w:val="left"/>
              <w:rPr>
                <w:sz w:val="20"/>
                <w:szCs w:val="20"/>
              </w:rPr>
            </w:pPr>
            <w:r>
              <w:rPr>
                <w:color w:val="000000"/>
                <w:spacing w:val="0"/>
                <w:w w:val="100"/>
                <w:position w:val="0"/>
                <w:sz w:val="20"/>
                <w:szCs w:val="20"/>
              </w:rPr>
              <w:t>主要经营地注册地</w:t>
            </w:r>
          </w:p>
        </w:tc>
        <w:tc>
          <w:tcPr>
            <w:gridSpan w:val="2"/>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业务性质否具有战略性</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持股比例</w:t>
            </w:r>
          </w:p>
        </w:tc>
      </w:tr>
      <w:tr>
        <w:trPr>
          <w:trHeight w:val="269"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8"/>
              <w:keepNext w:val="0"/>
              <w:keepLines w:val="0"/>
              <w:widowControl w:val="0"/>
              <w:shd w:val="clear" w:color="auto" w:fill="auto"/>
              <w:tabs>
                <w:tab w:pos="1124" w:val="left"/>
              </w:tabs>
              <w:bidi w:val="0"/>
              <w:spacing w:before="0" w:after="0" w:line="240" w:lineRule="auto"/>
              <w:ind w:left="0" w:right="0" w:firstLine="140"/>
              <w:jc w:val="left"/>
              <w:rPr>
                <w:sz w:val="20"/>
                <w:szCs w:val="20"/>
              </w:rPr>
            </w:pPr>
            <w:r>
              <w:rPr>
                <w:color w:val="000000"/>
                <w:spacing w:val="0"/>
                <w:w w:val="100"/>
                <w:position w:val="0"/>
                <w:sz w:val="20"/>
                <w:szCs w:val="20"/>
              </w:rPr>
              <w:t>直接</w:t>
              <w:tab/>
              <w:t>间接</w:t>
            </w:r>
          </w:p>
        </w:tc>
      </w:tr>
      <w:tr>
        <w:trPr>
          <w:trHeight w:val="518"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合营企业</w:t>
            </w: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投资管理</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45"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苏宁金石</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天津</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天津</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及咨询</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是</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40%</w:t>
            </w:r>
          </w:p>
        </w:tc>
      </w:tr>
    </w:tbl>
    <w:p>
      <w:pPr>
        <w:widowControl w:val="0"/>
        <w:spacing w:after="259" w:line="1" w:lineRule="exact"/>
      </w:pPr>
    </w:p>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联营企业</w:t>
      </w:r>
      <w:r>
        <w:rPr>
          <w:rFonts w:ascii="Times New Roman" w:eastAsia="Times New Roman" w:hAnsi="Times New Roman" w:cs="Times New Roman"/>
          <w:color w:val="000000"/>
          <w:spacing w:val="0"/>
          <w:w w:val="100"/>
          <w:position w:val="0"/>
          <w:sz w:val="20"/>
          <w:szCs w:val="20"/>
        </w:rPr>
        <w:t>-</w:t>
      </w:r>
    </w:p>
    <w:tbl>
      <w:tblPr>
        <w:tblOverlap w:val="never"/>
        <w:jc w:val="center"/>
        <w:tblLayout w:type="fixed"/>
      </w:tblPr>
      <w:tblGrid>
        <w:gridCol w:w="2030"/>
        <w:gridCol w:w="1378"/>
        <w:gridCol w:w="2366"/>
        <w:gridCol w:w="1930"/>
        <w:gridCol w:w="730"/>
      </w:tblGrid>
      <w:tr>
        <w:trPr>
          <w:trHeight w:val="245"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丸悦</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20"/>
              <w:jc w:val="left"/>
              <w:rPr>
                <w:sz w:val="20"/>
                <w:szCs w:val="20"/>
              </w:rPr>
            </w:pPr>
            <w:r>
              <w:rPr>
                <w:color w:val="000000"/>
                <w:spacing w:val="0"/>
                <w:w w:val="100"/>
                <w:position w:val="0"/>
                <w:sz w:val="20"/>
                <w:szCs w:val="20"/>
              </w:rPr>
              <w:t>香港</w:t>
            </w:r>
          </w:p>
        </w:tc>
        <w:tc>
          <w:tcPr>
            <w:tcBorders/>
            <w:shd w:val="clear" w:color="auto" w:fill="FFFFFF"/>
            <w:vAlign w:val="top"/>
          </w:tcPr>
          <w:p>
            <w:pPr>
              <w:pStyle w:val="Style28"/>
              <w:keepNext w:val="0"/>
              <w:keepLines w:val="0"/>
              <w:widowControl w:val="0"/>
              <w:shd w:val="clear" w:color="auto" w:fill="auto"/>
              <w:tabs>
                <w:tab w:pos="1014" w:val="left"/>
              </w:tabs>
              <w:bidi w:val="0"/>
              <w:spacing w:before="0" w:after="0" w:line="240" w:lineRule="auto"/>
              <w:ind w:left="0" w:right="0" w:firstLine="140"/>
              <w:jc w:val="left"/>
              <w:rPr>
                <w:sz w:val="20"/>
                <w:szCs w:val="20"/>
              </w:rPr>
            </w:pPr>
            <w:r>
              <w:rPr>
                <w:color w:val="000000"/>
                <w:spacing w:val="0"/>
                <w:w w:val="100"/>
                <w:position w:val="0"/>
                <w:sz w:val="20"/>
                <w:szCs w:val="20"/>
              </w:rPr>
              <w:t>香港</w:t>
              <w:tab/>
              <w:t>食品连锁</w:t>
            </w:r>
          </w:p>
        </w:tc>
        <w:tc>
          <w:tcPr>
            <w:tcBorders/>
            <w:shd w:val="clear" w:color="auto" w:fill="FFFFFF"/>
            <w:vAlign w:val="top"/>
          </w:tcPr>
          <w:p>
            <w:pPr>
              <w:pStyle w:val="Style28"/>
              <w:keepNext w:val="0"/>
              <w:keepLines w:val="0"/>
              <w:widowControl w:val="0"/>
              <w:shd w:val="clear" w:color="auto" w:fill="auto"/>
              <w:tabs>
                <w:tab w:pos="1494" w:val="left"/>
              </w:tabs>
              <w:bidi w:val="0"/>
              <w:spacing w:before="0" w:after="0" w:line="240" w:lineRule="auto"/>
              <w:ind w:left="0" w:right="0" w:firstLine="520"/>
              <w:jc w:val="left"/>
              <w:rPr>
                <w:sz w:val="20"/>
                <w:szCs w:val="20"/>
              </w:rPr>
            </w:pPr>
            <w:r>
              <w:rPr>
                <w:color w:val="000000"/>
                <w:spacing w:val="0"/>
                <w:w w:val="100"/>
                <w:position w:val="0"/>
                <w:sz w:val="20"/>
                <w:szCs w:val="20"/>
              </w:rPr>
              <w:t>是</w:t>
              <w:tab/>
            </w: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30%</w:t>
            </w:r>
          </w:p>
        </w:tc>
      </w:tr>
      <w:tr>
        <w:trPr>
          <w:trHeight w:val="269"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苏宁消费金融</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20"/>
              <w:jc w:val="left"/>
              <w:rPr>
                <w:sz w:val="20"/>
                <w:szCs w:val="20"/>
              </w:rPr>
            </w:pPr>
            <w:r>
              <w:rPr>
                <w:color w:val="000000"/>
                <w:spacing w:val="0"/>
                <w:w w:val="100"/>
                <w:position w:val="0"/>
                <w:sz w:val="20"/>
                <w:szCs w:val="20"/>
              </w:rPr>
              <w:t>南京</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南京发放消费贷款</w:t>
            </w:r>
          </w:p>
        </w:tc>
        <w:tc>
          <w:tcPr>
            <w:tcBorders/>
            <w:shd w:val="clear" w:color="auto" w:fill="FFFFFF"/>
            <w:vAlign w:val="top"/>
          </w:tcPr>
          <w:p>
            <w:pPr>
              <w:pStyle w:val="Style28"/>
              <w:keepNext w:val="0"/>
              <w:keepLines w:val="0"/>
              <w:widowControl w:val="0"/>
              <w:shd w:val="clear" w:color="auto" w:fill="auto"/>
              <w:tabs>
                <w:tab w:pos="1192" w:val="left"/>
              </w:tabs>
              <w:bidi w:val="0"/>
              <w:spacing w:before="0" w:after="0" w:line="240" w:lineRule="auto"/>
              <w:ind w:left="0" w:right="0" w:firstLine="520"/>
              <w:jc w:val="left"/>
              <w:rPr>
                <w:sz w:val="20"/>
                <w:szCs w:val="20"/>
              </w:rPr>
            </w:pPr>
            <w:r>
              <w:rPr>
                <w:color w:val="000000"/>
                <w:spacing w:val="0"/>
                <w:w w:val="100"/>
                <w:position w:val="0"/>
                <w:sz w:val="20"/>
                <w:szCs w:val="20"/>
              </w:rPr>
              <w:t>是</w:t>
              <w:tab/>
            </w:r>
            <w:r>
              <w:rPr>
                <w:rFonts w:ascii="Times New Roman" w:eastAsia="Times New Roman" w:hAnsi="Times New Roman" w:cs="Times New Roman"/>
                <w:color w:val="000000"/>
                <w:spacing w:val="0"/>
                <w:w w:val="100"/>
                <w:position w:val="0"/>
                <w:sz w:val="20"/>
                <w:szCs w:val="20"/>
              </w:rPr>
              <w:t>49%</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r>
      <w:tr>
        <w:trPr>
          <w:trHeight w:val="278"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锤子科技</w:t>
            </w:r>
            <w:r>
              <w:rPr>
                <w:rFonts w:ascii="Times New Roman" w:eastAsia="Times New Roman" w:hAnsi="Times New Roman" w:cs="Times New Roman"/>
                <w:color w:val="000000"/>
                <w:spacing w:val="0"/>
                <w:w w:val="100"/>
                <w:position w:val="0"/>
                <w:sz w:val="20"/>
                <w:szCs w:val="20"/>
              </w:rPr>
              <w:t>(i)</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20"/>
              <w:jc w:val="left"/>
              <w:rPr>
                <w:sz w:val="20"/>
                <w:szCs w:val="20"/>
              </w:rPr>
            </w:pPr>
            <w:r>
              <w:rPr>
                <w:color w:val="000000"/>
                <w:spacing w:val="0"/>
                <w:w w:val="100"/>
                <w:position w:val="0"/>
                <w:sz w:val="20"/>
                <w:szCs w:val="20"/>
              </w:rPr>
              <w:t>北京</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北京移动互联网</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 xml:space="preserve">是 </w:t>
            </w:r>
            <w:r>
              <w:rPr>
                <w:rFonts w:ascii="Times New Roman" w:eastAsia="Times New Roman" w:hAnsi="Times New Roman" w:cs="Times New Roman"/>
                <w:color w:val="000000"/>
                <w:spacing w:val="0"/>
                <w:w w:val="100"/>
                <w:position w:val="0"/>
                <w:sz w:val="20"/>
                <w:szCs w:val="20"/>
              </w:rPr>
              <w:t>1.89%</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r>
    </w:tbl>
    <w:p>
      <w:pPr>
        <w:pStyle w:val="Style25"/>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(i)</w:t>
      </w:r>
      <w:r>
        <w:rPr>
          <w:color w:val="000000"/>
          <w:spacing w:val="0"/>
          <w:w w:val="100"/>
          <w:position w:val="0"/>
          <w:sz w:val="24"/>
          <w:szCs w:val="24"/>
        </w:rPr>
        <w:t>本集团在锤子科技十三名董事组成的董事会中占有一个董事席位。</w:t>
      </w:r>
    </w:p>
    <w:p>
      <w:pPr>
        <w:widowControl w:val="0"/>
        <w:spacing w:after="259" w:line="1" w:lineRule="exact"/>
      </w:pPr>
    </w:p>
    <w:p>
      <w:pPr>
        <w:pStyle w:val="Style32"/>
        <w:keepNext w:val="0"/>
        <w:keepLines w:val="0"/>
        <w:widowControl w:val="0"/>
        <w:shd w:val="clear" w:color="auto" w:fill="auto"/>
        <w:bidi w:val="0"/>
        <w:spacing w:before="0" w:after="260" w:line="240" w:lineRule="auto"/>
        <w:ind w:left="0" w:right="0" w:firstLine="680"/>
        <w:jc w:val="left"/>
        <w:rPr>
          <w:sz w:val="24"/>
          <w:szCs w:val="24"/>
        </w:rPr>
      </w:pPr>
      <w:r>
        <w:rPr>
          <w:color w:val="000000"/>
          <w:spacing w:val="0"/>
          <w:w w:val="100"/>
          <w:position w:val="0"/>
          <w:sz w:val="24"/>
          <w:szCs w:val="24"/>
        </w:rPr>
        <w:t>本集团对上述股权投资采用权益法核算。</w:t>
      </w:r>
    </w:p>
    <w:p>
      <w:pPr>
        <w:pStyle w:val="Style32"/>
        <w:keepNext w:val="0"/>
        <w:keepLines w:val="0"/>
        <w:widowControl w:val="0"/>
        <w:shd w:val="clear" w:color="auto" w:fill="auto"/>
        <w:tabs>
          <w:tab w:pos="622" w:val="left"/>
        </w:tabs>
        <w:bidi w:val="0"/>
        <w:spacing w:before="0" w:after="26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(b)</w:t>
        <w:tab/>
      </w:r>
      <w:r>
        <w:rPr>
          <w:color w:val="000000"/>
          <w:spacing w:val="0"/>
          <w:w w:val="100"/>
          <w:position w:val="0"/>
          <w:sz w:val="24"/>
          <w:szCs w:val="24"/>
        </w:rPr>
        <w:t>重要合营企业的主要财务信息</w:t>
      </w:r>
    </w:p>
    <w:tbl>
      <w:tblPr>
        <w:tblOverlap w:val="never"/>
        <w:jc w:val="right"/>
        <w:tblLayout w:type="fixed"/>
      </w:tblPr>
      <w:tblGrid>
        <w:gridCol w:w="3725"/>
        <w:gridCol w:w="2602"/>
        <w:gridCol w:w="2342"/>
      </w:tblGrid>
      <w:tr>
        <w:trPr>
          <w:trHeight w:val="302"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both"/>
              <w:rPr>
                <w:sz w:val="24"/>
                <w:szCs w:val="24"/>
              </w:rPr>
            </w:pP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2015</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w:t>
            </w:r>
          </w:p>
        </w:tc>
      </w:tr>
      <w:tr>
        <w:trPr>
          <w:trHeight w:val="461" w:hRule="exact"/>
        </w:trPr>
        <w:tc>
          <w:tcPr>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1660" w:right="0" w:firstLine="0"/>
              <w:jc w:val="left"/>
              <w:rPr>
                <w:sz w:val="24"/>
                <w:szCs w:val="24"/>
              </w:rPr>
            </w:pPr>
            <w:r>
              <w:rPr>
                <w:color w:val="000000"/>
                <w:spacing w:val="0"/>
                <w:w w:val="100"/>
                <w:position w:val="0"/>
                <w:sz w:val="24"/>
                <w:szCs w:val="24"/>
              </w:rPr>
              <w:t>苏宁金石</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苏宁金石</w:t>
            </w:r>
          </w:p>
        </w:tc>
      </w:tr>
      <w:tr>
        <w:trPr>
          <w:trHeight w:val="451"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流动资产</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660" w:right="0" w:firstLine="0"/>
              <w:jc w:val="left"/>
              <w:rPr>
                <w:sz w:val="24"/>
                <w:szCs w:val="24"/>
              </w:rPr>
            </w:pPr>
            <w:r>
              <w:rPr>
                <w:rFonts w:ascii="Times New Roman" w:eastAsia="Times New Roman" w:hAnsi="Times New Roman" w:cs="Times New Roman"/>
                <w:color w:val="000000"/>
                <w:spacing w:val="0"/>
                <w:w w:val="100"/>
                <w:position w:val="0"/>
                <w:sz w:val="24"/>
                <w:szCs w:val="24"/>
              </w:rPr>
              <w:t>41,159</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520" w:right="0" w:firstLine="0"/>
              <w:jc w:val="both"/>
              <w:rPr>
                <w:sz w:val="24"/>
                <w:szCs w:val="24"/>
              </w:rPr>
            </w:pPr>
            <w:r>
              <w:rPr>
                <w:rFonts w:ascii="Times New Roman" w:eastAsia="Times New Roman" w:hAnsi="Times New Roman" w:cs="Times New Roman"/>
                <w:color w:val="000000"/>
                <w:spacing w:val="0"/>
                <w:w w:val="100"/>
                <w:position w:val="0"/>
                <w:sz w:val="24"/>
                <w:szCs w:val="24"/>
              </w:rPr>
              <w:t>39,291</w:t>
            </w:r>
          </w:p>
        </w:tc>
      </w:tr>
      <w:tr>
        <w:trPr>
          <w:trHeight w:val="307"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非流动资产</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220" w:firstLine="0"/>
              <w:jc w:val="right"/>
              <w:rPr>
                <w:sz w:val="24"/>
                <w:szCs w:val="24"/>
              </w:rPr>
            </w:pPr>
            <w:r>
              <w:rPr>
                <w:rFonts w:ascii="Times New Roman" w:eastAsia="Times New Roman" w:hAnsi="Times New Roman" w:cs="Times New Roman"/>
                <w:color w:val="000000"/>
                <w:spacing w:val="0"/>
                <w:w w:val="100"/>
                <w:position w:val="0"/>
                <w:sz w:val="24"/>
                <w:szCs w:val="24"/>
              </w:rPr>
              <w:t>364</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795</w:t>
            </w:r>
          </w:p>
        </w:tc>
      </w:tr>
      <w:tr>
        <w:trPr>
          <w:trHeight w:val="331"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资产合计</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660" w:right="0" w:firstLine="0"/>
              <w:jc w:val="left"/>
              <w:rPr>
                <w:sz w:val="24"/>
                <w:szCs w:val="24"/>
              </w:rPr>
            </w:pPr>
            <w:r>
              <w:rPr>
                <w:rFonts w:ascii="Times New Roman" w:eastAsia="Times New Roman" w:hAnsi="Times New Roman" w:cs="Times New Roman"/>
                <w:color w:val="000000"/>
                <w:spacing w:val="0"/>
                <w:w w:val="100"/>
                <w:position w:val="0"/>
                <w:sz w:val="24"/>
                <w:szCs w:val="24"/>
              </w:rPr>
              <w:t>41,523</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520" w:right="0" w:firstLine="0"/>
              <w:jc w:val="both"/>
              <w:rPr>
                <w:sz w:val="24"/>
                <w:szCs w:val="24"/>
              </w:rPr>
            </w:pPr>
            <w:r>
              <w:rPr>
                <w:rFonts w:ascii="Times New Roman" w:eastAsia="Times New Roman" w:hAnsi="Times New Roman" w:cs="Times New Roman"/>
                <w:color w:val="000000"/>
                <w:spacing w:val="0"/>
                <w:w w:val="100"/>
                <w:position w:val="0"/>
                <w:sz w:val="24"/>
                <w:szCs w:val="24"/>
              </w:rPr>
              <w:t>40,086</w:t>
            </w:r>
          </w:p>
        </w:tc>
      </w:tr>
      <w:tr>
        <w:trPr>
          <w:trHeight w:val="619"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流动负债</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220" w:firstLine="0"/>
              <w:jc w:val="right"/>
              <w:rPr>
                <w:sz w:val="24"/>
                <w:szCs w:val="24"/>
              </w:rPr>
            </w:pPr>
            <w:r>
              <w:rPr>
                <w:rFonts w:ascii="Times New Roman" w:eastAsia="Times New Roman" w:hAnsi="Times New Roman" w:cs="Times New Roman"/>
                <w:color w:val="000000"/>
                <w:spacing w:val="0"/>
                <w:w w:val="100"/>
                <w:position w:val="0"/>
                <w:sz w:val="24"/>
                <w:szCs w:val="24"/>
              </w:rPr>
              <w:t>(665)</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(514)</w:t>
            </w:r>
          </w:p>
        </w:tc>
      </w:tr>
      <w:tr>
        <w:trPr>
          <w:trHeight w:val="614"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股东权益</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660" w:right="0" w:firstLine="0"/>
              <w:jc w:val="left"/>
              <w:rPr>
                <w:sz w:val="24"/>
                <w:szCs w:val="24"/>
              </w:rPr>
            </w:pPr>
            <w:r>
              <w:rPr>
                <w:rFonts w:ascii="Times New Roman" w:eastAsia="Times New Roman" w:hAnsi="Times New Roman" w:cs="Times New Roman"/>
                <w:color w:val="000000"/>
                <w:spacing w:val="0"/>
                <w:w w:val="100"/>
                <w:position w:val="0"/>
                <w:sz w:val="24"/>
                <w:szCs w:val="24"/>
              </w:rPr>
              <w:t>40,858</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520" w:right="0" w:firstLine="0"/>
              <w:jc w:val="both"/>
              <w:rPr>
                <w:sz w:val="24"/>
                <w:szCs w:val="24"/>
              </w:rPr>
            </w:pPr>
            <w:r>
              <w:rPr>
                <w:rFonts w:ascii="Times New Roman" w:eastAsia="Times New Roman" w:hAnsi="Times New Roman" w:cs="Times New Roman"/>
                <w:color w:val="000000"/>
                <w:spacing w:val="0"/>
                <w:w w:val="100"/>
                <w:position w:val="0"/>
                <w:sz w:val="24"/>
                <w:szCs w:val="24"/>
              </w:rPr>
              <w:t>39,572</w:t>
            </w:r>
          </w:p>
        </w:tc>
      </w:tr>
      <w:tr>
        <w:trPr>
          <w:trHeight w:val="619"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按持股比例计算的净资产份额</w:t>
            </w:r>
            <w:r>
              <w:rPr>
                <w:rFonts w:ascii="Times New Roman" w:eastAsia="Times New Roman" w:hAnsi="Times New Roman" w:cs="Times New Roman"/>
                <w:color w:val="000000"/>
                <w:spacing w:val="0"/>
                <w:w w:val="100"/>
                <w:position w:val="0"/>
                <w:sz w:val="24"/>
                <w:szCs w:val="24"/>
              </w:rPr>
              <w:t>(i)</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660" w:right="0" w:firstLine="0"/>
              <w:jc w:val="left"/>
              <w:rPr>
                <w:sz w:val="24"/>
                <w:szCs w:val="24"/>
              </w:rPr>
            </w:pPr>
            <w:r>
              <w:rPr>
                <w:rFonts w:ascii="Times New Roman" w:eastAsia="Times New Roman" w:hAnsi="Times New Roman" w:cs="Times New Roman"/>
                <w:color w:val="000000"/>
                <w:spacing w:val="0"/>
                <w:w w:val="100"/>
                <w:position w:val="0"/>
                <w:sz w:val="24"/>
                <w:szCs w:val="24"/>
              </w:rPr>
              <w:t>16,343</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520" w:right="0" w:firstLine="0"/>
              <w:jc w:val="both"/>
              <w:rPr>
                <w:sz w:val="24"/>
                <w:szCs w:val="24"/>
              </w:rPr>
            </w:pPr>
            <w:r>
              <w:rPr>
                <w:rFonts w:ascii="Times New Roman" w:eastAsia="Times New Roman" w:hAnsi="Times New Roman" w:cs="Times New Roman"/>
                <w:color w:val="000000"/>
                <w:spacing w:val="0"/>
                <w:w w:val="100"/>
                <w:position w:val="0"/>
                <w:sz w:val="24"/>
                <w:szCs w:val="24"/>
              </w:rPr>
              <w:t>15,829</w:t>
            </w:r>
          </w:p>
        </w:tc>
      </w:tr>
      <w:tr>
        <w:trPr>
          <w:trHeight w:val="312"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调整事项</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586"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left"/>
              <w:rPr>
                <w:sz w:val="24"/>
                <w:szCs w:val="24"/>
              </w:rPr>
            </w:pPr>
            <w:r>
              <w:rPr>
                <w:color w:val="000000"/>
                <w:spacing w:val="0"/>
                <w:w w:val="100"/>
                <w:position w:val="0"/>
                <w:sz w:val="24"/>
                <w:szCs w:val="24"/>
              </w:rPr>
              <w:t>—其他</w:t>
            </w:r>
            <w:r>
              <w:rPr>
                <w:rFonts w:ascii="Times New Roman" w:eastAsia="Times New Roman" w:hAnsi="Times New Roman" w:cs="Times New Roman"/>
                <w:color w:val="000000"/>
                <w:spacing w:val="0"/>
                <w:w w:val="100"/>
                <w:position w:val="0"/>
                <w:sz w:val="24"/>
                <w:szCs w:val="24"/>
              </w:rPr>
              <w:t>(i)</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220" w:firstLine="0"/>
              <w:jc w:val="right"/>
              <w:rPr>
                <w:sz w:val="24"/>
                <w:szCs w:val="24"/>
              </w:rPr>
            </w:pPr>
            <w:r>
              <w:rPr>
                <w:rFonts w:ascii="Times New Roman" w:eastAsia="Times New Roman" w:hAnsi="Times New Roman" w:cs="Times New Roman"/>
                <w:color w:val="000000"/>
                <w:spacing w:val="0"/>
                <w:w w:val="100"/>
                <w:position w:val="0"/>
                <w:sz w:val="24"/>
                <w:szCs w:val="24"/>
              </w:rPr>
              <w:t>4,000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4,000</w:t>
            </w:r>
          </w:p>
        </w:tc>
      </w:tr>
      <w:tr>
        <w:trPr>
          <w:trHeight w:val="346"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对合营企业权益投资的账面价值</w:t>
            </w:r>
          </w:p>
        </w:tc>
        <w:tc>
          <w:tcPr>
            <w:tcBorders>
              <w:top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660" w:right="0" w:firstLine="0"/>
              <w:jc w:val="left"/>
              <w:rPr>
                <w:sz w:val="24"/>
                <w:szCs w:val="24"/>
              </w:rPr>
            </w:pPr>
            <w:r>
              <w:rPr>
                <w:rFonts w:ascii="Times New Roman" w:eastAsia="Times New Roman" w:hAnsi="Times New Roman" w:cs="Times New Roman"/>
                <w:color w:val="000000"/>
                <w:spacing w:val="0"/>
                <w:w w:val="100"/>
                <w:position w:val="0"/>
                <w:sz w:val="24"/>
                <w:szCs w:val="24"/>
              </w:rPr>
              <w:t>20,343</w:t>
            </w:r>
          </w:p>
        </w:tc>
        <w:tc>
          <w:tcPr>
            <w:tcBorders>
              <w:top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520" w:right="0" w:firstLine="0"/>
              <w:jc w:val="both"/>
              <w:rPr>
                <w:sz w:val="24"/>
                <w:szCs w:val="24"/>
              </w:rPr>
            </w:pPr>
            <w:r>
              <w:rPr>
                <w:rFonts w:ascii="Times New Roman" w:eastAsia="Times New Roman" w:hAnsi="Times New Roman" w:cs="Times New Roman"/>
                <w:color w:val="000000"/>
                <w:spacing w:val="0"/>
                <w:w w:val="100"/>
                <w:position w:val="0"/>
                <w:sz w:val="24"/>
                <w:szCs w:val="24"/>
              </w:rPr>
              <w:t>19,829</w:t>
            </w:r>
          </w:p>
        </w:tc>
      </w:tr>
    </w:tbl>
    <w:p>
      <w:pPr>
        <w:widowControl w:val="0"/>
        <w:spacing w:after="259" w:line="1" w:lineRule="exact"/>
      </w:pPr>
    </w:p>
    <w:p>
      <w:pPr>
        <w:pStyle w:val="Style32"/>
        <w:keepNext w:val="0"/>
        <w:keepLines w:val="0"/>
        <w:widowControl w:val="0"/>
        <w:shd w:val="clear" w:color="auto" w:fill="auto"/>
        <w:bidi w:val="0"/>
        <w:spacing w:before="0" w:after="260" w:line="322" w:lineRule="exact"/>
        <w:ind w:left="980" w:right="0" w:hanging="260"/>
        <w:jc w:val="both"/>
        <w:rPr>
          <w:sz w:val="24"/>
          <w:szCs w:val="24"/>
        </w:rPr>
      </w:pPr>
      <w:r>
        <w:rPr>
          <w:rFonts w:ascii="Times New Roman" w:eastAsia="Times New Roman" w:hAnsi="Times New Roman" w:cs="Times New Roman"/>
          <w:color w:val="000000"/>
          <w:spacing w:val="0"/>
          <w:w w:val="100"/>
          <w:position w:val="0"/>
          <w:sz w:val="24"/>
          <w:szCs w:val="24"/>
        </w:rPr>
        <w:t>(i)</w:t>
      </w:r>
      <w:r>
        <w:rPr>
          <w:color w:val="000000"/>
          <w:spacing w:val="0"/>
          <w:w w:val="100"/>
          <w:position w:val="0"/>
          <w:sz w:val="24"/>
          <w:szCs w:val="24"/>
        </w:rPr>
        <w:t>于</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日及</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日，苏宁金石的其他股东认缴资本尚 未注入，导致本集团对苏宁金石的长期股权账面价值高于按持股比例计算的净 资产份额。</w:t>
      </w:r>
      <w:r>
        <w:br w:type="page"/>
      </w:r>
    </w:p>
    <w:p>
      <w:pPr>
        <w:pStyle w:val="Style32"/>
        <w:keepNext w:val="0"/>
        <w:keepLines w:val="0"/>
        <w:widowControl w:val="0"/>
        <w:shd w:val="clear" w:color="auto" w:fill="auto"/>
        <w:bidi w:val="0"/>
        <w:spacing w:before="0" w:after="0" w:line="293" w:lineRule="exact"/>
        <w:ind w:left="640" w:right="0" w:firstLine="80"/>
        <w:jc w:val="left"/>
        <w:rPr>
          <w:sz w:val="24"/>
          <w:szCs w:val="24"/>
        </w:rPr>
      </w:pPr>
      <w:r>
        <w:rPr>
          <w:b/>
          <w:bCs/>
          <w:color w:val="000000"/>
          <w:spacing w:val="0"/>
          <w:w w:val="100"/>
          <w:position w:val="0"/>
          <w:sz w:val="24"/>
          <w:szCs w:val="24"/>
        </w:rPr>
        <w:t xml:space="preserve">财务报表附注 </w:t>
      </w:r>
      <w:r>
        <w:rPr>
          <w:rFonts w:ascii="Arial" w:eastAsia="Arial" w:hAnsi="Arial" w:cs="Arial"/>
          <w:color w:val="000000"/>
          <w:spacing w:val="0"/>
          <w:w w:val="100"/>
          <w:position w:val="0"/>
          <w:sz w:val="24"/>
          <w:szCs w:val="24"/>
        </w:rPr>
        <w:t>2016</w:t>
      </w:r>
      <w:r>
        <w:rPr>
          <w:b/>
          <w:bCs/>
          <w:color w:val="000000"/>
          <w:spacing w:val="0"/>
          <w:w w:val="100"/>
          <w:position w:val="0"/>
          <w:sz w:val="24"/>
          <w:szCs w:val="24"/>
        </w:rPr>
        <w:t>年度</w:t>
      </w:r>
    </w:p>
    <w:p>
      <w:pPr>
        <w:pStyle w:val="Style32"/>
        <w:keepNext w:val="0"/>
        <w:keepLines w:val="0"/>
        <w:widowControl w:val="0"/>
        <w:shd w:val="clear" w:color="auto" w:fill="auto"/>
        <w:bidi w:val="0"/>
        <w:spacing w:before="0" w:after="260" w:line="240" w:lineRule="auto"/>
        <w:ind w:left="0" w:right="0" w:firstLine="640"/>
        <w:jc w:val="left"/>
        <w:rPr>
          <w:sz w:val="24"/>
          <w:szCs w:val="24"/>
        </w:rPr>
      </w:pPr>
      <w:r>
        <w:rPr>
          <w:rFonts w:ascii="Arial" w:eastAsia="Arial" w:hAnsi="Arial" w:cs="Arial"/>
          <w:color w:val="000000"/>
          <w:spacing w:val="0"/>
          <w:w w:val="100"/>
          <w:position w:val="0"/>
          <w:sz w:val="20"/>
          <w:szCs w:val="20"/>
        </w:rPr>
        <w:t>（</w:t>
      </w:r>
      <w:r>
        <w:rPr>
          <w:color w:val="000000"/>
          <w:spacing w:val="0"/>
          <w:w w:val="100"/>
          <w:position w:val="0"/>
          <w:sz w:val="20"/>
          <w:szCs w:val="20"/>
        </w:rPr>
        <w:t>除特别注明外，金额单位为人民币千元</w:t>
      </w:r>
      <w:r>
        <w:rPr>
          <w:color w:val="000000"/>
          <w:spacing w:val="0"/>
          <w:w w:val="100"/>
          <w:position w:val="0"/>
          <w:sz w:val="24"/>
          <w:szCs w:val="24"/>
        </w:rPr>
        <w:t>）</w:t>
      </w:r>
    </w:p>
    <w:p>
      <w:pPr>
        <w:pStyle w:val="Style32"/>
        <w:keepNext w:val="0"/>
        <w:keepLines w:val="0"/>
        <w:widowControl w:val="0"/>
        <w:shd w:val="clear" w:color="auto" w:fill="auto"/>
        <w:tabs>
          <w:tab w:pos="596" w:val="left"/>
        </w:tabs>
        <w:bidi w:val="0"/>
        <w:spacing w:before="0" w:after="260" w:line="240" w:lineRule="auto"/>
        <w:ind w:left="0" w:right="0" w:firstLine="0"/>
        <w:jc w:val="left"/>
        <w:rPr>
          <w:sz w:val="24"/>
          <w:szCs w:val="24"/>
        </w:rPr>
      </w:pPr>
      <w:r>
        <w:rPr>
          <w:b/>
          <w:bCs/>
          <w:color w:val="000000"/>
          <w:spacing w:val="0"/>
          <w:w w:val="100"/>
          <w:position w:val="0"/>
          <w:sz w:val="24"/>
          <w:szCs w:val="24"/>
        </w:rPr>
        <w:t>六</w:t>
        <w:tab/>
        <w:t>在其他主体中的权益</w:t>
      </w:r>
      <w:r>
        <w:rPr>
          <w:rFonts w:ascii="Times New Roman" w:eastAsia="Times New Roman" w:hAnsi="Times New Roman" w:cs="Times New Roman"/>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4"/>
          <w:szCs w:val="24"/>
        </w:rPr>
        <w:t>）</w:t>
      </w:r>
    </w:p>
    <w:p>
      <w:pPr>
        <w:pStyle w:val="Style32"/>
        <w:keepNext w:val="0"/>
        <w:keepLines w:val="0"/>
        <w:widowControl w:val="0"/>
        <w:shd w:val="clear" w:color="auto" w:fill="auto"/>
        <w:tabs>
          <w:tab w:pos="596" w:val="left"/>
        </w:tabs>
        <w:bidi w:val="0"/>
        <w:spacing w:before="0" w:after="26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（2）</w:t>
        <w:tab/>
      </w:r>
      <w:r>
        <w:rPr>
          <w:b/>
          <w:bCs/>
          <w:color w:val="000000"/>
          <w:spacing w:val="0"/>
          <w:w w:val="100"/>
          <w:position w:val="0"/>
          <w:sz w:val="24"/>
          <w:szCs w:val="24"/>
        </w:rPr>
        <w:t>在合营企业和联营企业中的权益</w:t>
      </w:r>
      <w:r>
        <w:rPr>
          <w:rFonts w:ascii="Times New Roman" w:eastAsia="Times New Roman" w:hAnsi="Times New Roman" w:cs="Times New Roman"/>
          <w:color w:val="000000"/>
          <w:spacing w:val="0"/>
          <w:w w:val="100"/>
          <w:position w:val="0"/>
          <w:sz w:val="24"/>
          <w:szCs w:val="24"/>
        </w:rPr>
        <w:t>（</w:t>
      </w:r>
      <w:r>
        <w:rPr>
          <w:b/>
          <w:bCs/>
          <w:color w:val="000000"/>
          <w:spacing w:val="0"/>
          <w:w w:val="100"/>
          <w:position w:val="0"/>
          <w:sz w:val="24"/>
          <w:szCs w:val="24"/>
        </w:rPr>
        <w:t>续</w:t>
      </w:r>
      <w:r>
        <w:rPr>
          <w:rFonts w:ascii="Times New Roman" w:eastAsia="Times New Roman" w:hAnsi="Times New Roman" w:cs="Times New Roman"/>
          <w:color w:val="000000"/>
          <w:spacing w:val="0"/>
          <w:w w:val="100"/>
          <w:position w:val="0"/>
          <w:sz w:val="24"/>
          <w:szCs w:val="24"/>
        </w:rPr>
        <w:t>）</w:t>
      </w:r>
    </w:p>
    <w:p>
      <w:pPr>
        <w:pStyle w:val="Style32"/>
        <w:keepNext w:val="0"/>
        <w:keepLines w:val="0"/>
        <w:widowControl w:val="0"/>
        <w:shd w:val="clear" w:color="auto" w:fill="auto"/>
        <w:tabs>
          <w:tab w:pos="596" w:val="left"/>
        </w:tabs>
        <w:bidi w:val="0"/>
        <w:spacing w:before="0" w:after="26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（b）</w:t>
        <w:tab/>
      </w:r>
      <w:r>
        <w:rPr>
          <w:color w:val="000000"/>
          <w:spacing w:val="0"/>
          <w:w w:val="100"/>
          <w:position w:val="0"/>
          <w:sz w:val="24"/>
          <w:szCs w:val="24"/>
        </w:rPr>
        <w:t>重要合营企业的主要财务信息</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续</w:t>
      </w:r>
      <w:r>
        <w:rPr>
          <w:color w:val="000000"/>
          <w:spacing w:val="0"/>
          <w:w w:val="100"/>
          <w:position w:val="0"/>
          <w:sz w:val="24"/>
          <w:szCs w:val="24"/>
        </w:rPr>
        <w:t>）</w:t>
      </w:r>
    </w:p>
    <w:tbl>
      <w:tblPr>
        <w:tblOverlap w:val="never"/>
        <w:jc w:val="right"/>
        <w:tblLayout w:type="fixed"/>
      </w:tblPr>
      <w:tblGrid>
        <w:gridCol w:w="3485"/>
        <w:gridCol w:w="3576"/>
        <w:gridCol w:w="1637"/>
      </w:tblGrid>
      <w:tr>
        <w:trPr>
          <w:trHeight w:val="298" w:hRule="exact"/>
        </w:trPr>
        <w:tc>
          <w:tcPr>
            <w:vMerge w:val="restart"/>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2020" w:right="0" w:firstLine="0"/>
              <w:jc w:val="left"/>
              <w:rPr>
                <w:sz w:val="24"/>
                <w:szCs w:val="24"/>
              </w:rPr>
            </w:pP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年度</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40"/>
              <w:jc w:val="both"/>
              <w:rPr>
                <w:sz w:val="24"/>
                <w:szCs w:val="24"/>
              </w:rPr>
            </w:pPr>
            <w:r>
              <w:rPr>
                <w:rFonts w:ascii="Times New Roman" w:eastAsia="Times New Roman" w:hAnsi="Times New Roman" w:cs="Times New Roman"/>
                <w:color w:val="000000"/>
                <w:spacing w:val="0"/>
                <w:w w:val="100"/>
                <w:position w:val="0"/>
                <w:sz w:val="24"/>
                <w:szCs w:val="24"/>
              </w:rPr>
              <w:t>2015</w:t>
            </w:r>
            <w:r>
              <w:rPr>
                <w:color w:val="000000"/>
                <w:spacing w:val="0"/>
                <w:w w:val="100"/>
                <w:position w:val="0"/>
                <w:sz w:val="24"/>
                <w:szCs w:val="24"/>
              </w:rPr>
              <w:t>年度</w:t>
            </w:r>
          </w:p>
        </w:tc>
      </w:tr>
      <w:tr>
        <w:trPr>
          <w:trHeight w:val="456" w:hRule="exact"/>
        </w:trPr>
        <w:tc>
          <w:tcPr>
            <w:vMerge/>
            <w:tcBorders/>
            <w:shd w:val="clear" w:color="auto" w:fill="FFFFFF"/>
            <w:vAlign w:val="top"/>
          </w:tcPr>
          <w:p>
            <w:pP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2020" w:right="0" w:firstLine="0"/>
              <w:jc w:val="left"/>
              <w:rPr>
                <w:sz w:val="24"/>
                <w:szCs w:val="24"/>
              </w:rPr>
            </w:pPr>
            <w:r>
              <w:rPr>
                <w:color w:val="000000"/>
                <w:spacing w:val="0"/>
                <w:w w:val="100"/>
                <w:position w:val="0"/>
                <w:sz w:val="24"/>
                <w:szCs w:val="24"/>
              </w:rPr>
              <w:t>苏宁金石</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苏宁金石</w:t>
            </w:r>
          </w:p>
        </w:tc>
      </w:tr>
      <w:tr>
        <w:trPr>
          <w:trHeight w:val="461"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营业收入</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2420" w:right="0" w:firstLine="0"/>
              <w:jc w:val="left"/>
              <w:rPr>
                <w:sz w:val="24"/>
                <w:szCs w:val="24"/>
              </w:rPr>
            </w:pPr>
            <w:r>
              <w:rPr>
                <w:rFonts w:ascii="Times New Roman" w:eastAsia="Times New Roman" w:hAnsi="Times New Roman" w:cs="Times New Roman"/>
                <w:color w:val="000000"/>
                <w:spacing w:val="0"/>
                <w:w w:val="100"/>
                <w:position w:val="0"/>
                <w:sz w:val="24"/>
                <w:szCs w:val="24"/>
              </w:rPr>
              <w:t>4,926</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280" w:firstLine="0"/>
              <w:jc w:val="right"/>
              <w:rPr>
                <w:sz w:val="24"/>
                <w:szCs w:val="24"/>
              </w:rPr>
            </w:pPr>
            <w:r>
              <w:rPr>
                <w:rFonts w:ascii="Times New Roman" w:eastAsia="Times New Roman" w:hAnsi="Times New Roman" w:cs="Times New Roman"/>
                <w:color w:val="000000"/>
                <w:spacing w:val="0"/>
                <w:w w:val="100"/>
                <w:position w:val="0"/>
                <w:sz w:val="24"/>
                <w:szCs w:val="24"/>
              </w:rPr>
              <w:t>-</w:t>
            </w:r>
          </w:p>
        </w:tc>
      </w:tr>
      <w:tr>
        <w:trPr>
          <w:trHeight w:val="307"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净利润</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亏损</w:t>
            </w:r>
            <w:r>
              <w:rPr>
                <w:color w:val="000000"/>
                <w:spacing w:val="0"/>
                <w:w w:val="100"/>
                <w:position w:val="0"/>
                <w:sz w:val="24"/>
                <w:szCs w:val="24"/>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2420" w:right="0" w:firstLine="0"/>
              <w:jc w:val="left"/>
              <w:rPr>
                <w:sz w:val="24"/>
                <w:szCs w:val="24"/>
              </w:rPr>
            </w:pPr>
            <w:r>
              <w:rPr>
                <w:rFonts w:ascii="Times New Roman" w:eastAsia="Times New Roman" w:hAnsi="Times New Roman" w:cs="Times New Roman"/>
                <w:color w:val="000000"/>
                <w:spacing w:val="0"/>
                <w:w w:val="100"/>
                <w:position w:val="0"/>
                <w:sz w:val="24"/>
                <w:szCs w:val="24"/>
              </w:rPr>
              <w:t>1,285</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(427)</w:t>
            </w:r>
          </w:p>
        </w:tc>
      </w:tr>
      <w:tr>
        <w:trPr>
          <w:trHeight w:val="302"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其他综合收益</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520" w:firstLine="0"/>
              <w:jc w:val="right"/>
              <w:rPr>
                <w:sz w:val="24"/>
                <w:szCs w:val="24"/>
              </w:rPr>
            </w:pPr>
            <w:r>
              <w:rPr>
                <w:rFonts w:ascii="Times New Roman" w:eastAsia="Times New Roman" w:hAnsi="Times New Roman" w:cs="Times New Roman"/>
                <w:color w:val="000000"/>
                <w:spacing w:val="0"/>
                <w:w w:val="100"/>
                <w:position w:val="0"/>
                <w:sz w:val="24"/>
                <w:szCs w:val="24"/>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280" w:firstLine="0"/>
              <w:jc w:val="right"/>
              <w:rPr>
                <w:sz w:val="24"/>
                <w:szCs w:val="24"/>
              </w:rPr>
            </w:pPr>
            <w:r>
              <w:rPr>
                <w:rFonts w:ascii="Times New Roman" w:eastAsia="Times New Roman" w:hAnsi="Times New Roman" w:cs="Times New Roman"/>
                <w:color w:val="000000"/>
                <w:spacing w:val="0"/>
                <w:w w:val="100"/>
                <w:position w:val="0"/>
                <w:sz w:val="24"/>
                <w:szCs w:val="24"/>
              </w:rPr>
              <w:t>-</w:t>
            </w:r>
          </w:p>
        </w:tc>
      </w:tr>
      <w:tr>
        <w:trPr>
          <w:trHeight w:val="341"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综合收益总额</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2420" w:right="0" w:firstLine="0"/>
              <w:jc w:val="left"/>
              <w:rPr>
                <w:sz w:val="24"/>
                <w:szCs w:val="24"/>
              </w:rPr>
            </w:pPr>
            <w:r>
              <w:rPr>
                <w:rFonts w:ascii="Times New Roman" w:eastAsia="Times New Roman" w:hAnsi="Times New Roman" w:cs="Times New Roman"/>
                <w:color w:val="000000"/>
                <w:spacing w:val="0"/>
                <w:w w:val="100"/>
                <w:position w:val="0"/>
                <w:sz w:val="24"/>
                <w:szCs w:val="24"/>
              </w:rPr>
              <w:t>1,285</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(427)</w:t>
            </w:r>
          </w:p>
        </w:tc>
      </w:tr>
    </w:tbl>
    <w:p>
      <w:pPr>
        <w:pStyle w:val="Style25"/>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本集团本年度收到的来自合营企业的股利</w:t>
      </w:r>
    </w:p>
    <w:p>
      <w:pPr>
        <w:widowControl w:val="0"/>
        <w:spacing w:after="259" w:line="1" w:lineRule="exact"/>
      </w:pPr>
    </w:p>
    <w:p>
      <w:pPr>
        <w:pStyle w:val="Style32"/>
        <w:keepNext w:val="0"/>
        <w:keepLines w:val="0"/>
        <w:widowControl w:val="0"/>
        <w:shd w:val="clear" w:color="auto" w:fill="auto"/>
        <w:tabs>
          <w:tab w:pos="596" w:val="left"/>
        </w:tabs>
        <w:bidi w:val="0"/>
        <w:spacing w:before="0" w:after="260" w:line="240" w:lineRule="auto"/>
        <w:ind w:left="0" w:right="0" w:firstLine="0"/>
        <w:jc w:val="left"/>
        <w:rPr>
          <w:sz w:val="24"/>
          <w:szCs w:val="24"/>
        </w:rPr>
      </w:pPr>
      <w:bookmarkStart w:id="1040" w:name="bookmark1040"/>
      <w:r>
        <w:rPr>
          <w:rFonts w:ascii="Times New Roman" w:eastAsia="Times New Roman" w:hAnsi="Times New Roman" w:cs="Times New Roman"/>
          <w:color w:val="000000"/>
          <w:spacing w:val="0"/>
          <w:w w:val="100"/>
          <w:position w:val="0"/>
          <w:sz w:val="24"/>
          <w:szCs w:val="24"/>
        </w:rPr>
        <w:t>（</w:t>
      </w:r>
      <w:bookmarkEnd w:id="1040"/>
      <w:r>
        <w:rPr>
          <w:rFonts w:ascii="Times New Roman" w:eastAsia="Times New Roman" w:hAnsi="Times New Roman" w:cs="Times New Roman"/>
          <w:color w:val="000000"/>
          <w:spacing w:val="0"/>
          <w:w w:val="100"/>
          <w:position w:val="0"/>
          <w:sz w:val="24"/>
          <w:szCs w:val="24"/>
        </w:rPr>
        <w:t>c）</w:t>
        <w:tab/>
      </w:r>
      <w:r>
        <w:rPr>
          <w:color w:val="000000"/>
          <w:spacing w:val="0"/>
          <w:w w:val="100"/>
          <w:position w:val="0"/>
          <w:sz w:val="24"/>
          <w:szCs w:val="24"/>
        </w:rPr>
        <w:t>重要联营企业的主要财务信息</w:t>
      </w:r>
    </w:p>
    <w:p>
      <w:pPr>
        <w:pStyle w:val="Style25"/>
        <w:keepNext w:val="0"/>
        <w:keepLines w:val="0"/>
        <w:widowControl w:val="0"/>
        <w:shd w:val="clear" w:color="auto" w:fill="auto"/>
        <w:bidi w:val="0"/>
        <w:spacing w:before="0" w:after="0" w:line="240" w:lineRule="auto"/>
        <w:ind w:left="5194" w:right="0" w:firstLine="0"/>
        <w:jc w:val="left"/>
        <w:rPr>
          <w:sz w:val="24"/>
          <w:szCs w:val="24"/>
        </w:rPr>
      </w:pP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w:t>
      </w:r>
    </w:p>
    <w:tbl>
      <w:tblPr>
        <w:tblOverlap w:val="never"/>
        <w:jc w:val="right"/>
        <w:tblLayout w:type="fixed"/>
      </w:tblPr>
      <w:tblGrid>
        <w:gridCol w:w="3883"/>
        <w:gridCol w:w="1469"/>
        <w:gridCol w:w="1997"/>
        <w:gridCol w:w="1426"/>
      </w:tblGrid>
      <w:tr>
        <w:trPr>
          <w:trHeight w:val="466"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00"/>
              <w:jc w:val="left"/>
              <w:rPr>
                <w:sz w:val="24"/>
                <w:szCs w:val="24"/>
              </w:rPr>
            </w:pPr>
            <w:r>
              <w:rPr>
                <w:color w:val="000000"/>
                <w:spacing w:val="0"/>
                <w:w w:val="100"/>
                <w:position w:val="0"/>
                <w:sz w:val="24"/>
                <w:szCs w:val="24"/>
              </w:rPr>
              <w:t>丸悦</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苏宁消费金融</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锤子科技</w:t>
            </w:r>
          </w:p>
        </w:tc>
      </w:tr>
      <w:tr>
        <w:trPr>
          <w:trHeight w:val="451"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流动资产</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left"/>
              <w:rPr>
                <w:sz w:val="24"/>
                <w:szCs w:val="24"/>
              </w:rPr>
            </w:pPr>
            <w:r>
              <w:rPr>
                <w:rFonts w:ascii="Times New Roman" w:eastAsia="Times New Roman" w:hAnsi="Times New Roman" w:cs="Times New Roman"/>
                <w:color w:val="000000"/>
                <w:spacing w:val="0"/>
                <w:w w:val="100"/>
                <w:position w:val="0"/>
                <w:sz w:val="24"/>
                <w:szCs w:val="24"/>
              </w:rPr>
              <w:t>89,318</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both"/>
              <w:rPr>
                <w:sz w:val="24"/>
                <w:szCs w:val="24"/>
              </w:rPr>
            </w:pPr>
            <w:r>
              <w:rPr>
                <w:rFonts w:ascii="Times New Roman" w:eastAsia="Times New Roman" w:hAnsi="Times New Roman" w:cs="Times New Roman"/>
                <w:color w:val="000000"/>
                <w:spacing w:val="0"/>
                <w:w w:val="100"/>
                <w:position w:val="0"/>
                <w:sz w:val="24"/>
                <w:szCs w:val="24"/>
              </w:rPr>
              <w:t>1,606,131</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both"/>
              <w:rPr>
                <w:sz w:val="24"/>
                <w:szCs w:val="24"/>
              </w:rPr>
            </w:pPr>
            <w:r>
              <w:rPr>
                <w:rFonts w:ascii="Times New Roman" w:eastAsia="Times New Roman" w:hAnsi="Times New Roman" w:cs="Times New Roman"/>
                <w:color w:val="000000"/>
                <w:spacing w:val="0"/>
                <w:w w:val="100"/>
                <w:position w:val="0"/>
                <w:sz w:val="24"/>
                <w:szCs w:val="24"/>
              </w:rPr>
              <w:t>391,302</w:t>
            </w:r>
          </w:p>
        </w:tc>
      </w:tr>
      <w:tr>
        <w:trPr>
          <w:trHeight w:val="326"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非流动资产</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left"/>
              <w:rPr>
                <w:sz w:val="24"/>
                <w:szCs w:val="24"/>
              </w:rPr>
            </w:pPr>
            <w:r>
              <w:rPr>
                <w:rFonts w:ascii="Times New Roman" w:eastAsia="Times New Roman" w:hAnsi="Times New Roman" w:cs="Times New Roman"/>
                <w:color w:val="000000"/>
                <w:spacing w:val="0"/>
                <w:w w:val="100"/>
                <w:position w:val="0"/>
                <w:sz w:val="24"/>
                <w:szCs w:val="24"/>
              </w:rPr>
              <w:t>20,462</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00"/>
              <w:jc w:val="both"/>
              <w:rPr>
                <w:sz w:val="24"/>
                <w:szCs w:val="24"/>
              </w:rPr>
            </w:pPr>
            <w:r>
              <w:rPr>
                <w:rFonts w:ascii="Times New Roman" w:eastAsia="Times New Roman" w:hAnsi="Times New Roman" w:cs="Times New Roman"/>
                <w:color w:val="000000"/>
                <w:spacing w:val="0"/>
                <w:w w:val="100"/>
                <w:position w:val="0"/>
                <w:sz w:val="24"/>
                <w:szCs w:val="24"/>
              </w:rPr>
              <w:t>67,064</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60"/>
              <w:jc w:val="both"/>
              <w:rPr>
                <w:sz w:val="24"/>
                <w:szCs w:val="24"/>
              </w:rPr>
            </w:pPr>
            <w:r>
              <w:rPr>
                <w:rFonts w:ascii="Times New Roman" w:eastAsia="Times New Roman" w:hAnsi="Times New Roman" w:cs="Times New Roman"/>
                <w:color w:val="000000"/>
                <w:spacing w:val="0"/>
                <w:w w:val="100"/>
                <w:position w:val="0"/>
                <w:sz w:val="24"/>
                <w:szCs w:val="24"/>
              </w:rPr>
              <w:t>28,879</w:t>
            </w:r>
          </w:p>
        </w:tc>
      </w:tr>
      <w:tr>
        <w:trPr>
          <w:trHeight w:val="466" w:hRule="exact"/>
        </w:trPr>
        <w:tc>
          <w:tcPr>
            <w:tcBorders>
              <w:top w:val="single" w:sz="4"/>
            </w:tcBorders>
            <w:shd w:val="clear" w:color="auto" w:fill="FFFFFF"/>
            <w:vAlign w:val="top"/>
          </w:tcPr>
          <w:p>
            <w:pPr>
              <w:pStyle w:val="Style28"/>
              <w:keepNext w:val="0"/>
              <w:keepLines w:val="0"/>
              <w:widowControl w:val="0"/>
              <w:shd w:val="clear" w:color="auto" w:fill="auto"/>
              <w:tabs>
                <w:tab w:pos="3600" w:val="left"/>
              </w:tabs>
              <w:bidi w:val="0"/>
              <w:spacing w:before="0" w:after="0" w:line="240" w:lineRule="auto"/>
              <w:ind w:left="0" w:right="0" w:firstLine="0"/>
              <w:jc w:val="left"/>
              <w:rPr>
                <w:sz w:val="24"/>
                <w:szCs w:val="24"/>
              </w:rPr>
            </w:pPr>
            <w:r>
              <w:rPr>
                <w:color w:val="000000"/>
                <w:spacing w:val="0"/>
                <w:w w:val="100"/>
                <w:position w:val="0"/>
                <w:sz w:val="24"/>
                <w:szCs w:val="24"/>
              </w:rPr>
              <w:t>资产合计</w:t>
              <w:tab/>
              <w:t>_</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00"/>
              <w:jc w:val="left"/>
              <w:rPr>
                <w:sz w:val="24"/>
                <w:szCs w:val="24"/>
              </w:rPr>
            </w:pPr>
            <w:r>
              <w:rPr>
                <w:rFonts w:ascii="Times New Roman" w:eastAsia="Times New Roman" w:hAnsi="Times New Roman" w:cs="Times New Roman"/>
                <w:color w:val="000000"/>
                <w:spacing w:val="0"/>
                <w:w w:val="100"/>
                <w:position w:val="0"/>
                <w:sz w:val="24"/>
                <w:szCs w:val="24"/>
              </w:rPr>
              <w:t>109,780</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00"/>
              <w:jc w:val="both"/>
              <w:rPr>
                <w:sz w:val="24"/>
                <w:szCs w:val="24"/>
              </w:rPr>
            </w:pPr>
            <w:r>
              <w:rPr>
                <w:rFonts w:ascii="Times New Roman" w:eastAsia="Times New Roman" w:hAnsi="Times New Roman" w:cs="Times New Roman"/>
                <w:color w:val="000000"/>
                <w:spacing w:val="0"/>
                <w:w w:val="100"/>
                <w:position w:val="0"/>
                <w:sz w:val="24"/>
                <w:szCs w:val="24"/>
              </w:rPr>
              <w:t>1,673,195</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40"/>
              <w:jc w:val="both"/>
              <w:rPr>
                <w:sz w:val="24"/>
                <w:szCs w:val="24"/>
              </w:rPr>
            </w:pPr>
            <w:r>
              <w:rPr>
                <w:rFonts w:ascii="Times New Roman" w:eastAsia="Times New Roman" w:hAnsi="Times New Roman" w:cs="Times New Roman"/>
                <w:color w:val="000000"/>
                <w:spacing w:val="0"/>
                <w:w w:val="100"/>
                <w:position w:val="0"/>
                <w:sz w:val="24"/>
                <w:szCs w:val="24"/>
              </w:rPr>
              <w:t>420,181</w:t>
            </w:r>
          </w:p>
        </w:tc>
      </w:tr>
      <w:tr>
        <w:trPr>
          <w:trHeight w:val="629" w:hRule="exact"/>
        </w:trPr>
        <w:tc>
          <w:tcPr>
            <w:tcBorders/>
            <w:shd w:val="clear" w:color="auto" w:fill="FFFFFF"/>
            <w:vAlign w:val="center"/>
          </w:tcPr>
          <w:p>
            <w:pPr>
              <w:pStyle w:val="Style28"/>
              <w:keepNext w:val="0"/>
              <w:keepLines w:val="0"/>
              <w:widowControl w:val="0"/>
              <w:shd w:val="clear" w:color="auto" w:fill="auto"/>
              <w:tabs>
                <w:tab w:pos="3605" w:val="left"/>
              </w:tabs>
              <w:bidi w:val="0"/>
              <w:spacing w:before="0" w:after="0" w:line="240" w:lineRule="auto"/>
              <w:ind w:left="0" w:right="0" w:firstLine="0"/>
              <w:jc w:val="left"/>
              <w:rPr>
                <w:sz w:val="24"/>
                <w:szCs w:val="24"/>
              </w:rPr>
            </w:pPr>
            <w:r>
              <w:rPr>
                <w:color w:val="000000"/>
                <w:spacing w:val="0"/>
                <w:w w:val="100"/>
                <w:position w:val="0"/>
                <w:sz w:val="24"/>
                <w:szCs w:val="24"/>
              </w:rPr>
              <w:t>流动负债</w:t>
              <w:tab/>
              <w:t>_</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left"/>
              <w:rPr>
                <w:sz w:val="24"/>
                <w:szCs w:val="24"/>
              </w:rPr>
            </w:pPr>
            <w:r>
              <w:rPr>
                <w:rFonts w:ascii="Times New Roman" w:eastAsia="Times New Roman" w:hAnsi="Times New Roman" w:cs="Times New Roman"/>
                <w:color w:val="000000"/>
                <w:spacing w:val="0"/>
                <w:w w:val="100"/>
                <w:position w:val="0"/>
                <w:sz w:val="24"/>
                <w:szCs w:val="24"/>
              </w:rPr>
              <w:t>(25,818)</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both"/>
              <w:rPr>
                <w:sz w:val="24"/>
                <w:szCs w:val="24"/>
              </w:rPr>
            </w:pPr>
            <w:r>
              <w:rPr>
                <w:rFonts w:ascii="Times New Roman" w:eastAsia="Times New Roman" w:hAnsi="Times New Roman" w:cs="Times New Roman"/>
                <w:color w:val="000000"/>
                <w:spacing w:val="0"/>
                <w:w w:val="100"/>
                <w:position w:val="0"/>
                <w:sz w:val="24"/>
                <w:szCs w:val="24"/>
              </w:rPr>
              <w:t>(1,324,307)</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both"/>
              <w:rPr>
                <w:sz w:val="24"/>
                <w:szCs w:val="24"/>
              </w:rPr>
            </w:pPr>
            <w:r>
              <w:rPr>
                <w:rFonts w:ascii="Times New Roman" w:eastAsia="Times New Roman" w:hAnsi="Times New Roman" w:cs="Times New Roman"/>
                <w:color w:val="000000"/>
                <w:spacing w:val="0"/>
                <w:w w:val="100"/>
                <w:position w:val="0"/>
                <w:sz w:val="24"/>
                <w:szCs w:val="24"/>
              </w:rPr>
              <w:t>(663,149)</w:t>
            </w:r>
          </w:p>
        </w:tc>
      </w:tr>
      <w:tr>
        <w:trPr>
          <w:trHeight w:val="600" w:hRule="exact"/>
        </w:trPr>
        <w:tc>
          <w:tcPr>
            <w:tcBorders/>
            <w:shd w:val="clear" w:color="auto" w:fill="FFFFFF"/>
            <w:vAlign w:val="center"/>
          </w:tcPr>
          <w:p>
            <w:pPr>
              <w:pStyle w:val="Style28"/>
              <w:keepNext w:val="0"/>
              <w:keepLines w:val="0"/>
              <w:widowControl w:val="0"/>
              <w:shd w:val="clear" w:color="auto" w:fill="auto"/>
              <w:tabs>
                <w:tab w:pos="3600" w:val="left"/>
              </w:tabs>
              <w:bidi w:val="0"/>
              <w:spacing w:before="0" w:after="0" w:line="240" w:lineRule="auto"/>
              <w:ind w:left="0" w:right="0" w:firstLine="0"/>
              <w:jc w:val="left"/>
              <w:rPr>
                <w:sz w:val="24"/>
                <w:szCs w:val="24"/>
              </w:rPr>
            </w:pPr>
            <w:r>
              <w:rPr>
                <w:color w:val="000000"/>
                <w:spacing w:val="0"/>
                <w:w w:val="100"/>
                <w:position w:val="0"/>
                <w:sz w:val="24"/>
                <w:szCs w:val="24"/>
              </w:rPr>
              <w:t>股东权益</w:t>
              <w:tab/>
              <w:t>_</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00"/>
              <w:jc w:val="left"/>
              <w:rPr>
                <w:sz w:val="24"/>
                <w:szCs w:val="24"/>
              </w:rPr>
            </w:pPr>
            <w:r>
              <w:rPr>
                <w:rFonts w:ascii="Times New Roman" w:eastAsia="Times New Roman" w:hAnsi="Times New Roman" w:cs="Times New Roman"/>
                <w:color w:val="000000"/>
                <w:spacing w:val="0"/>
                <w:w w:val="100"/>
                <w:position w:val="0"/>
                <w:sz w:val="24"/>
                <w:szCs w:val="24"/>
              </w:rPr>
              <w:t>83,962</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left"/>
              <w:rPr>
                <w:sz w:val="24"/>
                <w:szCs w:val="24"/>
              </w:rPr>
            </w:pPr>
            <w:r>
              <w:rPr>
                <w:rFonts w:ascii="Times New Roman" w:eastAsia="Times New Roman" w:hAnsi="Times New Roman" w:cs="Times New Roman"/>
                <w:color w:val="000000"/>
                <w:spacing w:val="0"/>
                <w:w w:val="100"/>
                <w:position w:val="0"/>
                <w:sz w:val="24"/>
                <w:szCs w:val="24"/>
              </w:rPr>
              <w:t>348,888</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(242,968)</w:t>
            </w:r>
          </w:p>
        </w:tc>
      </w:tr>
      <w:tr>
        <w:trPr>
          <w:trHeight w:val="619"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按持股比例计算的净资产份额</w:t>
            </w:r>
            <w:r>
              <w:rPr>
                <w:rFonts w:ascii="Times New Roman" w:eastAsia="Times New Roman" w:hAnsi="Times New Roman" w:cs="Times New Roman"/>
                <w:color w:val="000000"/>
                <w:spacing w:val="0"/>
                <w:w w:val="100"/>
                <w:position w:val="0"/>
                <w:sz w:val="24"/>
                <w:szCs w:val="24"/>
              </w:rPr>
              <w:t xml:space="preserve">（i） </w:t>
            </w:r>
            <w:r>
              <w:rPr>
                <w:rFonts w:ascii="Times New Roman" w:eastAsia="Times New Roman" w:hAnsi="Times New Roman" w:cs="Times New Roman"/>
                <w:color w:val="000000"/>
                <w:spacing w:val="0"/>
                <w:w w:val="100"/>
                <w:position w:val="0"/>
                <w:sz w:val="24"/>
                <w:szCs w:val="24"/>
              </w:rPr>
              <w:t>_</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00"/>
              <w:jc w:val="left"/>
              <w:rPr>
                <w:sz w:val="24"/>
                <w:szCs w:val="24"/>
              </w:rPr>
            </w:pPr>
            <w:r>
              <w:rPr>
                <w:rFonts w:ascii="Times New Roman" w:eastAsia="Times New Roman" w:hAnsi="Times New Roman" w:cs="Times New Roman"/>
                <w:color w:val="000000"/>
                <w:spacing w:val="0"/>
                <w:w w:val="100"/>
                <w:position w:val="0"/>
                <w:sz w:val="24"/>
                <w:szCs w:val="24"/>
              </w:rPr>
              <w:t>25,188</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left"/>
              <w:rPr>
                <w:sz w:val="24"/>
                <w:szCs w:val="24"/>
              </w:rPr>
            </w:pPr>
            <w:r>
              <w:rPr>
                <w:rFonts w:ascii="Times New Roman" w:eastAsia="Times New Roman" w:hAnsi="Times New Roman" w:cs="Times New Roman"/>
                <w:color w:val="000000"/>
                <w:spacing w:val="0"/>
                <w:w w:val="100"/>
                <w:position w:val="0"/>
                <w:sz w:val="24"/>
                <w:szCs w:val="24"/>
              </w:rPr>
              <w:t>170,955</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both"/>
              <w:rPr>
                <w:sz w:val="24"/>
                <w:szCs w:val="24"/>
              </w:rPr>
            </w:pPr>
            <w:r>
              <w:rPr>
                <w:rFonts w:ascii="Times New Roman" w:eastAsia="Times New Roman" w:hAnsi="Times New Roman" w:cs="Times New Roman"/>
                <w:color w:val="000000"/>
                <w:spacing w:val="0"/>
                <w:w w:val="100"/>
                <w:position w:val="0"/>
                <w:sz w:val="24"/>
                <w:szCs w:val="24"/>
              </w:rPr>
              <w:t>(4,592)</w:t>
            </w:r>
          </w:p>
        </w:tc>
      </w:tr>
      <w:tr>
        <w:trPr>
          <w:trHeight w:val="451"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调整事项</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26"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left"/>
              <w:rPr>
                <w:sz w:val="24"/>
                <w:szCs w:val="24"/>
              </w:rPr>
            </w:pPr>
            <w:r>
              <w:rPr>
                <w:color w:val="000000"/>
                <w:spacing w:val="0"/>
                <w:w w:val="100"/>
                <w:position w:val="0"/>
                <w:sz w:val="24"/>
                <w:szCs w:val="24"/>
              </w:rPr>
              <w:t>一商誉</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420" w:right="0" w:firstLine="0"/>
              <w:jc w:val="left"/>
              <w:rPr>
                <w:sz w:val="24"/>
                <w:szCs w:val="24"/>
              </w:rPr>
            </w:pPr>
            <w:r>
              <w:rPr>
                <w:rFonts w:ascii="Times New Roman" w:eastAsia="Times New Roman" w:hAnsi="Times New Roman" w:cs="Times New Roman"/>
                <w:color w:val="000000"/>
                <w:spacing w:val="0"/>
                <w:w w:val="100"/>
                <w:position w:val="0"/>
                <w:sz w:val="24"/>
                <w:szCs w:val="24"/>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60"/>
              <w:jc w:val="both"/>
              <w:rPr>
                <w:sz w:val="24"/>
                <w:szCs w:val="24"/>
              </w:rPr>
            </w:pPr>
            <w:r>
              <w:rPr>
                <w:rFonts w:ascii="Times New Roman" w:eastAsia="Times New Roman" w:hAnsi="Times New Roman" w:cs="Times New Roman"/>
                <w:color w:val="000000"/>
                <w:spacing w:val="0"/>
                <w:w w:val="100"/>
                <w:position w:val="0"/>
                <w:sz w:val="24"/>
                <w:szCs w:val="24"/>
              </w:rPr>
              <w:t>41,838</w:t>
            </w:r>
          </w:p>
        </w:tc>
      </w:tr>
      <w:tr>
        <w:trPr>
          <w:trHeight w:val="658" w:hRule="exact"/>
        </w:trPr>
        <w:tc>
          <w:tcPr>
            <w:tcBorders>
              <w:top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对联营企业权益投资的账面价值_</w:t>
            </w:r>
          </w:p>
        </w:tc>
        <w:tc>
          <w:tcPr>
            <w:tcBorders>
              <w:top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left"/>
              <w:rPr>
                <w:sz w:val="24"/>
                <w:szCs w:val="24"/>
              </w:rPr>
            </w:pPr>
            <w:r>
              <w:rPr>
                <w:rFonts w:ascii="Times New Roman" w:eastAsia="Times New Roman" w:hAnsi="Times New Roman" w:cs="Times New Roman"/>
                <w:color w:val="000000"/>
                <w:spacing w:val="0"/>
                <w:w w:val="100"/>
                <w:position w:val="0"/>
                <w:sz w:val="24"/>
                <w:szCs w:val="24"/>
              </w:rPr>
              <w:t>25,188</w:t>
            </w:r>
          </w:p>
        </w:tc>
        <w:tc>
          <w:tcPr>
            <w:tcBorders>
              <w:top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80"/>
              <w:jc w:val="left"/>
              <w:rPr>
                <w:sz w:val="24"/>
                <w:szCs w:val="24"/>
              </w:rPr>
            </w:pPr>
            <w:r>
              <w:rPr>
                <w:rFonts w:ascii="Times New Roman" w:eastAsia="Times New Roman" w:hAnsi="Times New Roman" w:cs="Times New Roman"/>
                <w:color w:val="000000"/>
                <w:spacing w:val="0"/>
                <w:w w:val="100"/>
                <w:position w:val="0"/>
                <w:sz w:val="24"/>
                <w:szCs w:val="24"/>
              </w:rPr>
              <w:t>170,955</w:t>
            </w:r>
          </w:p>
        </w:tc>
        <w:tc>
          <w:tcPr>
            <w:tcBorders>
              <w:top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60"/>
              <w:jc w:val="both"/>
              <w:rPr>
                <w:sz w:val="24"/>
                <w:szCs w:val="24"/>
              </w:rPr>
            </w:pPr>
            <w:r>
              <w:rPr>
                <w:rFonts w:ascii="Times New Roman" w:eastAsia="Times New Roman" w:hAnsi="Times New Roman" w:cs="Times New Roman"/>
                <w:color w:val="000000"/>
                <w:spacing w:val="0"/>
                <w:w w:val="100"/>
                <w:position w:val="0"/>
                <w:sz w:val="24"/>
                <w:szCs w:val="24"/>
              </w:rPr>
              <w:t>37,246</w:t>
            </w:r>
          </w:p>
        </w:tc>
      </w:tr>
    </w:tbl>
    <w:p>
      <w:pPr>
        <w:pStyle w:val="Style32"/>
        <w:keepNext w:val="0"/>
        <w:keepLines w:val="0"/>
        <w:widowControl w:val="0"/>
        <w:shd w:val="clear" w:color="auto" w:fill="auto"/>
        <w:bidi w:val="0"/>
        <w:spacing w:before="0" w:after="0" w:line="240" w:lineRule="auto"/>
        <w:ind w:left="0" w:right="0" w:firstLine="680"/>
        <w:jc w:val="left"/>
        <w:rPr>
          <w:sz w:val="24"/>
          <w:szCs w:val="24"/>
        </w:rPr>
      </w:pPr>
      <w:r>
        <w:rPr>
          <w:b/>
          <w:bCs/>
          <w:color w:val="000000"/>
          <w:spacing w:val="0"/>
          <w:w w:val="100"/>
          <w:position w:val="0"/>
          <w:sz w:val="24"/>
          <w:szCs w:val="24"/>
        </w:rPr>
        <w:t>财务报表附注</w:t>
      </w:r>
    </w:p>
    <w:p>
      <w:pPr>
        <w:pStyle w:val="Style88"/>
        <w:keepNext/>
        <w:keepLines/>
        <w:widowControl w:val="0"/>
        <w:shd w:val="clear" w:color="auto" w:fill="auto"/>
        <w:bidi w:val="0"/>
        <w:spacing w:before="0" w:after="0" w:line="240" w:lineRule="auto"/>
        <w:ind w:left="0" w:right="0" w:firstLine="680"/>
        <w:jc w:val="left"/>
      </w:pPr>
      <w:bookmarkStart w:id="1041" w:name="bookmark1041"/>
      <w:bookmarkStart w:id="1042" w:name="bookmark1042"/>
      <w:bookmarkStart w:id="1043" w:name="bookmark1043"/>
      <w:r>
        <w:rPr>
          <w:color w:val="000000"/>
          <w:spacing w:val="0"/>
          <w:w w:val="100"/>
          <w:position w:val="0"/>
          <w:sz w:val="24"/>
          <w:szCs w:val="24"/>
        </w:rPr>
        <w:t>2016</w:t>
      </w:r>
      <w:r>
        <w:rPr>
          <w:rFonts w:ascii="SimSun" w:eastAsia="SimSun" w:hAnsi="SimSun" w:cs="SimSun"/>
          <w:b/>
          <w:bCs/>
          <w:color w:val="000000"/>
          <w:spacing w:val="0"/>
          <w:w w:val="100"/>
          <w:position w:val="0"/>
          <w:sz w:val="24"/>
          <w:szCs w:val="24"/>
        </w:rPr>
        <w:t>年度</w:t>
      </w:r>
      <w:bookmarkEnd w:id="1041"/>
      <w:bookmarkEnd w:id="1042"/>
      <w:bookmarkEnd w:id="1043"/>
    </w:p>
    <w:p>
      <w:pPr>
        <w:pStyle w:val="Style32"/>
        <w:keepNext w:val="0"/>
        <w:keepLines w:val="0"/>
        <w:widowControl w:val="0"/>
        <w:shd w:val="clear" w:color="auto" w:fill="auto"/>
        <w:bidi w:val="0"/>
        <w:spacing w:before="0" w:after="220" w:line="240" w:lineRule="auto"/>
        <w:ind w:left="0" w:right="0" w:firstLine="680"/>
        <w:jc w:val="left"/>
        <w:rPr>
          <w:sz w:val="24"/>
          <w:szCs w:val="24"/>
        </w:rPr>
      </w:pPr>
      <w:r>
        <w:rPr>
          <w:rFonts w:ascii="Arial" w:eastAsia="Arial" w:hAnsi="Arial" w:cs="Arial"/>
          <w:color w:val="000000"/>
          <w:spacing w:val="0"/>
          <w:w w:val="100"/>
          <w:position w:val="0"/>
          <w:sz w:val="20"/>
          <w:szCs w:val="20"/>
        </w:rPr>
        <w:t>（</w:t>
      </w:r>
      <w:r>
        <w:rPr>
          <w:color w:val="000000"/>
          <w:spacing w:val="0"/>
          <w:w w:val="100"/>
          <w:position w:val="0"/>
          <w:sz w:val="20"/>
          <w:szCs w:val="20"/>
        </w:rPr>
        <w:t>除特别注明外，金额单位为人民币千元</w:t>
      </w:r>
      <w:r>
        <w:rPr>
          <w:color w:val="000000"/>
          <w:spacing w:val="0"/>
          <w:w w:val="100"/>
          <w:position w:val="0"/>
          <w:sz w:val="24"/>
          <w:szCs w:val="24"/>
        </w:rPr>
        <w:t>）</w:t>
      </w:r>
    </w:p>
    <w:p>
      <w:pPr>
        <w:pStyle w:val="Style32"/>
        <w:keepNext w:val="0"/>
        <w:keepLines w:val="0"/>
        <w:widowControl w:val="0"/>
        <w:shd w:val="clear" w:color="auto" w:fill="auto"/>
        <w:tabs>
          <w:tab w:pos="638" w:val="left"/>
        </w:tabs>
        <w:bidi w:val="0"/>
        <w:spacing w:before="0" w:after="260" w:line="240" w:lineRule="auto"/>
        <w:ind w:left="0" w:right="0" w:firstLine="0"/>
        <w:jc w:val="left"/>
        <w:rPr>
          <w:sz w:val="24"/>
          <w:szCs w:val="24"/>
        </w:rPr>
      </w:pPr>
      <w:r>
        <w:rPr>
          <w:b/>
          <w:bCs/>
          <w:color w:val="000000"/>
          <w:spacing w:val="0"/>
          <w:w w:val="100"/>
          <w:position w:val="0"/>
          <w:sz w:val="24"/>
          <w:szCs w:val="24"/>
        </w:rPr>
        <w:t>六</w:t>
        <w:tab/>
        <w:t>在其他主体中的权益</w:t>
      </w:r>
      <w:r>
        <w:rPr>
          <w:rFonts w:ascii="Times New Roman" w:eastAsia="Times New Roman" w:hAnsi="Times New Roman" w:cs="Times New Roman"/>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4"/>
          <w:szCs w:val="24"/>
        </w:rPr>
        <w:t>）</w:t>
      </w:r>
    </w:p>
    <w:p>
      <w:pPr>
        <w:pStyle w:val="Style32"/>
        <w:keepNext w:val="0"/>
        <w:keepLines w:val="0"/>
        <w:widowControl w:val="0"/>
        <w:shd w:val="clear" w:color="auto" w:fill="auto"/>
        <w:tabs>
          <w:tab w:pos="638" w:val="left"/>
        </w:tabs>
        <w:bidi w:val="0"/>
        <w:spacing w:before="0" w:after="26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（2）</w:t>
        <w:tab/>
      </w:r>
      <w:r>
        <w:rPr>
          <w:b/>
          <w:bCs/>
          <w:color w:val="000000"/>
          <w:spacing w:val="0"/>
          <w:w w:val="100"/>
          <w:position w:val="0"/>
          <w:sz w:val="24"/>
          <w:szCs w:val="24"/>
        </w:rPr>
        <w:t>在合营企业和联营企业中的权益</w:t>
      </w:r>
      <w:r>
        <w:rPr>
          <w:rFonts w:ascii="Times New Roman" w:eastAsia="Times New Roman" w:hAnsi="Times New Roman" w:cs="Times New Roman"/>
          <w:color w:val="000000"/>
          <w:spacing w:val="0"/>
          <w:w w:val="100"/>
          <w:position w:val="0"/>
          <w:sz w:val="24"/>
          <w:szCs w:val="24"/>
        </w:rPr>
        <w:t>（</w:t>
      </w:r>
      <w:r>
        <w:rPr>
          <w:b/>
          <w:bCs/>
          <w:color w:val="000000"/>
          <w:spacing w:val="0"/>
          <w:w w:val="100"/>
          <w:position w:val="0"/>
          <w:sz w:val="24"/>
          <w:szCs w:val="24"/>
        </w:rPr>
        <w:t>续</w:t>
      </w:r>
      <w:r>
        <w:rPr>
          <w:rFonts w:ascii="Times New Roman" w:eastAsia="Times New Roman" w:hAnsi="Times New Roman" w:cs="Times New Roman"/>
          <w:color w:val="000000"/>
          <w:spacing w:val="0"/>
          <w:w w:val="100"/>
          <w:position w:val="0"/>
          <w:sz w:val="24"/>
          <w:szCs w:val="24"/>
        </w:rPr>
        <w:t>）</w:t>
      </w:r>
    </w:p>
    <w:p>
      <w:pPr>
        <w:pStyle w:val="Style32"/>
        <w:keepNext w:val="0"/>
        <w:keepLines w:val="0"/>
        <w:widowControl w:val="0"/>
        <w:shd w:val="clear" w:color="auto" w:fill="auto"/>
        <w:tabs>
          <w:tab w:pos="638" w:val="left"/>
        </w:tabs>
        <w:bidi w:val="0"/>
        <w:spacing w:before="0" w:after="220" w:line="240" w:lineRule="auto"/>
        <w:ind w:left="0" w:right="0" w:firstLine="0"/>
        <w:jc w:val="left"/>
        <w:rPr>
          <w:sz w:val="24"/>
          <w:szCs w:val="24"/>
        </w:rPr>
      </w:pPr>
      <w:bookmarkStart w:id="1044" w:name="bookmark1044"/>
      <w:r>
        <w:rPr>
          <w:rFonts w:ascii="Times New Roman" w:eastAsia="Times New Roman" w:hAnsi="Times New Roman" w:cs="Times New Roman"/>
          <w:color w:val="000000"/>
          <w:spacing w:val="0"/>
          <w:w w:val="100"/>
          <w:position w:val="0"/>
          <w:sz w:val="24"/>
          <w:szCs w:val="24"/>
        </w:rPr>
        <w:t>（</w:t>
      </w:r>
      <w:bookmarkEnd w:id="1044"/>
      <w:r>
        <w:rPr>
          <w:rFonts w:ascii="Times New Roman" w:eastAsia="Times New Roman" w:hAnsi="Times New Roman" w:cs="Times New Roman"/>
          <w:color w:val="000000"/>
          <w:spacing w:val="0"/>
          <w:w w:val="100"/>
          <w:position w:val="0"/>
          <w:sz w:val="24"/>
          <w:szCs w:val="24"/>
        </w:rPr>
        <w:t>c）</w:t>
        <w:tab/>
      </w:r>
      <w:r>
        <w:rPr>
          <w:color w:val="000000"/>
          <w:spacing w:val="0"/>
          <w:w w:val="100"/>
          <w:position w:val="0"/>
          <w:sz w:val="24"/>
          <w:szCs w:val="24"/>
        </w:rPr>
        <w:t>重要联营企业的主要财务信息</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续</w:t>
      </w:r>
      <w:r>
        <w:rPr>
          <w:color w:val="000000"/>
          <w:spacing w:val="0"/>
          <w:w w:val="100"/>
          <w:position w:val="0"/>
          <w:sz w:val="24"/>
          <w:szCs w:val="24"/>
        </w:rPr>
        <w:t>）</w:t>
      </w:r>
    </w:p>
    <w:p>
      <w:pPr>
        <w:pStyle w:val="Style25"/>
        <w:keepNext w:val="0"/>
        <w:keepLines w:val="0"/>
        <w:widowControl w:val="0"/>
        <w:shd w:val="clear" w:color="auto" w:fill="auto"/>
        <w:bidi w:val="0"/>
        <w:spacing w:before="0" w:after="0" w:line="240" w:lineRule="auto"/>
        <w:ind w:left="5021" w:right="0" w:firstLine="0"/>
        <w:jc w:val="left"/>
        <w:rPr>
          <w:sz w:val="24"/>
          <w:szCs w:val="24"/>
        </w:rPr>
      </w:pPr>
      <w:r>
        <w:rPr>
          <w:rFonts w:ascii="Times New Roman" w:eastAsia="Times New Roman" w:hAnsi="Times New Roman" w:cs="Times New Roman"/>
          <w:color w:val="000000"/>
          <w:spacing w:val="0"/>
          <w:w w:val="100"/>
          <w:position w:val="0"/>
          <w:sz w:val="24"/>
          <w:szCs w:val="24"/>
        </w:rPr>
        <w:t>2015</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w:t>
      </w:r>
    </w:p>
    <w:tbl>
      <w:tblPr>
        <w:tblOverlap w:val="never"/>
        <w:jc w:val="right"/>
        <w:tblLayout w:type="fixed"/>
      </w:tblPr>
      <w:tblGrid>
        <w:gridCol w:w="2722"/>
        <w:gridCol w:w="2496"/>
        <w:gridCol w:w="1973"/>
        <w:gridCol w:w="1392"/>
      </w:tblGrid>
      <w:tr>
        <w:trPr>
          <w:trHeight w:val="466" w:hRule="exact"/>
        </w:trPr>
        <w:tc>
          <w:tcPr>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140" w:firstLine="0"/>
              <w:jc w:val="right"/>
              <w:rPr>
                <w:sz w:val="24"/>
                <w:szCs w:val="24"/>
              </w:rPr>
            </w:pPr>
            <w:r>
              <w:rPr>
                <w:color w:val="000000"/>
                <w:spacing w:val="0"/>
                <w:w w:val="100"/>
                <w:position w:val="0"/>
                <w:sz w:val="24"/>
                <w:szCs w:val="24"/>
              </w:rPr>
              <w:t>丸悦</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40"/>
              <w:jc w:val="left"/>
              <w:rPr>
                <w:sz w:val="24"/>
                <w:szCs w:val="24"/>
              </w:rPr>
            </w:pPr>
            <w:r>
              <w:rPr>
                <w:color w:val="000000"/>
                <w:spacing w:val="0"/>
                <w:w w:val="100"/>
                <w:position w:val="0"/>
                <w:sz w:val="24"/>
                <w:szCs w:val="24"/>
              </w:rPr>
              <w:t>苏宁消费金融</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锤子科技</w:t>
            </w:r>
          </w:p>
        </w:tc>
      </w:tr>
      <w:tr>
        <w:trPr>
          <w:trHeight w:val="446"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流动资产</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620" w:right="0" w:firstLine="0"/>
              <w:jc w:val="left"/>
              <w:rPr>
                <w:sz w:val="24"/>
                <w:szCs w:val="24"/>
              </w:rPr>
            </w:pPr>
            <w:r>
              <w:rPr>
                <w:rFonts w:ascii="Times New Roman" w:eastAsia="Times New Roman" w:hAnsi="Times New Roman" w:cs="Times New Roman"/>
                <w:color w:val="000000"/>
                <w:spacing w:val="0"/>
                <w:w w:val="100"/>
                <w:position w:val="0"/>
                <w:sz w:val="24"/>
                <w:szCs w:val="24"/>
              </w:rPr>
              <w:t>93,513</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left"/>
              <w:rPr>
                <w:sz w:val="24"/>
                <w:szCs w:val="24"/>
              </w:rPr>
            </w:pPr>
            <w:r>
              <w:rPr>
                <w:rFonts w:ascii="Times New Roman" w:eastAsia="Times New Roman" w:hAnsi="Times New Roman" w:cs="Times New Roman"/>
                <w:color w:val="000000"/>
                <w:spacing w:val="0"/>
                <w:w w:val="100"/>
                <w:position w:val="0"/>
                <w:sz w:val="24"/>
                <w:szCs w:val="24"/>
              </w:rPr>
              <w:t>1,734,188</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00"/>
              <w:jc w:val="both"/>
              <w:rPr>
                <w:sz w:val="24"/>
                <w:szCs w:val="24"/>
              </w:rPr>
            </w:pPr>
            <w:r>
              <w:rPr>
                <w:rFonts w:ascii="Times New Roman" w:eastAsia="Times New Roman" w:hAnsi="Times New Roman" w:cs="Times New Roman"/>
                <w:color w:val="000000"/>
                <w:spacing w:val="0"/>
                <w:w w:val="100"/>
                <w:position w:val="0"/>
                <w:sz w:val="24"/>
                <w:szCs w:val="24"/>
              </w:rPr>
              <w:t>793,538</w:t>
            </w:r>
          </w:p>
        </w:tc>
      </w:tr>
      <w:tr>
        <w:trPr>
          <w:trHeight w:val="331"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非流动资产</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620" w:right="0" w:firstLine="0"/>
              <w:jc w:val="left"/>
              <w:rPr>
                <w:sz w:val="24"/>
                <w:szCs w:val="24"/>
              </w:rPr>
            </w:pPr>
            <w:r>
              <w:rPr>
                <w:rFonts w:ascii="Times New Roman" w:eastAsia="Times New Roman" w:hAnsi="Times New Roman" w:cs="Times New Roman"/>
                <w:color w:val="000000"/>
                <w:spacing w:val="0"/>
                <w:w w:val="100"/>
                <w:position w:val="0"/>
                <w:sz w:val="24"/>
                <w:szCs w:val="24"/>
              </w:rPr>
              <w:t>24,258</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00"/>
              <w:jc w:val="left"/>
              <w:rPr>
                <w:sz w:val="24"/>
                <w:szCs w:val="24"/>
              </w:rPr>
            </w:pPr>
            <w:r>
              <w:rPr>
                <w:rFonts w:ascii="Times New Roman" w:eastAsia="Times New Roman" w:hAnsi="Times New Roman" w:cs="Times New Roman"/>
                <w:color w:val="000000"/>
                <w:spacing w:val="0"/>
                <w:w w:val="100"/>
                <w:position w:val="0"/>
                <w:sz w:val="24"/>
                <w:szCs w:val="24"/>
              </w:rPr>
              <w:t>14,461</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23,865</w:t>
            </w:r>
          </w:p>
        </w:tc>
      </w:tr>
      <w:tr>
        <w:trPr>
          <w:trHeight w:val="312"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资产合计</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140" w:firstLine="0"/>
              <w:jc w:val="right"/>
              <w:rPr>
                <w:sz w:val="24"/>
                <w:szCs w:val="24"/>
              </w:rPr>
            </w:pPr>
            <w:r>
              <w:rPr>
                <w:rFonts w:ascii="Times New Roman" w:eastAsia="Times New Roman" w:hAnsi="Times New Roman" w:cs="Times New Roman"/>
                <w:color w:val="000000"/>
                <w:spacing w:val="0"/>
                <w:w w:val="100"/>
                <w:position w:val="0"/>
                <w:sz w:val="24"/>
                <w:szCs w:val="24"/>
              </w:rPr>
              <w:t>117,771</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left"/>
              <w:rPr>
                <w:sz w:val="24"/>
                <w:szCs w:val="24"/>
              </w:rPr>
            </w:pPr>
            <w:r>
              <w:rPr>
                <w:rFonts w:ascii="Times New Roman" w:eastAsia="Times New Roman" w:hAnsi="Times New Roman" w:cs="Times New Roman"/>
                <w:color w:val="000000"/>
                <w:spacing w:val="0"/>
                <w:w w:val="100"/>
                <w:position w:val="0"/>
                <w:sz w:val="24"/>
                <w:szCs w:val="24"/>
              </w:rPr>
              <w:t>1,748,649</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00"/>
              <w:jc w:val="both"/>
              <w:rPr>
                <w:sz w:val="24"/>
                <w:szCs w:val="24"/>
              </w:rPr>
            </w:pPr>
            <w:r>
              <w:rPr>
                <w:rFonts w:ascii="Times New Roman" w:eastAsia="Times New Roman" w:hAnsi="Times New Roman" w:cs="Times New Roman"/>
                <w:color w:val="000000"/>
                <w:spacing w:val="0"/>
                <w:w w:val="100"/>
                <w:position w:val="0"/>
                <w:sz w:val="24"/>
                <w:szCs w:val="24"/>
              </w:rPr>
              <w:t>817,403</w:t>
            </w:r>
          </w:p>
        </w:tc>
      </w:tr>
      <w:tr>
        <w:trPr>
          <w:trHeight w:val="778"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流动负债</w:t>
            </w:r>
          </w:p>
        </w:tc>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140" w:firstLine="0"/>
              <w:jc w:val="right"/>
              <w:rPr>
                <w:sz w:val="24"/>
                <w:szCs w:val="24"/>
              </w:rPr>
            </w:pPr>
            <w:r>
              <w:rPr>
                <w:rFonts w:ascii="Times New Roman" w:eastAsia="Times New Roman" w:hAnsi="Times New Roman" w:cs="Times New Roman"/>
                <w:color w:val="000000"/>
                <w:spacing w:val="0"/>
                <w:w w:val="100"/>
                <w:position w:val="0"/>
                <w:sz w:val="24"/>
                <w:szCs w:val="24"/>
              </w:rPr>
              <w:t>(24,090)</w:t>
            </w:r>
          </w:p>
        </w:tc>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left"/>
              <w:rPr>
                <w:sz w:val="24"/>
                <w:szCs w:val="24"/>
              </w:rPr>
            </w:pPr>
            <w:r>
              <w:rPr>
                <w:rFonts w:ascii="Times New Roman" w:eastAsia="Times New Roman" w:hAnsi="Times New Roman" w:cs="Times New Roman"/>
                <w:color w:val="000000"/>
                <w:spacing w:val="0"/>
                <w:w w:val="100"/>
                <w:position w:val="0"/>
                <w:sz w:val="24"/>
                <w:szCs w:val="24"/>
              </w:rPr>
              <w:t>(1,510,336)</w:t>
            </w:r>
          </w:p>
        </w:tc>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(632,752)</w:t>
            </w:r>
          </w:p>
        </w:tc>
      </w:tr>
      <w:tr>
        <w:trPr>
          <w:trHeight w:val="461"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股东权益</w:t>
            </w:r>
          </w:p>
        </w:tc>
        <w:tc>
          <w:tcPr>
            <w:tcBorders>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620" w:right="0" w:firstLine="0"/>
              <w:jc w:val="left"/>
              <w:rPr>
                <w:sz w:val="24"/>
                <w:szCs w:val="24"/>
              </w:rPr>
            </w:pPr>
            <w:r>
              <w:rPr>
                <w:rFonts w:ascii="Times New Roman" w:eastAsia="Times New Roman" w:hAnsi="Times New Roman" w:cs="Times New Roman"/>
                <w:color w:val="000000"/>
                <w:spacing w:val="0"/>
                <w:w w:val="100"/>
                <w:position w:val="0"/>
                <w:sz w:val="24"/>
                <w:szCs w:val="24"/>
              </w:rPr>
              <w:t>93,681</w:t>
            </w:r>
          </w:p>
        </w:tc>
        <w:tc>
          <w:tcPr>
            <w:tcBorders>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80"/>
              <w:jc w:val="left"/>
              <w:rPr>
                <w:sz w:val="24"/>
                <w:szCs w:val="24"/>
              </w:rPr>
            </w:pPr>
            <w:r>
              <w:rPr>
                <w:rFonts w:ascii="Times New Roman" w:eastAsia="Times New Roman" w:hAnsi="Times New Roman" w:cs="Times New Roman"/>
                <w:color w:val="000000"/>
                <w:spacing w:val="0"/>
                <w:w w:val="100"/>
                <w:position w:val="0"/>
                <w:sz w:val="24"/>
                <w:szCs w:val="24"/>
              </w:rPr>
              <w:t>238,313</w:t>
            </w:r>
          </w:p>
        </w:tc>
        <w:tc>
          <w:tcPr>
            <w:tcBorders>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00"/>
              <w:jc w:val="both"/>
              <w:rPr>
                <w:sz w:val="24"/>
                <w:szCs w:val="24"/>
              </w:rPr>
            </w:pPr>
            <w:r>
              <w:rPr>
                <w:rFonts w:ascii="Times New Roman" w:eastAsia="Times New Roman" w:hAnsi="Times New Roman" w:cs="Times New Roman"/>
                <w:color w:val="000000"/>
                <w:spacing w:val="0"/>
                <w:w w:val="100"/>
                <w:position w:val="0"/>
                <w:sz w:val="24"/>
                <w:szCs w:val="24"/>
              </w:rPr>
              <w:t>184,651</w:t>
            </w:r>
          </w:p>
        </w:tc>
      </w:tr>
    </w:tbl>
    <w:p>
      <w:pPr>
        <w:widowControl w:val="0"/>
        <w:spacing w:after="259" w:line="1" w:lineRule="exact"/>
      </w:pPr>
    </w:p>
    <w:p>
      <w:pPr>
        <w:pStyle w:val="Style25"/>
        <w:keepNext w:val="0"/>
        <w:keepLines w:val="0"/>
        <w:widowControl w:val="0"/>
        <w:shd w:val="clear" w:color="auto" w:fill="auto"/>
        <w:tabs>
          <w:tab w:pos="4325" w:val="left"/>
          <w:tab w:leader="underscore" w:pos="6014" w:val="left"/>
          <w:tab w:pos="7915" w:val="left"/>
        </w:tabs>
        <w:bidi w:val="0"/>
        <w:spacing w:before="0" w:after="0" w:line="240" w:lineRule="auto"/>
        <w:ind w:left="5" w:right="0" w:firstLine="0"/>
        <w:jc w:val="left"/>
        <w:rPr>
          <w:sz w:val="24"/>
          <w:szCs w:val="24"/>
        </w:rPr>
      </w:pPr>
      <w:r>
        <w:rPr>
          <w:color w:val="000000"/>
          <w:spacing w:val="0"/>
          <w:w w:val="100"/>
          <w:position w:val="0"/>
          <w:sz w:val="24"/>
          <w:szCs w:val="24"/>
        </w:rPr>
        <w:t>按持股比例计算的净资产份额⑴</w:t>
        <w:tab/>
      </w:r>
      <w:r>
        <w:rPr>
          <w:rFonts w:ascii="Times New Roman" w:eastAsia="Times New Roman" w:hAnsi="Times New Roman" w:cs="Times New Roman"/>
          <w:color w:val="000000"/>
          <w:spacing w:val="0"/>
          <w:w w:val="100"/>
          <w:position w:val="0"/>
          <w:sz w:val="24"/>
          <w:szCs w:val="24"/>
          <w:u w:val="single"/>
        </w:rPr>
        <w:t>28,104</w:t>
      </w:r>
      <w:r>
        <w:rPr>
          <w:rFonts w:ascii="Times New Roman" w:eastAsia="Times New Roman" w:hAnsi="Times New Roman" w:cs="Times New Roman"/>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u w:val="single"/>
        </w:rPr>
        <w:t>116,773</w:t>
        <w:tab/>
        <w:t>3,490</w:t>
      </w:r>
    </w:p>
    <w:tbl>
      <w:tblPr>
        <w:tblOverlap w:val="never"/>
        <w:jc w:val="right"/>
        <w:tblLayout w:type="fixed"/>
      </w:tblPr>
      <w:tblGrid>
        <w:gridCol w:w="7291"/>
        <w:gridCol w:w="1291"/>
      </w:tblGrid>
      <w:tr>
        <w:trPr>
          <w:trHeight w:val="619" w:hRule="exact"/>
        </w:trPr>
        <w:tc>
          <w:tcPr>
            <w:tcBorders/>
            <w:shd w:val="clear" w:color="auto" w:fill="FFFFFF"/>
            <w:vAlign w:val="top"/>
          </w:tcPr>
          <w:p>
            <w:pPr>
              <w:pStyle w:val="Style28"/>
              <w:keepNext w:val="0"/>
              <w:keepLines w:val="0"/>
              <w:widowControl w:val="0"/>
              <w:shd w:val="clear" w:color="auto" w:fill="auto"/>
              <w:bidi w:val="0"/>
              <w:spacing w:before="0" w:after="40" w:line="240" w:lineRule="auto"/>
              <w:ind w:left="0" w:right="0" w:firstLine="0"/>
              <w:jc w:val="left"/>
              <w:rPr>
                <w:sz w:val="24"/>
                <w:szCs w:val="24"/>
              </w:rPr>
            </w:pPr>
            <w:r>
              <w:rPr>
                <w:color w:val="000000"/>
                <w:spacing w:val="0"/>
                <w:w w:val="100"/>
                <w:position w:val="0"/>
                <w:sz w:val="24"/>
                <w:szCs w:val="24"/>
              </w:rPr>
              <w:t>调整事项</w:t>
            </w:r>
          </w:p>
          <w:p>
            <w:pPr>
              <w:pStyle w:val="Style28"/>
              <w:keepNext w:val="0"/>
              <w:keepLines w:val="0"/>
              <w:widowControl w:val="0"/>
              <w:shd w:val="clear" w:color="auto" w:fill="auto"/>
              <w:tabs>
                <w:tab w:pos="4898" w:val="left"/>
                <w:tab w:pos="6635" w:val="left"/>
              </w:tabs>
              <w:bidi w:val="0"/>
              <w:spacing w:before="0" w:after="0" w:line="240" w:lineRule="auto"/>
              <w:ind w:left="0" w:right="0" w:firstLine="280"/>
              <w:jc w:val="left"/>
              <w:rPr>
                <w:sz w:val="24"/>
                <w:szCs w:val="24"/>
              </w:rPr>
            </w:pPr>
            <w:r>
              <w:rPr>
                <w:color w:val="000000"/>
                <w:spacing w:val="0"/>
                <w:w w:val="100"/>
                <w:position w:val="0"/>
                <w:sz w:val="24"/>
                <w:szCs w:val="24"/>
              </w:rPr>
              <w:t>一</w:t>
            </w:r>
            <w:r>
              <w:rPr>
                <w:color w:val="000000"/>
                <w:spacing w:val="0"/>
                <w:w w:val="100"/>
                <w:position w:val="0"/>
                <w:sz w:val="24"/>
                <w:szCs w:val="24"/>
              </w:rPr>
              <w:t>商誉</w:t>
              <w:tab/>
            </w:r>
            <w:r>
              <w:rPr>
                <w:rFonts w:ascii="Times New Roman" w:eastAsia="Times New Roman" w:hAnsi="Times New Roman" w:cs="Times New Roman"/>
                <w:color w:val="000000"/>
                <w:spacing w:val="0"/>
                <w:w w:val="100"/>
                <w:position w:val="0"/>
                <w:sz w:val="24"/>
                <w:szCs w:val="24"/>
              </w:rPr>
              <w:t>-</w:t>
              <w:tab/>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left"/>
              <w:rPr>
                <w:sz w:val="24"/>
                <w:szCs w:val="24"/>
              </w:rPr>
            </w:pPr>
            <w:r>
              <w:rPr>
                <w:rFonts w:ascii="Times New Roman" w:eastAsia="Times New Roman" w:hAnsi="Times New Roman" w:cs="Times New Roman"/>
                <w:color w:val="000000"/>
                <w:spacing w:val="0"/>
                <w:w w:val="100"/>
                <w:position w:val="0"/>
                <w:sz w:val="24"/>
                <w:szCs w:val="24"/>
              </w:rPr>
              <w:t>41,838</w:t>
            </w:r>
          </w:p>
        </w:tc>
      </w:tr>
      <w:tr>
        <w:trPr>
          <w:trHeight w:val="658" w:hRule="exact"/>
        </w:trPr>
        <w:tc>
          <w:tcPr>
            <w:tcBorders>
              <w:top w:val="single" w:sz="4"/>
              <w:bottom w:val="single" w:sz="4"/>
            </w:tcBorders>
            <w:shd w:val="clear" w:color="auto" w:fill="FFFFFF"/>
            <w:vAlign w:val="bottom"/>
          </w:tcPr>
          <w:p>
            <w:pPr>
              <w:pStyle w:val="Style28"/>
              <w:keepNext w:val="0"/>
              <w:keepLines w:val="0"/>
              <w:widowControl w:val="0"/>
              <w:shd w:val="clear" w:color="auto" w:fill="auto"/>
              <w:tabs>
                <w:tab w:pos="4320" w:val="left"/>
                <w:tab w:leader="underscore" w:pos="6019" w:val="left"/>
              </w:tabs>
              <w:bidi w:val="0"/>
              <w:spacing w:before="0" w:after="0" w:line="240" w:lineRule="auto"/>
              <w:ind w:left="0" w:right="0" w:firstLine="0"/>
              <w:jc w:val="left"/>
              <w:rPr>
                <w:sz w:val="24"/>
                <w:szCs w:val="24"/>
              </w:rPr>
            </w:pPr>
            <w:r>
              <w:rPr>
                <w:color w:val="000000"/>
                <w:spacing w:val="0"/>
                <w:w w:val="100"/>
                <w:position w:val="0"/>
                <w:sz w:val="24"/>
                <w:szCs w:val="24"/>
              </w:rPr>
              <w:t>对联营企业权益投资的账面价值</w:t>
              <w:tab/>
            </w:r>
            <w:r>
              <w:rPr>
                <w:rFonts w:ascii="Times New Roman" w:eastAsia="Times New Roman" w:hAnsi="Times New Roman" w:cs="Times New Roman"/>
                <w:color w:val="000000"/>
                <w:spacing w:val="0"/>
                <w:w w:val="100"/>
                <w:position w:val="0"/>
                <w:sz w:val="24"/>
                <w:szCs w:val="24"/>
                <w:u w:val="single"/>
              </w:rPr>
              <w:t>28,104</w:t>
            </w:r>
            <w:r>
              <w:rPr>
                <w:rFonts w:ascii="Times New Roman" w:eastAsia="Times New Roman" w:hAnsi="Times New Roman" w:cs="Times New Roman"/>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u w:val="single"/>
              </w:rPr>
              <w:t>116,773</w:t>
            </w:r>
            <w:r>
              <w:rPr>
                <w:rFonts w:ascii="Times New Roman" w:eastAsia="Times New Roman" w:hAnsi="Times New Roman" w:cs="Times New Roman"/>
                <w:color w:val="000000"/>
                <w:spacing w:val="0"/>
                <w:w w:val="100"/>
                <w:position w:val="0"/>
                <w:sz w:val="24"/>
                <w:szCs w:val="24"/>
              </w:rPr>
              <w:t xml:space="preserve"> _</w:t>
            </w:r>
          </w:p>
        </w:tc>
        <w:tc>
          <w:tcPr>
            <w:tcBorders>
              <w:top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left"/>
              <w:rPr>
                <w:sz w:val="24"/>
                <w:szCs w:val="24"/>
              </w:rPr>
            </w:pPr>
            <w:r>
              <w:rPr>
                <w:rFonts w:ascii="Times New Roman" w:eastAsia="Times New Roman" w:hAnsi="Times New Roman" w:cs="Times New Roman"/>
                <w:color w:val="000000"/>
                <w:spacing w:val="0"/>
                <w:w w:val="100"/>
                <w:position w:val="0"/>
                <w:sz w:val="24"/>
                <w:szCs w:val="24"/>
              </w:rPr>
              <w:t>45,328</w:t>
            </w:r>
          </w:p>
        </w:tc>
      </w:tr>
    </w:tbl>
    <w:p>
      <w:pPr>
        <w:widowControl w:val="0"/>
        <w:spacing w:after="219" w:line="1" w:lineRule="exact"/>
      </w:pPr>
    </w:p>
    <w:p>
      <w:pPr>
        <w:pStyle w:val="Style32"/>
        <w:keepNext w:val="0"/>
        <w:keepLines w:val="0"/>
        <w:widowControl w:val="0"/>
        <w:shd w:val="clear" w:color="auto" w:fill="auto"/>
        <w:tabs>
          <w:tab w:pos="638" w:val="left"/>
        </w:tabs>
        <w:bidi w:val="0"/>
        <w:spacing w:before="0" w:after="0" w:line="317" w:lineRule="exact"/>
        <w:ind w:left="0" w:right="0" w:firstLine="0"/>
        <w:jc w:val="left"/>
        <w:rPr>
          <w:sz w:val="24"/>
          <w:szCs w:val="24"/>
        </w:rPr>
      </w:pPr>
      <w:r>
        <w:rPr>
          <w:color w:val="000000"/>
          <w:spacing w:val="0"/>
          <w:w w:val="100"/>
          <w:position w:val="0"/>
          <w:sz w:val="24"/>
          <w:szCs w:val="24"/>
        </w:rPr>
        <w:t>⑴</w:t>
        <w:tab/>
        <w:t>本集团以联营企业合并财务报表中归属于本公司的金额为基础，按持股比例计算</w:t>
      </w:r>
    </w:p>
    <w:p>
      <w:pPr>
        <w:pStyle w:val="Style32"/>
        <w:keepNext w:val="0"/>
        <w:keepLines w:val="0"/>
        <w:widowControl w:val="0"/>
        <w:shd w:val="clear" w:color="auto" w:fill="auto"/>
        <w:bidi w:val="0"/>
        <w:spacing w:before="0" w:after="220" w:line="317" w:lineRule="exact"/>
        <w:ind w:left="680" w:right="0" w:firstLine="40"/>
        <w:jc w:val="left"/>
        <w:rPr>
          <w:sz w:val="24"/>
          <w:szCs w:val="24"/>
        </w:rPr>
      </w:pPr>
      <w:r>
        <w:rPr>
          <w:color w:val="000000"/>
          <w:spacing w:val="0"/>
          <w:w w:val="100"/>
          <w:position w:val="0"/>
          <w:sz w:val="24"/>
          <w:szCs w:val="24"/>
        </w:rPr>
        <w:t>资产份额。联营企业合并财务报表中的金额考虑了取得投资时联营企业可辨认净 资产和负债的公允价值以及统一会计政策的影响。</w:t>
      </w:r>
    </w:p>
    <w:p>
      <w:pPr>
        <w:pStyle w:val="Style32"/>
        <w:keepNext w:val="0"/>
        <w:keepLines w:val="0"/>
        <w:widowControl w:val="0"/>
        <w:shd w:val="clear" w:color="auto" w:fill="auto"/>
        <w:bidi w:val="0"/>
        <w:spacing w:before="0" w:after="0" w:line="240" w:lineRule="auto"/>
        <w:ind w:left="0" w:right="0" w:firstLine="680"/>
        <w:jc w:val="left"/>
        <w:rPr>
          <w:sz w:val="24"/>
          <w:szCs w:val="24"/>
        </w:rPr>
      </w:pPr>
      <w:r>
        <w:rPr>
          <w:b/>
          <w:bCs/>
          <w:color w:val="000000"/>
          <w:spacing w:val="0"/>
          <w:w w:val="100"/>
          <w:position w:val="0"/>
          <w:sz w:val="24"/>
          <w:szCs w:val="24"/>
        </w:rPr>
        <w:t>财务报表附注</w:t>
      </w:r>
    </w:p>
    <w:p>
      <w:pPr>
        <w:pStyle w:val="Style88"/>
        <w:keepNext/>
        <w:keepLines/>
        <w:widowControl w:val="0"/>
        <w:shd w:val="clear" w:color="auto" w:fill="auto"/>
        <w:bidi w:val="0"/>
        <w:spacing w:before="0" w:after="0" w:line="240" w:lineRule="auto"/>
        <w:ind w:left="0" w:right="0" w:firstLine="680"/>
        <w:jc w:val="left"/>
      </w:pPr>
      <w:bookmarkStart w:id="1045" w:name="bookmark1045"/>
      <w:bookmarkStart w:id="1046" w:name="bookmark1046"/>
      <w:bookmarkStart w:id="1047" w:name="bookmark1047"/>
      <w:r>
        <w:rPr>
          <w:color w:val="000000"/>
          <w:spacing w:val="0"/>
          <w:w w:val="100"/>
          <w:position w:val="0"/>
          <w:sz w:val="24"/>
          <w:szCs w:val="24"/>
        </w:rPr>
        <w:t>2016</w:t>
      </w:r>
      <w:r>
        <w:rPr>
          <w:rFonts w:ascii="SimSun" w:eastAsia="SimSun" w:hAnsi="SimSun" w:cs="SimSun"/>
          <w:b/>
          <w:bCs/>
          <w:color w:val="000000"/>
          <w:spacing w:val="0"/>
          <w:w w:val="100"/>
          <w:position w:val="0"/>
          <w:sz w:val="24"/>
          <w:szCs w:val="24"/>
        </w:rPr>
        <w:t>年度</w:t>
      </w:r>
      <w:bookmarkEnd w:id="1045"/>
      <w:bookmarkEnd w:id="1046"/>
      <w:bookmarkEnd w:id="1047"/>
    </w:p>
    <w:p>
      <w:pPr>
        <w:pStyle w:val="Style32"/>
        <w:keepNext w:val="0"/>
        <w:keepLines w:val="0"/>
        <w:widowControl w:val="0"/>
        <w:shd w:val="clear" w:color="auto" w:fill="auto"/>
        <w:bidi w:val="0"/>
        <w:spacing w:before="0" w:after="240" w:line="240" w:lineRule="auto"/>
        <w:ind w:left="0" w:right="0" w:firstLine="680"/>
        <w:jc w:val="left"/>
        <w:rPr>
          <w:sz w:val="24"/>
          <w:szCs w:val="24"/>
        </w:rPr>
      </w:pPr>
      <w:r>
        <w:rPr>
          <w:rFonts w:ascii="Arial" w:eastAsia="Arial" w:hAnsi="Arial" w:cs="Arial"/>
          <w:color w:val="000000"/>
          <w:spacing w:val="0"/>
          <w:w w:val="100"/>
          <w:position w:val="0"/>
          <w:sz w:val="20"/>
          <w:szCs w:val="20"/>
        </w:rPr>
        <w:t>（</w:t>
      </w:r>
      <w:r>
        <w:rPr>
          <w:color w:val="000000"/>
          <w:spacing w:val="0"/>
          <w:w w:val="100"/>
          <w:position w:val="0"/>
          <w:sz w:val="20"/>
          <w:szCs w:val="20"/>
        </w:rPr>
        <w:t>除特别注明外，金额单位为人民币千元</w:t>
      </w:r>
      <w:r>
        <w:rPr>
          <w:color w:val="000000"/>
          <w:spacing w:val="0"/>
          <w:w w:val="100"/>
          <w:position w:val="0"/>
          <w:sz w:val="24"/>
          <w:szCs w:val="24"/>
        </w:rPr>
        <w:t>）</w:t>
      </w:r>
    </w:p>
    <w:p>
      <w:pPr>
        <w:pStyle w:val="Style32"/>
        <w:keepNext w:val="0"/>
        <w:keepLines w:val="0"/>
        <w:widowControl w:val="0"/>
        <w:shd w:val="clear" w:color="auto" w:fill="auto"/>
        <w:tabs>
          <w:tab w:pos="635" w:val="left"/>
        </w:tabs>
        <w:bidi w:val="0"/>
        <w:spacing w:before="0" w:after="240" w:line="240" w:lineRule="auto"/>
        <w:ind w:left="0" w:right="0" w:firstLine="0"/>
        <w:jc w:val="left"/>
        <w:rPr>
          <w:sz w:val="24"/>
          <w:szCs w:val="24"/>
        </w:rPr>
      </w:pPr>
      <w:r>
        <w:rPr>
          <w:b/>
          <w:bCs/>
          <w:color w:val="000000"/>
          <w:spacing w:val="0"/>
          <w:w w:val="100"/>
          <w:position w:val="0"/>
          <w:sz w:val="24"/>
          <w:szCs w:val="24"/>
        </w:rPr>
        <w:t>六</w:t>
        <w:tab/>
        <w:t>在其他主体中的权益</w:t>
      </w:r>
      <w:r>
        <w:rPr>
          <w:rFonts w:ascii="Times New Roman" w:eastAsia="Times New Roman" w:hAnsi="Times New Roman" w:cs="Times New Roman"/>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4"/>
          <w:szCs w:val="24"/>
        </w:rPr>
        <w:t>）</w:t>
      </w:r>
    </w:p>
    <w:p>
      <w:pPr>
        <w:pStyle w:val="Style32"/>
        <w:keepNext w:val="0"/>
        <w:keepLines w:val="0"/>
        <w:widowControl w:val="0"/>
        <w:shd w:val="clear" w:color="auto" w:fill="auto"/>
        <w:tabs>
          <w:tab w:pos="635" w:val="left"/>
        </w:tabs>
        <w:bidi w:val="0"/>
        <w:spacing w:before="0" w:after="24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（2）</w:t>
        <w:tab/>
      </w:r>
      <w:r>
        <w:rPr>
          <w:b/>
          <w:bCs/>
          <w:color w:val="000000"/>
          <w:spacing w:val="0"/>
          <w:w w:val="100"/>
          <w:position w:val="0"/>
          <w:sz w:val="24"/>
          <w:szCs w:val="24"/>
        </w:rPr>
        <w:t>在合营企业和联营企业中的权益</w:t>
      </w:r>
      <w:r>
        <w:rPr>
          <w:rFonts w:ascii="Times New Roman" w:eastAsia="Times New Roman" w:hAnsi="Times New Roman" w:cs="Times New Roman"/>
          <w:color w:val="000000"/>
          <w:spacing w:val="0"/>
          <w:w w:val="100"/>
          <w:position w:val="0"/>
          <w:sz w:val="24"/>
          <w:szCs w:val="24"/>
        </w:rPr>
        <w:t>（</w:t>
      </w:r>
      <w:r>
        <w:rPr>
          <w:b/>
          <w:bCs/>
          <w:color w:val="000000"/>
          <w:spacing w:val="0"/>
          <w:w w:val="100"/>
          <w:position w:val="0"/>
          <w:sz w:val="24"/>
          <w:szCs w:val="24"/>
        </w:rPr>
        <w:t>续</w:t>
      </w:r>
      <w:r>
        <w:rPr>
          <w:rFonts w:ascii="Times New Roman" w:eastAsia="Times New Roman" w:hAnsi="Times New Roman" w:cs="Times New Roman"/>
          <w:color w:val="000000"/>
          <w:spacing w:val="0"/>
          <w:w w:val="100"/>
          <w:position w:val="0"/>
          <w:sz w:val="24"/>
          <w:szCs w:val="24"/>
        </w:rPr>
        <w:t>）</w:t>
      </w:r>
    </w:p>
    <w:p>
      <w:pPr>
        <w:pStyle w:val="Style32"/>
        <w:keepNext w:val="0"/>
        <w:keepLines w:val="0"/>
        <w:widowControl w:val="0"/>
        <w:shd w:val="clear" w:color="auto" w:fill="auto"/>
        <w:tabs>
          <w:tab w:pos="635" w:val="left"/>
        </w:tabs>
        <w:bidi w:val="0"/>
        <w:spacing w:before="0" w:after="240" w:line="240" w:lineRule="auto"/>
        <w:ind w:left="0" w:right="0" w:firstLine="0"/>
        <w:jc w:val="left"/>
        <w:rPr>
          <w:sz w:val="24"/>
          <w:szCs w:val="24"/>
        </w:rPr>
      </w:pPr>
      <w:bookmarkStart w:id="1048" w:name="bookmark1048"/>
      <w:r>
        <w:rPr>
          <w:rFonts w:ascii="Times New Roman" w:eastAsia="Times New Roman" w:hAnsi="Times New Roman" w:cs="Times New Roman"/>
          <w:color w:val="000000"/>
          <w:spacing w:val="0"/>
          <w:w w:val="100"/>
          <w:position w:val="0"/>
          <w:sz w:val="24"/>
          <w:szCs w:val="24"/>
        </w:rPr>
        <w:t>（</w:t>
      </w:r>
      <w:bookmarkEnd w:id="1048"/>
      <w:r>
        <w:rPr>
          <w:rFonts w:ascii="Times New Roman" w:eastAsia="Times New Roman" w:hAnsi="Times New Roman" w:cs="Times New Roman"/>
          <w:color w:val="000000"/>
          <w:spacing w:val="0"/>
          <w:w w:val="100"/>
          <w:position w:val="0"/>
          <w:sz w:val="24"/>
          <w:szCs w:val="24"/>
        </w:rPr>
        <w:t>c）</w:t>
        <w:tab/>
      </w:r>
      <w:r>
        <w:rPr>
          <w:color w:val="000000"/>
          <w:spacing w:val="0"/>
          <w:w w:val="100"/>
          <w:position w:val="0"/>
          <w:sz w:val="24"/>
          <w:szCs w:val="24"/>
        </w:rPr>
        <w:t>重要联营企业的主要财务信息</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续</w:t>
      </w:r>
      <w:r>
        <w:rPr>
          <w:color w:val="000000"/>
          <w:spacing w:val="0"/>
          <w:w w:val="100"/>
          <w:position w:val="0"/>
          <w:sz w:val="24"/>
          <w:szCs w:val="24"/>
        </w:rPr>
        <w:t>）</w:t>
      </w:r>
    </w:p>
    <w:tbl>
      <w:tblPr>
        <w:tblOverlap w:val="never"/>
        <w:jc w:val="right"/>
        <w:tblLayout w:type="fixed"/>
      </w:tblPr>
      <w:tblGrid>
        <w:gridCol w:w="3830"/>
        <w:gridCol w:w="1493"/>
        <w:gridCol w:w="1858"/>
        <w:gridCol w:w="1406"/>
      </w:tblGrid>
      <w:tr>
        <w:trPr>
          <w:trHeight w:val="302" w:hRule="exact"/>
        </w:trPr>
        <w:tc>
          <w:tcPr>
            <w:vMerge w:val="restart"/>
            <w:tcBorders/>
            <w:shd w:val="clear" w:color="auto" w:fill="FFFFFF"/>
            <w:vAlign w:val="top"/>
          </w:tcPr>
          <w:p>
            <w:pPr>
              <w:widowControl w:val="0"/>
              <w:rPr>
                <w:sz w:val="10"/>
                <w:szCs w:val="10"/>
              </w:rPr>
            </w:pPr>
          </w:p>
        </w:tc>
        <w:tc>
          <w:tcPr>
            <w:gridSpan w:val="3"/>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年度</w:t>
            </w:r>
          </w:p>
        </w:tc>
      </w:tr>
      <w:tr>
        <w:trPr>
          <w:trHeight w:val="461" w:hRule="exact"/>
        </w:trPr>
        <w:tc>
          <w:tcPr>
            <w:vMerge/>
            <w:tcBorders/>
            <w:shd w:val="clear" w:color="auto" w:fill="FFFFFF"/>
            <w:vAlign w:val="top"/>
          </w:tcPr>
          <w:p>
            <w:pP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20"/>
              <w:jc w:val="left"/>
              <w:rPr>
                <w:sz w:val="24"/>
                <w:szCs w:val="24"/>
              </w:rPr>
            </w:pPr>
            <w:r>
              <w:rPr>
                <w:color w:val="000000"/>
                <w:spacing w:val="0"/>
                <w:w w:val="100"/>
                <w:position w:val="0"/>
                <w:sz w:val="24"/>
                <w:szCs w:val="24"/>
              </w:rPr>
              <w:t>丸悦</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苏宁消费金融</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both"/>
              <w:rPr>
                <w:sz w:val="24"/>
                <w:szCs w:val="24"/>
              </w:rPr>
            </w:pPr>
            <w:r>
              <w:rPr>
                <w:color w:val="000000"/>
                <w:spacing w:val="0"/>
                <w:w w:val="100"/>
                <w:position w:val="0"/>
                <w:sz w:val="24"/>
                <w:szCs w:val="24"/>
              </w:rPr>
              <w:t>锤子科技</w:t>
            </w:r>
          </w:p>
        </w:tc>
      </w:tr>
      <w:tr>
        <w:trPr>
          <w:trHeight w:val="451"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营业收入</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left"/>
              <w:rPr>
                <w:sz w:val="24"/>
                <w:szCs w:val="24"/>
              </w:rPr>
            </w:pPr>
            <w:r>
              <w:rPr>
                <w:rFonts w:ascii="Times New Roman" w:eastAsia="Times New Roman" w:hAnsi="Times New Roman" w:cs="Times New Roman"/>
                <w:color w:val="000000"/>
                <w:spacing w:val="0"/>
                <w:w w:val="100"/>
                <w:position w:val="0"/>
                <w:sz w:val="24"/>
                <w:szCs w:val="24"/>
              </w:rPr>
              <w:t>143,584</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80"/>
              <w:jc w:val="left"/>
              <w:rPr>
                <w:sz w:val="24"/>
                <w:szCs w:val="24"/>
              </w:rPr>
            </w:pPr>
            <w:r>
              <w:rPr>
                <w:rFonts w:ascii="Times New Roman" w:eastAsia="Times New Roman" w:hAnsi="Times New Roman" w:cs="Times New Roman"/>
                <w:color w:val="000000"/>
                <w:spacing w:val="0"/>
                <w:w w:val="100"/>
                <w:position w:val="0"/>
                <w:sz w:val="24"/>
                <w:szCs w:val="24"/>
              </w:rPr>
              <w:t>105,800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160" w:firstLine="0"/>
              <w:jc w:val="right"/>
              <w:rPr>
                <w:sz w:val="24"/>
                <w:szCs w:val="24"/>
              </w:rPr>
            </w:pPr>
            <w:r>
              <w:rPr>
                <w:rFonts w:ascii="Times New Roman" w:eastAsia="Times New Roman" w:hAnsi="Times New Roman" w:cs="Times New Roman"/>
                <w:color w:val="000000"/>
                <w:spacing w:val="0"/>
                <w:w w:val="100"/>
                <w:position w:val="0"/>
                <w:sz w:val="24"/>
                <w:szCs w:val="24"/>
              </w:rPr>
              <w:t>809,235</w:t>
            </w:r>
          </w:p>
        </w:tc>
      </w:tr>
      <w:tr>
        <w:trPr>
          <w:trHeight w:val="312"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净亏损</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20"/>
              <w:jc w:val="left"/>
              <w:rPr>
                <w:sz w:val="24"/>
                <w:szCs w:val="24"/>
              </w:rPr>
            </w:pPr>
            <w:r>
              <w:rPr>
                <w:rFonts w:ascii="Times New Roman" w:eastAsia="Times New Roman" w:hAnsi="Times New Roman" w:cs="Times New Roman"/>
                <w:color w:val="000000"/>
                <w:spacing w:val="0"/>
                <w:w w:val="100"/>
                <w:position w:val="0"/>
                <w:sz w:val="24"/>
                <w:szCs w:val="24"/>
              </w:rPr>
              <w:t>(9,719)</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left"/>
              <w:rPr>
                <w:sz w:val="24"/>
                <w:szCs w:val="24"/>
              </w:rPr>
            </w:pPr>
            <w:r>
              <w:rPr>
                <w:rFonts w:ascii="Times New Roman" w:eastAsia="Times New Roman" w:hAnsi="Times New Roman" w:cs="Times New Roman"/>
                <w:color w:val="000000"/>
                <w:spacing w:val="0"/>
                <w:w w:val="100"/>
                <w:position w:val="0"/>
                <w:sz w:val="24"/>
                <w:szCs w:val="24"/>
              </w:rPr>
              <w:t>(189,424)</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both"/>
              <w:rPr>
                <w:sz w:val="24"/>
                <w:szCs w:val="24"/>
              </w:rPr>
            </w:pPr>
            <w:r>
              <w:rPr>
                <w:rFonts w:ascii="Times New Roman" w:eastAsia="Times New Roman" w:hAnsi="Times New Roman" w:cs="Times New Roman"/>
                <w:color w:val="000000"/>
                <w:spacing w:val="0"/>
                <w:w w:val="100"/>
                <w:position w:val="0"/>
                <w:sz w:val="24"/>
                <w:szCs w:val="24"/>
              </w:rPr>
              <w:t>(427,620)</w:t>
            </w:r>
          </w:p>
        </w:tc>
      </w:tr>
      <w:tr>
        <w:trPr>
          <w:trHeight w:val="302"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其他综合收益</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440" w:firstLine="0"/>
              <w:jc w:val="right"/>
              <w:rPr>
                <w:sz w:val="24"/>
                <w:szCs w:val="24"/>
              </w:rPr>
            </w:pPr>
            <w:r>
              <w:rPr>
                <w:rFonts w:ascii="Times New Roman" w:eastAsia="Times New Roman" w:hAnsi="Times New Roman" w:cs="Times New Roman"/>
                <w:color w:val="000000"/>
                <w:spacing w:val="0"/>
                <w:w w:val="100"/>
                <w:position w:val="0"/>
                <w:sz w:val="24"/>
                <w:szCs w:val="24"/>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160" w:firstLine="0"/>
              <w:jc w:val="right"/>
              <w:rPr>
                <w:sz w:val="24"/>
                <w:szCs w:val="24"/>
              </w:rPr>
            </w:pPr>
            <w:r>
              <w:rPr>
                <w:rFonts w:ascii="Times New Roman" w:eastAsia="Times New Roman" w:hAnsi="Times New Roman" w:cs="Times New Roman"/>
                <w:color w:val="000000"/>
                <w:spacing w:val="0"/>
                <w:w w:val="100"/>
                <w:position w:val="0"/>
                <w:sz w:val="24"/>
                <w:szCs w:val="24"/>
              </w:rPr>
              <w:t>-</w:t>
            </w:r>
          </w:p>
        </w:tc>
      </w:tr>
      <w:tr>
        <w:trPr>
          <w:trHeight w:val="451"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综合收益总额</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20"/>
              <w:jc w:val="left"/>
              <w:rPr>
                <w:sz w:val="24"/>
                <w:szCs w:val="24"/>
              </w:rPr>
            </w:pPr>
            <w:r>
              <w:rPr>
                <w:rFonts w:ascii="Times New Roman" w:eastAsia="Times New Roman" w:hAnsi="Times New Roman" w:cs="Times New Roman"/>
                <w:color w:val="000000"/>
                <w:spacing w:val="0"/>
                <w:w w:val="100"/>
                <w:position w:val="0"/>
                <w:sz w:val="24"/>
                <w:szCs w:val="24"/>
              </w:rPr>
              <w:t>(9,719)</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00"/>
              <w:jc w:val="left"/>
              <w:rPr>
                <w:sz w:val="24"/>
                <w:szCs w:val="24"/>
              </w:rPr>
            </w:pPr>
            <w:r>
              <w:rPr>
                <w:rFonts w:ascii="Times New Roman" w:eastAsia="Times New Roman" w:hAnsi="Times New Roman" w:cs="Times New Roman"/>
                <w:color w:val="000000"/>
                <w:spacing w:val="0"/>
                <w:w w:val="100"/>
                <w:position w:val="0"/>
                <w:sz w:val="24"/>
                <w:szCs w:val="24"/>
              </w:rPr>
              <w:t>(189,424)</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both"/>
              <w:rPr>
                <w:sz w:val="24"/>
                <w:szCs w:val="24"/>
              </w:rPr>
            </w:pPr>
            <w:r>
              <w:rPr>
                <w:rFonts w:ascii="Times New Roman" w:eastAsia="Times New Roman" w:hAnsi="Times New Roman" w:cs="Times New Roman"/>
                <w:color w:val="000000"/>
                <w:spacing w:val="0"/>
                <w:w w:val="100"/>
                <w:position w:val="0"/>
                <w:sz w:val="24"/>
                <w:szCs w:val="24"/>
              </w:rPr>
              <w:t>(427,620)</w:t>
            </w:r>
          </w:p>
        </w:tc>
      </w:tr>
      <w:tr>
        <w:trPr>
          <w:trHeight w:val="442"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本集团本年度收到的来自联营企</w:t>
            </w:r>
          </w:p>
        </w:tc>
        <w:tc>
          <w:tcPr>
            <w:gridSpan w:val="3"/>
            <w:tcBorders/>
            <w:shd w:val="clear" w:color="auto" w:fill="FFFFFF"/>
            <w:vAlign w:val="top"/>
          </w:tcPr>
          <w:p>
            <w:pPr>
              <w:widowControl w:val="0"/>
              <w:rPr>
                <w:sz w:val="10"/>
                <w:szCs w:val="10"/>
              </w:rPr>
            </w:pPr>
          </w:p>
        </w:tc>
      </w:tr>
      <w:tr>
        <w:trPr>
          <w:trHeight w:val="907"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left"/>
              <w:rPr>
                <w:sz w:val="24"/>
                <w:szCs w:val="24"/>
              </w:rPr>
            </w:pPr>
            <w:r>
              <w:rPr>
                <w:color w:val="000000"/>
                <w:spacing w:val="0"/>
                <w:w w:val="100"/>
                <w:position w:val="0"/>
                <w:sz w:val="24"/>
                <w:szCs w:val="24"/>
              </w:rPr>
              <w:t>业的股利</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1160" w:right="0" w:firstLine="0"/>
              <w:jc w:val="left"/>
              <w:rPr>
                <w:sz w:val="24"/>
                <w:szCs w:val="24"/>
              </w:rPr>
            </w:pPr>
            <w:r>
              <w:rPr>
                <w:rFonts w:ascii="Times New Roman" w:eastAsia="Times New Roman" w:hAnsi="Times New Roman" w:cs="Times New Roman"/>
                <w:color w:val="000000"/>
                <w:spacing w:val="0"/>
                <w:w w:val="100"/>
                <w:position w:val="0"/>
                <w:sz w:val="24"/>
                <w:szCs w:val="24"/>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left"/>
              <w:rPr>
                <w:sz w:val="24"/>
                <w:szCs w:val="24"/>
              </w:rPr>
            </w:pPr>
            <w:r>
              <w:rPr>
                <w:rFonts w:ascii="Times New Roman" w:eastAsia="Times New Roman" w:hAnsi="Times New Roman" w:cs="Times New Roman"/>
                <w:color w:val="000000"/>
                <w:spacing w:val="0"/>
                <w:w w:val="100"/>
                <w:position w:val="0"/>
                <w:sz w:val="24"/>
                <w:szCs w:val="24"/>
              </w:rPr>
              <w:t>2015</w:t>
            </w:r>
            <w:r>
              <w:rPr>
                <w:color w:val="000000"/>
                <w:spacing w:val="0"/>
                <w:w w:val="100"/>
                <w:position w:val="0"/>
                <w:sz w:val="24"/>
                <w:szCs w:val="24"/>
              </w:rPr>
              <w:t>年度</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1080" w:right="0" w:firstLine="0"/>
              <w:jc w:val="both"/>
              <w:rPr>
                <w:sz w:val="24"/>
                <w:szCs w:val="24"/>
              </w:rPr>
            </w:pPr>
            <w:r>
              <w:rPr>
                <w:rFonts w:ascii="Times New Roman" w:eastAsia="Times New Roman" w:hAnsi="Times New Roman" w:cs="Times New Roman"/>
                <w:color w:val="000000"/>
                <w:spacing w:val="0"/>
                <w:w w:val="100"/>
                <w:position w:val="0"/>
                <w:sz w:val="24"/>
                <w:szCs w:val="24"/>
              </w:rPr>
              <w:t>-</w:t>
            </w:r>
          </w:p>
        </w:tc>
      </w:tr>
      <w:tr>
        <w:trPr>
          <w:trHeight w:val="461"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20"/>
              <w:jc w:val="left"/>
              <w:rPr>
                <w:sz w:val="24"/>
                <w:szCs w:val="24"/>
              </w:rPr>
            </w:pPr>
            <w:r>
              <w:rPr>
                <w:color w:val="000000"/>
                <w:spacing w:val="0"/>
                <w:w w:val="100"/>
                <w:position w:val="0"/>
                <w:sz w:val="24"/>
                <w:szCs w:val="24"/>
              </w:rPr>
              <w:t>丸悦</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苏宁消费金融</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both"/>
              <w:rPr>
                <w:sz w:val="24"/>
                <w:szCs w:val="24"/>
              </w:rPr>
            </w:pPr>
            <w:r>
              <w:rPr>
                <w:color w:val="000000"/>
                <w:spacing w:val="0"/>
                <w:w w:val="100"/>
                <w:position w:val="0"/>
                <w:sz w:val="24"/>
                <w:szCs w:val="24"/>
              </w:rPr>
              <w:t>锤子科技</w:t>
            </w:r>
          </w:p>
        </w:tc>
      </w:tr>
      <w:tr>
        <w:trPr>
          <w:trHeight w:val="456"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营业收入</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20"/>
              <w:jc w:val="both"/>
              <w:rPr>
                <w:sz w:val="24"/>
                <w:szCs w:val="24"/>
              </w:rPr>
            </w:pPr>
            <w:r>
              <w:rPr>
                <w:rFonts w:ascii="Times New Roman" w:eastAsia="Times New Roman" w:hAnsi="Times New Roman" w:cs="Times New Roman"/>
                <w:color w:val="000000"/>
                <w:spacing w:val="0"/>
                <w:w w:val="100"/>
                <w:position w:val="0"/>
                <w:sz w:val="24"/>
                <w:szCs w:val="24"/>
              </w:rPr>
              <w:t>79,057</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80"/>
              <w:jc w:val="left"/>
              <w:rPr>
                <w:sz w:val="24"/>
                <w:szCs w:val="24"/>
              </w:rPr>
            </w:pPr>
            <w:r>
              <w:rPr>
                <w:rFonts w:ascii="Times New Roman" w:eastAsia="Times New Roman" w:hAnsi="Times New Roman" w:cs="Times New Roman"/>
                <w:color w:val="000000"/>
                <w:spacing w:val="0"/>
                <w:w w:val="100"/>
                <w:position w:val="0"/>
                <w:sz w:val="24"/>
                <w:szCs w:val="24"/>
              </w:rPr>
              <w:t>81,005</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160" w:firstLine="0"/>
              <w:jc w:val="right"/>
              <w:rPr>
                <w:sz w:val="24"/>
                <w:szCs w:val="24"/>
              </w:rPr>
            </w:pPr>
            <w:r>
              <w:rPr>
                <w:rFonts w:ascii="Times New Roman" w:eastAsia="Times New Roman" w:hAnsi="Times New Roman" w:cs="Times New Roman"/>
                <w:color w:val="000000"/>
                <w:spacing w:val="0"/>
                <w:w w:val="100"/>
                <w:position w:val="0"/>
                <w:sz w:val="24"/>
                <w:szCs w:val="24"/>
              </w:rPr>
              <w:t>1,187,244</w:t>
            </w:r>
          </w:p>
        </w:tc>
      </w:tr>
      <w:tr>
        <w:trPr>
          <w:trHeight w:val="307"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净亏损</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left"/>
              <w:rPr>
                <w:sz w:val="24"/>
                <w:szCs w:val="24"/>
              </w:rPr>
            </w:pPr>
            <w:r>
              <w:rPr>
                <w:rFonts w:ascii="Times New Roman" w:eastAsia="Times New Roman" w:hAnsi="Times New Roman" w:cs="Times New Roman"/>
                <w:color w:val="000000"/>
                <w:spacing w:val="0"/>
                <w:w w:val="100"/>
                <w:position w:val="0"/>
                <w:sz w:val="24"/>
                <w:szCs w:val="24"/>
              </w:rPr>
              <w:t>(16,783)</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80"/>
              <w:jc w:val="left"/>
              <w:rPr>
                <w:sz w:val="24"/>
                <w:szCs w:val="24"/>
              </w:rPr>
            </w:pPr>
            <w:r>
              <w:rPr>
                <w:rFonts w:ascii="Times New Roman" w:eastAsia="Times New Roman" w:hAnsi="Times New Roman" w:cs="Times New Roman"/>
                <w:color w:val="000000"/>
                <w:spacing w:val="0"/>
                <w:w w:val="100"/>
                <w:position w:val="0"/>
                <w:sz w:val="24"/>
                <w:szCs w:val="24"/>
              </w:rPr>
              <w:t>(61,687)</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both"/>
              <w:rPr>
                <w:sz w:val="24"/>
                <w:szCs w:val="24"/>
              </w:rPr>
            </w:pPr>
            <w:r>
              <w:rPr>
                <w:rFonts w:ascii="Times New Roman" w:eastAsia="Times New Roman" w:hAnsi="Times New Roman" w:cs="Times New Roman"/>
                <w:color w:val="000000"/>
                <w:spacing w:val="0"/>
                <w:w w:val="100"/>
                <w:position w:val="0"/>
                <w:sz w:val="24"/>
                <w:szCs w:val="24"/>
              </w:rPr>
              <w:t>(247,200)</w:t>
            </w:r>
          </w:p>
        </w:tc>
      </w:tr>
      <w:tr>
        <w:trPr>
          <w:trHeight w:val="307"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其他综合收益</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20"/>
              <w:jc w:val="left"/>
              <w:rPr>
                <w:sz w:val="24"/>
                <w:szCs w:val="24"/>
              </w:rPr>
            </w:pPr>
            <w:r>
              <w:rPr>
                <w:rFonts w:ascii="Times New Roman" w:eastAsia="Times New Roman" w:hAnsi="Times New Roman" w:cs="Times New Roman"/>
                <w:color w:val="000000"/>
                <w:spacing w:val="0"/>
                <w:w w:val="100"/>
                <w:position w:val="0"/>
                <w:sz w:val="24"/>
                <w:szCs w:val="24"/>
              </w:rPr>
              <w:t>(3,105)</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300" w:firstLine="0"/>
              <w:jc w:val="right"/>
              <w:rPr>
                <w:sz w:val="24"/>
                <w:szCs w:val="24"/>
              </w:rPr>
            </w:pPr>
            <w:r>
              <w:rPr>
                <w:rFonts w:ascii="Times New Roman" w:eastAsia="Times New Roman" w:hAnsi="Times New Roman" w:cs="Times New Roman"/>
                <w:color w:val="000000"/>
                <w:spacing w:val="0"/>
                <w:w w:val="100"/>
                <w:position w:val="0"/>
                <w:sz w:val="24"/>
                <w:szCs w:val="24"/>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160" w:firstLine="0"/>
              <w:jc w:val="right"/>
              <w:rPr>
                <w:sz w:val="24"/>
                <w:szCs w:val="24"/>
              </w:rPr>
            </w:pPr>
            <w:r>
              <w:rPr>
                <w:rFonts w:ascii="Times New Roman" w:eastAsia="Times New Roman" w:hAnsi="Times New Roman" w:cs="Times New Roman"/>
                <w:color w:val="000000"/>
                <w:spacing w:val="0"/>
                <w:w w:val="100"/>
                <w:position w:val="0"/>
                <w:sz w:val="24"/>
                <w:szCs w:val="24"/>
              </w:rPr>
              <w:t>-</w:t>
            </w:r>
          </w:p>
        </w:tc>
      </w:tr>
      <w:tr>
        <w:trPr>
          <w:trHeight w:val="336"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综合收益总额</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(19,888)</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80"/>
              <w:jc w:val="left"/>
              <w:rPr>
                <w:sz w:val="24"/>
                <w:szCs w:val="24"/>
              </w:rPr>
            </w:pPr>
            <w:r>
              <w:rPr>
                <w:rFonts w:ascii="Times New Roman" w:eastAsia="Times New Roman" w:hAnsi="Times New Roman" w:cs="Times New Roman"/>
                <w:color w:val="000000"/>
                <w:spacing w:val="0"/>
                <w:w w:val="100"/>
                <w:position w:val="0"/>
                <w:sz w:val="24"/>
                <w:szCs w:val="24"/>
              </w:rPr>
              <w:t>(61,687)</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both"/>
              <w:rPr>
                <w:sz w:val="24"/>
                <w:szCs w:val="24"/>
              </w:rPr>
            </w:pPr>
            <w:r>
              <w:rPr>
                <w:rFonts w:ascii="Times New Roman" w:eastAsia="Times New Roman" w:hAnsi="Times New Roman" w:cs="Times New Roman"/>
                <w:color w:val="000000"/>
                <w:spacing w:val="0"/>
                <w:w w:val="100"/>
                <w:position w:val="0"/>
                <w:sz w:val="24"/>
                <w:szCs w:val="24"/>
              </w:rPr>
              <w:t>(247,200)</w:t>
            </w:r>
          </w:p>
        </w:tc>
      </w:tr>
    </w:tbl>
    <w:p>
      <w:pPr>
        <w:widowControl w:val="0"/>
        <w:spacing w:after="239" w:line="1" w:lineRule="exact"/>
      </w:pPr>
    </w:p>
    <w:p>
      <w:pPr>
        <w:pStyle w:val="Style32"/>
        <w:keepNext w:val="0"/>
        <w:keepLines w:val="0"/>
        <w:widowControl w:val="0"/>
        <w:shd w:val="clear" w:color="auto" w:fill="auto"/>
        <w:bidi w:val="0"/>
        <w:spacing w:before="0" w:after="240" w:line="307" w:lineRule="exact"/>
        <w:ind w:left="940" w:right="0" w:hanging="220"/>
        <w:jc w:val="both"/>
        <w:rPr>
          <w:sz w:val="24"/>
          <w:szCs w:val="24"/>
        </w:rPr>
        <w:sectPr>
          <w:headerReference w:type="default" r:id="rId223"/>
          <w:footerReference w:type="default" r:id="rId224"/>
          <w:headerReference w:type="even" r:id="rId225"/>
          <w:footerReference w:type="even" r:id="rId226"/>
          <w:footnotePr>
            <w:pos w:val="pageBottom"/>
            <w:numFmt w:val="decimal"/>
            <w:numRestart w:val="continuous"/>
          </w:footnotePr>
          <w:pgSz w:w="11900" w:h="16840"/>
          <w:pgMar w:top="1652" w:right="828" w:bottom="1172" w:left="1639" w:header="0" w:footer="3" w:gutter="0"/>
          <w:cols w:space="720"/>
          <w:noEndnote/>
          <w:rtlGutter w:val="0"/>
          <w:docGrid w:linePitch="360"/>
        </w:sectPr>
      </w:pPr>
      <w:r>
        <w:rPr>
          <w:color w:val="000000"/>
          <w:spacing w:val="0"/>
          <w:w w:val="100"/>
          <w:position w:val="0"/>
          <w:sz w:val="24"/>
          <w:szCs w:val="24"/>
        </w:rPr>
        <w:t>本集团本年度收到的来自联营企 业的股利</w:t>
      </w:r>
    </w:p>
    <w:p>
      <w:pPr>
        <w:pStyle w:val="Style32"/>
        <w:keepNext w:val="0"/>
        <w:keepLines w:val="0"/>
        <w:widowControl w:val="0"/>
        <w:shd w:val="clear" w:color="auto" w:fill="auto"/>
        <w:bidi w:val="0"/>
        <w:spacing w:before="0" w:after="0" w:line="240" w:lineRule="auto"/>
        <w:ind w:left="0" w:right="0" w:firstLine="680"/>
        <w:jc w:val="left"/>
        <w:rPr>
          <w:sz w:val="24"/>
          <w:szCs w:val="24"/>
        </w:rPr>
      </w:pPr>
      <w:r>
        <w:rPr>
          <w:b/>
          <w:bCs/>
          <w:color w:val="000000"/>
          <w:spacing w:val="0"/>
          <w:w w:val="100"/>
          <w:position w:val="0"/>
          <w:sz w:val="24"/>
          <w:szCs w:val="24"/>
        </w:rPr>
        <w:t>财务报表附注</w:t>
      </w:r>
    </w:p>
    <w:p>
      <w:pPr>
        <w:pStyle w:val="Style88"/>
        <w:keepNext/>
        <w:keepLines/>
        <w:widowControl w:val="0"/>
        <w:shd w:val="clear" w:color="auto" w:fill="auto"/>
        <w:bidi w:val="0"/>
        <w:spacing w:before="0" w:after="0" w:line="240" w:lineRule="auto"/>
        <w:ind w:left="0" w:right="0" w:firstLine="680"/>
        <w:jc w:val="left"/>
      </w:pPr>
      <w:bookmarkStart w:id="1049" w:name="bookmark1049"/>
      <w:bookmarkStart w:id="1050" w:name="bookmark1050"/>
      <w:bookmarkStart w:id="1051" w:name="bookmark1051"/>
      <w:r>
        <w:rPr>
          <w:color w:val="000000"/>
          <w:spacing w:val="0"/>
          <w:w w:val="100"/>
          <w:position w:val="0"/>
          <w:sz w:val="24"/>
          <w:szCs w:val="24"/>
        </w:rPr>
        <w:t>2016</w:t>
      </w:r>
      <w:r>
        <w:rPr>
          <w:rFonts w:ascii="SimSun" w:eastAsia="SimSun" w:hAnsi="SimSun" w:cs="SimSun"/>
          <w:b/>
          <w:bCs/>
          <w:color w:val="000000"/>
          <w:spacing w:val="0"/>
          <w:w w:val="100"/>
          <w:position w:val="0"/>
          <w:sz w:val="24"/>
          <w:szCs w:val="24"/>
        </w:rPr>
        <w:t>年度</w:t>
      </w:r>
      <w:bookmarkEnd w:id="1049"/>
      <w:bookmarkEnd w:id="1050"/>
      <w:bookmarkEnd w:id="1051"/>
    </w:p>
    <w:p>
      <w:pPr>
        <w:pStyle w:val="Style32"/>
        <w:keepNext w:val="0"/>
        <w:keepLines w:val="0"/>
        <w:widowControl w:val="0"/>
        <w:shd w:val="clear" w:color="auto" w:fill="auto"/>
        <w:bidi w:val="0"/>
        <w:spacing w:before="0" w:after="260" w:line="240" w:lineRule="auto"/>
        <w:ind w:left="0" w:right="0" w:firstLine="680"/>
        <w:jc w:val="left"/>
        <w:rPr>
          <w:sz w:val="24"/>
          <w:szCs w:val="24"/>
        </w:rPr>
      </w:pPr>
      <w:r>
        <w:rPr>
          <w:rFonts w:ascii="Arial" w:eastAsia="Arial" w:hAnsi="Arial" w:cs="Arial"/>
          <w:color w:val="000000"/>
          <w:spacing w:val="0"/>
          <w:w w:val="100"/>
          <w:position w:val="0"/>
          <w:sz w:val="20"/>
          <w:szCs w:val="20"/>
        </w:rPr>
        <w:t>（</w:t>
      </w:r>
      <w:r>
        <w:rPr>
          <w:color w:val="000000"/>
          <w:spacing w:val="0"/>
          <w:w w:val="100"/>
          <w:position w:val="0"/>
          <w:sz w:val="20"/>
          <w:szCs w:val="20"/>
        </w:rPr>
        <w:t>除特别注明外，金额单位为人民币千元</w:t>
      </w:r>
      <w:r>
        <w:rPr>
          <w:color w:val="000000"/>
          <w:spacing w:val="0"/>
          <w:w w:val="100"/>
          <w:position w:val="0"/>
          <w:sz w:val="24"/>
          <w:szCs w:val="24"/>
        </w:rPr>
        <w:t>）</w:t>
      </w:r>
    </w:p>
    <w:p>
      <w:pPr>
        <w:pStyle w:val="Style32"/>
        <w:keepNext w:val="0"/>
        <w:keepLines w:val="0"/>
        <w:widowControl w:val="0"/>
        <w:shd w:val="clear" w:color="auto" w:fill="auto"/>
        <w:bidi w:val="0"/>
        <w:spacing w:before="0" w:after="260" w:line="240" w:lineRule="auto"/>
        <w:ind w:left="0" w:right="0" w:firstLine="0"/>
        <w:jc w:val="left"/>
        <w:rPr>
          <w:sz w:val="24"/>
          <w:szCs w:val="24"/>
        </w:rPr>
      </w:pPr>
      <w:r>
        <w:rPr>
          <w:b/>
          <w:bCs/>
          <w:color w:val="000000"/>
          <w:spacing w:val="0"/>
          <w:w w:val="100"/>
          <w:position w:val="0"/>
          <w:sz w:val="24"/>
          <w:szCs w:val="24"/>
        </w:rPr>
        <w:t>七 分部信息</w:t>
      </w:r>
    </w:p>
    <w:p>
      <w:pPr>
        <w:pStyle w:val="Style32"/>
        <w:keepNext w:val="0"/>
        <w:keepLines w:val="0"/>
        <w:widowControl w:val="0"/>
        <w:shd w:val="clear" w:color="auto" w:fill="auto"/>
        <w:bidi w:val="0"/>
        <w:spacing w:before="0" w:after="260" w:line="314" w:lineRule="exact"/>
        <w:ind w:left="680" w:right="0" w:firstLine="20"/>
        <w:jc w:val="left"/>
        <w:rPr>
          <w:sz w:val="24"/>
          <w:szCs w:val="24"/>
        </w:rPr>
      </w:pPr>
      <w:r>
        <w:rPr>
          <w:color w:val="000000"/>
          <w:spacing w:val="0"/>
          <w:w w:val="100"/>
          <w:position w:val="0"/>
          <w:sz w:val="24"/>
          <w:szCs w:val="24"/>
        </w:rPr>
        <w:t>本集团的报告分部是提供不同产品或服务、或在不同地区经营的业务单元。本集 团业务主要来源于中国和日本，由于不同地区需要不同的技术和市场战略，因 此，本集团分别独立管理各个报告分部的生产经营活动，分别评价其经营成果， 以决定向其配置资源并评价其业绩。</w:t>
      </w:r>
    </w:p>
    <w:p>
      <w:pPr>
        <w:pStyle w:val="Style32"/>
        <w:keepNext w:val="0"/>
        <w:keepLines w:val="0"/>
        <w:widowControl w:val="0"/>
        <w:shd w:val="clear" w:color="auto" w:fill="auto"/>
        <w:bidi w:val="0"/>
        <w:spacing w:before="0" w:after="260" w:line="314" w:lineRule="exact"/>
        <w:ind w:left="0" w:right="0" w:firstLine="680"/>
        <w:jc w:val="left"/>
        <w:rPr>
          <w:sz w:val="24"/>
          <w:szCs w:val="24"/>
        </w:rPr>
      </w:pPr>
      <w:r>
        <w:rPr>
          <w:color w:val="000000"/>
          <w:spacing w:val="0"/>
          <w:w w:val="100"/>
          <w:position w:val="0"/>
          <w:sz w:val="24"/>
          <w:szCs w:val="24"/>
        </w:rPr>
        <w:t>本集团有</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个报告分部，分别为：</w:t>
      </w:r>
    </w:p>
    <w:p>
      <w:pPr>
        <w:pStyle w:val="Style32"/>
        <w:keepNext w:val="0"/>
        <w:keepLines w:val="0"/>
        <w:widowControl w:val="0"/>
        <w:shd w:val="clear" w:color="auto" w:fill="auto"/>
        <w:bidi w:val="0"/>
        <w:spacing w:before="0" w:after="260" w:line="312" w:lineRule="exact"/>
        <w:ind w:left="1440" w:right="0" w:hanging="360"/>
        <w:jc w:val="both"/>
        <w:rPr>
          <w:sz w:val="24"/>
          <w:szCs w:val="24"/>
        </w:rPr>
      </w:pP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中国分部，负责中国地区家用电器及消费类电子产品的销售和服务以及其 他服务收入</w:t>
      </w:r>
    </w:p>
    <w:p>
      <w:pPr>
        <w:pStyle w:val="Style32"/>
        <w:keepNext w:val="0"/>
        <w:keepLines w:val="0"/>
        <w:widowControl w:val="0"/>
        <w:shd w:val="clear" w:color="auto" w:fill="auto"/>
        <w:bidi w:val="0"/>
        <w:spacing w:before="0" w:after="260" w:line="298" w:lineRule="exact"/>
        <w:ind w:left="1440" w:right="0" w:hanging="360"/>
        <w:jc w:val="both"/>
        <w:rPr>
          <w:sz w:val="24"/>
          <w:szCs w:val="24"/>
        </w:rPr>
      </w:pP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日本及海外分部，负责日本及其他地区家用电器及消费类电子产品的销售 和服务</w:t>
      </w:r>
    </w:p>
    <w:p>
      <w:pPr>
        <w:pStyle w:val="Style32"/>
        <w:keepNext w:val="0"/>
        <w:keepLines w:val="0"/>
        <w:widowControl w:val="0"/>
        <w:shd w:val="clear" w:color="auto" w:fill="auto"/>
        <w:bidi w:val="0"/>
        <w:spacing w:before="0" w:after="260" w:line="314" w:lineRule="exact"/>
        <w:ind w:left="0" w:right="0" w:firstLine="680"/>
        <w:jc w:val="left"/>
        <w:rPr>
          <w:sz w:val="24"/>
          <w:szCs w:val="24"/>
        </w:rPr>
      </w:pPr>
      <w:r>
        <w:rPr>
          <w:color w:val="000000"/>
          <w:spacing w:val="0"/>
          <w:w w:val="100"/>
          <w:position w:val="0"/>
          <w:sz w:val="24"/>
          <w:szCs w:val="24"/>
        </w:rPr>
        <w:t>分部间转移价格参照向第三方销售所采用的价格确定。</w:t>
      </w:r>
    </w:p>
    <w:p>
      <w:pPr>
        <w:pStyle w:val="Style32"/>
        <w:keepNext w:val="0"/>
        <w:keepLines w:val="0"/>
        <w:widowControl w:val="0"/>
        <w:shd w:val="clear" w:color="auto" w:fill="auto"/>
        <w:bidi w:val="0"/>
        <w:spacing w:before="0" w:after="260" w:line="317" w:lineRule="exact"/>
        <w:ind w:left="680" w:right="0" w:firstLine="20"/>
        <w:jc w:val="left"/>
        <w:rPr>
          <w:sz w:val="24"/>
          <w:szCs w:val="24"/>
        </w:rPr>
      </w:pPr>
      <w:r>
        <w:rPr>
          <w:color w:val="000000"/>
          <w:spacing w:val="0"/>
          <w:w w:val="100"/>
          <w:position w:val="0"/>
          <w:sz w:val="24"/>
          <w:szCs w:val="24"/>
        </w:rPr>
        <w:t>资产根据分部的经营以及资产的所在位置进行分配，负债根据分部的经营进行分 配，间接归属于各分部的费用按照收入比例在分部之间进行分配。</w:t>
      </w:r>
      <w:r>
        <w:br w:type="page"/>
      </w:r>
    </w:p>
    <w:p>
      <w:pPr>
        <w:pStyle w:val="Style32"/>
        <w:keepNext w:val="0"/>
        <w:keepLines w:val="0"/>
        <w:widowControl w:val="0"/>
        <w:shd w:val="clear" w:color="auto" w:fill="auto"/>
        <w:bidi w:val="0"/>
        <w:spacing w:before="0" w:after="0" w:line="240" w:lineRule="auto"/>
        <w:ind w:left="0" w:right="0" w:firstLine="700"/>
        <w:jc w:val="left"/>
        <w:rPr>
          <w:sz w:val="24"/>
          <w:szCs w:val="24"/>
        </w:rPr>
      </w:pPr>
      <w:r>
        <w:rPr>
          <w:b/>
          <w:bCs/>
          <w:color w:val="000000"/>
          <w:spacing w:val="0"/>
          <w:w w:val="100"/>
          <w:position w:val="0"/>
          <w:sz w:val="24"/>
          <w:szCs w:val="24"/>
        </w:rPr>
        <w:t>财务报表附注</w:t>
      </w:r>
    </w:p>
    <w:p>
      <w:pPr>
        <w:pStyle w:val="Style88"/>
        <w:keepNext/>
        <w:keepLines/>
        <w:widowControl w:val="0"/>
        <w:shd w:val="clear" w:color="auto" w:fill="auto"/>
        <w:bidi w:val="0"/>
        <w:spacing w:before="0" w:after="0" w:line="240" w:lineRule="auto"/>
        <w:ind w:left="0" w:right="0"/>
        <w:jc w:val="left"/>
      </w:pPr>
      <w:bookmarkStart w:id="1052" w:name="bookmark1052"/>
      <w:bookmarkStart w:id="1053" w:name="bookmark1053"/>
      <w:bookmarkStart w:id="1054" w:name="bookmark1054"/>
      <w:r>
        <w:rPr>
          <w:color w:val="000000"/>
          <w:spacing w:val="0"/>
          <w:w w:val="100"/>
          <w:position w:val="0"/>
          <w:sz w:val="24"/>
          <w:szCs w:val="24"/>
        </w:rPr>
        <w:t>2016</w:t>
      </w:r>
      <w:r>
        <w:rPr>
          <w:rFonts w:ascii="SimSun" w:eastAsia="SimSun" w:hAnsi="SimSun" w:cs="SimSun"/>
          <w:b/>
          <w:bCs/>
          <w:color w:val="000000"/>
          <w:spacing w:val="0"/>
          <w:w w:val="100"/>
          <w:position w:val="0"/>
          <w:sz w:val="24"/>
          <w:szCs w:val="24"/>
        </w:rPr>
        <w:t>年度</w:t>
      </w:r>
      <w:bookmarkEnd w:id="1052"/>
      <w:bookmarkEnd w:id="1053"/>
      <w:bookmarkEnd w:id="1054"/>
    </w:p>
    <w:p>
      <w:pPr>
        <w:pStyle w:val="Style32"/>
        <w:keepNext w:val="0"/>
        <w:keepLines w:val="0"/>
        <w:widowControl w:val="0"/>
        <w:shd w:val="clear" w:color="auto" w:fill="auto"/>
        <w:bidi w:val="0"/>
        <w:spacing w:before="0" w:after="240" w:line="240" w:lineRule="auto"/>
        <w:ind w:left="0" w:right="0" w:firstLine="700"/>
        <w:jc w:val="left"/>
        <w:rPr>
          <w:sz w:val="24"/>
          <w:szCs w:val="24"/>
        </w:rPr>
      </w:pPr>
      <w:r>
        <w:rPr>
          <w:rFonts w:ascii="Arial" w:eastAsia="Arial" w:hAnsi="Arial" w:cs="Arial"/>
          <w:color w:val="000000"/>
          <w:spacing w:val="0"/>
          <w:w w:val="100"/>
          <w:position w:val="0"/>
          <w:sz w:val="20"/>
          <w:szCs w:val="20"/>
        </w:rPr>
        <w:t>（</w:t>
      </w:r>
      <w:r>
        <w:rPr>
          <w:color w:val="000000"/>
          <w:spacing w:val="0"/>
          <w:w w:val="100"/>
          <w:position w:val="0"/>
          <w:sz w:val="20"/>
          <w:szCs w:val="20"/>
        </w:rPr>
        <w:t>除特别注明外，金额单位为人民币千元</w:t>
      </w:r>
      <w:r>
        <w:rPr>
          <w:color w:val="000000"/>
          <w:spacing w:val="0"/>
          <w:w w:val="100"/>
          <w:position w:val="0"/>
          <w:sz w:val="24"/>
          <w:szCs w:val="24"/>
        </w:rPr>
        <w:t>）</w:t>
      </w:r>
    </w:p>
    <w:p>
      <w:pPr>
        <w:pStyle w:val="Style32"/>
        <w:keepNext w:val="0"/>
        <w:keepLines w:val="0"/>
        <w:widowControl w:val="0"/>
        <w:shd w:val="clear" w:color="auto" w:fill="auto"/>
        <w:tabs>
          <w:tab w:pos="634" w:val="left"/>
        </w:tabs>
        <w:bidi w:val="0"/>
        <w:spacing w:before="0" w:after="240" w:line="240" w:lineRule="auto"/>
        <w:ind w:left="0" w:right="0" w:firstLine="0"/>
        <w:jc w:val="left"/>
        <w:rPr>
          <w:sz w:val="24"/>
          <w:szCs w:val="24"/>
        </w:rPr>
      </w:pPr>
      <w:r>
        <w:rPr>
          <w:b/>
          <w:bCs/>
          <w:color w:val="000000"/>
          <w:spacing w:val="0"/>
          <w:w w:val="100"/>
          <w:position w:val="0"/>
          <w:sz w:val="24"/>
          <w:szCs w:val="24"/>
        </w:rPr>
        <w:t>七</w:t>
        <w:tab/>
        <w:t>分部信息</w:t>
      </w:r>
      <w:r>
        <w:rPr>
          <w:rFonts w:ascii="Times New Roman" w:eastAsia="Times New Roman" w:hAnsi="Times New Roman" w:cs="Times New Roman"/>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4"/>
          <w:szCs w:val="24"/>
        </w:rPr>
        <w:t>）</w:t>
      </w:r>
    </w:p>
    <w:p>
      <w:pPr>
        <w:pStyle w:val="Style32"/>
        <w:keepNext w:val="0"/>
        <w:keepLines w:val="0"/>
        <w:widowControl w:val="0"/>
        <w:shd w:val="clear" w:color="auto" w:fill="auto"/>
        <w:bidi w:val="0"/>
        <w:spacing w:before="0" w:after="240" w:line="240" w:lineRule="auto"/>
        <w:ind w:left="0" w:right="0" w:firstLine="0"/>
        <w:jc w:val="left"/>
      </w:pPr>
      <w:r>
        <w:rPr>
          <w:rFonts w:ascii="Times New Roman" w:eastAsia="Times New Roman" w:hAnsi="Times New Roman" w:cs="Times New Roman"/>
          <w:color w:val="000000"/>
          <w:spacing w:val="0"/>
          <w:w w:val="100"/>
          <w:position w:val="0"/>
        </w:rPr>
        <w:t xml:space="preserve">（a） </w:t>
      </w:r>
      <w:r>
        <w:rPr>
          <w:color w:val="000000"/>
          <w:spacing w:val="0"/>
          <w:w w:val="100"/>
          <w:position w:val="0"/>
        </w:rPr>
        <w:t>截止</w:t>
      </w:r>
      <w:r>
        <w:rPr>
          <w:rFonts w:ascii="Times New Roman" w:eastAsia="Times New Roman" w:hAnsi="Times New Roman" w:cs="Times New Roman"/>
          <w:color w:val="000000"/>
          <w:spacing w:val="0"/>
          <w:w w:val="100"/>
          <w:position w:val="0"/>
        </w:rPr>
        <w:t>2016</w:t>
      </w:r>
      <w:r>
        <w:rPr>
          <w:color w:val="000000"/>
          <w:spacing w:val="0"/>
          <w:w w:val="100"/>
          <w:position w:val="0"/>
        </w:rPr>
        <w:t>年度及</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日分部信息列示如下:</w:t>
      </w:r>
    </w:p>
    <w:tbl>
      <w:tblPr>
        <w:tblOverlap w:val="never"/>
        <w:jc w:val="right"/>
        <w:tblLayout w:type="fixed"/>
      </w:tblPr>
      <w:tblGrid>
        <w:gridCol w:w="2136"/>
        <w:gridCol w:w="1661"/>
        <w:gridCol w:w="1882"/>
        <w:gridCol w:w="1430"/>
        <w:gridCol w:w="1411"/>
      </w:tblGrid>
      <w:tr>
        <w:trPr>
          <w:trHeight w:val="394"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中国分部</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日本及海外分部</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分部间抵消</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合计</w:t>
            </w:r>
          </w:p>
        </w:tc>
      </w:tr>
      <w:tr>
        <w:trPr>
          <w:trHeight w:val="389"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营业收入</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145,100,627</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60"/>
              <w:jc w:val="left"/>
              <w:rPr>
                <w:sz w:val="20"/>
                <w:szCs w:val="20"/>
              </w:rPr>
            </w:pPr>
            <w:r>
              <w:rPr>
                <w:rFonts w:ascii="Times New Roman" w:eastAsia="Times New Roman" w:hAnsi="Times New Roman" w:cs="Times New Roman"/>
                <w:color w:val="000000"/>
                <w:spacing w:val="0"/>
                <w:w w:val="100"/>
                <w:position w:val="0"/>
                <w:sz w:val="20"/>
                <w:szCs w:val="20"/>
              </w:rPr>
              <w:t>3,556,120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(71,416)</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148,585,331</w:t>
            </w:r>
          </w:p>
        </w:tc>
      </w:tr>
      <w:tr>
        <w:trPr>
          <w:trHeight w:val="278"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其中：对外交易收入</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145,029,211</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60"/>
              <w:jc w:val="left"/>
              <w:rPr>
                <w:sz w:val="20"/>
                <w:szCs w:val="20"/>
              </w:rPr>
            </w:pPr>
            <w:r>
              <w:rPr>
                <w:rFonts w:ascii="Times New Roman" w:eastAsia="Times New Roman" w:hAnsi="Times New Roman" w:cs="Times New Roman"/>
                <w:color w:val="000000"/>
                <w:spacing w:val="0"/>
                <w:w w:val="100"/>
                <w:position w:val="0"/>
                <w:sz w:val="20"/>
                <w:szCs w:val="20"/>
              </w:rPr>
              <w:t>3,556,120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060" w:right="0" w:firstLine="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148,585,331</w:t>
            </w:r>
          </w:p>
        </w:tc>
      </w:tr>
      <w:tr>
        <w:trPr>
          <w:trHeight w:val="278"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营业成本</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(125,039,225)</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(2,237,865)</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0"/>
                <w:szCs w:val="20"/>
              </w:rPr>
              <w:t>29,549</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(127,247,541)</w:t>
            </w:r>
          </w:p>
        </w:tc>
      </w:tr>
      <w:tr>
        <w:trPr>
          <w:trHeight w:val="274"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税金及附加</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(581,764)</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(1,691)</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1060" w:right="0" w:firstLine="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(583,455)</w:t>
            </w:r>
          </w:p>
        </w:tc>
      </w:tr>
      <w:tr>
        <w:trPr>
          <w:trHeight w:val="274"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销售费用</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(16,257,270)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(1,238,823)</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0"/>
                <w:szCs w:val="20"/>
              </w:rPr>
              <w:t>44,677</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both"/>
              <w:rPr>
                <w:sz w:val="20"/>
                <w:szCs w:val="20"/>
              </w:rPr>
            </w:pPr>
            <w:r>
              <w:rPr>
                <w:rFonts w:ascii="Times New Roman" w:eastAsia="Times New Roman" w:hAnsi="Times New Roman" w:cs="Times New Roman"/>
                <w:color w:val="000000"/>
                <w:spacing w:val="0"/>
                <w:w w:val="100"/>
                <w:position w:val="0"/>
                <w:sz w:val="20"/>
                <w:szCs w:val="20"/>
              </w:rPr>
              <w:t>(17,451,416)</w:t>
            </w:r>
          </w:p>
        </w:tc>
      </w:tr>
      <w:tr>
        <w:trPr>
          <w:trHeight w:val="264"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管理费用</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(3,799,041)</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20"/>
              <w:jc w:val="left"/>
              <w:rPr>
                <w:sz w:val="20"/>
                <w:szCs w:val="20"/>
              </w:rPr>
            </w:pPr>
            <w:r>
              <w:rPr>
                <w:rFonts w:ascii="Times New Roman" w:eastAsia="Times New Roman" w:hAnsi="Times New Roman" w:cs="Times New Roman"/>
                <w:color w:val="000000"/>
                <w:spacing w:val="0"/>
                <w:w w:val="100"/>
                <w:position w:val="0"/>
                <w:sz w:val="20"/>
                <w:szCs w:val="20"/>
              </w:rPr>
              <w:t>(147,505)</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272</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(3,946,274)</w:t>
            </w:r>
          </w:p>
        </w:tc>
      </w:tr>
      <w:tr>
        <w:trPr>
          <w:trHeight w:val="274"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财务费用</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净额</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(393,037)</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80"/>
              <w:jc w:val="both"/>
              <w:rPr>
                <w:sz w:val="20"/>
                <w:szCs w:val="20"/>
              </w:rPr>
            </w:pPr>
            <w:r>
              <w:rPr>
                <w:rFonts w:ascii="Times New Roman" w:eastAsia="Times New Roman" w:hAnsi="Times New Roman" w:cs="Times New Roman"/>
                <w:color w:val="000000"/>
                <w:spacing w:val="0"/>
                <w:w w:val="100"/>
                <w:position w:val="0"/>
                <w:sz w:val="20"/>
                <w:szCs w:val="20"/>
              </w:rPr>
              <w:t>(22,791)</w:t>
            </w:r>
          </w:p>
        </w:tc>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(415,828)</w:t>
            </w:r>
          </w:p>
        </w:tc>
      </w:tr>
      <w:tr>
        <w:trPr>
          <w:trHeight w:val="264"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资产减值损失</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(339,294)</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80"/>
              <w:jc w:val="both"/>
              <w:rPr>
                <w:sz w:val="20"/>
                <w:szCs w:val="20"/>
              </w:rPr>
            </w:pPr>
            <w:r>
              <w:rPr>
                <w:rFonts w:ascii="Times New Roman" w:eastAsia="Times New Roman" w:hAnsi="Times New Roman" w:cs="Times New Roman"/>
                <w:color w:val="000000"/>
                <w:spacing w:val="0"/>
                <w:w w:val="100"/>
                <w:position w:val="0"/>
                <w:sz w:val="20"/>
                <w:szCs w:val="20"/>
              </w:rPr>
              <w:t>(11,205)</w:t>
            </w:r>
          </w:p>
        </w:tc>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(350,499)</w:t>
            </w:r>
          </w:p>
        </w:tc>
      </w:tr>
      <w:tr>
        <w:trPr>
          <w:trHeight w:val="274"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公允价值变动损失</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60"/>
              <w:jc w:val="left"/>
              <w:rPr>
                <w:sz w:val="20"/>
                <w:szCs w:val="20"/>
              </w:rPr>
            </w:pPr>
            <w:r>
              <w:rPr>
                <w:rFonts w:ascii="Times New Roman" w:eastAsia="Times New Roman" w:hAnsi="Times New Roman" w:cs="Times New Roman"/>
                <w:color w:val="000000"/>
                <w:spacing w:val="0"/>
                <w:w w:val="100"/>
                <w:position w:val="0"/>
                <w:sz w:val="20"/>
                <w:szCs w:val="20"/>
              </w:rPr>
              <w:t>(33,686)</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20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(33,686)</w:t>
            </w:r>
          </w:p>
        </w:tc>
      </w:tr>
      <w:tr>
        <w:trPr>
          <w:trHeight w:val="394"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投资收益</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损失</w:t>
            </w:r>
            <w:r>
              <w:rPr>
                <w:color w:val="000000"/>
                <w:spacing w:val="0"/>
                <w:w w:val="100"/>
                <w:position w:val="0"/>
                <w:sz w:val="20"/>
                <w:szCs w:val="20"/>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1,450,794</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(5,374)</w:t>
            </w:r>
          </w:p>
        </w:tc>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1,445,420</w:t>
            </w:r>
          </w:p>
        </w:tc>
      </w:tr>
      <w:tr>
        <w:trPr>
          <w:trHeight w:val="394"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营业利润</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损失</w:t>
            </w:r>
            <w:r>
              <w:rPr>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60"/>
              <w:jc w:val="left"/>
              <w:rPr>
                <w:sz w:val="20"/>
                <w:szCs w:val="20"/>
              </w:rPr>
            </w:pPr>
            <w:r>
              <w:rPr>
                <w:rFonts w:ascii="Times New Roman" w:eastAsia="Times New Roman" w:hAnsi="Times New Roman" w:cs="Times New Roman"/>
                <w:color w:val="000000"/>
                <w:spacing w:val="0"/>
                <w:w w:val="100"/>
                <w:position w:val="0"/>
                <w:sz w:val="20"/>
                <w:szCs w:val="20"/>
              </w:rPr>
              <w:t>108,104</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20"/>
              <w:jc w:val="left"/>
              <w:rPr>
                <w:sz w:val="20"/>
                <w:szCs w:val="20"/>
              </w:rPr>
            </w:pPr>
            <w:r>
              <w:rPr>
                <w:rFonts w:ascii="Times New Roman" w:eastAsia="Times New Roman" w:hAnsi="Times New Roman" w:cs="Times New Roman"/>
                <w:color w:val="000000"/>
                <w:spacing w:val="0"/>
                <w:w w:val="100"/>
                <w:position w:val="0"/>
                <w:sz w:val="20"/>
                <w:szCs w:val="20"/>
              </w:rPr>
              <w:t>(109,134)</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3,082</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2,052</w:t>
            </w:r>
          </w:p>
        </w:tc>
      </w:tr>
      <w:tr>
        <w:trPr>
          <w:trHeight w:val="269"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营业外收入</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1,025,668</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200" w:firstLine="0"/>
              <w:jc w:val="right"/>
              <w:rPr>
                <w:sz w:val="20"/>
                <w:szCs w:val="20"/>
              </w:rPr>
            </w:pPr>
            <w:r>
              <w:rPr>
                <w:rFonts w:ascii="Times New Roman" w:eastAsia="Times New Roman" w:hAnsi="Times New Roman" w:cs="Times New Roman"/>
                <w:color w:val="000000"/>
                <w:spacing w:val="0"/>
                <w:w w:val="100"/>
                <w:position w:val="0"/>
                <w:sz w:val="20"/>
                <w:szCs w:val="20"/>
              </w:rPr>
              <w:t>34,489</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060" w:right="0" w:firstLine="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1,060,157</w:t>
            </w:r>
          </w:p>
        </w:tc>
      </w:tr>
      <w:tr>
        <w:trPr>
          <w:trHeight w:val="278"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营业外支出</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(140,562)</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80"/>
              <w:jc w:val="both"/>
              <w:rPr>
                <w:sz w:val="20"/>
                <w:szCs w:val="20"/>
              </w:rPr>
            </w:pPr>
            <w:r>
              <w:rPr>
                <w:rFonts w:ascii="Times New Roman" w:eastAsia="Times New Roman" w:hAnsi="Times New Roman" w:cs="Times New Roman"/>
                <w:color w:val="000000"/>
                <w:spacing w:val="0"/>
                <w:w w:val="100"/>
                <w:position w:val="0"/>
                <w:sz w:val="20"/>
                <w:szCs w:val="20"/>
              </w:rPr>
              <w:t>(20,760)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060" w:right="0" w:firstLine="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(161,322)</w:t>
            </w:r>
          </w:p>
        </w:tc>
      </w:tr>
      <w:tr>
        <w:trPr>
          <w:trHeight w:val="269"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利润</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亏损</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总额</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60"/>
              <w:jc w:val="left"/>
              <w:rPr>
                <w:sz w:val="20"/>
                <w:szCs w:val="20"/>
              </w:rPr>
            </w:pPr>
            <w:r>
              <w:rPr>
                <w:rFonts w:ascii="Times New Roman" w:eastAsia="Times New Roman" w:hAnsi="Times New Roman" w:cs="Times New Roman"/>
                <w:color w:val="000000"/>
                <w:spacing w:val="0"/>
                <w:w w:val="100"/>
                <w:position w:val="0"/>
                <w:sz w:val="20"/>
                <w:szCs w:val="20"/>
              </w:rPr>
              <w:t>993,210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80"/>
              <w:jc w:val="both"/>
              <w:rPr>
                <w:sz w:val="20"/>
                <w:szCs w:val="20"/>
              </w:rPr>
            </w:pPr>
            <w:r>
              <w:rPr>
                <w:rFonts w:ascii="Times New Roman" w:eastAsia="Times New Roman" w:hAnsi="Times New Roman" w:cs="Times New Roman"/>
                <w:color w:val="000000"/>
                <w:spacing w:val="0"/>
                <w:w w:val="100"/>
                <w:position w:val="0"/>
                <w:sz w:val="20"/>
                <w:szCs w:val="20"/>
              </w:rPr>
              <w:t>(95,405)</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3,082</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900,887</w:t>
            </w:r>
          </w:p>
        </w:tc>
      </w:tr>
      <w:tr>
        <w:trPr>
          <w:trHeight w:val="278"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所得税费用</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(390,387)</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80"/>
              <w:jc w:val="both"/>
              <w:rPr>
                <w:sz w:val="20"/>
                <w:szCs w:val="20"/>
              </w:rPr>
            </w:pPr>
            <w:r>
              <w:rPr>
                <w:rFonts w:ascii="Times New Roman" w:eastAsia="Times New Roman" w:hAnsi="Times New Roman" w:cs="Times New Roman"/>
                <w:color w:val="000000"/>
                <w:spacing w:val="0"/>
                <w:w w:val="100"/>
                <w:position w:val="0"/>
                <w:sz w:val="20"/>
                <w:szCs w:val="20"/>
              </w:rPr>
              <w:t>(17,268)</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060" w:right="0" w:firstLine="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(407,655)</w:t>
            </w:r>
          </w:p>
        </w:tc>
      </w:tr>
      <w:tr>
        <w:trPr>
          <w:trHeight w:val="403"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净利润</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亏损</w:t>
            </w:r>
            <w:r>
              <w:rPr>
                <w:color w:val="000000"/>
                <w:spacing w:val="0"/>
                <w:w w:val="100"/>
                <w:position w:val="0"/>
                <w:sz w:val="20"/>
                <w:szCs w:val="20"/>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60"/>
              <w:jc w:val="left"/>
              <w:rPr>
                <w:sz w:val="20"/>
                <w:szCs w:val="20"/>
              </w:rPr>
            </w:pPr>
            <w:r>
              <w:rPr>
                <w:rFonts w:ascii="Times New Roman" w:eastAsia="Times New Roman" w:hAnsi="Times New Roman" w:cs="Times New Roman"/>
                <w:color w:val="000000"/>
                <w:spacing w:val="0"/>
                <w:w w:val="100"/>
                <w:position w:val="0"/>
                <w:sz w:val="20"/>
                <w:szCs w:val="20"/>
              </w:rPr>
              <w:t>602,823</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20"/>
              <w:jc w:val="left"/>
              <w:rPr>
                <w:sz w:val="20"/>
                <w:szCs w:val="20"/>
              </w:rPr>
            </w:pPr>
            <w:r>
              <w:rPr>
                <w:rFonts w:ascii="Times New Roman" w:eastAsia="Times New Roman" w:hAnsi="Times New Roman" w:cs="Times New Roman"/>
                <w:color w:val="000000"/>
                <w:spacing w:val="0"/>
                <w:w w:val="100"/>
                <w:position w:val="0"/>
                <w:sz w:val="20"/>
                <w:szCs w:val="20"/>
              </w:rPr>
              <w:t>(112,673)</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3,082</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493,232</w:t>
            </w:r>
          </w:p>
        </w:tc>
      </w:tr>
      <w:tr>
        <w:trPr>
          <w:trHeight w:val="552"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资产总额</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134,536,442</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60"/>
              <w:jc w:val="left"/>
              <w:rPr>
                <w:sz w:val="20"/>
                <w:szCs w:val="20"/>
              </w:rPr>
            </w:pPr>
            <w:r>
              <w:rPr>
                <w:rFonts w:ascii="Times New Roman" w:eastAsia="Times New Roman" w:hAnsi="Times New Roman" w:cs="Times New Roman"/>
                <w:color w:val="000000"/>
                <w:spacing w:val="0"/>
                <w:w w:val="100"/>
                <w:position w:val="0"/>
                <w:sz w:val="20"/>
                <w:szCs w:val="20"/>
              </w:rPr>
              <w:t>3,474,283</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(843,484)</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both"/>
              <w:rPr>
                <w:sz w:val="20"/>
                <w:szCs w:val="20"/>
              </w:rPr>
            </w:pPr>
            <w:r>
              <w:rPr>
                <w:rFonts w:ascii="Times New Roman" w:eastAsia="Times New Roman" w:hAnsi="Times New Roman" w:cs="Times New Roman"/>
                <w:color w:val="000000"/>
                <w:spacing w:val="0"/>
                <w:w w:val="100"/>
                <w:position w:val="0"/>
                <w:sz w:val="20"/>
                <w:szCs w:val="20"/>
              </w:rPr>
              <w:t>137,167,241</w:t>
            </w:r>
          </w:p>
        </w:tc>
      </w:tr>
      <w:tr>
        <w:trPr>
          <w:trHeight w:val="547"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负债总额</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66,546,947</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80"/>
              <w:jc w:val="left"/>
              <w:rPr>
                <w:sz w:val="20"/>
                <w:szCs w:val="20"/>
              </w:rPr>
            </w:pPr>
            <w:r>
              <w:rPr>
                <w:rFonts w:ascii="Times New Roman" w:eastAsia="Times New Roman" w:hAnsi="Times New Roman" w:cs="Times New Roman"/>
                <w:color w:val="000000"/>
                <w:spacing w:val="0"/>
                <w:w w:val="100"/>
                <w:position w:val="0"/>
                <w:sz w:val="20"/>
                <w:szCs w:val="20"/>
              </w:rPr>
              <w:t>769,532</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(71,216)</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67,245,263</w:t>
            </w:r>
          </w:p>
        </w:tc>
      </w:tr>
      <w:tr>
        <w:trPr>
          <w:trHeight w:val="826" w:hRule="exact"/>
        </w:trPr>
        <w:tc>
          <w:tcPr>
            <w:tcBorders/>
            <w:shd w:val="clear" w:color="auto" w:fill="FFFFFF"/>
            <w:vAlign w:val="center"/>
          </w:tcPr>
          <w:p>
            <w:pPr>
              <w:pStyle w:val="Style28"/>
              <w:keepNext w:val="0"/>
              <w:keepLines w:val="0"/>
              <w:widowControl w:val="0"/>
              <w:shd w:val="clear" w:color="auto" w:fill="auto"/>
              <w:bidi w:val="0"/>
              <w:spacing w:before="0" w:after="0" w:line="269" w:lineRule="exact"/>
              <w:ind w:left="200" w:right="0" w:hanging="200"/>
              <w:jc w:val="left"/>
              <w:rPr>
                <w:sz w:val="20"/>
                <w:szCs w:val="20"/>
              </w:rPr>
            </w:pPr>
            <w:r>
              <w:rPr>
                <w:color w:val="000000"/>
                <w:spacing w:val="0"/>
                <w:w w:val="100"/>
                <w:position w:val="0"/>
                <w:sz w:val="20"/>
                <w:szCs w:val="20"/>
              </w:rPr>
              <w:t>对联营企业和合营企 业的长期股权投资</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60"/>
              <w:jc w:val="left"/>
              <w:rPr>
                <w:sz w:val="20"/>
                <w:szCs w:val="20"/>
              </w:rPr>
            </w:pPr>
            <w:r>
              <w:rPr>
                <w:rFonts w:ascii="Times New Roman" w:eastAsia="Times New Roman" w:hAnsi="Times New Roman" w:cs="Times New Roman"/>
                <w:color w:val="000000"/>
                <w:spacing w:val="0"/>
                <w:w w:val="100"/>
                <w:position w:val="0"/>
                <w:sz w:val="20"/>
                <w:szCs w:val="20"/>
              </w:rPr>
              <w:t>258,873</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80"/>
              <w:jc w:val="left"/>
              <w:rPr>
                <w:sz w:val="20"/>
                <w:szCs w:val="20"/>
              </w:rPr>
            </w:pPr>
            <w:r>
              <w:rPr>
                <w:rFonts w:ascii="Times New Roman" w:eastAsia="Times New Roman" w:hAnsi="Times New Roman" w:cs="Times New Roman"/>
                <w:color w:val="000000"/>
                <w:spacing w:val="0"/>
                <w:w w:val="100"/>
                <w:position w:val="0"/>
                <w:sz w:val="20"/>
                <w:szCs w:val="20"/>
              </w:rPr>
              <w:t>158,175</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060" w:right="0" w:firstLine="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417,048</w:t>
            </w:r>
          </w:p>
        </w:tc>
      </w:tr>
      <w:tr>
        <w:trPr>
          <w:trHeight w:val="446"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非流动资产减少额⑴</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(1,892,180)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80"/>
              <w:jc w:val="left"/>
              <w:rPr>
                <w:sz w:val="20"/>
                <w:szCs w:val="20"/>
              </w:rPr>
            </w:pPr>
            <w:r>
              <w:rPr>
                <w:rFonts w:ascii="Times New Roman" w:eastAsia="Times New Roman" w:hAnsi="Times New Roman" w:cs="Times New Roman"/>
                <w:color w:val="000000"/>
                <w:spacing w:val="0"/>
                <w:w w:val="100"/>
                <w:position w:val="0"/>
                <w:sz w:val="20"/>
                <w:szCs w:val="20"/>
              </w:rPr>
              <w:t>302,202</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060" w:right="0" w:firstLine="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(1,589,978)</w:t>
            </w:r>
          </w:p>
        </w:tc>
      </w:tr>
    </w:tbl>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⑴非流动资产不包括金融资产、长期股权投资和递延所得税资产。</w:t>
      </w:r>
      <w:r>
        <w:br w:type="page"/>
      </w:r>
    </w:p>
    <w:p>
      <w:pPr>
        <w:pStyle w:val="Style32"/>
        <w:keepNext w:val="0"/>
        <w:keepLines w:val="0"/>
        <w:widowControl w:val="0"/>
        <w:shd w:val="clear" w:color="auto" w:fill="auto"/>
        <w:bidi w:val="0"/>
        <w:spacing w:before="0" w:after="0" w:line="240" w:lineRule="auto"/>
        <w:ind w:left="0" w:right="0" w:firstLine="680"/>
        <w:jc w:val="left"/>
        <w:rPr>
          <w:sz w:val="24"/>
          <w:szCs w:val="24"/>
        </w:rPr>
      </w:pPr>
      <w:r>
        <w:rPr>
          <w:b/>
          <w:bCs/>
          <w:color w:val="000000"/>
          <w:spacing w:val="0"/>
          <w:w w:val="100"/>
          <w:position w:val="0"/>
          <w:sz w:val="24"/>
          <w:szCs w:val="24"/>
        </w:rPr>
        <w:t>财务报表附注</w:t>
      </w:r>
    </w:p>
    <w:p>
      <w:pPr>
        <w:pStyle w:val="Style88"/>
        <w:keepNext/>
        <w:keepLines/>
        <w:widowControl w:val="0"/>
        <w:shd w:val="clear" w:color="auto" w:fill="auto"/>
        <w:bidi w:val="0"/>
        <w:spacing w:before="0" w:after="0" w:line="240" w:lineRule="auto"/>
        <w:ind w:left="0" w:right="0" w:firstLine="680"/>
        <w:jc w:val="left"/>
      </w:pPr>
      <w:bookmarkStart w:id="1055" w:name="bookmark1055"/>
      <w:bookmarkStart w:id="1056" w:name="bookmark1056"/>
      <w:bookmarkStart w:id="1057" w:name="bookmark1057"/>
      <w:r>
        <w:rPr>
          <w:color w:val="000000"/>
          <w:spacing w:val="0"/>
          <w:w w:val="100"/>
          <w:position w:val="0"/>
          <w:sz w:val="24"/>
          <w:szCs w:val="24"/>
        </w:rPr>
        <w:t>2016</w:t>
      </w:r>
      <w:r>
        <w:rPr>
          <w:rFonts w:ascii="SimSun" w:eastAsia="SimSun" w:hAnsi="SimSun" w:cs="SimSun"/>
          <w:b/>
          <w:bCs/>
          <w:color w:val="000000"/>
          <w:spacing w:val="0"/>
          <w:w w:val="100"/>
          <w:position w:val="0"/>
          <w:sz w:val="24"/>
          <w:szCs w:val="24"/>
        </w:rPr>
        <w:t>年度</w:t>
      </w:r>
      <w:bookmarkEnd w:id="1055"/>
      <w:bookmarkEnd w:id="1056"/>
      <w:bookmarkEnd w:id="1057"/>
    </w:p>
    <w:p>
      <w:pPr>
        <w:pStyle w:val="Style32"/>
        <w:keepNext w:val="0"/>
        <w:keepLines w:val="0"/>
        <w:widowControl w:val="0"/>
        <w:shd w:val="clear" w:color="auto" w:fill="auto"/>
        <w:bidi w:val="0"/>
        <w:spacing w:before="0" w:after="240" w:line="240" w:lineRule="auto"/>
        <w:ind w:left="0" w:right="0" w:firstLine="680"/>
        <w:jc w:val="left"/>
        <w:rPr>
          <w:sz w:val="24"/>
          <w:szCs w:val="24"/>
        </w:rPr>
      </w:pPr>
      <w:r>
        <w:rPr>
          <w:rFonts w:ascii="Arial" w:eastAsia="Arial" w:hAnsi="Arial" w:cs="Arial"/>
          <w:color w:val="000000"/>
          <w:spacing w:val="0"/>
          <w:w w:val="100"/>
          <w:position w:val="0"/>
          <w:sz w:val="20"/>
          <w:szCs w:val="20"/>
        </w:rPr>
        <w:t>（</w:t>
      </w:r>
      <w:r>
        <w:rPr>
          <w:color w:val="000000"/>
          <w:spacing w:val="0"/>
          <w:w w:val="100"/>
          <w:position w:val="0"/>
          <w:sz w:val="20"/>
          <w:szCs w:val="20"/>
        </w:rPr>
        <w:t>除特别注明外，金额单位为人民币千元</w:t>
      </w:r>
      <w:r>
        <w:rPr>
          <w:color w:val="000000"/>
          <w:spacing w:val="0"/>
          <w:w w:val="100"/>
          <w:position w:val="0"/>
          <w:sz w:val="24"/>
          <w:szCs w:val="24"/>
        </w:rPr>
        <w:t>）</w:t>
      </w:r>
    </w:p>
    <w:p>
      <w:pPr>
        <w:pStyle w:val="Style32"/>
        <w:keepNext w:val="0"/>
        <w:keepLines w:val="0"/>
        <w:widowControl w:val="0"/>
        <w:shd w:val="clear" w:color="auto" w:fill="auto"/>
        <w:tabs>
          <w:tab w:pos="744" w:val="left"/>
        </w:tabs>
        <w:bidi w:val="0"/>
        <w:spacing w:before="0" w:after="240" w:line="240" w:lineRule="auto"/>
        <w:ind w:left="0" w:right="0" w:firstLine="0"/>
        <w:jc w:val="left"/>
        <w:rPr>
          <w:sz w:val="24"/>
          <w:szCs w:val="24"/>
        </w:rPr>
      </w:pPr>
      <w:r>
        <w:rPr>
          <w:b/>
          <w:bCs/>
          <w:color w:val="000000"/>
          <w:spacing w:val="0"/>
          <w:w w:val="100"/>
          <w:position w:val="0"/>
          <w:sz w:val="24"/>
          <w:szCs w:val="24"/>
        </w:rPr>
        <w:t>七</w:t>
        <w:tab/>
        <w:t>分部信息</w:t>
      </w:r>
      <w:r>
        <w:rPr>
          <w:rFonts w:ascii="Times New Roman" w:eastAsia="Times New Roman" w:hAnsi="Times New Roman" w:cs="Times New Roman"/>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4"/>
          <w:szCs w:val="24"/>
        </w:rPr>
        <w:t>）</w:t>
      </w:r>
    </w:p>
    <w:p>
      <w:pPr>
        <w:pStyle w:val="Style32"/>
        <w:keepNext w:val="0"/>
        <w:keepLines w:val="0"/>
        <w:widowControl w:val="0"/>
        <w:shd w:val="clear" w:color="auto" w:fill="auto"/>
        <w:tabs>
          <w:tab w:pos="744" w:val="left"/>
        </w:tabs>
        <w:bidi w:val="0"/>
        <w:spacing w:before="0" w:after="240" w:line="240" w:lineRule="auto"/>
        <w:ind w:left="0" w:right="0" w:firstLine="0"/>
        <w:jc w:val="left"/>
      </w:pPr>
      <w:r>
        <w:rPr>
          <w:rFonts w:ascii="Times New Roman" w:eastAsia="Times New Roman" w:hAnsi="Times New Roman" w:cs="Times New Roman"/>
          <w:color w:val="000000"/>
          <w:spacing w:val="0"/>
          <w:w w:val="100"/>
          <w:position w:val="0"/>
          <w:sz w:val="20"/>
          <w:szCs w:val="20"/>
        </w:rPr>
        <w:t>（b）</w:t>
        <w:tab/>
      </w:r>
      <w:r>
        <w:rPr>
          <w:rFonts w:ascii="Times New Roman" w:eastAsia="Times New Roman" w:hAnsi="Times New Roman" w:cs="Times New Roman"/>
          <w:color w:val="000000"/>
          <w:spacing w:val="0"/>
          <w:w w:val="100"/>
          <w:position w:val="0"/>
        </w:rPr>
        <w:t>2015</w:t>
      </w:r>
      <w:r>
        <w:rPr>
          <w:color w:val="000000"/>
          <w:spacing w:val="0"/>
          <w:w w:val="100"/>
          <w:position w:val="0"/>
        </w:rPr>
        <w:t>年度及</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日分部信息列示如下:</w:t>
      </w:r>
    </w:p>
    <w:tbl>
      <w:tblPr>
        <w:tblOverlap w:val="never"/>
        <w:jc w:val="right"/>
        <w:tblLayout w:type="fixed"/>
      </w:tblPr>
      <w:tblGrid>
        <w:gridCol w:w="1963"/>
        <w:gridCol w:w="1742"/>
        <w:gridCol w:w="1872"/>
        <w:gridCol w:w="1368"/>
        <w:gridCol w:w="1416"/>
      </w:tblGrid>
      <w:tr>
        <w:trPr>
          <w:trHeight w:val="394"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中国分部</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140" w:firstLine="0"/>
              <w:jc w:val="right"/>
              <w:rPr>
                <w:sz w:val="20"/>
                <w:szCs w:val="20"/>
              </w:rPr>
            </w:pPr>
            <w:r>
              <w:rPr>
                <w:color w:val="000000"/>
                <w:spacing w:val="0"/>
                <w:w w:val="100"/>
                <w:position w:val="0"/>
                <w:sz w:val="20"/>
                <w:szCs w:val="20"/>
              </w:rPr>
              <w:t>日本及海外分部</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分部间抵消</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合计</w:t>
            </w:r>
          </w:p>
        </w:tc>
      </w:tr>
      <w:tr>
        <w:trPr>
          <w:trHeight w:val="384"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营业收入</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40"/>
              <w:jc w:val="both"/>
              <w:rPr>
                <w:sz w:val="20"/>
                <w:szCs w:val="20"/>
              </w:rPr>
            </w:pPr>
            <w:r>
              <w:rPr>
                <w:rFonts w:ascii="Times New Roman" w:eastAsia="Times New Roman" w:hAnsi="Times New Roman" w:cs="Times New Roman"/>
                <w:color w:val="000000"/>
                <w:spacing w:val="0"/>
                <w:w w:val="100"/>
                <w:position w:val="0"/>
                <w:sz w:val="20"/>
                <w:szCs w:val="20"/>
              </w:rPr>
              <w:t>130,652,711</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00"/>
              <w:jc w:val="left"/>
              <w:rPr>
                <w:sz w:val="20"/>
                <w:szCs w:val="20"/>
              </w:rPr>
            </w:pPr>
            <w:r>
              <w:rPr>
                <w:rFonts w:ascii="Times New Roman" w:eastAsia="Times New Roman" w:hAnsi="Times New Roman" w:cs="Times New Roman"/>
                <w:color w:val="000000"/>
                <w:spacing w:val="0"/>
                <w:w w:val="100"/>
                <w:position w:val="0"/>
                <w:sz w:val="20"/>
                <w:szCs w:val="20"/>
              </w:rPr>
              <w:t>4,939,263</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(44,341)</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both"/>
              <w:rPr>
                <w:sz w:val="20"/>
                <w:szCs w:val="20"/>
              </w:rPr>
            </w:pPr>
            <w:r>
              <w:rPr>
                <w:rFonts w:ascii="Times New Roman" w:eastAsia="Times New Roman" w:hAnsi="Times New Roman" w:cs="Times New Roman"/>
                <w:color w:val="000000"/>
                <w:spacing w:val="0"/>
                <w:w w:val="100"/>
                <w:position w:val="0"/>
                <w:sz w:val="20"/>
                <w:szCs w:val="20"/>
              </w:rPr>
              <w:t>135,547,633</w:t>
            </w:r>
          </w:p>
        </w:tc>
      </w:tr>
      <w:tr>
        <w:trPr>
          <w:trHeight w:val="274"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其中：对外交易收</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88"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20"/>
              <w:jc w:val="left"/>
              <w:rPr>
                <w:sz w:val="20"/>
                <w:szCs w:val="20"/>
              </w:rPr>
            </w:pPr>
            <w:r>
              <w:rPr>
                <w:color w:val="000000"/>
                <w:spacing w:val="0"/>
                <w:w w:val="100"/>
                <w:position w:val="0"/>
                <w:sz w:val="20"/>
                <w:szCs w:val="20"/>
              </w:rPr>
              <w:t>入</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40"/>
              <w:jc w:val="both"/>
              <w:rPr>
                <w:sz w:val="20"/>
                <w:szCs w:val="20"/>
              </w:rPr>
            </w:pPr>
            <w:r>
              <w:rPr>
                <w:rFonts w:ascii="Times New Roman" w:eastAsia="Times New Roman" w:hAnsi="Times New Roman" w:cs="Times New Roman"/>
                <w:color w:val="000000"/>
                <w:spacing w:val="0"/>
                <w:w w:val="100"/>
                <w:position w:val="0"/>
                <w:sz w:val="20"/>
                <w:szCs w:val="20"/>
              </w:rPr>
              <w:t>130,608,370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00"/>
              <w:jc w:val="left"/>
              <w:rPr>
                <w:sz w:val="20"/>
                <w:szCs w:val="20"/>
              </w:rPr>
            </w:pPr>
            <w:r>
              <w:rPr>
                <w:rFonts w:ascii="Times New Roman" w:eastAsia="Times New Roman" w:hAnsi="Times New Roman" w:cs="Times New Roman"/>
                <w:color w:val="000000"/>
                <w:spacing w:val="0"/>
                <w:w w:val="100"/>
                <w:position w:val="0"/>
                <w:sz w:val="20"/>
                <w:szCs w:val="20"/>
              </w:rPr>
              <w:t>4,939,263</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060" w:right="0" w:firstLine="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both"/>
              <w:rPr>
                <w:sz w:val="20"/>
                <w:szCs w:val="20"/>
              </w:rPr>
            </w:pPr>
            <w:r>
              <w:rPr>
                <w:rFonts w:ascii="Times New Roman" w:eastAsia="Times New Roman" w:hAnsi="Times New Roman" w:cs="Times New Roman"/>
                <w:color w:val="000000"/>
                <w:spacing w:val="0"/>
                <w:w w:val="100"/>
                <w:position w:val="0"/>
                <w:sz w:val="20"/>
                <w:szCs w:val="20"/>
              </w:rPr>
              <w:t>135,547,633</w:t>
            </w:r>
          </w:p>
        </w:tc>
      </w:tr>
      <w:tr>
        <w:trPr>
          <w:trHeight w:val="269"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营业成本</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both"/>
              <w:rPr>
                <w:sz w:val="20"/>
                <w:szCs w:val="20"/>
              </w:rPr>
            </w:pPr>
            <w:r>
              <w:rPr>
                <w:rFonts w:ascii="Times New Roman" w:eastAsia="Times New Roman" w:hAnsi="Times New Roman" w:cs="Times New Roman"/>
                <w:color w:val="000000"/>
                <w:spacing w:val="0"/>
                <w:w w:val="100"/>
                <w:position w:val="0"/>
                <w:sz w:val="20"/>
                <w:szCs w:val="20"/>
              </w:rPr>
              <w:t>(112,793,371)</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40"/>
              <w:jc w:val="left"/>
              <w:rPr>
                <w:sz w:val="20"/>
                <w:szCs w:val="20"/>
              </w:rPr>
            </w:pPr>
            <w:r>
              <w:rPr>
                <w:rFonts w:ascii="Times New Roman" w:eastAsia="Times New Roman" w:hAnsi="Times New Roman" w:cs="Times New Roman"/>
                <w:color w:val="000000"/>
                <w:spacing w:val="0"/>
                <w:w w:val="100"/>
                <w:position w:val="0"/>
                <w:sz w:val="20"/>
                <w:szCs w:val="20"/>
              </w:rPr>
              <w:t>(3,187,834)</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180" w:firstLine="0"/>
              <w:jc w:val="right"/>
              <w:rPr>
                <w:sz w:val="20"/>
                <w:szCs w:val="20"/>
              </w:rPr>
            </w:pPr>
            <w:r>
              <w:rPr>
                <w:rFonts w:ascii="Times New Roman" w:eastAsia="Times New Roman" w:hAnsi="Times New Roman" w:cs="Times New Roman"/>
                <w:color w:val="000000"/>
                <w:spacing w:val="0"/>
                <w:w w:val="100"/>
                <w:position w:val="0"/>
                <w:sz w:val="20"/>
                <w:szCs w:val="20"/>
              </w:rPr>
              <w:t>23</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(115,981,182)</w:t>
            </w:r>
          </w:p>
        </w:tc>
      </w:tr>
      <w:tr>
        <w:trPr>
          <w:trHeight w:val="274"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税金及附加</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(583,571)</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140" w:firstLine="0"/>
              <w:jc w:val="right"/>
              <w:rPr>
                <w:sz w:val="20"/>
                <w:szCs w:val="20"/>
              </w:rPr>
            </w:pPr>
            <w:r>
              <w:rPr>
                <w:rFonts w:ascii="Times New Roman" w:eastAsia="Times New Roman" w:hAnsi="Times New Roman" w:cs="Times New Roman"/>
                <w:color w:val="000000"/>
                <w:spacing w:val="0"/>
                <w:w w:val="100"/>
                <w:position w:val="0"/>
                <w:sz w:val="20"/>
                <w:szCs w:val="20"/>
              </w:rPr>
              <w:t>(2,225)</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060" w:right="0" w:firstLine="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(585,796)</w:t>
            </w:r>
          </w:p>
        </w:tc>
      </w:tr>
      <w:tr>
        <w:trPr>
          <w:trHeight w:val="274"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销售费用</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both"/>
              <w:rPr>
                <w:sz w:val="20"/>
                <w:szCs w:val="20"/>
              </w:rPr>
            </w:pPr>
            <w:r>
              <w:rPr>
                <w:rFonts w:ascii="Times New Roman" w:eastAsia="Times New Roman" w:hAnsi="Times New Roman" w:cs="Times New Roman"/>
                <w:color w:val="000000"/>
                <w:spacing w:val="0"/>
                <w:w w:val="100"/>
                <w:position w:val="0"/>
                <w:sz w:val="20"/>
                <w:szCs w:val="20"/>
              </w:rPr>
              <w:t>(15,555,243)</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40"/>
              <w:jc w:val="left"/>
              <w:rPr>
                <w:sz w:val="20"/>
                <w:szCs w:val="20"/>
              </w:rPr>
            </w:pPr>
            <w:r>
              <w:rPr>
                <w:rFonts w:ascii="Times New Roman" w:eastAsia="Times New Roman" w:hAnsi="Times New Roman" w:cs="Times New Roman"/>
                <w:color w:val="000000"/>
                <w:spacing w:val="0"/>
                <w:w w:val="100"/>
                <w:position w:val="0"/>
                <w:sz w:val="20"/>
                <w:szCs w:val="20"/>
              </w:rPr>
              <w:t>(1,133,567)</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44,134</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both"/>
              <w:rPr>
                <w:sz w:val="20"/>
                <w:szCs w:val="20"/>
              </w:rPr>
            </w:pPr>
            <w:r>
              <w:rPr>
                <w:rFonts w:ascii="Times New Roman" w:eastAsia="Times New Roman" w:hAnsi="Times New Roman" w:cs="Times New Roman"/>
                <w:color w:val="000000"/>
                <w:spacing w:val="0"/>
                <w:w w:val="100"/>
                <w:position w:val="0"/>
                <w:sz w:val="20"/>
                <w:szCs w:val="20"/>
              </w:rPr>
              <w:t>(16,644,676)</w:t>
            </w:r>
          </w:p>
        </w:tc>
      </w:tr>
      <w:tr>
        <w:trPr>
          <w:trHeight w:val="269"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管理费用</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60"/>
              <w:jc w:val="both"/>
              <w:rPr>
                <w:sz w:val="20"/>
                <w:szCs w:val="20"/>
              </w:rPr>
            </w:pPr>
            <w:r>
              <w:rPr>
                <w:rFonts w:ascii="Times New Roman" w:eastAsia="Times New Roman" w:hAnsi="Times New Roman" w:cs="Times New Roman"/>
                <w:color w:val="000000"/>
                <w:spacing w:val="0"/>
                <w:w w:val="100"/>
                <w:position w:val="0"/>
                <w:sz w:val="20"/>
                <w:szCs w:val="20"/>
              </w:rPr>
              <w:t>(4,131,307)</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140" w:firstLine="0"/>
              <w:jc w:val="right"/>
              <w:rPr>
                <w:sz w:val="20"/>
                <w:szCs w:val="20"/>
              </w:rPr>
            </w:pPr>
            <w:r>
              <w:rPr>
                <w:rFonts w:ascii="Times New Roman" w:eastAsia="Times New Roman" w:hAnsi="Times New Roman" w:cs="Times New Roman"/>
                <w:color w:val="000000"/>
                <w:spacing w:val="0"/>
                <w:w w:val="100"/>
                <w:position w:val="0"/>
                <w:sz w:val="20"/>
                <w:szCs w:val="20"/>
              </w:rPr>
              <w:t>(160,352)</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180" w:firstLine="0"/>
              <w:jc w:val="right"/>
              <w:rPr>
                <w:sz w:val="20"/>
                <w:szCs w:val="20"/>
              </w:rPr>
            </w:pPr>
            <w:r>
              <w:rPr>
                <w:rFonts w:ascii="Times New Roman" w:eastAsia="Times New Roman" w:hAnsi="Times New Roman" w:cs="Times New Roman"/>
                <w:color w:val="000000"/>
                <w:spacing w:val="0"/>
                <w:w w:val="100"/>
                <w:position w:val="0"/>
                <w:sz w:val="20"/>
                <w:szCs w:val="20"/>
              </w:rPr>
              <w:t>184</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jc w:val="both"/>
              <w:rPr>
                <w:sz w:val="20"/>
                <w:szCs w:val="20"/>
              </w:rPr>
            </w:pPr>
            <w:r>
              <w:rPr>
                <w:rFonts w:ascii="Times New Roman" w:eastAsia="Times New Roman" w:hAnsi="Times New Roman" w:cs="Times New Roman"/>
                <w:color w:val="000000"/>
                <w:spacing w:val="0"/>
                <w:w w:val="100"/>
                <w:position w:val="0"/>
                <w:sz w:val="20"/>
                <w:szCs w:val="20"/>
              </w:rPr>
              <w:t>(4,291,475)</w:t>
            </w:r>
          </w:p>
        </w:tc>
      </w:tr>
      <w:tr>
        <w:trPr>
          <w:trHeight w:val="269"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财务费用</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净额</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(93,853)</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60"/>
              <w:jc w:val="both"/>
              <w:rPr>
                <w:sz w:val="20"/>
                <w:szCs w:val="20"/>
              </w:rPr>
            </w:pPr>
            <w:r>
              <w:rPr>
                <w:rFonts w:ascii="Times New Roman" w:eastAsia="Times New Roman" w:hAnsi="Times New Roman" w:cs="Times New Roman"/>
                <w:color w:val="000000"/>
                <w:spacing w:val="0"/>
                <w:w w:val="100"/>
                <w:position w:val="0"/>
                <w:sz w:val="20"/>
                <w:szCs w:val="20"/>
              </w:rPr>
              <w:t>(10,429)</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18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(104,282)</w:t>
            </w:r>
          </w:p>
        </w:tc>
      </w:tr>
      <w:tr>
        <w:trPr>
          <w:trHeight w:val="269"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资产减值损失</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(184,607)</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60"/>
              <w:jc w:val="both"/>
              <w:rPr>
                <w:sz w:val="20"/>
                <w:szCs w:val="20"/>
              </w:rPr>
            </w:pPr>
            <w:r>
              <w:rPr>
                <w:rFonts w:ascii="Times New Roman" w:eastAsia="Times New Roman" w:hAnsi="Times New Roman" w:cs="Times New Roman"/>
                <w:color w:val="000000"/>
                <w:spacing w:val="0"/>
                <w:w w:val="100"/>
                <w:position w:val="0"/>
                <w:sz w:val="20"/>
                <w:szCs w:val="20"/>
              </w:rPr>
              <w:t>(13,480)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18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(198,087)</w:t>
            </w:r>
          </w:p>
        </w:tc>
      </w:tr>
      <w:tr>
        <w:trPr>
          <w:trHeight w:val="269"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公允价值变动损失</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20"/>
              <w:jc w:val="left"/>
              <w:rPr>
                <w:sz w:val="20"/>
                <w:szCs w:val="20"/>
              </w:rPr>
            </w:pPr>
            <w:r>
              <w:rPr>
                <w:rFonts w:ascii="Times New Roman" w:eastAsia="Times New Roman" w:hAnsi="Times New Roman" w:cs="Times New Roman"/>
                <w:color w:val="000000"/>
                <w:spacing w:val="0"/>
                <w:w w:val="100"/>
                <w:position w:val="0"/>
                <w:sz w:val="20"/>
                <w:szCs w:val="20"/>
              </w:rPr>
              <w:t>(6,920)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14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18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(6,920)</w:t>
            </w:r>
          </w:p>
        </w:tc>
      </w:tr>
      <w:tr>
        <w:trPr>
          <w:trHeight w:val="398"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投资收益</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1,654,764</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14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18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1,654,764</w:t>
            </w:r>
          </w:p>
        </w:tc>
      </w:tr>
      <w:tr>
        <w:trPr>
          <w:trHeight w:val="394"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营业</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损失</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利润</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60"/>
              <w:jc w:val="both"/>
              <w:rPr>
                <w:sz w:val="20"/>
                <w:szCs w:val="20"/>
              </w:rPr>
            </w:pPr>
            <w:r>
              <w:rPr>
                <w:rFonts w:ascii="Times New Roman" w:eastAsia="Times New Roman" w:hAnsi="Times New Roman" w:cs="Times New Roman"/>
                <w:color w:val="000000"/>
                <w:spacing w:val="0"/>
                <w:w w:val="100"/>
                <w:position w:val="0"/>
                <w:sz w:val="20"/>
                <w:szCs w:val="20"/>
              </w:rPr>
              <w:t>(1,041,397)</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60"/>
              <w:jc w:val="both"/>
              <w:rPr>
                <w:sz w:val="20"/>
                <w:szCs w:val="20"/>
              </w:rPr>
            </w:pPr>
            <w:r>
              <w:rPr>
                <w:rFonts w:ascii="Times New Roman" w:eastAsia="Times New Roman" w:hAnsi="Times New Roman" w:cs="Times New Roman"/>
                <w:color w:val="000000"/>
                <w:spacing w:val="0"/>
                <w:w w:val="100"/>
                <w:position w:val="0"/>
                <w:sz w:val="20"/>
                <w:szCs w:val="20"/>
              </w:rPr>
              <w:t>431,376</w:t>
            </w:r>
          </w:p>
        </w:tc>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(610,021)</w:t>
            </w:r>
          </w:p>
        </w:tc>
      </w:tr>
      <w:tr>
        <w:trPr>
          <w:trHeight w:val="264"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营业外收入</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1,642,180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080" w:right="0" w:firstLine="0"/>
              <w:jc w:val="both"/>
              <w:rPr>
                <w:sz w:val="20"/>
                <w:szCs w:val="20"/>
              </w:rPr>
            </w:pPr>
            <w:r>
              <w:rPr>
                <w:rFonts w:ascii="Times New Roman" w:eastAsia="Times New Roman" w:hAnsi="Times New Roman" w:cs="Times New Roman"/>
                <w:color w:val="000000"/>
                <w:spacing w:val="0"/>
                <w:w w:val="100"/>
                <w:position w:val="0"/>
                <w:sz w:val="20"/>
                <w:szCs w:val="20"/>
              </w:rPr>
              <w:t>23,044</w:t>
            </w:r>
          </w:p>
        </w:tc>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1,665,224</w:t>
            </w:r>
          </w:p>
        </w:tc>
      </w:tr>
      <w:tr>
        <w:trPr>
          <w:trHeight w:val="288"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营业外支出</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(156,355)</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140" w:firstLine="0"/>
              <w:jc w:val="right"/>
              <w:rPr>
                <w:sz w:val="20"/>
                <w:szCs w:val="20"/>
              </w:rPr>
            </w:pPr>
            <w:r>
              <w:rPr>
                <w:rFonts w:ascii="Times New Roman" w:eastAsia="Times New Roman" w:hAnsi="Times New Roman" w:cs="Times New Roman"/>
                <w:color w:val="000000"/>
                <w:spacing w:val="0"/>
                <w:w w:val="100"/>
                <w:position w:val="0"/>
                <w:sz w:val="20"/>
                <w:szCs w:val="20"/>
              </w:rPr>
              <w:t>(9,891)</w:t>
            </w:r>
          </w:p>
        </w:tc>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(166,246)</w:t>
            </w:r>
          </w:p>
        </w:tc>
      </w:tr>
      <w:tr>
        <w:trPr>
          <w:trHeight w:val="269"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利润总额</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00"/>
              <w:jc w:val="left"/>
              <w:rPr>
                <w:sz w:val="20"/>
                <w:szCs w:val="20"/>
              </w:rPr>
            </w:pPr>
            <w:r>
              <w:rPr>
                <w:rFonts w:ascii="Times New Roman" w:eastAsia="Times New Roman" w:hAnsi="Times New Roman" w:cs="Times New Roman"/>
                <w:color w:val="000000"/>
                <w:spacing w:val="0"/>
                <w:w w:val="100"/>
                <w:position w:val="0"/>
                <w:sz w:val="20"/>
                <w:szCs w:val="20"/>
              </w:rPr>
              <w:t>444,428</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60"/>
              <w:jc w:val="both"/>
              <w:rPr>
                <w:sz w:val="20"/>
                <w:szCs w:val="20"/>
              </w:rPr>
            </w:pPr>
            <w:r>
              <w:rPr>
                <w:rFonts w:ascii="Times New Roman" w:eastAsia="Times New Roman" w:hAnsi="Times New Roman" w:cs="Times New Roman"/>
                <w:color w:val="000000"/>
                <w:spacing w:val="0"/>
                <w:w w:val="100"/>
                <w:position w:val="0"/>
                <w:sz w:val="20"/>
                <w:szCs w:val="20"/>
              </w:rPr>
              <w:t>444,529</w:t>
            </w:r>
          </w:p>
        </w:tc>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888,957</w:t>
            </w:r>
          </w:p>
        </w:tc>
      </w:tr>
      <w:tr>
        <w:trPr>
          <w:trHeight w:val="278"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所得税费用</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(94,731)</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60"/>
              <w:jc w:val="both"/>
              <w:rPr>
                <w:sz w:val="20"/>
                <w:szCs w:val="20"/>
              </w:rPr>
            </w:pPr>
            <w:r>
              <w:rPr>
                <w:rFonts w:ascii="Times New Roman" w:eastAsia="Times New Roman" w:hAnsi="Times New Roman" w:cs="Times New Roman"/>
                <w:color w:val="000000"/>
                <w:spacing w:val="0"/>
                <w:w w:val="100"/>
                <w:position w:val="0"/>
                <w:sz w:val="20"/>
                <w:szCs w:val="20"/>
              </w:rPr>
              <w:t>(36,494)</w:t>
            </w:r>
          </w:p>
        </w:tc>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(131,225)</w:t>
            </w:r>
          </w:p>
        </w:tc>
      </w:tr>
      <w:tr>
        <w:trPr>
          <w:trHeight w:val="398"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净利润</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00"/>
              <w:jc w:val="left"/>
              <w:rPr>
                <w:sz w:val="20"/>
                <w:szCs w:val="20"/>
              </w:rPr>
            </w:pPr>
            <w:r>
              <w:rPr>
                <w:rFonts w:ascii="Times New Roman" w:eastAsia="Times New Roman" w:hAnsi="Times New Roman" w:cs="Times New Roman"/>
                <w:color w:val="000000"/>
                <w:spacing w:val="0"/>
                <w:w w:val="100"/>
                <w:position w:val="0"/>
                <w:sz w:val="20"/>
                <w:szCs w:val="20"/>
              </w:rPr>
              <w:t>349,697</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60"/>
              <w:jc w:val="both"/>
              <w:rPr>
                <w:sz w:val="20"/>
                <w:szCs w:val="20"/>
              </w:rPr>
            </w:pPr>
            <w:r>
              <w:rPr>
                <w:rFonts w:ascii="Times New Roman" w:eastAsia="Times New Roman" w:hAnsi="Times New Roman" w:cs="Times New Roman"/>
                <w:color w:val="000000"/>
                <w:spacing w:val="0"/>
                <w:w w:val="100"/>
                <w:position w:val="0"/>
                <w:sz w:val="20"/>
                <w:szCs w:val="20"/>
              </w:rPr>
              <w:t>408,035</w:t>
            </w:r>
          </w:p>
        </w:tc>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757,732</w:t>
            </w:r>
          </w:p>
        </w:tc>
      </w:tr>
      <w:tr>
        <w:trPr>
          <w:trHeight w:val="547"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资产总额</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rPr>
                <w:sz w:val="20"/>
                <w:szCs w:val="20"/>
              </w:rPr>
            </w:pPr>
            <w:r>
              <w:rPr>
                <w:rFonts w:ascii="Times New Roman" w:eastAsia="Times New Roman" w:hAnsi="Times New Roman" w:cs="Times New Roman"/>
                <w:color w:val="000000"/>
                <w:spacing w:val="0"/>
                <w:w w:val="100"/>
                <w:position w:val="0"/>
                <w:sz w:val="20"/>
                <w:szCs w:val="20"/>
              </w:rPr>
              <w:t>85,327,179</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00"/>
              <w:jc w:val="left"/>
              <w:rPr>
                <w:sz w:val="20"/>
                <w:szCs w:val="20"/>
              </w:rPr>
            </w:pPr>
            <w:r>
              <w:rPr>
                <w:rFonts w:ascii="Times New Roman" w:eastAsia="Times New Roman" w:hAnsi="Times New Roman" w:cs="Times New Roman"/>
                <w:color w:val="000000"/>
                <w:spacing w:val="0"/>
                <w:w w:val="100"/>
                <w:position w:val="0"/>
                <w:sz w:val="20"/>
                <w:szCs w:val="20"/>
              </w:rPr>
              <w:t>3,306,485</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both"/>
              <w:rPr>
                <w:sz w:val="20"/>
                <w:szCs w:val="20"/>
              </w:rPr>
            </w:pPr>
            <w:r>
              <w:rPr>
                <w:rFonts w:ascii="Times New Roman" w:eastAsia="Times New Roman" w:hAnsi="Times New Roman" w:cs="Times New Roman"/>
                <w:color w:val="000000"/>
                <w:spacing w:val="0"/>
                <w:w w:val="100"/>
                <w:position w:val="0"/>
                <w:sz w:val="20"/>
                <w:szCs w:val="20"/>
              </w:rPr>
              <w:t>(557,992)</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88,075,672</w:t>
            </w:r>
          </w:p>
        </w:tc>
      </w:tr>
      <w:tr>
        <w:trPr>
          <w:trHeight w:val="552"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负债总额</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rPr>
                <w:sz w:val="20"/>
                <w:szCs w:val="20"/>
              </w:rPr>
            </w:pPr>
            <w:r>
              <w:rPr>
                <w:rFonts w:ascii="Times New Roman" w:eastAsia="Times New Roman" w:hAnsi="Times New Roman" w:cs="Times New Roman"/>
                <w:color w:val="000000"/>
                <w:spacing w:val="0"/>
                <w:w w:val="100"/>
                <w:position w:val="0"/>
                <w:sz w:val="20"/>
                <w:szCs w:val="20"/>
              </w:rPr>
              <w:t>55,524,319</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60"/>
              <w:jc w:val="both"/>
              <w:rPr>
                <w:sz w:val="20"/>
                <w:szCs w:val="20"/>
              </w:rPr>
            </w:pPr>
            <w:r>
              <w:rPr>
                <w:rFonts w:ascii="Times New Roman" w:eastAsia="Times New Roman" w:hAnsi="Times New Roman" w:cs="Times New Roman"/>
                <w:color w:val="000000"/>
                <w:spacing w:val="0"/>
                <w:w w:val="100"/>
                <w:position w:val="0"/>
                <w:sz w:val="20"/>
                <w:szCs w:val="20"/>
              </w:rPr>
              <w:t>626,287</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1060" w:right="0" w:firstLine="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56,150,606</w:t>
            </w:r>
          </w:p>
        </w:tc>
      </w:tr>
      <w:tr>
        <w:trPr>
          <w:trHeight w:val="398"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对联营企业和合营</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93"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企业的长期股权</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13"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投资</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00"/>
              <w:jc w:val="left"/>
              <w:rPr>
                <w:sz w:val="20"/>
                <w:szCs w:val="20"/>
              </w:rPr>
            </w:pPr>
            <w:r>
              <w:rPr>
                <w:rFonts w:ascii="Times New Roman" w:eastAsia="Times New Roman" w:hAnsi="Times New Roman" w:cs="Times New Roman"/>
                <w:color w:val="000000"/>
                <w:spacing w:val="0"/>
                <w:w w:val="100"/>
                <w:position w:val="0"/>
                <w:sz w:val="20"/>
                <w:szCs w:val="20"/>
              </w:rPr>
              <w:t>210,034</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140" w:firstLine="0"/>
              <w:jc w:val="right"/>
              <w:rPr>
                <w:sz w:val="20"/>
                <w:szCs w:val="20"/>
              </w:rPr>
            </w:pPr>
            <w:r>
              <w:rPr>
                <w:rFonts w:ascii="Times New Roman" w:eastAsia="Times New Roman" w:hAnsi="Times New Roman" w:cs="Times New Roman"/>
                <w:color w:val="000000"/>
                <w:spacing w:val="0"/>
                <w:w w:val="100"/>
                <w:position w:val="0"/>
                <w:sz w:val="20"/>
                <w:szCs w:val="20"/>
              </w:rPr>
              <w:t>9,762</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1060" w:right="0" w:firstLine="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219,796</w:t>
            </w:r>
          </w:p>
        </w:tc>
      </w:tr>
      <w:tr>
        <w:trPr>
          <w:trHeight w:val="427"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非流动资产</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减少</w:t>
            </w: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74"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增加额⑴</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00"/>
              <w:jc w:val="left"/>
              <w:rPr>
                <w:sz w:val="20"/>
                <w:szCs w:val="20"/>
              </w:rPr>
            </w:pPr>
            <w:r>
              <w:rPr>
                <w:rFonts w:ascii="Times New Roman" w:eastAsia="Times New Roman" w:hAnsi="Times New Roman" w:cs="Times New Roman"/>
                <w:color w:val="000000"/>
                <w:spacing w:val="0"/>
                <w:w w:val="100"/>
                <w:position w:val="0"/>
                <w:sz w:val="20"/>
                <w:szCs w:val="20"/>
              </w:rPr>
              <w:t>(130,870)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60"/>
              <w:jc w:val="both"/>
              <w:rPr>
                <w:sz w:val="20"/>
                <w:szCs w:val="20"/>
              </w:rPr>
            </w:pPr>
            <w:r>
              <w:rPr>
                <w:rFonts w:ascii="Times New Roman" w:eastAsia="Times New Roman" w:hAnsi="Times New Roman" w:cs="Times New Roman"/>
                <w:color w:val="000000"/>
                <w:spacing w:val="0"/>
                <w:w w:val="100"/>
                <w:position w:val="0"/>
                <w:sz w:val="20"/>
                <w:szCs w:val="20"/>
              </w:rPr>
              <w:t>218,924</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060" w:right="0" w:firstLine="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88,054</w:t>
            </w:r>
          </w:p>
        </w:tc>
      </w:tr>
    </w:tbl>
    <w:p>
      <w:pPr>
        <w:pStyle w:val="Style25"/>
        <w:keepNext w:val="0"/>
        <w:keepLines w:val="0"/>
        <w:widowControl w:val="0"/>
        <w:shd w:val="clear" w:color="auto" w:fill="auto"/>
        <w:bidi w:val="0"/>
        <w:spacing w:before="0" w:after="0" w:line="240" w:lineRule="auto"/>
        <w:ind w:left="0" w:right="0" w:firstLine="0"/>
        <w:jc w:val="left"/>
        <w:rPr>
          <w:sz w:val="20"/>
          <w:szCs w:val="20"/>
        </w:rPr>
        <w:sectPr>
          <w:footnotePr>
            <w:pos w:val="pageBottom"/>
            <w:numFmt w:val="decimal"/>
            <w:numRestart w:val="continuous"/>
          </w:footnotePr>
          <w:pgSz w:w="11900" w:h="16840"/>
          <w:pgMar w:top="1623" w:right="962" w:bottom="4076" w:left="1708" w:header="0" w:footer="3" w:gutter="0"/>
          <w:cols w:space="720"/>
          <w:noEndnote/>
          <w:rtlGutter w:val="0"/>
          <w:docGrid w:linePitch="360"/>
        </w:sectPr>
      </w:pPr>
      <w:r>
        <w:rPr>
          <w:color w:val="000000"/>
          <w:spacing w:val="0"/>
          <w:w w:val="100"/>
          <w:position w:val="0"/>
          <w:sz w:val="20"/>
          <w:szCs w:val="20"/>
        </w:rPr>
        <w:t>⑴非流动资产不包括金融资产、长期股权投资和递延所得税资产。</w:t>
      </w:r>
    </w:p>
    <w:p>
      <w:pPr>
        <w:pStyle w:val="Style32"/>
        <w:keepNext w:val="0"/>
        <w:keepLines w:val="0"/>
        <w:widowControl w:val="0"/>
        <w:shd w:val="clear" w:color="auto" w:fill="auto"/>
        <w:bidi w:val="0"/>
        <w:spacing w:before="0" w:after="0" w:line="240" w:lineRule="auto"/>
        <w:ind w:left="0" w:right="0" w:firstLine="740"/>
        <w:jc w:val="both"/>
        <w:rPr>
          <w:sz w:val="24"/>
          <w:szCs w:val="24"/>
        </w:rPr>
      </w:pPr>
      <w:r>
        <w:rPr>
          <w:b/>
          <w:bCs/>
          <w:color w:val="000000"/>
          <w:spacing w:val="0"/>
          <w:w w:val="100"/>
          <w:position w:val="0"/>
          <w:sz w:val="24"/>
          <w:szCs w:val="24"/>
        </w:rPr>
        <w:t>财务报表附注</w:t>
      </w:r>
    </w:p>
    <w:p>
      <w:pPr>
        <w:pStyle w:val="Style88"/>
        <w:keepNext/>
        <w:keepLines/>
        <w:widowControl w:val="0"/>
        <w:shd w:val="clear" w:color="auto" w:fill="auto"/>
        <w:bidi w:val="0"/>
        <w:spacing w:before="0" w:after="0" w:line="240" w:lineRule="auto"/>
        <w:ind w:left="0" w:right="0" w:firstLine="740"/>
        <w:jc w:val="both"/>
      </w:pPr>
      <w:bookmarkStart w:id="1060" w:name="bookmark1060"/>
      <w:bookmarkStart w:id="1061" w:name="bookmark1061"/>
      <w:bookmarkStart w:id="1062" w:name="bookmark1062"/>
      <w:r>
        <w:rPr>
          <w:color w:val="000000"/>
          <w:spacing w:val="0"/>
          <w:w w:val="100"/>
          <w:position w:val="0"/>
          <w:sz w:val="24"/>
          <w:szCs w:val="24"/>
        </w:rPr>
        <w:t>2016</w:t>
      </w:r>
      <w:r>
        <w:rPr>
          <w:rFonts w:ascii="SimSun" w:eastAsia="SimSun" w:hAnsi="SimSun" w:cs="SimSun"/>
          <w:b/>
          <w:bCs/>
          <w:color w:val="000000"/>
          <w:spacing w:val="0"/>
          <w:w w:val="100"/>
          <w:position w:val="0"/>
          <w:sz w:val="24"/>
          <w:szCs w:val="24"/>
        </w:rPr>
        <w:t>年度</w:t>
      </w:r>
      <w:bookmarkEnd w:id="1060"/>
      <w:bookmarkEnd w:id="1061"/>
      <w:bookmarkEnd w:id="1062"/>
    </w:p>
    <w:p>
      <w:pPr>
        <w:pStyle w:val="Style32"/>
        <w:keepNext w:val="0"/>
        <w:keepLines w:val="0"/>
        <w:widowControl w:val="0"/>
        <w:shd w:val="clear" w:color="auto" w:fill="auto"/>
        <w:bidi w:val="0"/>
        <w:spacing w:before="0" w:after="220" w:line="240" w:lineRule="auto"/>
        <w:ind w:left="0" w:right="0" w:firstLine="740"/>
        <w:jc w:val="both"/>
        <w:rPr>
          <w:sz w:val="20"/>
          <w:szCs w:val="20"/>
        </w:rPr>
      </w:pPr>
      <w:r>
        <w:rPr>
          <w:rFonts w:ascii="Arial" w:eastAsia="Arial" w:hAnsi="Arial" w:cs="Arial"/>
          <w:color w:val="000000"/>
          <w:spacing w:val="0"/>
          <w:w w:val="100"/>
          <w:position w:val="0"/>
          <w:sz w:val="20"/>
          <w:szCs w:val="20"/>
        </w:rPr>
        <w:t>(</w:t>
      </w:r>
      <w:r>
        <w:rPr>
          <w:color w:val="000000"/>
          <w:spacing w:val="0"/>
          <w:w w:val="100"/>
          <w:position w:val="0"/>
          <w:sz w:val="20"/>
          <w:szCs w:val="20"/>
        </w:rPr>
        <w:t>除特别注明外，金额单位为人民币千元</w:t>
      </w:r>
      <w:r>
        <w:rPr>
          <w:rFonts w:ascii="Arial" w:eastAsia="Arial" w:hAnsi="Arial" w:cs="Arial"/>
          <w:color w:val="000000"/>
          <w:spacing w:val="0"/>
          <w:w w:val="100"/>
          <w:position w:val="0"/>
          <w:sz w:val="20"/>
          <w:szCs w:val="20"/>
        </w:rPr>
        <w:t>)</w:t>
      </w:r>
    </w:p>
    <w:p>
      <w:pPr>
        <w:pStyle w:val="Style32"/>
        <w:keepNext w:val="0"/>
        <w:keepLines w:val="0"/>
        <w:widowControl w:val="0"/>
        <w:shd w:val="clear" w:color="auto" w:fill="auto"/>
        <w:tabs>
          <w:tab w:pos="702" w:val="left"/>
        </w:tabs>
        <w:bidi w:val="0"/>
        <w:spacing w:before="0" w:after="220" w:line="240" w:lineRule="auto"/>
        <w:ind w:left="0" w:right="0" w:firstLine="0"/>
        <w:jc w:val="left"/>
        <w:rPr>
          <w:sz w:val="24"/>
          <w:szCs w:val="24"/>
        </w:rPr>
      </w:pPr>
      <w:r>
        <w:rPr>
          <w:b/>
          <w:bCs/>
          <w:color w:val="000000"/>
          <w:spacing w:val="0"/>
          <w:w w:val="100"/>
          <w:position w:val="0"/>
          <w:sz w:val="24"/>
          <w:szCs w:val="24"/>
        </w:rPr>
        <w:t>七</w:t>
        <w:tab/>
        <w:t>分部信息</w:t>
      </w:r>
      <w:r>
        <w:rPr>
          <w:rFonts w:ascii="Times New Roman" w:eastAsia="Times New Roman" w:hAnsi="Times New Roman" w:cs="Times New Roman"/>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4"/>
          <w:szCs w:val="24"/>
        </w:rPr>
        <w:t>)</w:t>
      </w:r>
    </w:p>
    <w:p>
      <w:pPr>
        <w:pStyle w:val="Style32"/>
        <w:keepNext w:val="0"/>
        <w:keepLines w:val="0"/>
        <w:widowControl w:val="0"/>
        <w:shd w:val="clear" w:color="auto" w:fill="auto"/>
        <w:bidi w:val="0"/>
        <w:spacing w:before="0" w:after="220" w:line="317" w:lineRule="exact"/>
        <w:ind w:left="740" w:right="0" w:firstLine="0"/>
        <w:jc w:val="both"/>
        <w:rPr>
          <w:sz w:val="24"/>
          <w:szCs w:val="24"/>
        </w:rPr>
      </w:pPr>
      <w:r>
        <w:rPr>
          <w:color w:val="000000"/>
          <w:spacing w:val="0"/>
          <w:w w:val="100"/>
          <w:position w:val="0"/>
          <w:sz w:val="24"/>
          <w:szCs w:val="24"/>
        </w:rPr>
        <w:t>本集团在国内及其他国家和地区的对外交易收入总额，以及本集团位于国内及 其他国家和地区的除金融资产、长期股权投资及递延所得税资产之外的非流动 资产总额列示如下：</w:t>
      </w:r>
    </w:p>
    <w:p>
      <w:pPr>
        <w:pStyle w:val="Style32"/>
        <w:keepNext w:val="0"/>
        <w:keepLines w:val="0"/>
        <w:widowControl w:val="0"/>
        <w:shd w:val="clear" w:color="auto" w:fill="auto"/>
        <w:bidi w:val="0"/>
        <w:spacing w:before="0" w:after="280" w:line="317" w:lineRule="exact"/>
        <w:ind w:left="0" w:right="0" w:firstLine="740"/>
        <w:jc w:val="both"/>
      </w:pPr>
      <w:r>
        <w:rPr>
          <w:color w:val="000000"/>
          <w:spacing w:val="0"/>
          <w:w w:val="100"/>
          <w:position w:val="0"/>
        </w:rPr>
        <w:t xml:space="preserve">对外交易收入 </w:t>
      </w:r>
      <w:r>
        <w:rPr>
          <w:rFonts w:ascii="Times New Roman" w:eastAsia="Times New Roman" w:hAnsi="Times New Roman" w:cs="Times New Roman"/>
          <w:color w:val="000000"/>
          <w:spacing w:val="0"/>
          <w:w w:val="100"/>
          <w:position w:val="0"/>
        </w:rPr>
        <w:t>2016</w:t>
      </w:r>
      <w:r>
        <w:rPr>
          <w:color w:val="000000"/>
          <w:spacing w:val="0"/>
          <w:w w:val="100"/>
          <w:position w:val="0"/>
        </w:rPr>
        <w:t xml:space="preserve">年度 </w:t>
      </w:r>
      <w:r>
        <w:rPr>
          <w:rFonts w:ascii="Times New Roman" w:eastAsia="Times New Roman" w:hAnsi="Times New Roman" w:cs="Times New Roman"/>
          <w:color w:val="000000"/>
          <w:spacing w:val="0"/>
          <w:w w:val="100"/>
          <w:position w:val="0"/>
        </w:rPr>
        <w:t>2015</w:t>
      </w:r>
      <w:r>
        <w:rPr>
          <w:color w:val="000000"/>
          <w:spacing w:val="0"/>
          <w:w w:val="100"/>
          <w:position w:val="0"/>
        </w:rPr>
        <w:t>年度</w:t>
      </w:r>
    </w:p>
    <w:tbl>
      <w:tblPr>
        <w:tblOverlap w:val="never"/>
        <w:jc w:val="right"/>
        <w:tblLayout w:type="fixed"/>
      </w:tblPr>
      <w:tblGrid>
        <w:gridCol w:w="2659"/>
        <w:gridCol w:w="3331"/>
        <w:gridCol w:w="2338"/>
      </w:tblGrid>
      <w:tr>
        <w:trPr>
          <w:trHeight w:val="293"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145,029,211</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130,608,370</w:t>
            </w:r>
          </w:p>
        </w:tc>
      </w:tr>
      <w:tr>
        <w:trPr>
          <w:trHeight w:val="269"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日本及海外</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3,556,120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4,939,263</w:t>
            </w:r>
          </w:p>
        </w:tc>
      </w:tr>
      <w:tr>
        <w:trPr>
          <w:trHeight w:val="274" w:hRule="exact"/>
        </w:trPr>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148,585,331</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135,547,633</w:t>
            </w:r>
          </w:p>
        </w:tc>
      </w:tr>
      <w:tr>
        <w:trPr>
          <w:trHeight w:val="696"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非流动资产总额</w:t>
            </w:r>
          </w:p>
        </w:tc>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r>
        <w:trPr>
          <w:trHeight w:val="398"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24,681,640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26,573,820</w:t>
            </w:r>
          </w:p>
        </w:tc>
      </w:tr>
      <w:tr>
        <w:trPr>
          <w:trHeight w:val="288"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日本及海外</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2160" w:right="0" w:firstLine="0"/>
              <w:jc w:val="left"/>
            </w:pPr>
            <w:r>
              <w:rPr>
                <w:rFonts w:ascii="Times New Roman" w:eastAsia="Times New Roman" w:hAnsi="Times New Roman" w:cs="Times New Roman"/>
                <w:color w:val="000000"/>
                <w:spacing w:val="0"/>
                <w:w w:val="100"/>
                <w:position w:val="0"/>
              </w:rPr>
              <w:t>802,032</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499,830</w:t>
            </w:r>
          </w:p>
        </w:tc>
      </w:tr>
      <w:tr>
        <w:trPr>
          <w:trHeight w:val="288" w:hRule="exact"/>
        </w:trPr>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25,483,672</w:t>
            </w:r>
          </w:p>
        </w:tc>
        <w:tc>
          <w:tcPr>
            <w:tcBorders>
              <w:top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27,073,650</w:t>
            </w:r>
          </w:p>
        </w:tc>
      </w:tr>
    </w:tbl>
    <w:p>
      <w:pPr>
        <w:widowControl w:val="0"/>
        <w:spacing w:after="219" w:line="1" w:lineRule="exact"/>
      </w:pPr>
    </w:p>
    <w:p>
      <w:pPr>
        <w:pStyle w:val="Style32"/>
        <w:keepNext w:val="0"/>
        <w:keepLines w:val="0"/>
        <w:widowControl w:val="0"/>
        <w:shd w:val="clear" w:color="auto" w:fill="auto"/>
        <w:tabs>
          <w:tab w:pos="702" w:val="left"/>
        </w:tabs>
        <w:bidi w:val="0"/>
        <w:spacing w:before="0" w:after="280" w:line="240" w:lineRule="auto"/>
        <w:ind w:left="0" w:right="0" w:firstLine="0"/>
        <w:jc w:val="left"/>
        <w:rPr>
          <w:sz w:val="24"/>
          <w:szCs w:val="24"/>
        </w:rPr>
      </w:pPr>
      <w:r>
        <w:rPr>
          <w:b/>
          <w:bCs/>
          <w:color w:val="000000"/>
          <w:spacing w:val="0"/>
          <w:w w:val="100"/>
          <w:position w:val="0"/>
          <w:sz w:val="24"/>
          <w:szCs w:val="24"/>
        </w:rPr>
        <w:t>八</w:t>
        <w:tab/>
        <w:t>关联方关系及其交易</w:t>
      </w:r>
    </w:p>
    <w:p>
      <w:pPr>
        <w:pStyle w:val="Style32"/>
        <w:keepNext w:val="0"/>
        <w:keepLines w:val="0"/>
        <w:widowControl w:val="0"/>
        <w:shd w:val="clear" w:color="auto" w:fill="auto"/>
        <w:tabs>
          <w:tab w:pos="702" w:val="left"/>
        </w:tabs>
        <w:bidi w:val="0"/>
        <w:spacing w:before="0" w:after="28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(1)</w:t>
        <w:tab/>
      </w:r>
      <w:r>
        <w:rPr>
          <w:b/>
          <w:bCs/>
          <w:color w:val="000000"/>
          <w:spacing w:val="0"/>
          <w:w w:val="100"/>
          <w:position w:val="0"/>
          <w:sz w:val="24"/>
          <w:szCs w:val="24"/>
        </w:rPr>
        <w:t>实际控制人情况</w:t>
      </w:r>
    </w:p>
    <w:p>
      <w:pPr>
        <w:pStyle w:val="Style32"/>
        <w:keepNext w:val="0"/>
        <w:keepLines w:val="0"/>
        <w:widowControl w:val="0"/>
        <w:shd w:val="clear" w:color="auto" w:fill="auto"/>
        <w:tabs>
          <w:tab w:pos="702" w:val="left"/>
        </w:tabs>
        <w:bidi w:val="0"/>
        <w:spacing w:before="0" w:after="28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(a)</w:t>
        <w:tab/>
      </w:r>
      <w:r>
        <w:rPr>
          <w:color w:val="000000"/>
          <w:spacing w:val="0"/>
          <w:w w:val="100"/>
          <w:position w:val="0"/>
          <w:sz w:val="24"/>
          <w:szCs w:val="24"/>
        </w:rPr>
        <w:t>本公司实际控制人为张近东先生。</w:t>
      </w:r>
    </w:p>
    <w:p>
      <w:pPr>
        <w:pStyle w:val="Style32"/>
        <w:keepNext w:val="0"/>
        <w:keepLines w:val="0"/>
        <w:widowControl w:val="0"/>
        <w:shd w:val="clear" w:color="auto" w:fill="auto"/>
        <w:tabs>
          <w:tab w:pos="702" w:val="left"/>
        </w:tabs>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(b)</w:t>
        <w:tab/>
      </w:r>
      <w:r>
        <w:rPr>
          <w:color w:val="000000"/>
          <w:spacing w:val="0"/>
          <w:w w:val="100"/>
          <w:position w:val="0"/>
          <w:sz w:val="24"/>
          <w:szCs w:val="24"/>
        </w:rPr>
        <w:t>实际控制人对本公司的持股比例和表决权比例</w:t>
      </w:r>
    </w:p>
    <w:p>
      <w:pPr>
        <w:widowControl w:val="0"/>
        <w:spacing w:line="1" w:lineRule="exact"/>
      </w:pPr>
      <w:r>
        <mc:AlternateContent>
          <mc:Choice Requires="wps">
            <w:drawing>
              <wp:anchor distT="826770" distB="9525" distL="0" distR="0" simplePos="0" relativeHeight="125829452" behindDoc="0" locked="0" layoutInCell="1" allowOverlap="1">
                <wp:simplePos x="0" y="0"/>
                <wp:positionH relativeFrom="page">
                  <wp:posOffset>1550035</wp:posOffset>
                </wp:positionH>
                <wp:positionV relativeFrom="paragraph">
                  <wp:posOffset>826770</wp:posOffset>
                </wp:positionV>
                <wp:extent cx="951230" cy="194945"/>
                <wp:wrapTopAndBottom/>
                <wp:docPr id="476" name="Shape 476"/>
                <a:graphic xmlns:a="http://schemas.openxmlformats.org/drawingml/2006/main">
                  <a:graphicData uri="http://schemas.microsoft.com/office/word/2010/wordprocessingShape">
                    <wps:wsp>
                      <wps:cNvSpPr txBox="1"/>
                      <wps:spPr>
                        <a:xfrm>
                          <a:ext cx="951230" cy="194945"/>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张近东先生</w:t>
                            </w: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w:t>
                            </w:r>
                          </w:p>
                        </w:txbxContent>
                      </wps:txbx>
                      <wps:bodyPr wrap="none" lIns="0" tIns="0" rIns="0" bIns="0">
                        <a:noAutoFit/>
                      </wps:bodyPr>
                    </wps:wsp>
                  </a:graphicData>
                </a:graphic>
              </wp:anchor>
            </w:drawing>
          </mc:Choice>
          <mc:Fallback>
            <w:pict>
              <v:shape id="_x0000_s1502" type="#_x0000_t202" style="position:absolute;margin-left:122.05pt;margin-top:65.099999999999994pt;width:74.900000000000006pt;height:15.35pt;z-index:-125829301;mso-wrap-distance-left:0;mso-wrap-distance-top:65.099999999999994pt;mso-wrap-distance-right:0;mso-wrap-distance-bottom:0.75pt;mso-position-horizontal-relative:page" filled="f" stroked="f">
                <v:textbox inset="0,0,0,0">
                  <w:txbxContent>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张近东先生</w:t>
                      </w: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w:t>
                      </w:r>
                    </w:p>
                  </w:txbxContent>
                </v:textbox>
                <w10:wrap type="topAndBottom" anchorx="page"/>
              </v:shape>
            </w:pict>
          </mc:Fallback>
        </mc:AlternateContent>
      </w:r>
      <w:r>
        <mc:AlternateContent>
          <mc:Choice Requires="wps">
            <w:drawing>
              <wp:anchor distT="101600" distB="734695" distL="0" distR="0" simplePos="0" relativeHeight="125829454" behindDoc="0" locked="0" layoutInCell="1" allowOverlap="1">
                <wp:simplePos x="0" y="0"/>
                <wp:positionH relativeFrom="page">
                  <wp:posOffset>3134995</wp:posOffset>
                </wp:positionH>
                <wp:positionV relativeFrom="paragraph">
                  <wp:posOffset>101600</wp:posOffset>
                </wp:positionV>
                <wp:extent cx="1158240" cy="194945"/>
                <wp:wrapTopAndBottom/>
                <wp:docPr id="478" name="Shape 478"/>
                <a:graphic xmlns:a="http://schemas.openxmlformats.org/drawingml/2006/main">
                  <a:graphicData uri="http://schemas.microsoft.com/office/word/2010/wordprocessingShape">
                    <wps:wsp>
                      <wps:cNvSpPr txBox="1"/>
                      <wps:spPr>
                        <a:xfrm>
                          <a:ext cx="1158240" cy="194945"/>
                        </a:xfrm>
                        <a:prstGeom prst="rect"/>
                        <a:noFill/>
                      </wps:spPr>
                      <wps:txbx>
                        <w:txbxContent>
                          <w:p>
                            <w:pPr>
                              <w:pStyle w:val="Style53"/>
                              <w:keepNext w:val="0"/>
                              <w:keepLines w:val="0"/>
                              <w:widowControl w:val="0"/>
                              <w:pBdr>
                                <w:bottom w:val="single" w:sz="4" w:space="0" w:color="auto"/>
                              </w:pBdr>
                              <w:shd w:val="clear" w:color="auto" w:fill="auto"/>
                              <w:bidi w:val="0"/>
                              <w:spacing w:before="0" w:after="0" w:line="240" w:lineRule="auto"/>
                              <w:ind w:left="0" w:right="0" w:firstLine="0"/>
                              <w:jc w:val="center"/>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xbxContent>
                      </wps:txbx>
                      <wps:bodyPr wrap="none" lIns="0" tIns="0" rIns="0" bIns="0">
                        <a:noAutoFit/>
                      </wps:bodyPr>
                    </wps:wsp>
                  </a:graphicData>
                </a:graphic>
              </wp:anchor>
            </w:drawing>
          </mc:Choice>
          <mc:Fallback>
            <w:pict>
              <v:shape id="_x0000_s1504" type="#_x0000_t202" style="position:absolute;margin-left:246.84999999999999pt;margin-top:8.pt;width:91.200000000000003pt;height:15.35pt;z-index:-125829299;mso-wrap-distance-left:0;mso-wrap-distance-top:8.pt;mso-wrap-distance-right:0;mso-wrap-distance-bottom:57.850000000000001pt;mso-position-horizontal-relative:page" filled="f" stroked="f">
                <v:textbox inset="0,0,0,0">
                  <w:txbxContent>
                    <w:p>
                      <w:pPr>
                        <w:pStyle w:val="Style53"/>
                        <w:keepNext w:val="0"/>
                        <w:keepLines w:val="0"/>
                        <w:widowControl w:val="0"/>
                        <w:pBdr>
                          <w:bottom w:val="single" w:sz="4" w:space="0" w:color="auto"/>
                        </w:pBdr>
                        <w:shd w:val="clear" w:color="auto" w:fill="auto"/>
                        <w:bidi w:val="0"/>
                        <w:spacing w:before="0" w:after="0" w:line="240" w:lineRule="auto"/>
                        <w:ind w:left="0" w:right="0" w:firstLine="0"/>
                        <w:jc w:val="center"/>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xbxContent>
                </v:textbox>
                <w10:wrap type="topAndBottom" anchorx="page"/>
              </v:shape>
            </w:pict>
          </mc:Fallback>
        </mc:AlternateContent>
      </w:r>
      <w:r>
        <mc:AlternateContent>
          <mc:Choice Requires="wps">
            <w:drawing>
              <wp:anchor distT="299720" distB="365760" distL="0" distR="0" simplePos="0" relativeHeight="125829456" behindDoc="0" locked="0" layoutInCell="1" allowOverlap="1">
                <wp:simplePos x="0" y="0"/>
                <wp:positionH relativeFrom="page">
                  <wp:posOffset>2897505</wp:posOffset>
                </wp:positionH>
                <wp:positionV relativeFrom="paragraph">
                  <wp:posOffset>299720</wp:posOffset>
                </wp:positionV>
                <wp:extent cx="755650" cy="365760"/>
                <wp:wrapTopAndBottom/>
                <wp:docPr id="480" name="Shape 480"/>
                <a:graphic xmlns:a="http://schemas.openxmlformats.org/drawingml/2006/main">
                  <a:graphicData uri="http://schemas.microsoft.com/office/word/2010/wordprocessingShape">
                    <wps:wsp>
                      <wps:cNvSpPr txBox="1"/>
                      <wps:spPr>
                        <a:xfrm>
                          <a:ext cx="755650" cy="365760"/>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持股比例</w:t>
                            </w:r>
                          </w:p>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r>
                              <w:rPr>
                                <w:color w:val="000000"/>
                                <w:spacing w:val="0"/>
                                <w:w w:val="100"/>
                                <w:position w:val="0"/>
                              </w:rPr>
                              <w:t>直接</w:t>
                            </w:r>
                            <w:r>
                              <w:rPr>
                                <w:rFonts w:ascii="Times New Roman" w:eastAsia="Times New Roman" w:hAnsi="Times New Roman" w:cs="Times New Roman"/>
                                <w:color w:val="000000"/>
                                <w:spacing w:val="0"/>
                                <w:w w:val="100"/>
                                <w:position w:val="0"/>
                              </w:rPr>
                              <w:t>+</w:t>
                            </w:r>
                            <w:r>
                              <w:rPr>
                                <w:color w:val="000000"/>
                                <w:spacing w:val="0"/>
                                <w:w w:val="100"/>
                                <w:position w:val="0"/>
                              </w:rPr>
                              <w:t>间接</w:t>
                            </w:r>
                            <w:r>
                              <w:rPr>
                                <w:rFonts w:ascii="Times New Roman" w:eastAsia="Times New Roman" w:hAnsi="Times New Roman" w:cs="Times New Roman"/>
                                <w:color w:val="000000"/>
                                <w:spacing w:val="0"/>
                                <w:w w:val="100"/>
                                <w:position w:val="0"/>
                              </w:rPr>
                              <w:t>)</w:t>
                            </w:r>
                          </w:p>
                        </w:txbxContent>
                      </wps:txbx>
                      <wps:bodyPr lIns="0" tIns="0" rIns="0" bIns="0">
                        <a:noAutoFit/>
                      </wps:bodyPr>
                    </wps:wsp>
                  </a:graphicData>
                </a:graphic>
              </wp:anchor>
            </w:drawing>
          </mc:Choice>
          <mc:Fallback>
            <w:pict>
              <v:shape id="_x0000_s1506" type="#_x0000_t202" style="position:absolute;margin-left:228.15000000000001pt;margin-top:23.600000000000001pt;width:59.5pt;height:28.800000000000001pt;z-index:-125829297;mso-wrap-distance-left:0;mso-wrap-distance-top:23.600000000000001pt;mso-wrap-distance-right:0;mso-wrap-distance-bottom:28.800000000000001pt;mso-position-horizontal-relative:page" filled="f" stroked="f">
                <v:textbox inset="0,0,0,0">
                  <w:txbxContent>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持股比例</w:t>
                      </w:r>
                    </w:p>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r>
                        <w:rPr>
                          <w:color w:val="000000"/>
                          <w:spacing w:val="0"/>
                          <w:w w:val="100"/>
                          <w:position w:val="0"/>
                        </w:rPr>
                        <w:t>直接</w:t>
                      </w:r>
                      <w:r>
                        <w:rPr>
                          <w:rFonts w:ascii="Times New Roman" w:eastAsia="Times New Roman" w:hAnsi="Times New Roman" w:cs="Times New Roman"/>
                          <w:color w:val="000000"/>
                          <w:spacing w:val="0"/>
                          <w:w w:val="100"/>
                          <w:position w:val="0"/>
                        </w:rPr>
                        <w:t>+</w:t>
                      </w:r>
                      <w:r>
                        <w:rPr>
                          <w:color w:val="000000"/>
                          <w:spacing w:val="0"/>
                          <w:w w:val="100"/>
                          <w:position w:val="0"/>
                        </w:rPr>
                        <w:t>间接</w:t>
                      </w:r>
                      <w:r>
                        <w:rPr>
                          <w:rFonts w:ascii="Times New Roman" w:eastAsia="Times New Roman" w:hAnsi="Times New Roman" w:cs="Times New Roman"/>
                          <w:color w:val="000000"/>
                          <w:spacing w:val="0"/>
                          <w:w w:val="100"/>
                          <w:position w:val="0"/>
                        </w:rPr>
                        <w:t>)</w:t>
                      </w:r>
                    </w:p>
                  </w:txbxContent>
                </v:textbox>
                <w10:wrap type="topAndBottom" anchorx="page"/>
              </v:shape>
            </w:pict>
          </mc:Fallback>
        </mc:AlternateContent>
      </w:r>
      <w:r>
        <mc:AlternateContent>
          <mc:Choice Requires="wps">
            <w:drawing>
              <wp:anchor distT="384810" distB="475615" distL="0" distR="0" simplePos="0" relativeHeight="125829458" behindDoc="0" locked="0" layoutInCell="1" allowOverlap="1">
                <wp:simplePos x="0" y="0"/>
                <wp:positionH relativeFrom="page">
                  <wp:posOffset>3820795</wp:posOffset>
                </wp:positionH>
                <wp:positionV relativeFrom="paragraph">
                  <wp:posOffset>384810</wp:posOffset>
                </wp:positionV>
                <wp:extent cx="725170" cy="170815"/>
                <wp:wrapTopAndBottom/>
                <wp:docPr id="482" name="Shape 482"/>
                <a:graphic xmlns:a="http://schemas.openxmlformats.org/drawingml/2006/main">
                  <a:graphicData uri="http://schemas.microsoft.com/office/word/2010/wordprocessingShape">
                    <wps:wsp>
                      <wps:cNvSpPr txBox="1"/>
                      <wps:spPr>
                        <a:xfrm>
                          <a:ext cx="725170" cy="170815"/>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表决权比例</w:t>
                            </w:r>
                          </w:p>
                        </w:txbxContent>
                      </wps:txbx>
                      <wps:bodyPr wrap="none" lIns="0" tIns="0" rIns="0" bIns="0">
                        <a:noAutoFit/>
                      </wps:bodyPr>
                    </wps:wsp>
                  </a:graphicData>
                </a:graphic>
              </wp:anchor>
            </w:drawing>
          </mc:Choice>
          <mc:Fallback>
            <w:pict>
              <v:shape id="_x0000_s1508" type="#_x0000_t202" style="position:absolute;margin-left:300.85000000000002pt;margin-top:30.300000000000001pt;width:57.100000000000001pt;height:13.450000000000001pt;z-index:-125829295;mso-wrap-distance-left:0;mso-wrap-distance-top:30.300000000000001pt;mso-wrap-distance-right:0;mso-wrap-distance-bottom:37.450000000000003pt;mso-position-horizontal-relative:page" filled="f" stroked="f">
                <v:textbox inset="0,0,0,0">
                  <w:txbxContent>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表决权比例</w:t>
                      </w:r>
                    </w:p>
                  </w:txbxContent>
                </v:textbox>
                <w10:wrap type="topAndBottom" anchorx="page"/>
              </v:shape>
            </w:pict>
          </mc:Fallback>
        </mc:AlternateContent>
      </w:r>
      <w:r>
        <mc:AlternateContent>
          <mc:Choice Requires="wps">
            <w:drawing>
              <wp:anchor distT="836295" distB="0" distL="0" distR="0" simplePos="0" relativeHeight="125829460" behindDoc="0" locked="0" layoutInCell="1" allowOverlap="1">
                <wp:simplePos x="0" y="0"/>
                <wp:positionH relativeFrom="page">
                  <wp:posOffset>3177540</wp:posOffset>
                </wp:positionH>
                <wp:positionV relativeFrom="paragraph">
                  <wp:posOffset>836295</wp:posOffset>
                </wp:positionV>
                <wp:extent cx="1371600" cy="194945"/>
                <wp:wrapTopAndBottom/>
                <wp:docPr id="484" name="Shape 484"/>
                <a:graphic xmlns:a="http://schemas.openxmlformats.org/drawingml/2006/main">
                  <a:graphicData uri="http://schemas.microsoft.com/office/word/2010/wordprocessingShape">
                    <wps:wsp>
                      <wps:cNvSpPr txBox="1"/>
                      <wps:spPr>
                        <a:xfrm>
                          <a:ext cx="1371600" cy="194945"/>
                        </a:xfrm>
                        <a:prstGeom prst="rect"/>
                        <a:noFill/>
                      </wps:spPr>
                      <wps:txbx>
                        <w:txbxContent>
                          <w:p>
                            <w:pPr>
                              <w:pStyle w:val="Style53"/>
                              <w:keepNext w:val="0"/>
                              <w:keepLines w:val="0"/>
                              <w:widowControl w:val="0"/>
                              <w:shd w:val="clear" w:color="auto" w:fill="auto"/>
                              <w:tabs>
                                <w:tab w:pos="1430" w:val="left"/>
                              </w:tabs>
                              <w:bidi w:val="0"/>
                              <w:spacing w:before="0" w:after="0" w:line="240" w:lineRule="auto"/>
                              <w:ind w:left="0" w:right="0" w:firstLine="0"/>
                              <w:jc w:val="left"/>
                            </w:pPr>
                            <w:r>
                              <w:rPr>
                                <w:color w:val="000000"/>
                                <w:spacing w:val="0"/>
                                <w:w w:val="100"/>
                                <w:position w:val="0"/>
                              </w:rPr>
                              <w:t>33.91%</w:t>
                              <w:tab/>
                              <w:t>24.29%</w:t>
                            </w:r>
                          </w:p>
                        </w:txbxContent>
                      </wps:txbx>
                      <wps:bodyPr wrap="none" lIns="0" tIns="0" rIns="0" bIns="0">
                        <a:noAutoFit/>
                      </wps:bodyPr>
                    </wps:wsp>
                  </a:graphicData>
                </a:graphic>
              </wp:anchor>
            </w:drawing>
          </mc:Choice>
          <mc:Fallback>
            <w:pict>
              <v:shape id="_x0000_s1510" type="#_x0000_t202" style="position:absolute;margin-left:250.20000000000002pt;margin-top:65.849999999999994pt;width:108.pt;height:15.35pt;z-index:-125829293;mso-wrap-distance-left:0;mso-wrap-distance-top:65.849999999999994pt;mso-wrap-distance-right:0;mso-position-horizontal-relative:page" filled="f" stroked="f">
                <v:textbox inset="0,0,0,0">
                  <w:txbxContent>
                    <w:p>
                      <w:pPr>
                        <w:pStyle w:val="Style53"/>
                        <w:keepNext w:val="0"/>
                        <w:keepLines w:val="0"/>
                        <w:widowControl w:val="0"/>
                        <w:shd w:val="clear" w:color="auto" w:fill="auto"/>
                        <w:tabs>
                          <w:tab w:pos="1430" w:val="left"/>
                        </w:tabs>
                        <w:bidi w:val="0"/>
                        <w:spacing w:before="0" w:after="0" w:line="240" w:lineRule="auto"/>
                        <w:ind w:left="0" w:right="0" w:firstLine="0"/>
                        <w:jc w:val="left"/>
                      </w:pPr>
                      <w:r>
                        <w:rPr>
                          <w:color w:val="000000"/>
                          <w:spacing w:val="0"/>
                          <w:w w:val="100"/>
                          <w:position w:val="0"/>
                        </w:rPr>
                        <w:t>33.91%</w:t>
                        <w:tab/>
                        <w:t>24.29%</w:t>
                      </w:r>
                    </w:p>
                  </w:txbxContent>
                </v:textbox>
                <w10:wrap type="topAndBottom" anchorx="page"/>
              </v:shape>
            </w:pict>
          </mc:Fallback>
        </mc:AlternateContent>
      </w:r>
      <w:r>
        <mc:AlternateContent>
          <mc:Choice Requires="wps">
            <w:drawing>
              <wp:anchor distT="101600" distB="0" distL="0" distR="0" simplePos="0" relativeHeight="125829462" behindDoc="0" locked="0" layoutInCell="1" allowOverlap="1">
                <wp:simplePos x="0" y="0"/>
                <wp:positionH relativeFrom="page">
                  <wp:posOffset>5195570</wp:posOffset>
                </wp:positionH>
                <wp:positionV relativeFrom="paragraph">
                  <wp:posOffset>101600</wp:posOffset>
                </wp:positionV>
                <wp:extent cx="1593850" cy="929640"/>
                <wp:wrapTopAndBottom/>
                <wp:docPr id="486" name="Shape 486"/>
                <a:graphic xmlns:a="http://schemas.openxmlformats.org/drawingml/2006/main">
                  <a:graphicData uri="http://schemas.microsoft.com/office/word/2010/wordprocessingShape">
                    <wps:wsp>
                      <wps:cNvSpPr txBox="1"/>
                      <wps:spPr>
                        <a:xfrm>
                          <a:ext cx="1593850" cy="929640"/>
                        </a:xfrm>
                        <a:prstGeom prst="rect"/>
                        <a:noFill/>
                      </wps:spPr>
                      <wps:txbx>
                        <w:txbxContent>
                          <w:p>
                            <w:pPr>
                              <w:pStyle w:val="Style53"/>
                              <w:keepNext w:val="0"/>
                              <w:keepLines w:val="0"/>
                              <w:widowControl w:val="0"/>
                              <w:pBdr>
                                <w:bottom w:val="single" w:sz="4" w:space="0" w:color="auto"/>
                              </w:pBdr>
                              <w:shd w:val="clear" w:color="auto" w:fill="auto"/>
                              <w:bidi w:val="0"/>
                              <w:spacing w:before="0" w:after="160" w:line="240" w:lineRule="auto"/>
                              <w:ind w:left="0" w:right="0" w:firstLine="0"/>
                              <w:jc w:val="left"/>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p>
                            <w:pPr>
                              <w:pStyle w:val="Style32"/>
                              <w:keepNext w:val="0"/>
                              <w:keepLines w:val="0"/>
                              <w:widowControl w:val="0"/>
                              <w:shd w:val="clear" w:color="auto" w:fill="auto"/>
                              <w:tabs>
                                <w:tab w:pos="1301" w:val="left"/>
                              </w:tabs>
                              <w:bidi w:val="0"/>
                              <w:spacing w:before="0" w:after="460" w:line="240" w:lineRule="auto"/>
                              <w:ind w:left="0" w:right="0" w:firstLine="0"/>
                              <w:jc w:val="left"/>
                            </w:pPr>
                            <w:r>
                              <w:rPr>
                                <w:color w:val="000000"/>
                                <w:spacing w:val="0"/>
                                <w:w w:val="100"/>
                                <w:position w:val="0"/>
                              </w:rPr>
                              <w:t>持股比例</w:t>
                              <w:tab/>
                              <w:t>表决权比例</w:t>
                            </w:r>
                          </w:p>
                          <w:p>
                            <w:pPr>
                              <w:pStyle w:val="Style53"/>
                              <w:keepNext w:val="0"/>
                              <w:keepLines w:val="0"/>
                              <w:widowControl w:val="0"/>
                              <w:shd w:val="clear" w:color="auto" w:fill="auto"/>
                              <w:tabs>
                                <w:tab w:pos="1799" w:val="left"/>
                              </w:tabs>
                              <w:bidi w:val="0"/>
                              <w:spacing w:before="0" w:after="300" w:line="240" w:lineRule="auto"/>
                              <w:ind w:left="0" w:right="0" w:firstLine="220"/>
                              <w:jc w:val="left"/>
                            </w:pPr>
                            <w:r>
                              <w:rPr>
                                <w:color w:val="000000"/>
                                <w:spacing w:val="0"/>
                                <w:w w:val="100"/>
                                <w:position w:val="0"/>
                              </w:rPr>
                              <w:t>37.66%</w:t>
                              <w:tab/>
                              <w:t>30.64%</w:t>
                            </w:r>
                          </w:p>
                        </w:txbxContent>
                      </wps:txbx>
                      <wps:bodyPr lIns="0" tIns="0" rIns="0" bIns="0">
                        <a:noAutoFit/>
                      </wps:bodyPr>
                    </wps:wsp>
                  </a:graphicData>
                </a:graphic>
              </wp:anchor>
            </w:drawing>
          </mc:Choice>
          <mc:Fallback>
            <w:pict>
              <v:shape id="_x0000_s1512" type="#_x0000_t202" style="position:absolute;margin-left:409.10000000000002pt;margin-top:8.pt;width:125.5pt;height:73.200000000000003pt;z-index:-125829291;mso-wrap-distance-left:0;mso-wrap-distance-top:8.pt;mso-wrap-distance-right:0;mso-position-horizontal-relative:page" filled="f" stroked="f">
                <v:textbox inset="0,0,0,0">
                  <w:txbxContent>
                    <w:p>
                      <w:pPr>
                        <w:pStyle w:val="Style53"/>
                        <w:keepNext w:val="0"/>
                        <w:keepLines w:val="0"/>
                        <w:widowControl w:val="0"/>
                        <w:pBdr>
                          <w:bottom w:val="single" w:sz="4" w:space="0" w:color="auto"/>
                        </w:pBdr>
                        <w:shd w:val="clear" w:color="auto" w:fill="auto"/>
                        <w:bidi w:val="0"/>
                        <w:spacing w:before="0" w:after="160" w:line="240" w:lineRule="auto"/>
                        <w:ind w:left="0" w:right="0" w:firstLine="0"/>
                        <w:jc w:val="left"/>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p>
                      <w:pPr>
                        <w:pStyle w:val="Style32"/>
                        <w:keepNext w:val="0"/>
                        <w:keepLines w:val="0"/>
                        <w:widowControl w:val="0"/>
                        <w:shd w:val="clear" w:color="auto" w:fill="auto"/>
                        <w:tabs>
                          <w:tab w:pos="1301" w:val="left"/>
                        </w:tabs>
                        <w:bidi w:val="0"/>
                        <w:spacing w:before="0" w:after="460" w:line="240" w:lineRule="auto"/>
                        <w:ind w:left="0" w:right="0" w:firstLine="0"/>
                        <w:jc w:val="left"/>
                      </w:pPr>
                      <w:r>
                        <w:rPr>
                          <w:color w:val="000000"/>
                          <w:spacing w:val="0"/>
                          <w:w w:val="100"/>
                          <w:position w:val="0"/>
                        </w:rPr>
                        <w:t>持股比例</w:t>
                        <w:tab/>
                        <w:t>表决权比例</w:t>
                      </w:r>
                    </w:p>
                    <w:p>
                      <w:pPr>
                        <w:pStyle w:val="Style53"/>
                        <w:keepNext w:val="0"/>
                        <w:keepLines w:val="0"/>
                        <w:widowControl w:val="0"/>
                        <w:shd w:val="clear" w:color="auto" w:fill="auto"/>
                        <w:tabs>
                          <w:tab w:pos="1799" w:val="left"/>
                        </w:tabs>
                        <w:bidi w:val="0"/>
                        <w:spacing w:before="0" w:after="300" w:line="240" w:lineRule="auto"/>
                        <w:ind w:left="0" w:right="0" w:firstLine="220"/>
                        <w:jc w:val="left"/>
                      </w:pPr>
                      <w:r>
                        <w:rPr>
                          <w:color w:val="000000"/>
                          <w:spacing w:val="0"/>
                          <w:w w:val="100"/>
                          <w:position w:val="0"/>
                        </w:rPr>
                        <w:t>37.66%</w:t>
                        <w:tab/>
                        <w:t>30.64%</w:t>
                      </w:r>
                    </w:p>
                  </w:txbxContent>
                </v:textbox>
                <w10:wrap type="topAndBottom" anchorx="page"/>
              </v:shape>
            </w:pict>
          </mc:Fallback>
        </mc:AlternateContent>
      </w:r>
    </w:p>
    <w:p>
      <w:pPr>
        <w:pStyle w:val="Style32"/>
        <w:keepNext w:val="0"/>
        <w:keepLines w:val="0"/>
        <w:widowControl w:val="0"/>
        <w:shd w:val="clear" w:color="auto" w:fill="auto"/>
        <w:bidi w:val="0"/>
        <w:spacing w:before="0" w:after="260" w:line="312" w:lineRule="exact"/>
        <w:ind w:left="760" w:right="0" w:firstLine="0"/>
        <w:jc w:val="both"/>
        <w:rPr>
          <w:sz w:val="24"/>
          <w:szCs w:val="24"/>
        </w:rPr>
      </w:pPr>
      <w:r>
        <w:rPr>
          <w:color w:val="000000"/>
          <w:spacing w:val="0"/>
          <w:w w:val="100"/>
          <w:position w:val="0"/>
          <w:sz w:val="24"/>
          <w:szCs w:val="24"/>
        </w:rPr>
        <w:t>注：于</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日，张近东先生直接持有本公司</w:t>
      </w:r>
      <w:r>
        <w:rPr>
          <w:rFonts w:ascii="Times New Roman" w:eastAsia="Times New Roman" w:hAnsi="Times New Roman" w:cs="Times New Roman"/>
          <w:color w:val="000000"/>
          <w:spacing w:val="0"/>
          <w:w w:val="100"/>
          <w:position w:val="0"/>
          <w:sz w:val="24"/>
          <w:szCs w:val="24"/>
        </w:rPr>
        <w:t>20.96%</w:t>
      </w:r>
      <w:r>
        <w:rPr>
          <w:color w:val="000000"/>
          <w:spacing w:val="0"/>
          <w:w w:val="100"/>
          <w:position w:val="0"/>
          <w:sz w:val="24"/>
          <w:szCs w:val="24"/>
        </w:rPr>
        <w:t>的股份，同时 持有苏宁电器集团</w:t>
      </w:r>
      <w:r>
        <w:rPr>
          <w:rFonts w:ascii="Times New Roman" w:eastAsia="Times New Roman" w:hAnsi="Times New Roman" w:cs="Times New Roman"/>
          <w:color w:val="000000"/>
          <w:spacing w:val="0"/>
          <w:w w:val="100"/>
          <w:position w:val="0"/>
          <w:sz w:val="24"/>
          <w:szCs w:val="24"/>
        </w:rPr>
        <w:t>48.1%</w:t>
      </w:r>
      <w:r>
        <w:rPr>
          <w:color w:val="000000"/>
          <w:spacing w:val="0"/>
          <w:w w:val="100"/>
          <w:position w:val="0"/>
          <w:sz w:val="24"/>
          <w:szCs w:val="24"/>
        </w:rPr>
        <w:t>的股权、持有苏宁控股集团有限公司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苏宁控股集 团</w:t>
      </w:r>
      <w:r>
        <w:rPr>
          <w:rFonts w:ascii="Times New Roman" w:eastAsia="Times New Roman" w:hAnsi="Times New Roman" w:cs="Times New Roman"/>
          <w:color w:val="000000"/>
          <w:spacing w:val="0"/>
          <w:w w:val="100"/>
          <w:position w:val="0"/>
          <w:sz w:val="24"/>
          <w:szCs w:val="24"/>
        </w:rPr>
        <w:t>”)100%</w:t>
      </w:r>
      <w:r>
        <w:rPr>
          <w:color w:val="000000"/>
          <w:spacing w:val="0"/>
          <w:w w:val="100"/>
          <w:position w:val="0"/>
          <w:sz w:val="24"/>
          <w:szCs w:val="24"/>
        </w:rPr>
        <w:t>的股权。苏宁电器集团与苏宁控股集团分别直接持有本公司</w:t>
      </w:r>
      <w:r>
        <w:rPr>
          <w:rFonts w:ascii="Times New Roman" w:eastAsia="Times New Roman" w:hAnsi="Times New Roman" w:cs="Times New Roman"/>
          <w:color w:val="000000"/>
          <w:spacing w:val="0"/>
          <w:w w:val="100"/>
          <w:position w:val="0"/>
          <w:sz w:val="24"/>
          <w:szCs w:val="24"/>
        </w:rPr>
        <w:t xml:space="preserve">19.99% </w:t>
      </w:r>
      <w:r>
        <w:rPr>
          <w:color w:val="000000"/>
          <w:spacing w:val="0"/>
          <w:w w:val="100"/>
          <w:position w:val="0"/>
          <w:sz w:val="24"/>
          <w:szCs w:val="24"/>
        </w:rPr>
        <w:t>和</w:t>
      </w:r>
      <w:r>
        <w:rPr>
          <w:rFonts w:ascii="Times New Roman" w:eastAsia="Times New Roman" w:hAnsi="Times New Roman" w:cs="Times New Roman"/>
          <w:color w:val="000000"/>
          <w:spacing w:val="0"/>
          <w:w w:val="100"/>
          <w:position w:val="0"/>
          <w:sz w:val="24"/>
          <w:szCs w:val="24"/>
        </w:rPr>
        <w:t>3.33%</w:t>
      </w:r>
      <w:r>
        <w:rPr>
          <w:color w:val="000000"/>
          <w:spacing w:val="0"/>
          <w:w w:val="100"/>
          <w:position w:val="0"/>
          <w:sz w:val="24"/>
          <w:szCs w:val="24"/>
        </w:rPr>
        <w:t>的股权。</w:t>
      </w:r>
    </w:p>
    <w:p>
      <w:pPr>
        <w:pStyle w:val="Style32"/>
        <w:keepNext w:val="0"/>
        <w:keepLines w:val="0"/>
        <w:widowControl w:val="0"/>
        <w:numPr>
          <w:ilvl w:val="0"/>
          <w:numId w:val="89"/>
        </w:numPr>
        <w:shd w:val="clear" w:color="auto" w:fill="auto"/>
        <w:tabs>
          <w:tab w:pos="749" w:val="left"/>
        </w:tabs>
        <w:bidi w:val="0"/>
        <w:spacing w:before="0" w:after="260" w:line="240" w:lineRule="auto"/>
        <w:ind w:left="0" w:right="0" w:firstLine="0"/>
        <w:jc w:val="left"/>
        <w:rPr>
          <w:sz w:val="24"/>
          <w:szCs w:val="24"/>
        </w:rPr>
      </w:pPr>
      <w:bookmarkStart w:id="1063" w:name="bookmark1063"/>
      <w:bookmarkEnd w:id="1063"/>
      <w:r>
        <w:rPr>
          <w:b/>
          <w:bCs/>
          <w:color w:val="000000"/>
          <w:spacing w:val="0"/>
          <w:w w:val="100"/>
          <w:position w:val="0"/>
          <w:sz w:val="24"/>
          <w:szCs w:val="24"/>
        </w:rPr>
        <w:t>子公司情况</w:t>
      </w:r>
    </w:p>
    <w:p>
      <w:pPr>
        <w:pStyle w:val="Style32"/>
        <w:keepNext w:val="0"/>
        <w:keepLines w:val="0"/>
        <w:widowControl w:val="0"/>
        <w:shd w:val="clear" w:color="auto" w:fill="auto"/>
        <w:bidi w:val="0"/>
        <w:spacing w:before="0" w:after="260" w:line="240" w:lineRule="auto"/>
        <w:ind w:left="0" w:right="0" w:firstLine="760"/>
        <w:jc w:val="both"/>
        <w:rPr>
          <w:sz w:val="24"/>
          <w:szCs w:val="24"/>
        </w:rPr>
      </w:pPr>
      <w:r>
        <w:rPr>
          <w:color w:val="000000"/>
          <w:spacing w:val="0"/>
          <w:w w:val="100"/>
          <w:position w:val="0"/>
          <w:sz w:val="24"/>
          <w:szCs w:val="24"/>
        </w:rPr>
        <w:t>子公司的基本情况及相关信息见附注六</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w:t>
      </w:r>
    </w:p>
    <w:p>
      <w:pPr>
        <w:pStyle w:val="Style32"/>
        <w:keepNext w:val="0"/>
        <w:keepLines w:val="0"/>
        <w:widowControl w:val="0"/>
        <w:numPr>
          <w:ilvl w:val="0"/>
          <w:numId w:val="89"/>
        </w:numPr>
        <w:shd w:val="clear" w:color="auto" w:fill="auto"/>
        <w:tabs>
          <w:tab w:pos="749" w:val="left"/>
        </w:tabs>
        <w:bidi w:val="0"/>
        <w:spacing w:before="0" w:after="260" w:line="240" w:lineRule="auto"/>
        <w:ind w:left="0" w:right="0" w:firstLine="0"/>
        <w:jc w:val="left"/>
        <w:rPr>
          <w:sz w:val="24"/>
          <w:szCs w:val="24"/>
        </w:rPr>
      </w:pPr>
      <w:bookmarkStart w:id="1064" w:name="bookmark1064"/>
      <w:bookmarkEnd w:id="1064"/>
      <w:r>
        <w:rPr>
          <w:b/>
          <w:bCs/>
          <w:color w:val="000000"/>
          <w:spacing w:val="0"/>
          <w:w w:val="100"/>
          <w:position w:val="0"/>
          <w:sz w:val="24"/>
          <w:szCs w:val="24"/>
        </w:rPr>
        <w:t>合营企业情况</w:t>
      </w:r>
    </w:p>
    <w:p>
      <w:pPr>
        <w:pStyle w:val="Style32"/>
        <w:keepNext w:val="0"/>
        <w:keepLines w:val="0"/>
        <w:widowControl w:val="0"/>
        <w:shd w:val="clear" w:color="auto" w:fill="auto"/>
        <w:bidi w:val="0"/>
        <w:spacing w:before="0" w:after="260" w:line="240" w:lineRule="auto"/>
        <w:ind w:left="0" w:right="0" w:firstLine="760"/>
        <w:jc w:val="left"/>
        <w:rPr>
          <w:sz w:val="24"/>
          <w:szCs w:val="24"/>
        </w:rPr>
      </w:pPr>
      <w:r>
        <w:rPr>
          <w:color w:val="000000"/>
          <w:spacing w:val="0"/>
          <w:w w:val="100"/>
          <w:position w:val="0"/>
          <w:sz w:val="24"/>
          <w:szCs w:val="24"/>
        </w:rPr>
        <w:t>合营企业的基本情况见附注六</w:t>
      </w:r>
      <w:r>
        <w:rPr>
          <w:rFonts w:ascii="Times New Roman" w:eastAsia="Times New Roman" w:hAnsi="Times New Roman" w:cs="Times New Roman"/>
          <w:color w:val="000000"/>
          <w:spacing w:val="0"/>
          <w:w w:val="100"/>
          <w:position w:val="0"/>
          <w:sz w:val="24"/>
          <w:szCs w:val="24"/>
        </w:rPr>
        <w:t xml:space="preserve">(2 </w:t>
      </w:r>
      <w:r>
        <w:rPr>
          <w:rFonts w:ascii="Times New Roman" w:eastAsia="Times New Roman" w:hAnsi="Times New Roman" w:cs="Times New Roman"/>
          <w:color w:val="000000"/>
          <w:spacing w:val="0"/>
          <w:w w:val="100"/>
          <w:position w:val="0"/>
          <w:sz w:val="24"/>
          <w:szCs w:val="24"/>
        </w:rPr>
        <w:t>)(a)</w:t>
      </w:r>
      <w:r>
        <w:rPr>
          <w:color w:val="000000"/>
          <w:spacing w:val="0"/>
          <w:w w:val="100"/>
          <w:position w:val="0"/>
          <w:sz w:val="24"/>
          <w:szCs w:val="24"/>
        </w:rPr>
        <w:t>。</w:t>
      </w:r>
      <w:r>
        <w:br w:type="page"/>
      </w:r>
    </w:p>
    <w:p>
      <w:pPr>
        <w:pStyle w:val="Style32"/>
        <w:keepNext w:val="0"/>
        <w:keepLines w:val="0"/>
        <w:widowControl w:val="0"/>
        <w:shd w:val="clear" w:color="auto" w:fill="auto"/>
        <w:bidi w:val="0"/>
        <w:spacing w:before="0" w:after="0" w:line="240" w:lineRule="auto"/>
        <w:ind w:left="0" w:right="0" w:firstLine="700"/>
        <w:jc w:val="left"/>
        <w:rPr>
          <w:sz w:val="24"/>
          <w:szCs w:val="24"/>
        </w:rPr>
      </w:pPr>
      <w:r>
        <mc:AlternateContent>
          <mc:Choice Requires="wps">
            <w:drawing>
              <wp:anchor distT="0" distB="0" distL="114300" distR="114300" simplePos="0" relativeHeight="125829464" behindDoc="0" locked="0" layoutInCell="1" allowOverlap="1">
                <wp:simplePos x="0" y="0"/>
                <wp:positionH relativeFrom="page">
                  <wp:posOffset>1111250</wp:posOffset>
                </wp:positionH>
                <wp:positionV relativeFrom="margin">
                  <wp:posOffset>704215</wp:posOffset>
                </wp:positionV>
                <wp:extent cx="204470" cy="1322705"/>
                <wp:wrapSquare wrapText="right"/>
                <wp:docPr id="488" name="Shape 488"/>
                <a:graphic xmlns:a="http://schemas.openxmlformats.org/drawingml/2006/main">
                  <a:graphicData uri="http://schemas.microsoft.com/office/word/2010/wordprocessingShape">
                    <wps:wsp>
                      <wps:cNvSpPr txBox="1"/>
                      <wps:spPr>
                        <a:xfrm>
                          <a:ext cx="204470" cy="1322705"/>
                        </a:xfrm>
                        <a:prstGeom prst="rect"/>
                        <a:noFill/>
                      </wps:spPr>
                      <wps:txbx>
                        <w:txbxContent>
                          <w:p>
                            <w:pPr>
                              <w:pStyle w:val="Style32"/>
                              <w:keepNext w:val="0"/>
                              <w:keepLines w:val="0"/>
                              <w:widowControl w:val="0"/>
                              <w:shd w:val="clear" w:color="auto" w:fill="auto"/>
                              <w:bidi w:val="0"/>
                              <w:spacing w:before="0" w:after="260" w:line="240" w:lineRule="auto"/>
                              <w:ind w:left="0" w:right="0" w:firstLine="0"/>
                              <w:jc w:val="left"/>
                              <w:rPr>
                                <w:sz w:val="24"/>
                                <w:szCs w:val="24"/>
                              </w:rPr>
                            </w:pPr>
                            <w:r>
                              <w:rPr>
                                <w:b/>
                                <w:bCs/>
                                <w:color w:val="000000"/>
                                <w:spacing w:val="0"/>
                                <w:w w:val="100"/>
                                <w:position w:val="0"/>
                                <w:sz w:val="24"/>
                                <w:szCs w:val="24"/>
                              </w:rPr>
                              <w:t>八</w:t>
                            </w:r>
                          </w:p>
                          <w:p>
                            <w:pPr>
                              <w:pStyle w:val="Style53"/>
                              <w:keepNext w:val="0"/>
                              <w:keepLines w:val="0"/>
                              <w:widowControl w:val="0"/>
                              <w:shd w:val="clear" w:color="auto" w:fill="auto"/>
                              <w:bidi w:val="0"/>
                              <w:spacing w:before="0" w:after="840" w:line="240" w:lineRule="auto"/>
                              <w:ind w:left="0" w:right="0" w:firstLine="0"/>
                              <w:jc w:val="left"/>
                              <w:rPr>
                                <w:sz w:val="24"/>
                                <w:szCs w:val="24"/>
                              </w:rPr>
                            </w:pPr>
                            <w:bookmarkStart w:id="1058" w:name="bookmark1058"/>
                            <w:r>
                              <w:rPr>
                                <w:color w:val="000000"/>
                                <w:spacing w:val="0"/>
                                <w:w w:val="100"/>
                                <w:position w:val="0"/>
                                <w:sz w:val="24"/>
                                <w:szCs w:val="24"/>
                              </w:rPr>
                              <w:t>(</w:t>
                            </w:r>
                            <w:bookmarkEnd w:id="1058"/>
                            <w:r>
                              <w:rPr>
                                <w:color w:val="000000"/>
                                <w:spacing w:val="0"/>
                                <w:w w:val="100"/>
                                <w:position w:val="0"/>
                                <w:sz w:val="24"/>
                                <w:szCs w:val="24"/>
                              </w:rPr>
                              <w:t>4)</w:t>
                            </w:r>
                          </w:p>
                          <w:p>
                            <w:pPr>
                              <w:pStyle w:val="Style53"/>
                              <w:keepNext w:val="0"/>
                              <w:keepLines w:val="0"/>
                              <w:widowControl w:val="0"/>
                              <w:shd w:val="clear" w:color="auto" w:fill="auto"/>
                              <w:bidi w:val="0"/>
                              <w:spacing w:before="0" w:after="540" w:line="240" w:lineRule="auto"/>
                              <w:ind w:left="0" w:right="0" w:firstLine="0"/>
                              <w:jc w:val="left"/>
                              <w:rPr>
                                <w:sz w:val="24"/>
                                <w:szCs w:val="24"/>
                              </w:rPr>
                            </w:pPr>
                            <w:bookmarkStart w:id="1059" w:name="bookmark1059"/>
                            <w:r>
                              <w:rPr>
                                <w:color w:val="000000"/>
                                <w:spacing w:val="0"/>
                                <w:w w:val="100"/>
                                <w:position w:val="0"/>
                                <w:sz w:val="24"/>
                                <w:szCs w:val="24"/>
                              </w:rPr>
                              <w:t>(</w:t>
                            </w:r>
                            <w:bookmarkEnd w:id="1059"/>
                            <w:r>
                              <w:rPr>
                                <w:color w:val="000000"/>
                                <w:spacing w:val="0"/>
                                <w:w w:val="100"/>
                                <w:position w:val="0"/>
                                <w:sz w:val="24"/>
                                <w:szCs w:val="24"/>
                              </w:rPr>
                              <w:t>5)</w:t>
                            </w:r>
                          </w:p>
                        </w:txbxContent>
                      </wps:txbx>
                      <wps:bodyPr lIns="0" tIns="0" rIns="0" bIns="0">
                        <a:noAutoFit/>
                      </wps:bodyPr>
                    </wps:wsp>
                  </a:graphicData>
                </a:graphic>
              </wp:anchor>
            </w:drawing>
          </mc:Choice>
          <mc:Fallback>
            <w:pict>
              <v:shape id="_x0000_s1514" type="#_x0000_t202" style="position:absolute;margin-left:87.5pt;margin-top:55.450000000000003pt;width:16.100000000000001pt;height:104.15000000000001pt;z-index:-125829289;mso-wrap-distance-left:9.pt;mso-wrap-distance-right:9.pt;mso-position-horizontal-relative:page;mso-position-vertical-relative:margin" filled="f" stroked="f">
                <v:textbox inset="0,0,0,0">
                  <w:txbxContent>
                    <w:p>
                      <w:pPr>
                        <w:pStyle w:val="Style32"/>
                        <w:keepNext w:val="0"/>
                        <w:keepLines w:val="0"/>
                        <w:widowControl w:val="0"/>
                        <w:shd w:val="clear" w:color="auto" w:fill="auto"/>
                        <w:bidi w:val="0"/>
                        <w:spacing w:before="0" w:after="260" w:line="240" w:lineRule="auto"/>
                        <w:ind w:left="0" w:right="0" w:firstLine="0"/>
                        <w:jc w:val="left"/>
                        <w:rPr>
                          <w:sz w:val="24"/>
                          <w:szCs w:val="24"/>
                        </w:rPr>
                      </w:pPr>
                      <w:r>
                        <w:rPr>
                          <w:b/>
                          <w:bCs/>
                          <w:color w:val="000000"/>
                          <w:spacing w:val="0"/>
                          <w:w w:val="100"/>
                          <w:position w:val="0"/>
                          <w:sz w:val="24"/>
                          <w:szCs w:val="24"/>
                        </w:rPr>
                        <w:t>八</w:t>
                      </w:r>
                    </w:p>
                    <w:p>
                      <w:pPr>
                        <w:pStyle w:val="Style53"/>
                        <w:keepNext w:val="0"/>
                        <w:keepLines w:val="0"/>
                        <w:widowControl w:val="0"/>
                        <w:shd w:val="clear" w:color="auto" w:fill="auto"/>
                        <w:bidi w:val="0"/>
                        <w:spacing w:before="0" w:after="840" w:line="240" w:lineRule="auto"/>
                        <w:ind w:left="0" w:right="0" w:firstLine="0"/>
                        <w:jc w:val="left"/>
                        <w:rPr>
                          <w:sz w:val="24"/>
                          <w:szCs w:val="24"/>
                        </w:rPr>
                      </w:pPr>
                      <w:bookmarkStart w:id="1058" w:name="bookmark1058"/>
                      <w:r>
                        <w:rPr>
                          <w:color w:val="000000"/>
                          <w:spacing w:val="0"/>
                          <w:w w:val="100"/>
                          <w:position w:val="0"/>
                          <w:sz w:val="24"/>
                          <w:szCs w:val="24"/>
                        </w:rPr>
                        <w:t>(</w:t>
                      </w:r>
                      <w:bookmarkEnd w:id="1058"/>
                      <w:r>
                        <w:rPr>
                          <w:color w:val="000000"/>
                          <w:spacing w:val="0"/>
                          <w:w w:val="100"/>
                          <w:position w:val="0"/>
                          <w:sz w:val="24"/>
                          <w:szCs w:val="24"/>
                        </w:rPr>
                        <w:t>4)</w:t>
                      </w:r>
                    </w:p>
                    <w:p>
                      <w:pPr>
                        <w:pStyle w:val="Style53"/>
                        <w:keepNext w:val="0"/>
                        <w:keepLines w:val="0"/>
                        <w:widowControl w:val="0"/>
                        <w:shd w:val="clear" w:color="auto" w:fill="auto"/>
                        <w:bidi w:val="0"/>
                        <w:spacing w:before="0" w:after="540" w:line="240" w:lineRule="auto"/>
                        <w:ind w:left="0" w:right="0" w:firstLine="0"/>
                        <w:jc w:val="left"/>
                        <w:rPr>
                          <w:sz w:val="24"/>
                          <w:szCs w:val="24"/>
                        </w:rPr>
                      </w:pPr>
                      <w:bookmarkStart w:id="1059" w:name="bookmark1059"/>
                      <w:r>
                        <w:rPr>
                          <w:color w:val="000000"/>
                          <w:spacing w:val="0"/>
                          <w:w w:val="100"/>
                          <w:position w:val="0"/>
                          <w:sz w:val="24"/>
                          <w:szCs w:val="24"/>
                        </w:rPr>
                        <w:t>(</w:t>
                      </w:r>
                      <w:bookmarkEnd w:id="1059"/>
                      <w:r>
                        <w:rPr>
                          <w:color w:val="000000"/>
                          <w:spacing w:val="0"/>
                          <w:w w:val="100"/>
                          <w:position w:val="0"/>
                          <w:sz w:val="24"/>
                          <w:szCs w:val="24"/>
                        </w:rPr>
                        <w:t>5)</w:t>
                      </w:r>
                    </w:p>
                  </w:txbxContent>
                </v:textbox>
                <w10:wrap type="square" side="right" anchorx="page" anchory="margin"/>
              </v:shape>
            </w:pict>
          </mc:Fallback>
        </mc:AlternateContent>
      </w:r>
      <w:r>
        <w:rPr>
          <w:b/>
          <w:bCs/>
          <w:color w:val="000000"/>
          <w:spacing w:val="0"/>
          <w:w w:val="100"/>
          <w:position w:val="0"/>
          <w:sz w:val="24"/>
          <w:szCs w:val="24"/>
        </w:rPr>
        <w:t>财务报表附注</w:t>
      </w:r>
    </w:p>
    <w:p>
      <w:pPr>
        <w:pStyle w:val="Style88"/>
        <w:keepNext/>
        <w:keepLines/>
        <w:widowControl w:val="0"/>
        <w:shd w:val="clear" w:color="auto" w:fill="auto"/>
        <w:bidi w:val="0"/>
        <w:spacing w:before="0" w:after="0" w:line="240" w:lineRule="auto"/>
        <w:ind w:left="0" w:right="0"/>
        <w:jc w:val="left"/>
      </w:pPr>
      <w:bookmarkStart w:id="1065" w:name="bookmark1065"/>
      <w:bookmarkStart w:id="1066" w:name="bookmark1066"/>
      <w:bookmarkStart w:id="1067" w:name="bookmark1067"/>
      <w:r>
        <w:rPr>
          <w:color w:val="000000"/>
          <w:spacing w:val="0"/>
          <w:w w:val="100"/>
          <w:position w:val="0"/>
          <w:sz w:val="24"/>
          <w:szCs w:val="24"/>
        </w:rPr>
        <w:t>2016</w:t>
      </w:r>
      <w:r>
        <w:rPr>
          <w:rFonts w:ascii="SimSun" w:eastAsia="SimSun" w:hAnsi="SimSun" w:cs="SimSun"/>
          <w:b/>
          <w:bCs/>
          <w:color w:val="000000"/>
          <w:spacing w:val="0"/>
          <w:w w:val="100"/>
          <w:position w:val="0"/>
          <w:sz w:val="24"/>
          <w:szCs w:val="24"/>
        </w:rPr>
        <w:t>年度</w:t>
      </w:r>
      <w:bookmarkEnd w:id="1065"/>
      <w:bookmarkEnd w:id="1066"/>
      <w:bookmarkEnd w:id="1067"/>
    </w:p>
    <w:p>
      <w:pPr>
        <w:pStyle w:val="Style32"/>
        <w:keepNext w:val="0"/>
        <w:keepLines w:val="0"/>
        <w:widowControl w:val="0"/>
        <w:shd w:val="clear" w:color="auto" w:fill="auto"/>
        <w:bidi w:val="0"/>
        <w:spacing w:before="0" w:after="220" w:line="286" w:lineRule="exact"/>
        <w:ind w:left="0" w:right="0" w:firstLine="700"/>
        <w:jc w:val="left"/>
        <w:rPr>
          <w:sz w:val="24"/>
          <w:szCs w:val="24"/>
        </w:rPr>
      </w:pPr>
      <w:r>
        <w:rPr>
          <w:rFonts w:ascii="Arial" w:eastAsia="Arial" w:hAnsi="Arial" w:cs="Arial"/>
          <w:color w:val="000000"/>
          <w:spacing w:val="0"/>
          <w:w w:val="100"/>
          <w:position w:val="0"/>
          <w:sz w:val="20"/>
          <w:szCs w:val="20"/>
        </w:rPr>
        <w:t>（</w:t>
      </w:r>
      <w:r>
        <w:rPr>
          <w:color w:val="000000"/>
          <w:spacing w:val="0"/>
          <w:w w:val="100"/>
          <w:position w:val="0"/>
          <w:sz w:val="20"/>
          <w:szCs w:val="20"/>
        </w:rPr>
        <w:t>除特别注明外，金额单位为人民币千元</w:t>
      </w:r>
      <w:r>
        <w:rPr>
          <w:color w:val="000000"/>
          <w:spacing w:val="0"/>
          <w:w w:val="100"/>
          <w:position w:val="0"/>
          <w:sz w:val="24"/>
          <w:szCs w:val="24"/>
        </w:rPr>
        <w:t>）</w:t>
      </w:r>
    </w:p>
    <w:p>
      <w:pPr>
        <w:pStyle w:val="Style32"/>
        <w:keepNext w:val="0"/>
        <w:keepLines w:val="0"/>
        <w:widowControl w:val="0"/>
        <w:shd w:val="clear" w:color="auto" w:fill="auto"/>
        <w:bidi w:val="0"/>
        <w:spacing w:before="0" w:after="300" w:line="240" w:lineRule="auto"/>
        <w:ind w:left="0" w:right="0" w:firstLine="140"/>
        <w:jc w:val="left"/>
        <w:rPr>
          <w:sz w:val="24"/>
          <w:szCs w:val="24"/>
        </w:rPr>
      </w:pPr>
      <w:r>
        <w:rPr>
          <w:b/>
          <w:bCs/>
          <w:color w:val="000000"/>
          <w:spacing w:val="0"/>
          <w:w w:val="100"/>
          <w:position w:val="0"/>
          <w:sz w:val="24"/>
          <w:szCs w:val="24"/>
        </w:rPr>
        <w:t>关联方关系及其交易</w:t>
      </w:r>
      <w:r>
        <w:rPr>
          <w:rFonts w:ascii="Times New Roman" w:eastAsia="Times New Roman" w:hAnsi="Times New Roman" w:cs="Times New Roman"/>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4"/>
          <w:szCs w:val="24"/>
        </w:rPr>
        <w:t>）</w:t>
      </w:r>
    </w:p>
    <w:p>
      <w:pPr>
        <w:pStyle w:val="Style32"/>
        <w:keepNext w:val="0"/>
        <w:keepLines w:val="0"/>
        <w:widowControl w:val="0"/>
        <w:shd w:val="clear" w:color="auto" w:fill="auto"/>
        <w:bidi w:val="0"/>
        <w:spacing w:before="0" w:after="300" w:line="240" w:lineRule="auto"/>
        <w:ind w:left="0" w:right="0" w:firstLine="140"/>
        <w:jc w:val="left"/>
        <w:rPr>
          <w:sz w:val="24"/>
          <w:szCs w:val="24"/>
        </w:rPr>
      </w:pPr>
      <w:r>
        <w:rPr>
          <w:b/>
          <w:bCs/>
          <w:color w:val="000000"/>
          <w:spacing w:val="0"/>
          <w:w w:val="100"/>
          <w:position w:val="0"/>
          <w:sz w:val="24"/>
          <w:szCs w:val="24"/>
        </w:rPr>
        <w:t>联营企业情况</w:t>
      </w:r>
    </w:p>
    <w:p>
      <w:pPr>
        <w:pStyle w:val="Style32"/>
        <w:keepNext w:val="0"/>
        <w:keepLines w:val="0"/>
        <w:widowControl w:val="0"/>
        <w:shd w:val="clear" w:color="auto" w:fill="auto"/>
        <w:bidi w:val="0"/>
        <w:spacing w:before="0" w:after="300" w:line="240" w:lineRule="auto"/>
        <w:ind w:left="0" w:right="0" w:firstLine="140"/>
        <w:jc w:val="left"/>
        <w:rPr>
          <w:sz w:val="24"/>
          <w:szCs w:val="24"/>
        </w:rPr>
      </w:pPr>
      <w:r>
        <w:rPr>
          <w:color w:val="000000"/>
          <w:spacing w:val="0"/>
          <w:w w:val="100"/>
          <w:position w:val="0"/>
          <w:sz w:val="24"/>
          <w:szCs w:val="24"/>
        </w:rPr>
        <w:t>联营企业的基本情况见附注六</w:t>
      </w:r>
      <w:r>
        <w:rPr>
          <w:rFonts w:ascii="Times New Roman" w:eastAsia="Times New Roman" w:hAnsi="Times New Roman" w:cs="Times New Roman"/>
          <w:color w:val="000000"/>
          <w:spacing w:val="0"/>
          <w:w w:val="100"/>
          <w:position w:val="0"/>
          <w:sz w:val="24"/>
          <w:szCs w:val="24"/>
        </w:rPr>
        <w:t xml:space="preserve">（2 </w:t>
      </w:r>
      <w:r>
        <w:rPr>
          <w:rFonts w:ascii="Times New Roman" w:eastAsia="Times New Roman" w:hAnsi="Times New Roman" w:cs="Times New Roman"/>
          <w:color w:val="000000"/>
          <w:spacing w:val="0"/>
          <w:w w:val="100"/>
          <w:position w:val="0"/>
          <w:sz w:val="24"/>
          <w:szCs w:val="24"/>
        </w:rPr>
        <w:t>）（a）</w:t>
      </w:r>
      <w:r>
        <w:rPr>
          <w:color w:val="000000"/>
          <w:spacing w:val="0"/>
          <w:w w:val="100"/>
          <w:position w:val="0"/>
          <w:sz w:val="24"/>
          <w:szCs w:val="24"/>
        </w:rPr>
        <w:t>。</w:t>
      </w:r>
    </w:p>
    <w:p>
      <w:pPr>
        <w:pStyle w:val="Style32"/>
        <w:keepNext w:val="0"/>
        <w:keepLines w:val="0"/>
        <w:widowControl w:val="0"/>
        <w:shd w:val="clear" w:color="auto" w:fill="auto"/>
        <w:bidi w:val="0"/>
        <w:spacing w:before="0" w:after="300" w:line="240" w:lineRule="auto"/>
        <w:ind w:left="0" w:right="0" w:firstLine="140"/>
        <w:jc w:val="left"/>
        <w:rPr>
          <w:sz w:val="24"/>
          <w:szCs w:val="24"/>
        </w:rPr>
      </w:pPr>
      <w:r>
        <w:rPr>
          <w:b/>
          <w:bCs/>
          <w:color w:val="000000"/>
          <w:spacing w:val="0"/>
          <w:w w:val="100"/>
          <w:position w:val="0"/>
          <w:sz w:val="24"/>
          <w:szCs w:val="24"/>
        </w:rPr>
        <w:t>其他关联方情况</w:t>
      </w:r>
    </w:p>
    <w:p>
      <w:pPr>
        <w:pStyle w:val="Style113"/>
        <w:keepNext w:val="0"/>
        <w:keepLines w:val="0"/>
        <w:widowControl w:val="0"/>
        <w:shd w:val="clear" w:color="auto" w:fill="auto"/>
        <w:bidi w:val="0"/>
        <w:spacing w:before="0" w:after="220" w:line="286" w:lineRule="exact"/>
        <w:ind w:left="0" w:right="0" w:firstLine="700"/>
        <w:jc w:val="left"/>
      </w:pPr>
      <w:r>
        <w:rPr>
          <w:color w:val="000000"/>
          <w:spacing w:val="0"/>
          <w:w w:val="100"/>
          <w:position w:val="0"/>
        </w:rPr>
        <w:t>关联方公司名称</w:t>
      </w:r>
    </w:p>
    <w:p>
      <w:pPr>
        <w:pStyle w:val="Style113"/>
        <w:keepNext w:val="0"/>
        <w:keepLines w:val="0"/>
        <w:widowControl w:val="0"/>
        <w:shd w:val="clear" w:color="auto" w:fill="auto"/>
        <w:bidi w:val="0"/>
        <w:spacing w:before="0" w:after="80" w:line="286" w:lineRule="exact"/>
        <w:ind w:left="0" w:right="0" w:firstLine="700"/>
        <w:jc w:val="left"/>
      </w:pPr>
      <w:r>
        <w:rPr>
          <w:color w:val="000000"/>
          <w:spacing w:val="0"/>
          <w:w w:val="100"/>
          <w:position w:val="0"/>
        </w:rPr>
        <w:t>苏宁电器集团</w:t>
      </w:r>
    </w:p>
    <w:p>
      <w:pPr>
        <w:pStyle w:val="Style113"/>
        <w:keepNext w:val="0"/>
        <w:keepLines w:val="0"/>
        <w:widowControl w:val="0"/>
        <w:shd w:val="clear" w:color="auto" w:fill="auto"/>
        <w:bidi w:val="0"/>
        <w:spacing w:before="0" w:after="0" w:line="240" w:lineRule="exact"/>
        <w:ind w:left="0" w:right="0" w:firstLine="700"/>
        <w:jc w:val="left"/>
      </w:pPr>
      <w:r>
        <w:rPr>
          <w:color w:val="000000"/>
          <w:spacing w:val="0"/>
          <w:w w:val="100"/>
          <w:position w:val="0"/>
        </w:rPr>
        <w:t>江苏苏宁环球集团有限公司</w:t>
      </w:r>
      <w:r>
        <w:rPr>
          <w:rFonts w:ascii="Times New Roman" w:eastAsia="Times New Roman" w:hAnsi="Times New Roman" w:cs="Times New Roman"/>
          <w:color w:val="000000"/>
          <w:spacing w:val="0"/>
          <w:w w:val="100"/>
          <w:position w:val="0"/>
        </w:rPr>
        <w:t>（“</w:t>
      </w:r>
      <w:r>
        <w:rPr>
          <w:color w:val="000000"/>
          <w:spacing w:val="0"/>
          <w:w w:val="100"/>
          <w:position w:val="0"/>
        </w:rPr>
        <w:t>苏宁环球集团</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113"/>
        <w:keepNext w:val="0"/>
        <w:keepLines w:val="0"/>
        <w:widowControl w:val="0"/>
        <w:shd w:val="clear" w:color="auto" w:fill="auto"/>
        <w:bidi w:val="0"/>
        <w:spacing w:before="0" w:after="0" w:line="240" w:lineRule="exact"/>
        <w:ind w:left="0" w:right="0" w:firstLine="700"/>
        <w:jc w:val="left"/>
      </w:pPr>
      <w:r>
        <w:rPr>
          <w:color w:val="000000"/>
          <w:spacing w:val="0"/>
          <w:w w:val="100"/>
          <w:position w:val="0"/>
        </w:rPr>
        <w:t>南京钟山国际高尔夫置业有限公司</w:t>
      </w:r>
      <w:r>
        <w:rPr>
          <w:rFonts w:ascii="Times New Roman" w:eastAsia="Times New Roman" w:hAnsi="Times New Roman" w:cs="Times New Roman"/>
          <w:color w:val="000000"/>
          <w:spacing w:val="0"/>
          <w:w w:val="100"/>
          <w:position w:val="0"/>
        </w:rPr>
        <w:t>（“</w:t>
      </w:r>
      <w:r>
        <w:rPr>
          <w:color w:val="000000"/>
          <w:spacing w:val="0"/>
          <w:w w:val="100"/>
          <w:position w:val="0"/>
        </w:rPr>
        <w:t>钟山高尔夫置业</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113"/>
        <w:keepNext w:val="0"/>
        <w:keepLines w:val="0"/>
        <w:widowControl w:val="0"/>
        <w:shd w:val="clear" w:color="auto" w:fill="auto"/>
        <w:bidi w:val="0"/>
        <w:spacing w:before="0" w:after="0" w:line="240" w:lineRule="exact"/>
        <w:ind w:left="880" w:right="0" w:hanging="180"/>
        <w:jc w:val="left"/>
      </w:pPr>
      <w:r>
        <w:rPr>
          <w:color w:val="000000"/>
          <w:spacing w:val="0"/>
          <w:w w:val="100"/>
          <w:position w:val="0"/>
        </w:rPr>
        <w:t>南京钟山国际高尔夫置业有限公司索菲特钟山高尔夫酒店</w:t>
      </w:r>
      <w:r>
        <w:rPr>
          <w:rFonts w:ascii="Times New Roman" w:eastAsia="Times New Roman" w:hAnsi="Times New Roman" w:cs="Times New Roman"/>
          <w:color w:val="000000"/>
          <w:spacing w:val="0"/>
          <w:w w:val="100"/>
          <w:position w:val="0"/>
        </w:rPr>
        <w:t>（“</w:t>
      </w:r>
      <w:r>
        <w:rPr>
          <w:color w:val="000000"/>
          <w:spacing w:val="0"/>
          <w:w w:val="100"/>
          <w:position w:val="0"/>
        </w:rPr>
        <w:t>钟山高尔夫 酒店</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113"/>
        <w:keepNext w:val="0"/>
        <w:keepLines w:val="0"/>
        <w:widowControl w:val="0"/>
        <w:shd w:val="clear" w:color="auto" w:fill="auto"/>
        <w:bidi w:val="0"/>
        <w:spacing w:before="0" w:after="160" w:line="246" w:lineRule="exact"/>
        <w:ind w:left="700" w:right="0" w:firstLine="0"/>
        <w:jc w:val="left"/>
      </w:pPr>
      <w:r>
        <w:rPr>
          <w:color w:val="000000"/>
          <w:spacing w:val="0"/>
          <w:w w:val="100"/>
          <w:position w:val="0"/>
        </w:rPr>
        <w:t>苏宁置业集团有限公司</w:t>
      </w:r>
      <w:r>
        <w:rPr>
          <w:rFonts w:ascii="Times New Roman" w:eastAsia="Times New Roman" w:hAnsi="Times New Roman" w:cs="Times New Roman"/>
          <w:color w:val="000000"/>
          <w:spacing w:val="0"/>
          <w:w w:val="100"/>
          <w:position w:val="0"/>
        </w:rPr>
        <w:t>（“</w:t>
      </w:r>
      <w:r>
        <w:rPr>
          <w:color w:val="000000"/>
          <w:spacing w:val="0"/>
          <w:w w:val="100"/>
          <w:position w:val="0"/>
        </w:rPr>
        <w:t>苏宁置业</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南京玄武苏宁置业有限公司</w:t>
      </w:r>
      <w:r>
        <w:rPr>
          <w:rFonts w:ascii="Times New Roman" w:eastAsia="Times New Roman" w:hAnsi="Times New Roman" w:cs="Times New Roman"/>
          <w:color w:val="000000"/>
          <w:spacing w:val="0"/>
          <w:w w:val="100"/>
          <w:position w:val="0"/>
        </w:rPr>
        <w:t>（“</w:t>
      </w:r>
      <w:r>
        <w:rPr>
          <w:color w:val="000000"/>
          <w:spacing w:val="0"/>
          <w:w w:val="100"/>
          <w:position w:val="0"/>
        </w:rPr>
        <w:t>玄武苏宁置业</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南京玄武苏宁置业有限公司玄武苏宁银河诺富特酒店</w:t>
      </w:r>
      <w:r>
        <w:rPr>
          <w:rFonts w:ascii="Times New Roman" w:eastAsia="Times New Roman" w:hAnsi="Times New Roman" w:cs="Times New Roman"/>
          <w:color w:val="000000"/>
          <w:spacing w:val="0"/>
          <w:w w:val="100"/>
          <w:position w:val="0"/>
        </w:rPr>
        <w:t>（“</w:t>
      </w:r>
      <w:r>
        <w:rPr>
          <w:color w:val="000000"/>
          <w:spacing w:val="0"/>
          <w:w w:val="100"/>
          <w:position w:val="0"/>
        </w:rPr>
        <w:t>玄武苏宁置业诺 富特</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113"/>
        <w:keepNext w:val="0"/>
        <w:keepLines w:val="0"/>
        <w:widowControl w:val="0"/>
        <w:shd w:val="clear" w:color="auto" w:fill="auto"/>
        <w:bidi w:val="0"/>
        <w:spacing w:before="0" w:after="0" w:line="283" w:lineRule="exact"/>
        <w:ind w:left="700" w:right="0" w:firstLine="0"/>
        <w:jc w:val="left"/>
      </w:pPr>
      <w:r>
        <w:rPr>
          <w:color w:val="000000"/>
          <w:spacing w:val="0"/>
          <w:w w:val="100"/>
          <w:position w:val="0"/>
        </w:rPr>
        <w:t>南京银河房地产开发有限公司索菲特银河大酒店</w:t>
      </w:r>
      <w:r>
        <w:rPr>
          <w:rFonts w:ascii="Times New Roman" w:eastAsia="Times New Roman" w:hAnsi="Times New Roman" w:cs="Times New Roman"/>
          <w:color w:val="000000"/>
          <w:spacing w:val="0"/>
          <w:w w:val="100"/>
          <w:position w:val="0"/>
        </w:rPr>
        <w:t>（"</w:t>
      </w:r>
      <w:r>
        <w:rPr>
          <w:color w:val="000000"/>
          <w:spacing w:val="0"/>
          <w:w w:val="100"/>
          <w:position w:val="0"/>
        </w:rPr>
        <w:t>索菲特银河大酒店</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成都鸿业置业有限公司</w:t>
      </w:r>
      <w:r>
        <w:rPr>
          <w:rFonts w:ascii="Times New Roman" w:eastAsia="Times New Roman" w:hAnsi="Times New Roman" w:cs="Times New Roman"/>
          <w:color w:val="000000"/>
          <w:spacing w:val="0"/>
          <w:w w:val="100"/>
          <w:position w:val="0"/>
        </w:rPr>
        <w:t>（“</w:t>
      </w:r>
      <w:r>
        <w:rPr>
          <w:color w:val="000000"/>
          <w:spacing w:val="0"/>
          <w:w w:val="100"/>
          <w:position w:val="0"/>
        </w:rPr>
        <w:t>成都鸿业置业</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113"/>
        <w:keepNext w:val="0"/>
        <w:keepLines w:val="0"/>
        <w:widowControl w:val="0"/>
        <w:shd w:val="clear" w:color="auto" w:fill="auto"/>
        <w:bidi w:val="0"/>
        <w:spacing w:before="0" w:after="0" w:line="283" w:lineRule="exact"/>
        <w:ind w:left="700" w:right="0" w:firstLine="0"/>
        <w:jc w:val="left"/>
      </w:pPr>
      <w:r>
        <w:rPr>
          <w:color w:val="000000"/>
          <w:spacing w:val="0"/>
          <w:w w:val="100"/>
          <w:position w:val="0"/>
        </w:rPr>
        <w:t>成都鸿业置业有限公司苏宁广场购物分公司</w:t>
      </w:r>
      <w:r>
        <w:rPr>
          <w:rFonts w:ascii="Times New Roman" w:eastAsia="Times New Roman" w:hAnsi="Times New Roman" w:cs="Times New Roman"/>
          <w:color w:val="000000"/>
          <w:spacing w:val="0"/>
          <w:w w:val="100"/>
          <w:position w:val="0"/>
        </w:rPr>
        <w:t>（“</w:t>
      </w:r>
      <w:r>
        <w:rPr>
          <w:color w:val="000000"/>
          <w:spacing w:val="0"/>
          <w:w w:val="100"/>
          <w:position w:val="0"/>
        </w:rPr>
        <w:t>成都鸿业置业苏宁广场</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江苏苏宁建材有限公司</w:t>
      </w:r>
      <w:r>
        <w:rPr>
          <w:rFonts w:ascii="Times New Roman" w:eastAsia="Times New Roman" w:hAnsi="Times New Roman" w:cs="Times New Roman"/>
          <w:color w:val="000000"/>
          <w:spacing w:val="0"/>
          <w:w w:val="100"/>
          <w:position w:val="0"/>
        </w:rPr>
        <w:t>（“</w:t>
      </w:r>
      <w:r>
        <w:rPr>
          <w:color w:val="000000"/>
          <w:spacing w:val="0"/>
          <w:w w:val="100"/>
          <w:position w:val="0"/>
        </w:rPr>
        <w:t>江苏苏宁建材</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江苏银河物业管理有限公司</w:t>
      </w:r>
      <w:r>
        <w:rPr>
          <w:rFonts w:ascii="Times New Roman" w:eastAsia="Times New Roman" w:hAnsi="Times New Roman" w:cs="Times New Roman"/>
          <w:color w:val="000000"/>
          <w:spacing w:val="0"/>
          <w:w w:val="100"/>
          <w:position w:val="0"/>
        </w:rPr>
        <w:t>（“</w:t>
      </w:r>
      <w:r>
        <w:rPr>
          <w:color w:val="000000"/>
          <w:spacing w:val="0"/>
          <w:w w:val="100"/>
          <w:position w:val="0"/>
        </w:rPr>
        <w:t>江苏银河物业</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113"/>
        <w:keepNext w:val="0"/>
        <w:keepLines w:val="0"/>
        <w:widowControl w:val="0"/>
        <w:shd w:val="clear" w:color="auto" w:fill="auto"/>
        <w:bidi w:val="0"/>
        <w:spacing w:before="0" w:after="0" w:line="226" w:lineRule="exact"/>
        <w:ind w:left="880" w:right="0" w:hanging="180"/>
        <w:jc w:val="left"/>
      </w:pPr>
      <w:r>
        <w:rPr>
          <w:color w:val="000000"/>
          <w:spacing w:val="0"/>
          <w:w w:val="100"/>
          <w:position w:val="0"/>
        </w:rPr>
        <w:t>南京鼓楼国际软件与服务外包产业园有限公司</w:t>
      </w:r>
      <w:r>
        <w:rPr>
          <w:rFonts w:ascii="Times New Roman" w:eastAsia="Times New Roman" w:hAnsi="Times New Roman" w:cs="Times New Roman"/>
          <w:color w:val="000000"/>
          <w:spacing w:val="0"/>
          <w:w w:val="100"/>
          <w:position w:val="0"/>
        </w:rPr>
        <w:t>（“</w:t>
      </w:r>
      <w:r>
        <w:rPr>
          <w:color w:val="000000"/>
          <w:spacing w:val="0"/>
          <w:w w:val="100"/>
          <w:position w:val="0"/>
        </w:rPr>
        <w:t>鼓楼国际软件与服务外 包</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113"/>
        <w:keepNext w:val="0"/>
        <w:keepLines w:val="0"/>
        <w:widowControl w:val="0"/>
        <w:shd w:val="clear" w:color="auto" w:fill="auto"/>
        <w:bidi w:val="0"/>
        <w:spacing w:before="0" w:after="0" w:line="286" w:lineRule="exact"/>
        <w:ind w:left="0" w:right="0" w:firstLine="700"/>
        <w:jc w:val="both"/>
      </w:pPr>
      <w:r>
        <w:rPr>
          <w:color w:val="000000"/>
          <w:spacing w:val="0"/>
          <w:w w:val="100"/>
          <w:position w:val="0"/>
        </w:rPr>
        <w:t>青岛苏宁置业有限公司</w:t>
      </w:r>
      <w:r>
        <w:rPr>
          <w:rFonts w:ascii="Times New Roman" w:eastAsia="Times New Roman" w:hAnsi="Times New Roman" w:cs="Times New Roman"/>
          <w:color w:val="000000"/>
          <w:spacing w:val="0"/>
          <w:w w:val="100"/>
          <w:position w:val="0"/>
        </w:rPr>
        <w:t>（“</w:t>
      </w:r>
      <w:r>
        <w:rPr>
          <w:color w:val="000000"/>
          <w:spacing w:val="0"/>
          <w:w w:val="100"/>
          <w:position w:val="0"/>
        </w:rPr>
        <w:t>青岛苏宁置业</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113"/>
        <w:keepNext w:val="0"/>
        <w:keepLines w:val="0"/>
        <w:widowControl w:val="0"/>
        <w:shd w:val="clear" w:color="auto" w:fill="auto"/>
        <w:bidi w:val="0"/>
        <w:spacing w:before="0" w:after="0" w:line="286" w:lineRule="exact"/>
        <w:ind w:left="700" w:right="0" w:firstLine="0"/>
        <w:jc w:val="both"/>
      </w:pPr>
      <w:r>
        <w:rPr>
          <w:color w:val="000000"/>
          <w:spacing w:val="0"/>
          <w:w w:val="100"/>
          <w:position w:val="0"/>
        </w:rPr>
        <w:t>北京苏宁置业有限公司</w:t>
      </w:r>
      <w:r>
        <w:rPr>
          <w:rFonts w:ascii="Times New Roman" w:eastAsia="Times New Roman" w:hAnsi="Times New Roman" w:cs="Times New Roman"/>
          <w:color w:val="000000"/>
          <w:spacing w:val="0"/>
          <w:w w:val="100"/>
          <w:position w:val="0"/>
        </w:rPr>
        <w:t>（“</w:t>
      </w:r>
      <w:r>
        <w:rPr>
          <w:color w:val="000000"/>
          <w:spacing w:val="0"/>
          <w:w w:val="100"/>
          <w:position w:val="0"/>
        </w:rPr>
        <w:t>北京苏宁置业</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无锡苏宁置业有限公司</w:t>
      </w:r>
      <w:r>
        <w:rPr>
          <w:rFonts w:ascii="Times New Roman" w:eastAsia="Times New Roman" w:hAnsi="Times New Roman" w:cs="Times New Roman"/>
          <w:color w:val="000000"/>
          <w:spacing w:val="0"/>
          <w:w w:val="100"/>
          <w:position w:val="0"/>
        </w:rPr>
        <w:t>（“</w:t>
      </w:r>
      <w:r>
        <w:rPr>
          <w:color w:val="000000"/>
          <w:spacing w:val="0"/>
          <w:w w:val="100"/>
          <w:position w:val="0"/>
        </w:rPr>
        <w:t>无锡苏宁置业</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宿迁苏宁置业有限公司</w:t>
      </w:r>
      <w:r>
        <w:rPr>
          <w:rFonts w:ascii="Times New Roman" w:eastAsia="Times New Roman" w:hAnsi="Times New Roman" w:cs="Times New Roman"/>
          <w:color w:val="000000"/>
          <w:spacing w:val="0"/>
          <w:w w:val="100"/>
          <w:position w:val="0"/>
        </w:rPr>
        <w:t>（“</w:t>
      </w:r>
      <w:r>
        <w:rPr>
          <w:color w:val="000000"/>
          <w:spacing w:val="0"/>
          <w:w w:val="100"/>
          <w:position w:val="0"/>
        </w:rPr>
        <w:t>宿迁苏宁置业</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徐州苏宁置业有限公司</w:t>
      </w:r>
      <w:r>
        <w:rPr>
          <w:rFonts w:ascii="Times New Roman" w:eastAsia="Times New Roman" w:hAnsi="Times New Roman" w:cs="Times New Roman"/>
          <w:color w:val="000000"/>
          <w:spacing w:val="0"/>
          <w:w w:val="100"/>
          <w:position w:val="0"/>
        </w:rPr>
        <w:t>（“</w:t>
      </w:r>
      <w:r>
        <w:rPr>
          <w:color w:val="000000"/>
          <w:spacing w:val="0"/>
          <w:w w:val="100"/>
          <w:position w:val="0"/>
        </w:rPr>
        <w:t>徐州苏宁置业</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福州苏宁置业有限公司</w:t>
      </w:r>
      <w:r>
        <w:rPr>
          <w:rFonts w:ascii="Times New Roman" w:eastAsia="Times New Roman" w:hAnsi="Times New Roman" w:cs="Times New Roman"/>
          <w:color w:val="000000"/>
          <w:spacing w:val="0"/>
          <w:w w:val="100"/>
          <w:position w:val="0"/>
        </w:rPr>
        <w:t>（“</w:t>
      </w:r>
      <w:r>
        <w:rPr>
          <w:color w:val="000000"/>
          <w:spacing w:val="0"/>
          <w:w w:val="100"/>
          <w:position w:val="0"/>
        </w:rPr>
        <w:t>福州苏宁置业</w:t>
      </w:r>
      <w:r>
        <w:rPr>
          <w:rFonts w:ascii="Times New Roman" w:eastAsia="Times New Roman" w:hAnsi="Times New Roman" w:cs="Times New Roman"/>
          <w:color w:val="000000"/>
          <w:spacing w:val="0"/>
          <w:w w:val="100"/>
          <w:position w:val="0"/>
        </w:rPr>
        <w:t xml:space="preserve">'） </w:t>
      </w:r>
      <w:r>
        <w:rPr>
          <w:color w:val="000000"/>
          <w:spacing w:val="0"/>
          <w:w w:val="100"/>
          <w:position w:val="0"/>
        </w:rPr>
        <w:t>福州苏宁置业有限公司台江分公司</w:t>
      </w:r>
      <w:r>
        <w:rPr>
          <w:rFonts w:ascii="Times New Roman" w:eastAsia="Times New Roman" w:hAnsi="Times New Roman" w:cs="Times New Roman"/>
          <w:color w:val="000000"/>
          <w:spacing w:val="0"/>
          <w:w w:val="100"/>
          <w:position w:val="0"/>
        </w:rPr>
        <w:t>（“</w:t>
      </w:r>
      <w:r>
        <w:rPr>
          <w:color w:val="000000"/>
          <w:spacing w:val="0"/>
          <w:w w:val="100"/>
          <w:position w:val="0"/>
        </w:rPr>
        <w:t>福州苏宁置业台江</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淮安苏宁置业有限公司</w:t>
      </w:r>
      <w:r>
        <w:rPr>
          <w:rFonts w:ascii="Times New Roman" w:eastAsia="Times New Roman" w:hAnsi="Times New Roman" w:cs="Times New Roman"/>
          <w:color w:val="000000"/>
          <w:spacing w:val="0"/>
          <w:w w:val="100"/>
          <w:position w:val="0"/>
        </w:rPr>
        <w:t>（“</w:t>
      </w:r>
      <w:r>
        <w:rPr>
          <w:color w:val="000000"/>
          <w:spacing w:val="0"/>
          <w:w w:val="100"/>
          <w:position w:val="0"/>
        </w:rPr>
        <w:t>淮安苏宁置业</w:t>
      </w:r>
      <w:r>
        <w:rPr>
          <w:rFonts w:ascii="Times New Roman" w:eastAsia="Times New Roman" w:hAnsi="Times New Roman" w:cs="Times New Roman"/>
          <w:color w:val="000000"/>
          <w:spacing w:val="0"/>
          <w:w w:val="100"/>
          <w:position w:val="0"/>
        </w:rPr>
        <w:t>'）</w:t>
      </w:r>
    </w:p>
    <w:p>
      <w:pPr>
        <w:pStyle w:val="Style113"/>
        <w:keepNext w:val="0"/>
        <w:keepLines w:val="0"/>
        <w:widowControl w:val="0"/>
        <w:shd w:val="clear" w:color="auto" w:fill="auto"/>
        <w:bidi w:val="0"/>
        <w:spacing w:before="0" w:after="0" w:line="286" w:lineRule="exact"/>
        <w:ind w:left="700" w:right="0" w:firstLine="0"/>
        <w:jc w:val="left"/>
      </w:pPr>
      <w:r>
        <w:rPr>
          <w:color w:val="000000"/>
          <w:spacing w:val="0"/>
          <w:w w:val="100"/>
          <w:position w:val="0"/>
        </w:rPr>
        <w:t>苏宁置业集团有限公司清凉门分公司</w:t>
      </w:r>
      <w:r>
        <w:rPr>
          <w:rFonts w:ascii="Times New Roman" w:eastAsia="Times New Roman" w:hAnsi="Times New Roman" w:cs="Times New Roman"/>
          <w:color w:val="000000"/>
          <w:spacing w:val="0"/>
          <w:w w:val="100"/>
          <w:position w:val="0"/>
        </w:rPr>
        <w:t>（“</w:t>
      </w:r>
      <w:r>
        <w:rPr>
          <w:color w:val="000000"/>
          <w:spacing w:val="0"/>
          <w:w w:val="100"/>
          <w:position w:val="0"/>
        </w:rPr>
        <w:t>苏宁置业集团清凉门</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连云港苏宁置业有限公司</w:t>
      </w:r>
      <w:r>
        <w:rPr>
          <w:rFonts w:ascii="Times New Roman" w:eastAsia="Times New Roman" w:hAnsi="Times New Roman" w:cs="Times New Roman"/>
          <w:color w:val="000000"/>
          <w:spacing w:val="0"/>
          <w:w w:val="100"/>
          <w:position w:val="0"/>
        </w:rPr>
        <w:t>（“</w:t>
      </w:r>
      <w:r>
        <w:rPr>
          <w:color w:val="000000"/>
          <w:spacing w:val="0"/>
          <w:w w:val="100"/>
          <w:position w:val="0"/>
        </w:rPr>
        <w:t>连云港苏宁置业</w:t>
      </w:r>
      <w:r>
        <w:rPr>
          <w:rFonts w:ascii="Times New Roman" w:eastAsia="Times New Roman" w:hAnsi="Times New Roman" w:cs="Times New Roman"/>
          <w:color w:val="000000"/>
          <w:spacing w:val="0"/>
          <w:w w:val="100"/>
          <w:position w:val="0"/>
        </w:rPr>
        <w:t xml:space="preserve">'） </w:t>
      </w:r>
      <w:r>
        <w:rPr>
          <w:color w:val="000000"/>
          <w:spacing w:val="0"/>
          <w:w w:val="100"/>
          <w:position w:val="0"/>
        </w:rPr>
        <w:t>高淳苏宁置业有限公司</w:t>
      </w:r>
      <w:r>
        <w:rPr>
          <w:rFonts w:ascii="Times New Roman" w:eastAsia="Times New Roman" w:hAnsi="Times New Roman" w:cs="Times New Roman"/>
          <w:color w:val="000000"/>
          <w:spacing w:val="0"/>
          <w:w w:val="100"/>
          <w:position w:val="0"/>
        </w:rPr>
        <w:t>（“</w:t>
      </w:r>
      <w:r>
        <w:rPr>
          <w:color w:val="000000"/>
          <w:spacing w:val="0"/>
          <w:w w:val="100"/>
          <w:position w:val="0"/>
        </w:rPr>
        <w:t>高淳苏宁置业</w:t>
      </w:r>
      <w:r>
        <w:rPr>
          <w:rFonts w:ascii="Times New Roman" w:eastAsia="Times New Roman" w:hAnsi="Times New Roman" w:cs="Times New Roman"/>
          <w:color w:val="000000"/>
          <w:spacing w:val="0"/>
          <w:w w:val="100"/>
          <w:position w:val="0"/>
        </w:rPr>
        <w:t xml:space="preserve">'） </w:t>
      </w:r>
      <w:r>
        <w:rPr>
          <w:color w:val="000000"/>
          <w:spacing w:val="0"/>
          <w:w w:val="100"/>
          <w:position w:val="0"/>
        </w:rPr>
        <w:t>镇江苏宁置业有限公司</w:t>
      </w:r>
      <w:r>
        <w:rPr>
          <w:rFonts w:ascii="Times New Roman" w:eastAsia="Times New Roman" w:hAnsi="Times New Roman" w:cs="Times New Roman"/>
          <w:color w:val="000000"/>
          <w:spacing w:val="0"/>
          <w:w w:val="100"/>
          <w:position w:val="0"/>
        </w:rPr>
        <w:t>（“</w:t>
      </w:r>
      <w:r>
        <w:rPr>
          <w:color w:val="000000"/>
          <w:spacing w:val="0"/>
          <w:w w:val="100"/>
          <w:position w:val="0"/>
        </w:rPr>
        <w:t>镇江苏宁置业</w:t>
      </w:r>
      <w:r>
        <w:rPr>
          <w:rFonts w:ascii="Times New Roman" w:eastAsia="Times New Roman" w:hAnsi="Times New Roman" w:cs="Times New Roman"/>
          <w:color w:val="000000"/>
          <w:spacing w:val="0"/>
          <w:w w:val="100"/>
          <w:position w:val="0"/>
        </w:rPr>
        <w:t>'）</w:t>
      </w:r>
    </w:p>
    <w:p>
      <w:pPr>
        <w:pStyle w:val="Style113"/>
        <w:keepNext w:val="0"/>
        <w:keepLines w:val="0"/>
        <w:widowControl w:val="0"/>
        <w:shd w:val="clear" w:color="auto" w:fill="auto"/>
        <w:bidi w:val="0"/>
        <w:spacing w:before="0" w:after="0" w:line="286" w:lineRule="exact"/>
        <w:ind w:left="700" w:right="0" w:firstLine="0"/>
        <w:jc w:val="left"/>
      </w:pPr>
      <w:r>
        <w:rPr>
          <w:color w:val="000000"/>
          <w:spacing w:val="0"/>
          <w:w w:val="100"/>
          <w:position w:val="0"/>
        </w:rPr>
        <w:t>南京沃德置业有限公司</w:t>
      </w:r>
      <w:r>
        <w:rPr>
          <w:rFonts w:ascii="Times New Roman" w:eastAsia="Times New Roman" w:hAnsi="Times New Roman" w:cs="Times New Roman"/>
          <w:color w:val="000000"/>
          <w:spacing w:val="0"/>
          <w:w w:val="100"/>
          <w:position w:val="0"/>
        </w:rPr>
        <w:t>（“</w:t>
      </w:r>
      <w:r>
        <w:rPr>
          <w:color w:val="000000"/>
          <w:spacing w:val="0"/>
          <w:w w:val="100"/>
          <w:position w:val="0"/>
        </w:rPr>
        <w:t>沃德置业</w:t>
      </w:r>
      <w:r>
        <w:rPr>
          <w:rFonts w:ascii="Times New Roman" w:eastAsia="Times New Roman" w:hAnsi="Times New Roman" w:cs="Times New Roman"/>
          <w:color w:val="000000"/>
          <w:spacing w:val="0"/>
          <w:w w:val="100"/>
          <w:position w:val="0"/>
        </w:rPr>
        <w:t xml:space="preserve">'） </w:t>
      </w:r>
      <w:r>
        <w:rPr>
          <w:color w:val="000000"/>
          <w:spacing w:val="0"/>
          <w:w w:val="100"/>
          <w:position w:val="0"/>
        </w:rPr>
        <w:t>石家庄苏宁房地产开发有限公司</w:t>
      </w:r>
      <w:r>
        <w:rPr>
          <w:rFonts w:ascii="Times New Roman" w:eastAsia="Times New Roman" w:hAnsi="Times New Roman" w:cs="Times New Roman"/>
          <w:color w:val="000000"/>
          <w:spacing w:val="0"/>
          <w:w w:val="100"/>
          <w:position w:val="0"/>
        </w:rPr>
        <w:t>（“</w:t>
      </w:r>
      <w:r>
        <w:rPr>
          <w:color w:val="000000"/>
          <w:spacing w:val="0"/>
          <w:w w:val="100"/>
          <w:position w:val="0"/>
        </w:rPr>
        <w:t>石家庄苏宁房地产开发</w:t>
      </w:r>
      <w:r>
        <w:rPr>
          <w:rFonts w:ascii="Times New Roman" w:eastAsia="Times New Roman" w:hAnsi="Times New Roman" w:cs="Times New Roman"/>
          <w:color w:val="000000"/>
          <w:spacing w:val="0"/>
          <w:w w:val="100"/>
          <w:position w:val="0"/>
        </w:rPr>
        <w:t xml:space="preserve">'） </w:t>
      </w:r>
      <w:r>
        <w:rPr>
          <w:color w:val="000000"/>
          <w:spacing w:val="0"/>
          <w:w w:val="100"/>
          <w:position w:val="0"/>
        </w:rPr>
        <w:t>上海苏宁房地产开发有限公司</w:t>
      </w:r>
      <w:r>
        <w:rPr>
          <w:rFonts w:ascii="Times New Roman" w:eastAsia="Times New Roman" w:hAnsi="Times New Roman" w:cs="Times New Roman"/>
          <w:color w:val="000000"/>
          <w:spacing w:val="0"/>
          <w:w w:val="100"/>
          <w:position w:val="0"/>
        </w:rPr>
        <w:t>（“</w:t>
      </w:r>
      <w:r>
        <w:rPr>
          <w:color w:val="000000"/>
          <w:spacing w:val="0"/>
          <w:w w:val="100"/>
          <w:position w:val="0"/>
        </w:rPr>
        <w:t>上海苏宁房地产开发</w:t>
      </w:r>
      <w:r>
        <w:rPr>
          <w:rFonts w:ascii="Times New Roman" w:eastAsia="Times New Roman" w:hAnsi="Times New Roman" w:cs="Times New Roman"/>
          <w:color w:val="000000"/>
          <w:spacing w:val="0"/>
          <w:w w:val="100"/>
          <w:position w:val="0"/>
        </w:rPr>
        <w:t xml:space="preserve">'） </w:t>
      </w:r>
      <w:r>
        <w:rPr>
          <w:color w:val="000000"/>
          <w:spacing w:val="0"/>
          <w:w w:val="100"/>
          <w:position w:val="0"/>
        </w:rPr>
        <w:t>北京华商会会议中心有限公司</w:t>
      </w:r>
      <w:r>
        <w:rPr>
          <w:rFonts w:ascii="Times New Roman" w:eastAsia="Times New Roman" w:hAnsi="Times New Roman" w:cs="Times New Roman"/>
          <w:color w:val="000000"/>
          <w:spacing w:val="0"/>
          <w:w w:val="100"/>
          <w:position w:val="0"/>
        </w:rPr>
        <w:t>（“</w:t>
      </w:r>
      <w:r>
        <w:rPr>
          <w:color w:val="000000"/>
          <w:spacing w:val="0"/>
          <w:w w:val="100"/>
          <w:position w:val="0"/>
        </w:rPr>
        <w:t>华商会议中心</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113"/>
        <w:keepNext w:val="0"/>
        <w:keepLines w:val="0"/>
        <w:widowControl w:val="0"/>
        <w:shd w:val="clear" w:color="auto" w:fill="auto"/>
        <w:bidi w:val="0"/>
        <w:spacing w:before="0" w:after="0" w:line="286" w:lineRule="exact"/>
        <w:ind w:left="700" w:right="0" w:firstLine="0"/>
        <w:jc w:val="left"/>
      </w:pPr>
      <w:r>
        <w:rPr>
          <w:color w:val="000000"/>
          <w:spacing w:val="0"/>
          <w:w w:val="100"/>
          <w:position w:val="0"/>
        </w:rPr>
        <w:t>江苏苏宁广场商业管理有限公司</w:t>
      </w:r>
      <w:r>
        <w:rPr>
          <w:rFonts w:ascii="Times New Roman" w:eastAsia="Times New Roman" w:hAnsi="Times New Roman" w:cs="Times New Roman"/>
          <w:color w:val="000000"/>
          <w:spacing w:val="0"/>
          <w:w w:val="100"/>
          <w:position w:val="0"/>
        </w:rPr>
        <w:t>（“</w:t>
      </w:r>
      <w:r>
        <w:rPr>
          <w:color w:val="000000"/>
          <w:spacing w:val="0"/>
          <w:w w:val="100"/>
          <w:position w:val="0"/>
        </w:rPr>
        <w:t>江苏苏宁广场商业管理</w:t>
      </w:r>
      <w:r>
        <w:rPr>
          <w:rFonts w:ascii="Times New Roman" w:eastAsia="Times New Roman" w:hAnsi="Times New Roman" w:cs="Times New Roman"/>
          <w:color w:val="000000"/>
          <w:spacing w:val="0"/>
          <w:w w:val="100"/>
          <w:position w:val="0"/>
        </w:rPr>
        <w:t xml:space="preserve">'） </w:t>
      </w:r>
      <w:r>
        <w:rPr>
          <w:color w:val="000000"/>
          <w:spacing w:val="0"/>
          <w:w w:val="100"/>
          <w:position w:val="0"/>
        </w:rPr>
        <w:t>无锡苏宁商业管理有限公司</w:t>
      </w:r>
      <w:r>
        <w:rPr>
          <w:rFonts w:ascii="Times New Roman" w:eastAsia="Times New Roman" w:hAnsi="Times New Roman" w:cs="Times New Roman"/>
          <w:color w:val="000000"/>
          <w:spacing w:val="0"/>
          <w:w w:val="100"/>
          <w:position w:val="0"/>
        </w:rPr>
        <w:t>（“</w:t>
      </w:r>
      <w:r>
        <w:rPr>
          <w:color w:val="000000"/>
          <w:spacing w:val="0"/>
          <w:w w:val="100"/>
          <w:position w:val="0"/>
        </w:rPr>
        <w:t>无锡苏宁商业管理</w:t>
      </w:r>
      <w:r>
        <w:rPr>
          <w:rFonts w:ascii="Times New Roman" w:eastAsia="Times New Roman" w:hAnsi="Times New Roman" w:cs="Times New Roman"/>
          <w:color w:val="000000"/>
          <w:spacing w:val="0"/>
          <w:w w:val="100"/>
          <w:position w:val="0"/>
        </w:rPr>
        <w:t>'）</w:t>
      </w:r>
    </w:p>
    <w:p>
      <w:pPr>
        <w:pStyle w:val="Style113"/>
        <w:keepNext w:val="0"/>
        <w:keepLines w:val="0"/>
        <w:widowControl w:val="0"/>
        <w:shd w:val="clear" w:color="auto" w:fill="auto"/>
        <w:bidi w:val="0"/>
        <w:spacing w:before="0" w:after="120" w:line="286" w:lineRule="exact"/>
        <w:ind w:left="700" w:right="0" w:firstLine="0"/>
        <w:jc w:val="left"/>
      </w:pPr>
      <w:r>
        <mc:AlternateContent>
          <mc:Choice Requires="wps">
            <w:drawing>
              <wp:anchor distT="0" distB="0" distL="114300" distR="114300" simplePos="0" relativeHeight="125829466" behindDoc="0" locked="0" layoutInCell="1" allowOverlap="1">
                <wp:simplePos x="0" y="0"/>
                <wp:positionH relativeFrom="page">
                  <wp:posOffset>5259705</wp:posOffset>
                </wp:positionH>
                <wp:positionV relativeFrom="margin">
                  <wp:posOffset>2197735</wp:posOffset>
                </wp:positionV>
                <wp:extent cx="1737360" cy="6546850"/>
                <wp:wrapSquare wrapText="bothSides"/>
                <wp:docPr id="490" name="Shape 490"/>
                <a:graphic xmlns:a="http://schemas.openxmlformats.org/drawingml/2006/main">
                  <a:graphicData uri="http://schemas.microsoft.com/office/word/2010/wordprocessingShape">
                    <wps:wsp>
                      <wps:cNvSpPr txBox="1"/>
                      <wps:spPr>
                        <a:xfrm>
                          <a:ext cx="1737360" cy="6546850"/>
                        </a:xfrm>
                        <a:prstGeom prst="rect"/>
                        <a:noFill/>
                      </wps:spPr>
                      <wps:txbx>
                        <w:txbxContent>
                          <w:p>
                            <w:pPr>
                              <w:pStyle w:val="Style113"/>
                              <w:keepNext w:val="0"/>
                              <w:keepLines w:val="0"/>
                              <w:widowControl w:val="0"/>
                              <w:shd w:val="clear" w:color="auto" w:fill="auto"/>
                              <w:bidi w:val="0"/>
                              <w:spacing w:before="0" w:after="240" w:line="288" w:lineRule="exact"/>
                              <w:ind w:left="0" w:right="0" w:firstLine="0"/>
                              <w:jc w:val="right"/>
                            </w:pPr>
                            <w:r>
                              <w:rPr>
                                <w:color w:val="000000"/>
                                <w:spacing w:val="0"/>
                                <w:w w:val="100"/>
                                <w:position w:val="0"/>
                              </w:rPr>
                              <w:t>与本集团的关系</w:t>
                            </w:r>
                          </w:p>
                          <w:p>
                            <w:pPr>
                              <w:pStyle w:val="Style113"/>
                              <w:keepNext w:val="0"/>
                              <w:keepLines w:val="0"/>
                              <w:widowControl w:val="0"/>
                              <w:shd w:val="clear" w:color="auto" w:fill="auto"/>
                              <w:bidi w:val="0"/>
                              <w:spacing w:before="0" w:after="180" w:line="283" w:lineRule="exact"/>
                              <w:ind w:left="0" w:right="0" w:firstLine="0"/>
                              <w:jc w:val="right"/>
                            </w:pPr>
                            <w:r>
                              <w:rPr>
                                <w:color w:val="000000"/>
                                <w:spacing w:val="0"/>
                                <w:w w:val="100"/>
                                <w:position w:val="0"/>
                              </w:rPr>
                              <w:t>持有本公司</w:t>
                            </w:r>
                            <w:r>
                              <w:rPr>
                                <w:rFonts w:ascii="Times New Roman" w:eastAsia="Times New Roman" w:hAnsi="Times New Roman" w:cs="Times New Roman"/>
                                <w:color w:val="000000"/>
                                <w:spacing w:val="0"/>
                                <w:w w:val="100"/>
                                <w:position w:val="0"/>
                              </w:rPr>
                              <w:t>5%</w:t>
                            </w:r>
                            <w:r>
                              <w:rPr>
                                <w:color w:val="000000"/>
                                <w:spacing w:val="0"/>
                                <w:w w:val="100"/>
                                <w:position w:val="0"/>
                              </w:rPr>
                              <w:t>以上股份法人股东 实际控制人系张近东先生家庭成员 实际控制人系张近东先生家庭成员</w:t>
                            </w:r>
                          </w:p>
                          <w:p>
                            <w:pPr>
                              <w:pStyle w:val="Style113"/>
                              <w:keepNext w:val="0"/>
                              <w:keepLines w:val="0"/>
                              <w:widowControl w:val="0"/>
                              <w:shd w:val="clear" w:color="auto" w:fill="auto"/>
                              <w:bidi w:val="0"/>
                              <w:spacing w:before="0" w:after="180" w:line="276" w:lineRule="exact"/>
                              <w:ind w:left="0" w:right="0" w:firstLine="0"/>
                              <w:jc w:val="right"/>
                            </w:pPr>
                            <w:r>
                              <w:rPr>
                                <w:color w:val="000000"/>
                                <w:spacing w:val="0"/>
                                <w:w w:val="100"/>
                                <w:position w:val="0"/>
                              </w:rPr>
                              <w:t>实际控制人系张近东先生家庭成员 与本公司受同一实际控制人控制 苏宁置业集团之子公司</w:t>
                            </w:r>
                          </w:p>
                          <w:p>
                            <w:pPr>
                              <w:pStyle w:val="Style113"/>
                              <w:keepNext w:val="0"/>
                              <w:keepLines w:val="0"/>
                              <w:widowControl w:val="0"/>
                              <w:shd w:val="clear" w:color="auto" w:fill="auto"/>
                              <w:bidi w:val="0"/>
                              <w:spacing w:before="0" w:after="180" w:line="288" w:lineRule="exact"/>
                              <w:ind w:left="0" w:right="0" w:firstLine="0"/>
                              <w:jc w:val="right"/>
                            </w:pPr>
                            <w:r>
                              <w:rPr>
                                <w:color w:val="000000"/>
                                <w:spacing w:val="0"/>
                                <w:w w:val="100"/>
                                <w:position w:val="0"/>
                              </w:rPr>
                              <w:t>苏宁置业集团之子公司</w:t>
                            </w:r>
                          </w:p>
                          <w:p>
                            <w:pPr>
                              <w:pStyle w:val="Style113"/>
                              <w:keepNext w:val="0"/>
                              <w:keepLines w:val="0"/>
                              <w:widowControl w:val="0"/>
                              <w:shd w:val="clear" w:color="auto" w:fill="auto"/>
                              <w:bidi w:val="0"/>
                              <w:spacing w:before="0" w:after="0" w:line="230" w:lineRule="exact"/>
                              <w:ind w:left="900" w:right="0" w:firstLine="0"/>
                              <w:jc w:val="both"/>
                            </w:pPr>
                            <w:r>
                              <w:rPr>
                                <w:color w:val="000000"/>
                                <w:spacing w:val="0"/>
                                <w:w w:val="100"/>
                                <w:position w:val="0"/>
                              </w:rPr>
                              <w:t>苏宁置业集团之子公司 苏宁置业集团之子公司</w:t>
                            </w:r>
                          </w:p>
                          <w:p>
                            <w:pPr>
                              <w:pStyle w:val="Style113"/>
                              <w:keepNext w:val="0"/>
                              <w:keepLines w:val="0"/>
                              <w:widowControl w:val="0"/>
                              <w:shd w:val="clear" w:color="auto" w:fill="auto"/>
                              <w:bidi w:val="0"/>
                              <w:spacing w:before="0" w:after="180" w:line="277" w:lineRule="exact"/>
                              <w:ind w:left="900" w:right="0" w:firstLine="0"/>
                              <w:jc w:val="both"/>
                            </w:pPr>
                            <w:r>
                              <w:rPr>
                                <w:color w:val="000000"/>
                                <w:spacing w:val="0"/>
                                <w:w w:val="100"/>
                                <w:position w:val="0"/>
                              </w:rPr>
                              <w:t>苏宁置业集团之子公司 苏宁置业集团之子公司 苏宁置业集团之子公司 苏宁置业集团之子公司</w:t>
                            </w:r>
                          </w:p>
                          <w:p>
                            <w:pPr>
                              <w:pStyle w:val="Style113"/>
                              <w:keepNext w:val="0"/>
                              <w:keepLines w:val="0"/>
                              <w:widowControl w:val="0"/>
                              <w:shd w:val="clear" w:color="auto" w:fill="auto"/>
                              <w:bidi w:val="0"/>
                              <w:spacing w:before="0" w:after="180" w:line="288" w:lineRule="exact"/>
                              <w:ind w:left="900" w:right="0" w:firstLine="0"/>
                              <w:jc w:val="both"/>
                            </w:pPr>
                            <w:r>
                              <w:rPr>
                                <w:color w:val="000000"/>
                                <w:spacing w:val="0"/>
                                <w:w w:val="100"/>
                                <w:position w:val="0"/>
                              </w:rPr>
                              <w:t>苏宁置业集团之子公司 苏宁置业集团之子公司 苏宁置业集团之子公司 苏宁置业集团之子公司 苏宁置业集团之子公司 苏宁置业集团之子公司 苏宁置业集团之子公司 苏宁置业集团之子公司 苏宁置业集团之子公司 苏宁置业集团之子公司 苏宁置业集团之子公司 苏宁置业集团之子公司 苏宁置业集团之子公司 苏宁置业集团之子公司 苏宁置业集团之子公司 苏宁电器集团之子公司 苏宁置业集团之子公司 苏宁电器集团之子公司 苏宁电器集团之子公司</w:t>
                            </w:r>
                          </w:p>
                        </w:txbxContent>
                      </wps:txbx>
                      <wps:bodyPr lIns="0" tIns="0" rIns="0" bIns="0">
                        <a:noAutoFit/>
                      </wps:bodyPr>
                    </wps:wsp>
                  </a:graphicData>
                </a:graphic>
              </wp:anchor>
            </w:drawing>
          </mc:Choice>
          <mc:Fallback>
            <w:pict>
              <v:shape id="_x0000_s1516" type="#_x0000_t202" style="position:absolute;margin-left:414.15000000000003pt;margin-top:173.05000000000001pt;width:136.80000000000001pt;height:515.5pt;z-index:-125829287;mso-wrap-distance-left:9.pt;mso-wrap-distance-right:9.pt;mso-position-horizontal-relative:page;mso-position-vertical-relative:margin" filled="f" stroked="f">
                <v:textbox inset="0,0,0,0">
                  <w:txbxContent>
                    <w:p>
                      <w:pPr>
                        <w:pStyle w:val="Style113"/>
                        <w:keepNext w:val="0"/>
                        <w:keepLines w:val="0"/>
                        <w:widowControl w:val="0"/>
                        <w:shd w:val="clear" w:color="auto" w:fill="auto"/>
                        <w:bidi w:val="0"/>
                        <w:spacing w:before="0" w:after="240" w:line="288" w:lineRule="exact"/>
                        <w:ind w:left="0" w:right="0" w:firstLine="0"/>
                        <w:jc w:val="right"/>
                      </w:pPr>
                      <w:r>
                        <w:rPr>
                          <w:color w:val="000000"/>
                          <w:spacing w:val="0"/>
                          <w:w w:val="100"/>
                          <w:position w:val="0"/>
                        </w:rPr>
                        <w:t>与本集团的关系</w:t>
                      </w:r>
                    </w:p>
                    <w:p>
                      <w:pPr>
                        <w:pStyle w:val="Style113"/>
                        <w:keepNext w:val="0"/>
                        <w:keepLines w:val="0"/>
                        <w:widowControl w:val="0"/>
                        <w:shd w:val="clear" w:color="auto" w:fill="auto"/>
                        <w:bidi w:val="0"/>
                        <w:spacing w:before="0" w:after="180" w:line="283" w:lineRule="exact"/>
                        <w:ind w:left="0" w:right="0" w:firstLine="0"/>
                        <w:jc w:val="right"/>
                      </w:pPr>
                      <w:r>
                        <w:rPr>
                          <w:color w:val="000000"/>
                          <w:spacing w:val="0"/>
                          <w:w w:val="100"/>
                          <w:position w:val="0"/>
                        </w:rPr>
                        <w:t>持有本公司</w:t>
                      </w:r>
                      <w:r>
                        <w:rPr>
                          <w:rFonts w:ascii="Times New Roman" w:eastAsia="Times New Roman" w:hAnsi="Times New Roman" w:cs="Times New Roman"/>
                          <w:color w:val="000000"/>
                          <w:spacing w:val="0"/>
                          <w:w w:val="100"/>
                          <w:position w:val="0"/>
                        </w:rPr>
                        <w:t>5%</w:t>
                      </w:r>
                      <w:r>
                        <w:rPr>
                          <w:color w:val="000000"/>
                          <w:spacing w:val="0"/>
                          <w:w w:val="100"/>
                          <w:position w:val="0"/>
                        </w:rPr>
                        <w:t>以上股份法人股东 实际控制人系张近东先生家庭成员 实际控制人系张近东先生家庭成员</w:t>
                      </w:r>
                    </w:p>
                    <w:p>
                      <w:pPr>
                        <w:pStyle w:val="Style113"/>
                        <w:keepNext w:val="0"/>
                        <w:keepLines w:val="0"/>
                        <w:widowControl w:val="0"/>
                        <w:shd w:val="clear" w:color="auto" w:fill="auto"/>
                        <w:bidi w:val="0"/>
                        <w:spacing w:before="0" w:after="180" w:line="276" w:lineRule="exact"/>
                        <w:ind w:left="0" w:right="0" w:firstLine="0"/>
                        <w:jc w:val="right"/>
                      </w:pPr>
                      <w:r>
                        <w:rPr>
                          <w:color w:val="000000"/>
                          <w:spacing w:val="0"/>
                          <w:w w:val="100"/>
                          <w:position w:val="0"/>
                        </w:rPr>
                        <w:t>实际控制人系张近东先生家庭成员 与本公司受同一实际控制人控制 苏宁置业集团之子公司</w:t>
                      </w:r>
                    </w:p>
                    <w:p>
                      <w:pPr>
                        <w:pStyle w:val="Style113"/>
                        <w:keepNext w:val="0"/>
                        <w:keepLines w:val="0"/>
                        <w:widowControl w:val="0"/>
                        <w:shd w:val="clear" w:color="auto" w:fill="auto"/>
                        <w:bidi w:val="0"/>
                        <w:spacing w:before="0" w:after="180" w:line="288" w:lineRule="exact"/>
                        <w:ind w:left="0" w:right="0" w:firstLine="0"/>
                        <w:jc w:val="right"/>
                      </w:pPr>
                      <w:r>
                        <w:rPr>
                          <w:color w:val="000000"/>
                          <w:spacing w:val="0"/>
                          <w:w w:val="100"/>
                          <w:position w:val="0"/>
                        </w:rPr>
                        <w:t>苏宁置业集团之子公司</w:t>
                      </w:r>
                    </w:p>
                    <w:p>
                      <w:pPr>
                        <w:pStyle w:val="Style113"/>
                        <w:keepNext w:val="0"/>
                        <w:keepLines w:val="0"/>
                        <w:widowControl w:val="0"/>
                        <w:shd w:val="clear" w:color="auto" w:fill="auto"/>
                        <w:bidi w:val="0"/>
                        <w:spacing w:before="0" w:after="0" w:line="230" w:lineRule="exact"/>
                        <w:ind w:left="900" w:right="0" w:firstLine="0"/>
                        <w:jc w:val="both"/>
                      </w:pPr>
                      <w:r>
                        <w:rPr>
                          <w:color w:val="000000"/>
                          <w:spacing w:val="0"/>
                          <w:w w:val="100"/>
                          <w:position w:val="0"/>
                        </w:rPr>
                        <w:t>苏宁置业集团之子公司 苏宁置业集团之子公司</w:t>
                      </w:r>
                    </w:p>
                    <w:p>
                      <w:pPr>
                        <w:pStyle w:val="Style113"/>
                        <w:keepNext w:val="0"/>
                        <w:keepLines w:val="0"/>
                        <w:widowControl w:val="0"/>
                        <w:shd w:val="clear" w:color="auto" w:fill="auto"/>
                        <w:bidi w:val="0"/>
                        <w:spacing w:before="0" w:after="180" w:line="277" w:lineRule="exact"/>
                        <w:ind w:left="900" w:right="0" w:firstLine="0"/>
                        <w:jc w:val="both"/>
                      </w:pPr>
                      <w:r>
                        <w:rPr>
                          <w:color w:val="000000"/>
                          <w:spacing w:val="0"/>
                          <w:w w:val="100"/>
                          <w:position w:val="0"/>
                        </w:rPr>
                        <w:t>苏宁置业集团之子公司 苏宁置业集团之子公司 苏宁置业集团之子公司 苏宁置业集团之子公司</w:t>
                      </w:r>
                    </w:p>
                    <w:p>
                      <w:pPr>
                        <w:pStyle w:val="Style113"/>
                        <w:keepNext w:val="0"/>
                        <w:keepLines w:val="0"/>
                        <w:widowControl w:val="0"/>
                        <w:shd w:val="clear" w:color="auto" w:fill="auto"/>
                        <w:bidi w:val="0"/>
                        <w:spacing w:before="0" w:after="180" w:line="288" w:lineRule="exact"/>
                        <w:ind w:left="900" w:right="0" w:firstLine="0"/>
                        <w:jc w:val="both"/>
                      </w:pPr>
                      <w:r>
                        <w:rPr>
                          <w:color w:val="000000"/>
                          <w:spacing w:val="0"/>
                          <w:w w:val="100"/>
                          <w:position w:val="0"/>
                        </w:rPr>
                        <w:t>苏宁置业集团之子公司 苏宁置业集团之子公司 苏宁置业集团之子公司 苏宁置业集团之子公司 苏宁置业集团之子公司 苏宁置业集团之子公司 苏宁置业集团之子公司 苏宁置业集团之子公司 苏宁置业集团之子公司 苏宁置业集团之子公司 苏宁置业集团之子公司 苏宁置业集团之子公司 苏宁置业集团之子公司 苏宁置业集团之子公司 苏宁置业集团之子公司 苏宁电器集团之子公司 苏宁置业集团之子公司 苏宁电器集团之子公司 苏宁电器集团之子公司</w:t>
                      </w:r>
                    </w:p>
                  </w:txbxContent>
                </v:textbox>
                <w10:wrap type="square" anchorx="page" anchory="margin"/>
              </v:shape>
            </w:pict>
          </mc:Fallback>
        </mc:AlternateContent>
      </w:r>
      <w:r>
        <w:rPr>
          <w:color w:val="000000"/>
          <w:spacing w:val="0"/>
          <w:w w:val="100"/>
          <w:position w:val="0"/>
        </w:rPr>
        <w:t>南京苏宁银河国际购物广场有限公司</w:t>
      </w:r>
      <w:r>
        <w:rPr>
          <w:rFonts w:ascii="Times New Roman" w:eastAsia="Times New Roman" w:hAnsi="Times New Roman" w:cs="Times New Roman"/>
          <w:color w:val="000000"/>
          <w:spacing w:val="0"/>
          <w:w w:val="100"/>
          <w:position w:val="0"/>
        </w:rPr>
        <w:t>（“</w:t>
      </w:r>
      <w:r>
        <w:rPr>
          <w:color w:val="000000"/>
          <w:spacing w:val="0"/>
          <w:w w:val="100"/>
          <w:position w:val="0"/>
        </w:rPr>
        <w:t>银河国际购物广场</w:t>
      </w:r>
      <w:r>
        <w:rPr>
          <w:rFonts w:ascii="Times New Roman" w:eastAsia="Times New Roman" w:hAnsi="Times New Roman" w:cs="Times New Roman"/>
          <w:color w:val="000000"/>
          <w:spacing w:val="0"/>
          <w:w w:val="100"/>
          <w:position w:val="0"/>
        </w:rPr>
        <w:t>'）</w:t>
      </w:r>
      <w:r>
        <w:br w:type="page"/>
      </w:r>
    </w:p>
    <w:p>
      <w:pPr>
        <w:pStyle w:val="Style32"/>
        <w:keepNext w:val="0"/>
        <w:keepLines w:val="0"/>
        <w:widowControl w:val="0"/>
        <w:shd w:val="clear" w:color="auto" w:fill="auto"/>
        <w:bidi w:val="0"/>
        <w:spacing w:before="0" w:after="0" w:line="240" w:lineRule="auto"/>
        <w:ind w:left="0" w:right="0" w:firstLine="740"/>
        <w:jc w:val="both"/>
        <w:rPr>
          <w:sz w:val="24"/>
          <w:szCs w:val="24"/>
        </w:rPr>
      </w:pPr>
      <w:r>
        <w:rPr>
          <w:b/>
          <w:bCs/>
          <w:color w:val="000000"/>
          <w:spacing w:val="0"/>
          <w:w w:val="100"/>
          <w:position w:val="0"/>
          <w:sz w:val="24"/>
          <w:szCs w:val="24"/>
        </w:rPr>
        <w:t>财务报表附注</w:t>
      </w:r>
    </w:p>
    <w:p>
      <w:pPr>
        <w:pStyle w:val="Style88"/>
        <w:keepNext/>
        <w:keepLines/>
        <w:widowControl w:val="0"/>
        <w:shd w:val="clear" w:color="auto" w:fill="auto"/>
        <w:bidi w:val="0"/>
        <w:spacing w:before="0" w:after="0" w:line="240" w:lineRule="auto"/>
        <w:ind w:left="0" w:right="0" w:firstLine="740"/>
        <w:jc w:val="both"/>
      </w:pPr>
      <w:bookmarkStart w:id="1068" w:name="bookmark1068"/>
      <w:bookmarkStart w:id="1069" w:name="bookmark1069"/>
      <w:bookmarkStart w:id="1070" w:name="bookmark1070"/>
      <w:r>
        <w:rPr>
          <w:color w:val="000000"/>
          <w:spacing w:val="0"/>
          <w:w w:val="100"/>
          <w:position w:val="0"/>
          <w:sz w:val="24"/>
          <w:szCs w:val="24"/>
        </w:rPr>
        <w:t>2016</w:t>
      </w:r>
      <w:r>
        <w:rPr>
          <w:rFonts w:ascii="SimSun" w:eastAsia="SimSun" w:hAnsi="SimSun" w:cs="SimSun"/>
          <w:b/>
          <w:bCs/>
          <w:color w:val="000000"/>
          <w:spacing w:val="0"/>
          <w:w w:val="100"/>
          <w:position w:val="0"/>
          <w:sz w:val="24"/>
          <w:szCs w:val="24"/>
        </w:rPr>
        <w:t>年度</w:t>
      </w:r>
      <w:bookmarkEnd w:id="1068"/>
      <w:bookmarkEnd w:id="1069"/>
      <w:bookmarkEnd w:id="1070"/>
    </w:p>
    <w:p>
      <w:pPr>
        <w:pStyle w:val="Style32"/>
        <w:keepNext w:val="0"/>
        <w:keepLines w:val="0"/>
        <w:widowControl w:val="0"/>
        <w:shd w:val="clear" w:color="auto" w:fill="auto"/>
        <w:bidi w:val="0"/>
        <w:spacing w:before="0" w:after="160" w:line="298" w:lineRule="auto"/>
        <w:ind w:left="0" w:right="0" w:firstLine="740"/>
        <w:jc w:val="both"/>
        <w:rPr>
          <w:sz w:val="24"/>
          <w:szCs w:val="24"/>
        </w:rPr>
      </w:pPr>
      <w:r>
        <w:rPr>
          <w:rFonts w:ascii="Arial" w:eastAsia="Arial" w:hAnsi="Arial" w:cs="Arial"/>
          <w:color w:val="000000"/>
          <w:spacing w:val="0"/>
          <w:w w:val="100"/>
          <w:position w:val="0"/>
          <w:sz w:val="20"/>
          <w:szCs w:val="20"/>
        </w:rPr>
        <w:t>（</w:t>
      </w:r>
      <w:r>
        <w:rPr>
          <w:color w:val="000000"/>
          <w:spacing w:val="0"/>
          <w:w w:val="100"/>
          <w:position w:val="0"/>
          <w:sz w:val="20"/>
          <w:szCs w:val="20"/>
        </w:rPr>
        <w:t>除特别注明外，金额单位为人民币千元</w:t>
      </w:r>
      <w:r>
        <w:rPr>
          <w:color w:val="000000"/>
          <w:spacing w:val="0"/>
          <w:w w:val="100"/>
          <w:position w:val="0"/>
          <w:sz w:val="24"/>
          <w:szCs w:val="24"/>
        </w:rPr>
        <w:t>）</w:t>
      </w:r>
    </w:p>
    <w:p>
      <w:pPr>
        <w:pStyle w:val="Style32"/>
        <w:keepNext w:val="0"/>
        <w:keepLines w:val="0"/>
        <w:widowControl w:val="0"/>
        <w:shd w:val="clear" w:color="auto" w:fill="auto"/>
        <w:tabs>
          <w:tab w:pos="590" w:val="left"/>
        </w:tabs>
        <w:bidi w:val="0"/>
        <w:spacing w:before="0" w:after="260" w:line="240" w:lineRule="auto"/>
        <w:ind w:left="0" w:right="0" w:firstLine="0"/>
        <w:jc w:val="left"/>
        <w:rPr>
          <w:sz w:val="24"/>
          <w:szCs w:val="24"/>
        </w:rPr>
      </w:pPr>
      <w:r>
        <w:rPr>
          <w:b/>
          <w:bCs/>
          <w:color w:val="000000"/>
          <w:spacing w:val="0"/>
          <w:w w:val="100"/>
          <w:position w:val="0"/>
          <w:sz w:val="24"/>
          <w:szCs w:val="24"/>
        </w:rPr>
        <w:t>八</w:t>
        <w:tab/>
        <w:t>关联方关系及其交易</w:t>
      </w:r>
      <w:r>
        <w:rPr>
          <w:rFonts w:ascii="Times New Roman" w:eastAsia="Times New Roman" w:hAnsi="Times New Roman" w:cs="Times New Roman"/>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4"/>
          <w:szCs w:val="24"/>
        </w:rPr>
        <w:t>）</w:t>
      </w:r>
    </w:p>
    <w:p>
      <w:pPr>
        <w:pStyle w:val="Style32"/>
        <w:keepNext w:val="0"/>
        <w:keepLines w:val="0"/>
        <w:widowControl w:val="0"/>
        <w:shd w:val="clear" w:color="auto" w:fill="auto"/>
        <w:tabs>
          <w:tab w:pos="590" w:val="left"/>
        </w:tabs>
        <w:bidi w:val="0"/>
        <w:spacing w:before="0" w:after="26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（5）</w:t>
        <w:tab/>
      </w:r>
      <w:r>
        <w:rPr>
          <w:b/>
          <w:bCs/>
          <w:color w:val="000000"/>
          <w:spacing w:val="0"/>
          <w:w w:val="100"/>
          <w:position w:val="0"/>
          <w:sz w:val="24"/>
          <w:szCs w:val="24"/>
        </w:rPr>
        <w:t>其他关联方情况</w:t>
      </w:r>
      <w:r>
        <w:rPr>
          <w:rFonts w:ascii="Times New Roman" w:eastAsia="Times New Roman" w:hAnsi="Times New Roman" w:cs="Times New Roman"/>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4"/>
          <w:szCs w:val="24"/>
        </w:rPr>
        <w:t>）</w:t>
      </w:r>
    </w:p>
    <w:p>
      <w:pPr>
        <w:pStyle w:val="Style113"/>
        <w:keepNext w:val="0"/>
        <w:keepLines w:val="0"/>
        <w:widowControl w:val="0"/>
        <w:shd w:val="clear" w:color="auto" w:fill="auto"/>
        <w:bidi w:val="0"/>
        <w:spacing w:before="0" w:after="340" w:line="285" w:lineRule="exact"/>
        <w:ind w:left="0" w:right="0" w:firstLine="660"/>
        <w:jc w:val="left"/>
      </w:pPr>
      <w:r>
        <w:rPr>
          <w:color w:val="000000"/>
          <w:spacing w:val="0"/>
          <w:w w:val="100"/>
          <w:position w:val="0"/>
        </w:rPr>
        <w:t>关联方公司名称</w:t>
      </w:r>
    </w:p>
    <w:p>
      <w:pPr>
        <w:pStyle w:val="Style113"/>
        <w:keepNext w:val="0"/>
        <w:keepLines w:val="0"/>
        <w:widowControl w:val="0"/>
        <w:shd w:val="clear" w:color="auto" w:fill="auto"/>
        <w:bidi w:val="0"/>
        <w:spacing w:before="0" w:after="0" w:line="230" w:lineRule="exact"/>
        <w:ind w:left="0" w:right="0" w:firstLine="660"/>
        <w:jc w:val="left"/>
      </w:pPr>
      <w:r>
        <w:rPr>
          <w:color w:val="000000"/>
          <w:spacing w:val="0"/>
          <w:w w:val="100"/>
          <w:position w:val="0"/>
        </w:rPr>
        <w:t>江苏苏宁银河酒店管理有限公司</w:t>
      </w:r>
      <w:r>
        <w:rPr>
          <w:rFonts w:ascii="Times New Roman" w:eastAsia="Times New Roman" w:hAnsi="Times New Roman" w:cs="Times New Roman"/>
          <w:color w:val="000000"/>
          <w:spacing w:val="0"/>
          <w:w w:val="100"/>
          <w:position w:val="0"/>
        </w:rPr>
        <w:t>（“</w:t>
      </w:r>
      <w:r>
        <w:rPr>
          <w:color w:val="000000"/>
          <w:spacing w:val="0"/>
          <w:w w:val="100"/>
          <w:position w:val="0"/>
        </w:rPr>
        <w:t>银河酒店管理公司</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113"/>
        <w:keepNext w:val="0"/>
        <w:keepLines w:val="0"/>
        <w:widowControl w:val="0"/>
        <w:shd w:val="clear" w:color="auto" w:fill="auto"/>
        <w:bidi w:val="0"/>
        <w:spacing w:before="0" w:after="0" w:line="230" w:lineRule="exact"/>
        <w:ind w:left="840" w:right="0" w:hanging="180"/>
        <w:jc w:val="left"/>
      </w:pPr>
      <w:r>
        <w:rPr>
          <w:color w:val="000000"/>
          <w:spacing w:val="0"/>
          <w:w w:val="100"/>
          <w:position w:val="0"/>
        </w:rPr>
        <w:t>苏宁电器集团有限公司南京新街口苏宁诺富特酒店</w:t>
      </w:r>
      <w:r>
        <w:rPr>
          <w:rFonts w:ascii="Times New Roman" w:eastAsia="Times New Roman" w:hAnsi="Times New Roman" w:cs="Times New Roman"/>
          <w:color w:val="000000"/>
          <w:spacing w:val="0"/>
          <w:w w:val="100"/>
          <w:position w:val="0"/>
        </w:rPr>
        <w:t>（“</w:t>
      </w:r>
      <w:r>
        <w:rPr>
          <w:color w:val="000000"/>
          <w:spacing w:val="0"/>
          <w:w w:val="100"/>
          <w:position w:val="0"/>
        </w:rPr>
        <w:t>新街口诺富特酒 店</w:t>
      </w:r>
      <w:r>
        <w:rPr>
          <w:i/>
          <w:iCs/>
          <w:color w:val="000000"/>
          <w:spacing w:val="0"/>
          <w:w w:val="100"/>
          <w:position w:val="0"/>
        </w:rPr>
        <w:t>”）</w:t>
      </w:r>
    </w:p>
    <w:p>
      <w:pPr>
        <w:pStyle w:val="Style113"/>
        <w:keepNext w:val="0"/>
        <w:keepLines w:val="0"/>
        <w:widowControl w:val="0"/>
        <w:shd w:val="clear" w:color="auto" w:fill="auto"/>
        <w:bidi w:val="0"/>
        <w:spacing w:before="0" w:after="0" w:line="285" w:lineRule="exact"/>
        <w:ind w:left="0" w:right="0" w:firstLine="660"/>
        <w:jc w:val="left"/>
      </w:pPr>
      <w:r>
        <w:rPr>
          <w:color w:val="000000"/>
          <w:spacing w:val="0"/>
          <w:w w:val="100"/>
          <w:position w:val="0"/>
        </w:rPr>
        <w:t>长春苏宁置业有限公司</w:t>
      </w:r>
      <w:r>
        <w:rPr>
          <w:rFonts w:ascii="Times New Roman" w:eastAsia="Times New Roman" w:hAnsi="Times New Roman" w:cs="Times New Roman"/>
          <w:color w:val="000000"/>
          <w:spacing w:val="0"/>
          <w:w w:val="100"/>
          <w:position w:val="0"/>
        </w:rPr>
        <w:t>（“</w:t>
      </w:r>
      <w:r>
        <w:rPr>
          <w:color w:val="000000"/>
          <w:spacing w:val="0"/>
          <w:w w:val="100"/>
          <w:position w:val="0"/>
        </w:rPr>
        <w:t>长春苏宁置业</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113"/>
        <w:keepNext w:val="0"/>
        <w:keepLines w:val="0"/>
        <w:widowControl w:val="0"/>
        <w:shd w:val="clear" w:color="auto" w:fill="auto"/>
        <w:bidi w:val="0"/>
        <w:spacing w:before="0" w:after="0" w:line="285" w:lineRule="exact"/>
        <w:ind w:left="0" w:right="0" w:firstLine="660"/>
        <w:jc w:val="left"/>
      </w:pPr>
      <w:r>
        <w:rPr>
          <w:color w:val="000000"/>
          <w:spacing w:val="0"/>
          <w:w w:val="100"/>
          <w:position w:val="0"/>
        </w:rPr>
        <w:t>上海通视铭泰数码科技有限公司</w:t>
      </w:r>
      <w:r>
        <w:rPr>
          <w:rFonts w:ascii="Times New Roman" w:eastAsia="Times New Roman" w:hAnsi="Times New Roman" w:cs="Times New Roman"/>
          <w:color w:val="000000"/>
          <w:spacing w:val="0"/>
          <w:w w:val="100"/>
          <w:position w:val="0"/>
        </w:rPr>
        <w:t>（“</w:t>
      </w:r>
      <w:r>
        <w:rPr>
          <w:color w:val="000000"/>
          <w:spacing w:val="0"/>
          <w:w w:val="100"/>
          <w:position w:val="0"/>
        </w:rPr>
        <w:t>上海通视铭泰</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113"/>
        <w:keepNext w:val="0"/>
        <w:keepLines w:val="0"/>
        <w:widowControl w:val="0"/>
        <w:shd w:val="clear" w:color="auto" w:fill="auto"/>
        <w:bidi w:val="0"/>
        <w:spacing w:before="0" w:after="0" w:line="285" w:lineRule="exact"/>
        <w:ind w:left="0" w:right="0" w:firstLine="660"/>
        <w:jc w:val="left"/>
      </w:pPr>
      <w:r>
        <w:rPr>
          <w:color w:val="000000"/>
          <w:spacing w:val="0"/>
          <w:w w:val="100"/>
          <w:position w:val="0"/>
        </w:rPr>
        <w:t>鞍山苏宁影城有限公司</w:t>
      </w:r>
      <w:r>
        <w:rPr>
          <w:rFonts w:ascii="Times New Roman" w:eastAsia="Times New Roman" w:hAnsi="Times New Roman" w:cs="Times New Roman"/>
          <w:color w:val="000000"/>
          <w:spacing w:val="0"/>
          <w:w w:val="100"/>
          <w:position w:val="0"/>
        </w:rPr>
        <w:t>（“</w:t>
      </w:r>
      <w:r>
        <w:rPr>
          <w:color w:val="000000"/>
          <w:spacing w:val="0"/>
          <w:w w:val="100"/>
          <w:position w:val="0"/>
        </w:rPr>
        <w:t>鞍山苏宁影城</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113"/>
        <w:keepNext w:val="0"/>
        <w:keepLines w:val="0"/>
        <w:widowControl w:val="0"/>
        <w:shd w:val="clear" w:color="auto" w:fill="auto"/>
        <w:bidi w:val="0"/>
        <w:spacing w:before="0" w:after="0" w:line="285" w:lineRule="exact"/>
        <w:ind w:left="0" w:right="0" w:firstLine="660"/>
        <w:jc w:val="left"/>
      </w:pPr>
      <w:r>
        <w:rPr>
          <w:color w:val="000000"/>
          <w:spacing w:val="0"/>
          <w:w w:val="100"/>
          <w:position w:val="0"/>
        </w:rPr>
        <w:t>包头市苏宁影城有限公司</w:t>
      </w:r>
      <w:r>
        <w:rPr>
          <w:rFonts w:ascii="Times New Roman" w:eastAsia="Times New Roman" w:hAnsi="Times New Roman" w:cs="Times New Roman"/>
          <w:color w:val="000000"/>
          <w:spacing w:val="0"/>
          <w:w w:val="100"/>
          <w:position w:val="0"/>
        </w:rPr>
        <w:t>（“</w:t>
      </w:r>
      <w:r>
        <w:rPr>
          <w:color w:val="000000"/>
          <w:spacing w:val="0"/>
          <w:w w:val="100"/>
          <w:position w:val="0"/>
        </w:rPr>
        <w:t>包头市苏宁影城</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113"/>
        <w:keepNext w:val="0"/>
        <w:keepLines w:val="0"/>
        <w:widowControl w:val="0"/>
        <w:shd w:val="clear" w:color="auto" w:fill="auto"/>
        <w:bidi w:val="0"/>
        <w:spacing w:before="0" w:after="0" w:line="285" w:lineRule="exact"/>
        <w:ind w:left="0" w:right="0" w:firstLine="660"/>
        <w:jc w:val="both"/>
      </w:pPr>
      <w:r>
        <w:rPr>
          <w:color w:val="000000"/>
          <w:spacing w:val="0"/>
          <w:w w:val="100"/>
          <w:position w:val="0"/>
        </w:rPr>
        <w:t>济宁苏宁影城有限公司</w:t>
      </w:r>
      <w:r>
        <w:rPr>
          <w:rFonts w:ascii="Times New Roman" w:eastAsia="Times New Roman" w:hAnsi="Times New Roman" w:cs="Times New Roman"/>
          <w:color w:val="000000"/>
          <w:spacing w:val="0"/>
          <w:w w:val="100"/>
          <w:position w:val="0"/>
        </w:rPr>
        <w:t>（“</w:t>
      </w:r>
      <w:r>
        <w:rPr>
          <w:color w:val="000000"/>
          <w:spacing w:val="0"/>
          <w:w w:val="100"/>
          <w:position w:val="0"/>
        </w:rPr>
        <w:t>济宁苏宁影城</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113"/>
        <w:keepNext w:val="0"/>
        <w:keepLines w:val="0"/>
        <w:widowControl w:val="0"/>
        <w:shd w:val="clear" w:color="auto" w:fill="auto"/>
        <w:bidi w:val="0"/>
        <w:spacing w:before="0" w:after="0" w:line="285" w:lineRule="exact"/>
        <w:ind w:left="660" w:right="0" w:firstLine="0"/>
        <w:jc w:val="both"/>
      </w:pPr>
      <w:r>
        <w:rPr>
          <w:color w:val="000000"/>
          <w:spacing w:val="0"/>
          <w:w w:val="100"/>
          <w:position w:val="0"/>
        </w:rPr>
        <w:t>江苏苏宁足球俱乐部有限公司</w:t>
      </w:r>
      <w:r>
        <w:rPr>
          <w:rFonts w:ascii="Times New Roman" w:eastAsia="Times New Roman" w:hAnsi="Times New Roman" w:cs="Times New Roman"/>
          <w:color w:val="000000"/>
          <w:spacing w:val="0"/>
          <w:w w:val="100"/>
          <w:position w:val="0"/>
        </w:rPr>
        <w:t>（“</w:t>
      </w:r>
      <w:r>
        <w:rPr>
          <w:color w:val="000000"/>
          <w:spacing w:val="0"/>
          <w:w w:val="100"/>
          <w:position w:val="0"/>
        </w:rPr>
        <w:t>江苏苏宁足球俱乐部</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南京鼎辰建筑设计有限责任公司</w:t>
      </w:r>
      <w:r>
        <w:rPr>
          <w:rFonts w:ascii="Times New Roman" w:eastAsia="Times New Roman" w:hAnsi="Times New Roman" w:cs="Times New Roman"/>
          <w:color w:val="000000"/>
          <w:spacing w:val="0"/>
          <w:w w:val="100"/>
          <w:position w:val="0"/>
        </w:rPr>
        <w:t>（“</w:t>
      </w:r>
      <w:r>
        <w:rPr>
          <w:color w:val="000000"/>
          <w:spacing w:val="0"/>
          <w:w w:val="100"/>
          <w:position w:val="0"/>
        </w:rPr>
        <w:t>南京鼎辰建筑设计</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日照苏宁影城有限公司</w:t>
      </w:r>
      <w:r>
        <w:rPr>
          <w:rFonts w:ascii="Times New Roman" w:eastAsia="Times New Roman" w:hAnsi="Times New Roman" w:cs="Times New Roman"/>
          <w:color w:val="000000"/>
          <w:spacing w:val="0"/>
          <w:w w:val="100"/>
          <w:position w:val="0"/>
        </w:rPr>
        <w:t>（“</w:t>
      </w:r>
      <w:r>
        <w:rPr>
          <w:color w:val="000000"/>
          <w:spacing w:val="0"/>
          <w:w w:val="100"/>
          <w:position w:val="0"/>
        </w:rPr>
        <w:t>日照苏宁影城</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上海骋娱传媒技术有限公司</w:t>
      </w:r>
      <w:r>
        <w:rPr>
          <w:rFonts w:ascii="Times New Roman" w:eastAsia="Times New Roman" w:hAnsi="Times New Roman" w:cs="Times New Roman"/>
          <w:color w:val="000000"/>
          <w:spacing w:val="0"/>
          <w:w w:val="100"/>
          <w:position w:val="0"/>
        </w:rPr>
        <w:t>（“</w:t>
      </w:r>
      <w:r>
        <w:rPr>
          <w:color w:val="000000"/>
          <w:spacing w:val="0"/>
          <w:w w:val="100"/>
          <w:position w:val="0"/>
        </w:rPr>
        <w:t>上海骋娱</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上海聚力传媒技术有限公司</w:t>
      </w:r>
      <w:r>
        <w:rPr>
          <w:rFonts w:ascii="Times New Roman" w:eastAsia="Times New Roman" w:hAnsi="Times New Roman" w:cs="Times New Roman"/>
          <w:color w:val="000000"/>
          <w:spacing w:val="0"/>
          <w:w w:val="100"/>
          <w:position w:val="0"/>
        </w:rPr>
        <w:t>（“</w:t>
      </w:r>
      <w:r>
        <w:rPr>
          <w:color w:val="000000"/>
          <w:spacing w:val="0"/>
          <w:w w:val="100"/>
          <w:position w:val="0"/>
        </w:rPr>
        <w:t>上海聚力</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上海苏宁影城有限公司</w:t>
      </w:r>
      <w:r>
        <w:rPr>
          <w:rFonts w:ascii="Times New Roman" w:eastAsia="Times New Roman" w:hAnsi="Times New Roman" w:cs="Times New Roman"/>
          <w:color w:val="000000"/>
          <w:spacing w:val="0"/>
          <w:w w:val="100"/>
          <w:position w:val="0"/>
        </w:rPr>
        <w:t>（“</w:t>
      </w:r>
      <w:r>
        <w:rPr>
          <w:color w:val="000000"/>
          <w:spacing w:val="0"/>
          <w:w w:val="100"/>
          <w:position w:val="0"/>
        </w:rPr>
        <w:t>上海苏宁影城</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苏宁控股集团</w:t>
      </w:r>
    </w:p>
    <w:p>
      <w:pPr>
        <w:pStyle w:val="Style113"/>
        <w:keepNext w:val="0"/>
        <w:keepLines w:val="0"/>
        <w:widowControl w:val="0"/>
        <w:shd w:val="clear" w:color="auto" w:fill="auto"/>
        <w:bidi w:val="0"/>
        <w:spacing w:before="0" w:after="0" w:line="285" w:lineRule="exact"/>
        <w:ind w:left="0" w:right="0" w:firstLine="660"/>
        <w:jc w:val="left"/>
      </w:pPr>
      <w:r>
        <w:rPr>
          <w:color w:val="000000"/>
          <w:spacing w:val="0"/>
          <w:w w:val="100"/>
          <w:position w:val="0"/>
        </w:rPr>
        <w:t>苏宁润东股权投资管理管理有限</w:t>
      </w:r>
      <w:r>
        <w:rPr>
          <w:rFonts w:ascii="Times New Roman" w:eastAsia="Times New Roman" w:hAnsi="Times New Roman" w:cs="Times New Roman"/>
          <w:color w:val="000000"/>
          <w:spacing w:val="0"/>
          <w:w w:val="100"/>
          <w:position w:val="0"/>
        </w:rPr>
        <w:t>（“</w:t>
      </w:r>
      <w:r>
        <w:rPr>
          <w:color w:val="000000"/>
          <w:spacing w:val="0"/>
          <w:w w:val="100"/>
          <w:position w:val="0"/>
        </w:rPr>
        <w:t>苏宁润东</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113"/>
        <w:keepNext w:val="0"/>
        <w:keepLines w:val="0"/>
        <w:widowControl w:val="0"/>
        <w:shd w:val="clear" w:color="auto" w:fill="auto"/>
        <w:bidi w:val="0"/>
        <w:spacing w:before="0" w:after="0" w:line="285" w:lineRule="exact"/>
        <w:ind w:left="0" w:right="0" w:firstLine="660"/>
        <w:jc w:val="left"/>
      </w:pPr>
      <w:r>
        <w:rPr>
          <w:color w:val="000000"/>
          <w:spacing w:val="0"/>
          <w:w w:val="100"/>
          <w:position w:val="0"/>
        </w:rPr>
        <w:t>苏宁消费金融有限公司</w:t>
      </w:r>
      <w:r>
        <w:rPr>
          <w:rFonts w:ascii="Times New Roman" w:eastAsia="Times New Roman" w:hAnsi="Times New Roman" w:cs="Times New Roman"/>
          <w:color w:val="000000"/>
          <w:spacing w:val="0"/>
          <w:w w:val="100"/>
          <w:position w:val="0"/>
        </w:rPr>
        <w:t>（“</w:t>
      </w:r>
      <w:r>
        <w:rPr>
          <w:color w:val="000000"/>
          <w:spacing w:val="0"/>
          <w:w w:val="100"/>
          <w:position w:val="0"/>
        </w:rPr>
        <w:t>苏宁消费金融</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113"/>
        <w:keepNext w:val="0"/>
        <w:keepLines w:val="0"/>
        <w:widowControl w:val="0"/>
        <w:shd w:val="clear" w:color="auto" w:fill="auto"/>
        <w:bidi w:val="0"/>
        <w:spacing w:before="0" w:after="0" w:line="285" w:lineRule="exact"/>
        <w:ind w:left="0" w:right="0" w:firstLine="660"/>
        <w:jc w:val="left"/>
      </w:pPr>
      <w:r>
        <w:rPr>
          <w:color w:val="000000"/>
          <w:spacing w:val="0"/>
          <w:w w:val="100"/>
          <w:position w:val="0"/>
        </w:rPr>
        <w:t>淘宝</w:t>
      </w:r>
      <w:r>
        <w:rPr>
          <w:rFonts w:ascii="Times New Roman" w:eastAsia="Times New Roman" w:hAnsi="Times New Roman" w:cs="Times New Roman"/>
          <w:color w:val="000000"/>
          <w:spacing w:val="0"/>
          <w:w w:val="100"/>
          <w:position w:val="0"/>
        </w:rPr>
        <w:t>（</w:t>
      </w:r>
      <w:r>
        <w:rPr>
          <w:color w:val="000000"/>
          <w:spacing w:val="0"/>
          <w:w w:val="100"/>
          <w:position w:val="0"/>
        </w:rPr>
        <w:t>中国</w:t>
      </w:r>
      <w:r>
        <w:rPr>
          <w:rFonts w:ascii="Times New Roman" w:eastAsia="Times New Roman" w:hAnsi="Times New Roman" w:cs="Times New Roman"/>
          <w:color w:val="000000"/>
          <w:spacing w:val="0"/>
          <w:w w:val="100"/>
          <w:position w:val="0"/>
        </w:rPr>
        <w:t>）</w:t>
      </w:r>
      <w:r>
        <w:rPr>
          <w:color w:val="000000"/>
          <w:spacing w:val="0"/>
          <w:w w:val="100"/>
          <w:position w:val="0"/>
        </w:rPr>
        <w:t>软件有限公司</w:t>
      </w:r>
      <w:r>
        <w:rPr>
          <w:rFonts w:ascii="Times New Roman" w:eastAsia="Times New Roman" w:hAnsi="Times New Roman" w:cs="Times New Roman"/>
          <w:color w:val="000000"/>
          <w:spacing w:val="0"/>
          <w:w w:val="100"/>
          <w:position w:val="0"/>
        </w:rPr>
        <w:t>（“</w:t>
      </w:r>
      <w:r>
        <w:rPr>
          <w:color w:val="000000"/>
          <w:spacing w:val="0"/>
          <w:w w:val="100"/>
          <w:position w:val="0"/>
        </w:rPr>
        <w:t>淘宝</w:t>
      </w:r>
      <w:r>
        <w:rPr>
          <w:rFonts w:ascii="Times New Roman" w:eastAsia="Times New Roman" w:hAnsi="Times New Roman" w:cs="Times New Roman"/>
          <w:color w:val="000000"/>
          <w:spacing w:val="0"/>
          <w:w w:val="100"/>
          <w:position w:val="0"/>
        </w:rPr>
        <w:t>（</w:t>
      </w:r>
      <w:r>
        <w:rPr>
          <w:color w:val="000000"/>
          <w:spacing w:val="0"/>
          <w:w w:val="100"/>
          <w:position w:val="0"/>
        </w:rPr>
        <w:t>中国</w:t>
      </w:r>
      <w:r>
        <w:rPr>
          <w:rFonts w:ascii="Times New Roman" w:eastAsia="Times New Roman" w:hAnsi="Times New Roman" w:cs="Times New Roman"/>
          <w:color w:val="000000"/>
          <w:spacing w:val="0"/>
          <w:w w:val="100"/>
          <w:position w:val="0"/>
        </w:rPr>
        <w:t>）</w:t>
      </w:r>
      <w:r>
        <w:rPr>
          <w:color w:val="000000"/>
          <w:spacing w:val="0"/>
          <w:w w:val="100"/>
          <w:position w:val="0"/>
        </w:rPr>
        <w:t>软件</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113"/>
        <w:keepNext w:val="0"/>
        <w:keepLines w:val="0"/>
        <w:widowControl w:val="0"/>
        <w:shd w:val="clear" w:color="auto" w:fill="auto"/>
        <w:bidi w:val="0"/>
        <w:spacing w:before="0" w:after="0" w:line="285" w:lineRule="exact"/>
        <w:ind w:left="0" w:right="0" w:firstLine="660"/>
        <w:jc w:val="left"/>
      </w:pPr>
      <w:r>
        <w:rPr>
          <w:color w:val="000000"/>
          <w:spacing w:val="0"/>
          <w:w w:val="100"/>
          <w:position w:val="0"/>
        </w:rPr>
        <w:t>天津聚力传媒技术有限公司</w:t>
      </w:r>
      <w:r>
        <w:rPr>
          <w:rFonts w:ascii="Times New Roman" w:eastAsia="Times New Roman" w:hAnsi="Times New Roman" w:cs="Times New Roman"/>
          <w:color w:val="000000"/>
          <w:spacing w:val="0"/>
          <w:w w:val="100"/>
          <w:position w:val="0"/>
        </w:rPr>
        <w:t>（“</w:t>
      </w:r>
      <w:r>
        <w:rPr>
          <w:color w:val="000000"/>
          <w:spacing w:val="0"/>
          <w:w w:val="100"/>
          <w:position w:val="0"/>
        </w:rPr>
        <w:t>天津聚力</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113"/>
        <w:keepNext w:val="0"/>
        <w:keepLines w:val="0"/>
        <w:widowControl w:val="0"/>
        <w:shd w:val="clear" w:color="auto" w:fill="auto"/>
        <w:bidi w:val="0"/>
        <w:spacing w:before="0" w:after="0" w:line="285" w:lineRule="exact"/>
        <w:ind w:left="0" w:right="0" w:firstLine="660"/>
        <w:jc w:val="left"/>
      </w:pPr>
      <w:r>
        <w:rPr>
          <w:color w:val="000000"/>
          <w:spacing w:val="0"/>
          <w:w w:val="100"/>
          <w:position w:val="0"/>
        </w:rPr>
        <w:t>突触计算机系统</w:t>
      </w:r>
      <w:r>
        <w:rPr>
          <w:rFonts w:ascii="Times New Roman" w:eastAsia="Times New Roman" w:hAnsi="Times New Roman" w:cs="Times New Roman"/>
          <w:color w:val="000000"/>
          <w:spacing w:val="0"/>
          <w:w w:val="100"/>
          <w:position w:val="0"/>
        </w:rPr>
        <w:t>（</w:t>
      </w:r>
      <w:r>
        <w:rPr>
          <w:color w:val="000000"/>
          <w:spacing w:val="0"/>
          <w:w w:val="100"/>
          <w:position w:val="0"/>
        </w:rPr>
        <w:t>上海</w:t>
      </w:r>
      <w:r>
        <w:rPr>
          <w:rFonts w:ascii="Times New Roman" w:eastAsia="Times New Roman" w:hAnsi="Times New Roman" w:cs="Times New Roman"/>
          <w:color w:val="000000"/>
          <w:spacing w:val="0"/>
          <w:w w:val="100"/>
          <w:position w:val="0"/>
        </w:rPr>
        <w:t>）</w:t>
      </w:r>
      <w:r>
        <w:rPr>
          <w:color w:val="000000"/>
          <w:spacing w:val="0"/>
          <w:w w:val="100"/>
          <w:position w:val="0"/>
        </w:rPr>
        <w:t>有限公司</w:t>
      </w:r>
      <w:r>
        <w:rPr>
          <w:rFonts w:ascii="Times New Roman" w:eastAsia="Times New Roman" w:hAnsi="Times New Roman" w:cs="Times New Roman"/>
          <w:color w:val="000000"/>
          <w:spacing w:val="0"/>
          <w:w w:val="100"/>
          <w:position w:val="0"/>
        </w:rPr>
        <w:t>（“</w:t>
      </w:r>
      <w:r>
        <w:rPr>
          <w:color w:val="000000"/>
          <w:spacing w:val="0"/>
          <w:w w:val="100"/>
          <w:position w:val="0"/>
        </w:rPr>
        <w:t>突触计算机系统</w:t>
      </w:r>
      <w:r>
        <w:rPr>
          <w:rFonts w:ascii="Times New Roman" w:eastAsia="Times New Roman" w:hAnsi="Times New Roman" w:cs="Times New Roman"/>
          <w:color w:val="000000"/>
          <w:spacing w:val="0"/>
          <w:w w:val="100"/>
          <w:position w:val="0"/>
        </w:rPr>
        <w:t>（</w:t>
      </w:r>
      <w:r>
        <w:rPr>
          <w:color w:val="000000"/>
          <w:spacing w:val="0"/>
          <w:w w:val="100"/>
          <w:position w:val="0"/>
        </w:rPr>
        <w:t>上海</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113"/>
        <w:keepNext w:val="0"/>
        <w:keepLines w:val="0"/>
        <w:widowControl w:val="0"/>
        <w:shd w:val="clear" w:color="auto" w:fill="auto"/>
        <w:bidi w:val="0"/>
        <w:spacing w:before="0" w:after="0" w:line="285" w:lineRule="exact"/>
        <w:ind w:left="0" w:right="0" w:firstLine="660"/>
        <w:jc w:val="left"/>
      </w:pPr>
      <w:r>
        <w:rPr>
          <w:color w:val="000000"/>
          <w:spacing w:val="0"/>
          <w:w w:val="100"/>
          <w:position w:val="0"/>
        </w:rPr>
        <w:t>无锡苏宁置业有限公司苏宁大酒店</w:t>
      </w:r>
      <w:r>
        <w:rPr>
          <w:rFonts w:ascii="Times New Roman" w:eastAsia="Times New Roman" w:hAnsi="Times New Roman" w:cs="Times New Roman"/>
          <w:color w:val="000000"/>
          <w:spacing w:val="0"/>
          <w:w w:val="100"/>
          <w:position w:val="0"/>
        </w:rPr>
        <w:t>（“</w:t>
      </w:r>
      <w:r>
        <w:rPr>
          <w:color w:val="000000"/>
          <w:spacing w:val="0"/>
          <w:w w:val="100"/>
          <w:position w:val="0"/>
        </w:rPr>
        <w:t>无锡苏宁置业苏宁大酒店</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113"/>
        <w:keepNext w:val="0"/>
        <w:keepLines w:val="0"/>
        <w:widowControl w:val="0"/>
        <w:shd w:val="clear" w:color="auto" w:fill="auto"/>
        <w:bidi w:val="0"/>
        <w:spacing w:before="0" w:after="0" w:line="285" w:lineRule="exact"/>
        <w:ind w:left="0" w:right="0" w:firstLine="660"/>
        <w:jc w:val="left"/>
      </w:pPr>
      <w:r>
        <w:rPr>
          <w:color w:val="000000"/>
          <w:spacing w:val="0"/>
          <w:w w:val="100"/>
          <w:position w:val="0"/>
        </w:rPr>
        <w:t>徐州苏宁影城有限公司</w:t>
      </w:r>
      <w:r>
        <w:rPr>
          <w:rFonts w:ascii="Times New Roman" w:eastAsia="Times New Roman" w:hAnsi="Times New Roman" w:cs="Times New Roman"/>
          <w:color w:val="000000"/>
          <w:spacing w:val="0"/>
          <w:w w:val="100"/>
          <w:position w:val="0"/>
        </w:rPr>
        <w:t>（“</w:t>
      </w:r>
      <w:r>
        <w:rPr>
          <w:color w:val="000000"/>
          <w:spacing w:val="0"/>
          <w:w w:val="100"/>
          <w:position w:val="0"/>
        </w:rPr>
        <w:t>徐州苏宁影城</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113"/>
        <w:keepNext w:val="0"/>
        <w:keepLines w:val="0"/>
        <w:widowControl w:val="0"/>
        <w:shd w:val="clear" w:color="auto" w:fill="auto"/>
        <w:bidi w:val="0"/>
        <w:spacing w:before="0" w:after="0" w:line="285" w:lineRule="exact"/>
        <w:ind w:left="0" w:right="0" w:firstLine="660"/>
        <w:jc w:val="left"/>
      </w:pPr>
      <w:r>
        <w:rPr>
          <w:color w:val="000000"/>
          <w:spacing w:val="0"/>
          <w:w w:val="100"/>
          <w:position w:val="0"/>
        </w:rPr>
        <w:t>镇江苏宁影城有限公司</w:t>
      </w:r>
      <w:r>
        <w:rPr>
          <w:rFonts w:ascii="Times New Roman" w:eastAsia="Times New Roman" w:hAnsi="Times New Roman" w:cs="Times New Roman"/>
          <w:color w:val="000000"/>
          <w:spacing w:val="0"/>
          <w:w w:val="100"/>
          <w:position w:val="0"/>
        </w:rPr>
        <w:t>（“</w:t>
      </w:r>
      <w:r>
        <w:rPr>
          <w:color w:val="000000"/>
          <w:spacing w:val="0"/>
          <w:w w:val="100"/>
          <w:position w:val="0"/>
        </w:rPr>
        <w:t>镇江苏宁影城</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113"/>
        <w:keepNext w:val="0"/>
        <w:keepLines w:val="0"/>
        <w:widowControl w:val="0"/>
        <w:shd w:val="clear" w:color="auto" w:fill="auto"/>
        <w:bidi w:val="0"/>
        <w:spacing w:before="0" w:after="0" w:line="285" w:lineRule="exact"/>
        <w:ind w:left="0" w:right="0" w:firstLine="660"/>
        <w:jc w:val="left"/>
      </w:pPr>
      <w:r>
        <w:rPr>
          <w:color w:val="000000"/>
          <w:spacing w:val="0"/>
          <w:w w:val="100"/>
          <w:position w:val="0"/>
        </w:rPr>
        <w:t>苏宁金控投资有限公司</w:t>
      </w:r>
      <w:r>
        <w:rPr>
          <w:rFonts w:ascii="Times New Roman" w:eastAsia="Times New Roman" w:hAnsi="Times New Roman" w:cs="Times New Roman"/>
          <w:color w:val="000000"/>
          <w:spacing w:val="0"/>
          <w:w w:val="100"/>
          <w:position w:val="0"/>
        </w:rPr>
        <w:t>（“</w:t>
      </w:r>
      <w:r>
        <w:rPr>
          <w:color w:val="000000"/>
          <w:spacing w:val="0"/>
          <w:w w:val="100"/>
          <w:position w:val="0"/>
        </w:rPr>
        <w:t>苏宁金控投资</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113"/>
        <w:keepNext w:val="0"/>
        <w:keepLines w:val="0"/>
        <w:widowControl w:val="0"/>
        <w:shd w:val="clear" w:color="auto" w:fill="auto"/>
        <w:bidi w:val="0"/>
        <w:spacing w:before="0" w:after="0" w:line="285" w:lineRule="exact"/>
        <w:ind w:left="0" w:right="0" w:firstLine="660"/>
        <w:jc w:val="left"/>
      </w:pPr>
      <w:r>
        <w:rPr>
          <w:color w:val="000000"/>
          <w:spacing w:val="0"/>
          <w:w w:val="100"/>
          <w:position w:val="0"/>
        </w:rPr>
        <w:t>南京润煜企业管理咨询中心</w:t>
      </w:r>
      <w:r>
        <w:rPr>
          <w:rFonts w:ascii="Times New Roman" w:eastAsia="Times New Roman" w:hAnsi="Times New Roman" w:cs="Times New Roman"/>
          <w:color w:val="000000"/>
          <w:spacing w:val="0"/>
          <w:w w:val="100"/>
          <w:position w:val="0"/>
        </w:rPr>
        <w:t>（</w:t>
      </w:r>
      <w:r>
        <w:rPr>
          <w:color w:val="000000"/>
          <w:spacing w:val="0"/>
          <w:w w:val="100"/>
          <w:position w:val="0"/>
        </w:rPr>
        <w:t>有限合伙</w:t>
      </w:r>
      <w:r>
        <w:rPr>
          <w:rFonts w:ascii="Times New Roman" w:eastAsia="Times New Roman" w:hAnsi="Times New Roman" w:cs="Times New Roman"/>
          <w:color w:val="000000"/>
          <w:spacing w:val="0"/>
          <w:w w:val="100"/>
          <w:position w:val="0"/>
        </w:rPr>
        <w:t>）（"</w:t>
      </w:r>
      <w:r>
        <w:rPr>
          <w:color w:val="000000"/>
          <w:spacing w:val="0"/>
          <w:w w:val="100"/>
          <w:position w:val="0"/>
        </w:rPr>
        <w:t>南京润煜</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113"/>
        <w:keepNext w:val="0"/>
        <w:keepLines w:val="0"/>
        <w:widowControl w:val="0"/>
        <w:shd w:val="clear" w:color="auto" w:fill="auto"/>
        <w:bidi w:val="0"/>
        <w:spacing w:before="0" w:after="160" w:line="285" w:lineRule="exact"/>
        <w:ind w:left="0" w:right="0" w:firstLine="660"/>
        <w:jc w:val="both"/>
      </w:pPr>
      <w:r>
        <w:rPr>
          <w:color w:val="000000"/>
          <w:spacing w:val="0"/>
          <w:w w:val="100"/>
          <w:position w:val="0"/>
        </w:rPr>
        <w:t>苏宁文化管理投资有限公司</w:t>
      </w:r>
      <w:r>
        <w:rPr>
          <w:rFonts w:ascii="Times New Roman" w:eastAsia="Times New Roman" w:hAnsi="Times New Roman" w:cs="Times New Roman"/>
          <w:color w:val="000000"/>
          <w:spacing w:val="0"/>
          <w:w w:val="100"/>
          <w:position w:val="0"/>
        </w:rPr>
        <w:t>（“</w:t>
      </w:r>
      <w:r>
        <w:rPr>
          <w:color w:val="000000"/>
          <w:spacing w:val="0"/>
          <w:w w:val="100"/>
          <w:position w:val="0"/>
        </w:rPr>
        <w:t>苏宁文化</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113"/>
        <w:keepNext w:val="0"/>
        <w:keepLines w:val="0"/>
        <w:widowControl w:val="0"/>
        <w:shd w:val="clear" w:color="auto" w:fill="auto"/>
        <w:bidi w:val="0"/>
        <w:spacing w:before="0" w:after="0" w:line="285" w:lineRule="exact"/>
        <w:ind w:left="0" w:right="0" w:firstLine="660"/>
        <w:jc w:val="left"/>
      </w:pPr>
      <w:r>
        <mc:AlternateContent>
          <mc:Choice Requires="wps">
            <w:drawing>
              <wp:anchor distT="0" distB="0" distL="114300" distR="114300" simplePos="0" relativeHeight="125829468" behindDoc="0" locked="0" layoutInCell="1" allowOverlap="1">
                <wp:simplePos x="0" y="0"/>
                <wp:positionH relativeFrom="page">
                  <wp:posOffset>5113020</wp:posOffset>
                </wp:positionH>
                <wp:positionV relativeFrom="margin">
                  <wp:posOffset>1443990</wp:posOffset>
                </wp:positionV>
                <wp:extent cx="1804670" cy="5303520"/>
                <wp:wrapSquare wrapText="bothSides"/>
                <wp:docPr id="492" name="Shape 492"/>
                <a:graphic xmlns:a="http://schemas.openxmlformats.org/drawingml/2006/main">
                  <a:graphicData uri="http://schemas.microsoft.com/office/word/2010/wordprocessingShape">
                    <wps:wsp>
                      <wps:cNvSpPr txBox="1"/>
                      <wps:spPr>
                        <a:xfrm>
                          <a:ext cx="1804670" cy="5303520"/>
                        </a:xfrm>
                        <a:prstGeom prst="rect"/>
                        <a:noFill/>
                      </wps:spPr>
                      <wps:txbx>
                        <w:txbxContent>
                          <w:p>
                            <w:pPr>
                              <w:pStyle w:val="Style113"/>
                              <w:keepNext w:val="0"/>
                              <w:keepLines w:val="0"/>
                              <w:widowControl w:val="0"/>
                              <w:shd w:val="clear" w:color="auto" w:fill="auto"/>
                              <w:bidi w:val="0"/>
                              <w:spacing w:before="0" w:after="280" w:line="281" w:lineRule="exact"/>
                              <w:ind w:left="0" w:right="0" w:firstLine="0"/>
                              <w:jc w:val="right"/>
                            </w:pPr>
                            <w:r>
                              <w:rPr>
                                <w:color w:val="000000"/>
                                <w:spacing w:val="0"/>
                                <w:w w:val="100"/>
                                <w:position w:val="0"/>
                              </w:rPr>
                              <w:t>与本集团的关系</w:t>
                            </w:r>
                          </w:p>
                          <w:p>
                            <w:pPr>
                              <w:pStyle w:val="Style113"/>
                              <w:keepNext w:val="0"/>
                              <w:keepLines w:val="0"/>
                              <w:widowControl w:val="0"/>
                              <w:shd w:val="clear" w:color="auto" w:fill="auto"/>
                              <w:bidi w:val="0"/>
                              <w:spacing w:before="0" w:after="180" w:line="281" w:lineRule="exact"/>
                              <w:ind w:left="1020" w:right="0" w:firstLine="0"/>
                              <w:jc w:val="both"/>
                            </w:pPr>
                            <w:r>
                              <w:rPr>
                                <w:color w:val="000000"/>
                                <w:spacing w:val="0"/>
                                <w:w w:val="100"/>
                                <w:position w:val="0"/>
                              </w:rPr>
                              <w:t>苏宁控股集团之子公司</w:t>
                            </w:r>
                          </w:p>
                          <w:p>
                            <w:pPr>
                              <w:pStyle w:val="Style113"/>
                              <w:keepNext w:val="0"/>
                              <w:keepLines w:val="0"/>
                              <w:widowControl w:val="0"/>
                              <w:shd w:val="clear" w:color="auto" w:fill="auto"/>
                              <w:bidi w:val="0"/>
                              <w:spacing w:before="0" w:after="240" w:line="281" w:lineRule="exact"/>
                              <w:ind w:left="0" w:right="0" w:firstLine="1020"/>
                              <w:jc w:val="both"/>
                            </w:pPr>
                            <w:r>
                              <w:rPr>
                                <w:color w:val="000000"/>
                                <w:spacing w:val="0"/>
                                <w:w w:val="100"/>
                                <w:position w:val="0"/>
                              </w:rPr>
                              <w:t>苏宁电器集团之子公司 苏宁置业集团子公司 苏宁控股集团之子公司 苏宁控股集团之子公司 苏宁控股集团子公司 苏宁控股集团之子公司 苏宁电器集团之子公司 苏宁置业集团之子公司 苏宁控股集团之子公司 苏宁控股集团之子公司 苏宁控股集团之子公司 苏宁控股集团之子公司 与本公司受同一实际控制人控制 苏宁控股集团之子公司 本公司董事兼任董事 持有本公司</w:t>
                            </w:r>
                            <w:r>
                              <w:rPr>
                                <w:rFonts w:ascii="Times New Roman" w:eastAsia="Times New Roman" w:hAnsi="Times New Roman" w:cs="Times New Roman"/>
                                <w:color w:val="000000"/>
                                <w:spacing w:val="0"/>
                                <w:w w:val="100"/>
                                <w:position w:val="0"/>
                              </w:rPr>
                              <w:t>5%</w:t>
                            </w:r>
                            <w:r>
                              <w:rPr>
                                <w:color w:val="000000"/>
                                <w:spacing w:val="0"/>
                                <w:w w:val="100"/>
                                <w:position w:val="0"/>
                              </w:rPr>
                              <w:t>以上股份法人股东 苏宁控股集团之子公司 苏宁控股集团子公司 苏宁置业集团之子公司 苏宁控股集团子公司 苏宁控股集团之子公司 苏宁控股集团之子公司 苏宁控股集团控制的有限合伙企业 苏宁控股集团之子公司 持有本公司</w:t>
                            </w:r>
                            <w:r>
                              <w:rPr>
                                <w:rFonts w:ascii="Times New Roman" w:eastAsia="Times New Roman" w:hAnsi="Times New Roman" w:cs="Times New Roman"/>
                                <w:color w:val="000000"/>
                                <w:spacing w:val="0"/>
                                <w:w w:val="100"/>
                                <w:position w:val="0"/>
                              </w:rPr>
                              <w:t>5%</w:t>
                            </w:r>
                            <w:r>
                              <w:rPr>
                                <w:color w:val="000000"/>
                                <w:spacing w:val="0"/>
                                <w:w w:val="100"/>
                                <w:position w:val="0"/>
                              </w:rPr>
                              <w:t>以上股份法人股东之 最终控股公司及其子公司</w:t>
                            </w:r>
                          </w:p>
                        </w:txbxContent>
                      </wps:txbx>
                      <wps:bodyPr lIns="0" tIns="0" rIns="0" bIns="0">
                        <a:noAutoFit/>
                      </wps:bodyPr>
                    </wps:wsp>
                  </a:graphicData>
                </a:graphic>
              </wp:anchor>
            </w:drawing>
          </mc:Choice>
          <mc:Fallback>
            <w:pict>
              <v:shape id="_x0000_s1518" type="#_x0000_t202" style="position:absolute;margin-left:402.60000000000002pt;margin-top:113.7pt;width:142.09999999999999pt;height:417.60000000000002pt;z-index:-125829285;mso-wrap-distance-left:9.pt;mso-wrap-distance-right:9.pt;mso-position-horizontal-relative:page;mso-position-vertical-relative:margin" filled="f" stroked="f">
                <v:textbox inset="0,0,0,0">
                  <w:txbxContent>
                    <w:p>
                      <w:pPr>
                        <w:pStyle w:val="Style113"/>
                        <w:keepNext w:val="0"/>
                        <w:keepLines w:val="0"/>
                        <w:widowControl w:val="0"/>
                        <w:shd w:val="clear" w:color="auto" w:fill="auto"/>
                        <w:bidi w:val="0"/>
                        <w:spacing w:before="0" w:after="280" w:line="281" w:lineRule="exact"/>
                        <w:ind w:left="0" w:right="0" w:firstLine="0"/>
                        <w:jc w:val="right"/>
                      </w:pPr>
                      <w:r>
                        <w:rPr>
                          <w:color w:val="000000"/>
                          <w:spacing w:val="0"/>
                          <w:w w:val="100"/>
                          <w:position w:val="0"/>
                        </w:rPr>
                        <w:t>与本集团的关系</w:t>
                      </w:r>
                    </w:p>
                    <w:p>
                      <w:pPr>
                        <w:pStyle w:val="Style113"/>
                        <w:keepNext w:val="0"/>
                        <w:keepLines w:val="0"/>
                        <w:widowControl w:val="0"/>
                        <w:shd w:val="clear" w:color="auto" w:fill="auto"/>
                        <w:bidi w:val="0"/>
                        <w:spacing w:before="0" w:after="180" w:line="281" w:lineRule="exact"/>
                        <w:ind w:left="1020" w:right="0" w:firstLine="0"/>
                        <w:jc w:val="both"/>
                      </w:pPr>
                      <w:r>
                        <w:rPr>
                          <w:color w:val="000000"/>
                          <w:spacing w:val="0"/>
                          <w:w w:val="100"/>
                          <w:position w:val="0"/>
                        </w:rPr>
                        <w:t>苏宁控股集团之子公司</w:t>
                      </w:r>
                    </w:p>
                    <w:p>
                      <w:pPr>
                        <w:pStyle w:val="Style113"/>
                        <w:keepNext w:val="0"/>
                        <w:keepLines w:val="0"/>
                        <w:widowControl w:val="0"/>
                        <w:shd w:val="clear" w:color="auto" w:fill="auto"/>
                        <w:bidi w:val="0"/>
                        <w:spacing w:before="0" w:after="240" w:line="281" w:lineRule="exact"/>
                        <w:ind w:left="0" w:right="0" w:firstLine="1020"/>
                        <w:jc w:val="both"/>
                      </w:pPr>
                      <w:r>
                        <w:rPr>
                          <w:color w:val="000000"/>
                          <w:spacing w:val="0"/>
                          <w:w w:val="100"/>
                          <w:position w:val="0"/>
                        </w:rPr>
                        <w:t>苏宁电器集团之子公司 苏宁置业集团子公司 苏宁控股集团之子公司 苏宁控股集团之子公司 苏宁控股集团子公司 苏宁控股集团之子公司 苏宁电器集团之子公司 苏宁置业集团之子公司 苏宁控股集团之子公司 苏宁控股集团之子公司 苏宁控股集团之子公司 苏宁控股集团之子公司 与本公司受同一实际控制人控制 苏宁控股集团之子公司 本公司董事兼任董事 持有本公司</w:t>
                      </w:r>
                      <w:r>
                        <w:rPr>
                          <w:rFonts w:ascii="Times New Roman" w:eastAsia="Times New Roman" w:hAnsi="Times New Roman" w:cs="Times New Roman"/>
                          <w:color w:val="000000"/>
                          <w:spacing w:val="0"/>
                          <w:w w:val="100"/>
                          <w:position w:val="0"/>
                        </w:rPr>
                        <w:t>5%</w:t>
                      </w:r>
                      <w:r>
                        <w:rPr>
                          <w:color w:val="000000"/>
                          <w:spacing w:val="0"/>
                          <w:w w:val="100"/>
                          <w:position w:val="0"/>
                        </w:rPr>
                        <w:t>以上股份法人股东 苏宁控股集团之子公司 苏宁控股集团子公司 苏宁置业集团之子公司 苏宁控股集团子公司 苏宁控股集团之子公司 苏宁控股集团之子公司 苏宁控股集团控制的有限合伙企业 苏宁控股集团之子公司 持有本公司</w:t>
                      </w:r>
                      <w:r>
                        <w:rPr>
                          <w:rFonts w:ascii="Times New Roman" w:eastAsia="Times New Roman" w:hAnsi="Times New Roman" w:cs="Times New Roman"/>
                          <w:color w:val="000000"/>
                          <w:spacing w:val="0"/>
                          <w:w w:val="100"/>
                          <w:position w:val="0"/>
                        </w:rPr>
                        <w:t>5%</w:t>
                      </w:r>
                      <w:r>
                        <w:rPr>
                          <w:color w:val="000000"/>
                          <w:spacing w:val="0"/>
                          <w:w w:val="100"/>
                          <w:position w:val="0"/>
                        </w:rPr>
                        <w:t>以上股份法人股东之 最终控股公司及其子公司</w:t>
                      </w:r>
                    </w:p>
                  </w:txbxContent>
                </v:textbox>
                <w10:wrap type="square" anchorx="page" anchory="margin"/>
              </v:shape>
            </w:pict>
          </mc:Fallback>
        </mc:AlternateContent>
      </w:r>
      <w:r>
        <w:rPr>
          <w:color w:val="000000"/>
          <w:spacing w:val="0"/>
          <w:w w:val="100"/>
          <w:position w:val="0"/>
        </w:rPr>
        <w:t>阿里巴巴集团</w:t>
      </w:r>
      <w:r>
        <w:br w:type="page"/>
      </w:r>
    </w:p>
    <w:p>
      <w:pPr>
        <w:pStyle w:val="Style32"/>
        <w:keepNext w:val="0"/>
        <w:keepLines w:val="0"/>
        <w:widowControl w:val="0"/>
        <w:shd w:val="clear" w:color="auto" w:fill="auto"/>
        <w:bidi w:val="0"/>
        <w:spacing w:before="0" w:after="0" w:line="288" w:lineRule="exact"/>
        <w:ind w:left="720" w:right="0" w:firstLine="40"/>
        <w:jc w:val="left"/>
        <w:rPr>
          <w:sz w:val="24"/>
          <w:szCs w:val="24"/>
        </w:rPr>
      </w:pPr>
      <w:r>
        <w:rPr>
          <w:b/>
          <w:bCs/>
          <w:color w:val="000000"/>
          <w:spacing w:val="0"/>
          <w:w w:val="100"/>
          <w:position w:val="0"/>
          <w:sz w:val="24"/>
          <w:szCs w:val="24"/>
        </w:rPr>
        <w:t xml:space="preserve">财务报表附注 </w:t>
      </w:r>
      <w:r>
        <w:rPr>
          <w:rFonts w:ascii="Arial" w:eastAsia="Arial" w:hAnsi="Arial" w:cs="Arial"/>
          <w:color w:val="000000"/>
          <w:spacing w:val="0"/>
          <w:w w:val="100"/>
          <w:position w:val="0"/>
          <w:sz w:val="24"/>
          <w:szCs w:val="24"/>
        </w:rPr>
        <w:t>2016</w:t>
      </w:r>
      <w:r>
        <w:rPr>
          <w:b/>
          <w:bCs/>
          <w:color w:val="000000"/>
          <w:spacing w:val="0"/>
          <w:w w:val="100"/>
          <w:position w:val="0"/>
          <w:sz w:val="24"/>
          <w:szCs w:val="24"/>
        </w:rPr>
        <w:t>年度</w:t>
      </w:r>
    </w:p>
    <w:p>
      <w:pPr>
        <w:pStyle w:val="Style32"/>
        <w:keepNext w:val="0"/>
        <w:keepLines w:val="0"/>
        <w:widowControl w:val="0"/>
        <w:shd w:val="clear" w:color="auto" w:fill="auto"/>
        <w:bidi w:val="0"/>
        <w:spacing w:before="0" w:after="240" w:line="240" w:lineRule="auto"/>
        <w:ind w:left="0" w:right="0" w:firstLine="720"/>
        <w:jc w:val="left"/>
        <w:rPr>
          <w:sz w:val="20"/>
          <w:szCs w:val="20"/>
        </w:rPr>
      </w:pPr>
      <w:r>
        <w:rPr>
          <w:rFonts w:ascii="Arial" w:eastAsia="Arial" w:hAnsi="Arial" w:cs="Arial"/>
          <w:color w:val="000000"/>
          <w:spacing w:val="0"/>
          <w:w w:val="100"/>
          <w:position w:val="0"/>
          <w:sz w:val="20"/>
          <w:szCs w:val="20"/>
        </w:rPr>
        <w:t>(</w:t>
      </w:r>
      <w:r>
        <w:rPr>
          <w:color w:val="000000"/>
          <w:spacing w:val="0"/>
          <w:w w:val="100"/>
          <w:position w:val="0"/>
          <w:sz w:val="20"/>
          <w:szCs w:val="20"/>
        </w:rPr>
        <w:t>除特别注明外，金额单位为人民币千元</w:t>
      </w:r>
      <w:r>
        <w:rPr>
          <w:rFonts w:ascii="Arial" w:eastAsia="Arial" w:hAnsi="Arial" w:cs="Arial"/>
          <w:color w:val="000000"/>
          <w:spacing w:val="0"/>
          <w:w w:val="100"/>
          <w:position w:val="0"/>
          <w:sz w:val="20"/>
          <w:szCs w:val="20"/>
        </w:rPr>
        <w:t>)</w:t>
      </w:r>
    </w:p>
    <w:p>
      <w:pPr>
        <w:pStyle w:val="Style32"/>
        <w:keepNext w:val="0"/>
        <w:keepLines w:val="0"/>
        <w:widowControl w:val="0"/>
        <w:shd w:val="clear" w:color="auto" w:fill="auto"/>
        <w:tabs>
          <w:tab w:pos="691" w:val="left"/>
        </w:tabs>
        <w:bidi w:val="0"/>
        <w:spacing w:before="0" w:after="240" w:line="240" w:lineRule="auto"/>
        <w:ind w:left="0" w:right="0" w:firstLine="0"/>
        <w:jc w:val="left"/>
        <w:rPr>
          <w:sz w:val="24"/>
          <w:szCs w:val="24"/>
        </w:rPr>
      </w:pPr>
      <w:r>
        <w:rPr>
          <w:b/>
          <w:bCs/>
          <w:color w:val="000000"/>
          <w:spacing w:val="0"/>
          <w:w w:val="100"/>
          <w:position w:val="0"/>
          <w:sz w:val="24"/>
          <w:szCs w:val="24"/>
        </w:rPr>
        <w:t>八</w:t>
        <w:tab/>
        <w:t>关联方关系及其交易</w:t>
      </w:r>
      <w:r>
        <w:rPr>
          <w:rFonts w:ascii="Times New Roman" w:eastAsia="Times New Roman" w:hAnsi="Times New Roman" w:cs="Times New Roman"/>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4"/>
          <w:szCs w:val="24"/>
        </w:rPr>
        <w:t>)</w:t>
      </w:r>
    </w:p>
    <w:p>
      <w:pPr>
        <w:pStyle w:val="Style32"/>
        <w:keepNext w:val="0"/>
        <w:keepLines w:val="0"/>
        <w:widowControl w:val="0"/>
        <w:shd w:val="clear" w:color="auto" w:fill="auto"/>
        <w:tabs>
          <w:tab w:pos="691" w:val="left"/>
        </w:tabs>
        <w:bidi w:val="0"/>
        <w:spacing w:before="0" w:after="24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(6)</w:t>
        <w:tab/>
      </w:r>
      <w:r>
        <w:rPr>
          <w:b/>
          <w:bCs/>
          <w:color w:val="000000"/>
          <w:spacing w:val="0"/>
          <w:w w:val="100"/>
          <w:position w:val="0"/>
          <w:sz w:val="24"/>
          <w:szCs w:val="24"/>
        </w:rPr>
        <w:t>关联交易</w:t>
      </w:r>
    </w:p>
    <w:p>
      <w:pPr>
        <w:pStyle w:val="Style32"/>
        <w:keepNext w:val="0"/>
        <w:keepLines w:val="0"/>
        <w:widowControl w:val="0"/>
        <w:shd w:val="clear" w:color="auto" w:fill="auto"/>
        <w:tabs>
          <w:tab w:pos="691" w:val="left"/>
        </w:tabs>
        <w:bidi w:val="0"/>
        <w:spacing w:before="0" w:after="30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(a)</w:t>
        <w:tab/>
      </w:r>
      <w:r>
        <w:rPr>
          <w:color w:val="000000"/>
          <w:spacing w:val="0"/>
          <w:w w:val="100"/>
          <w:position w:val="0"/>
          <w:sz w:val="24"/>
          <w:szCs w:val="24"/>
        </w:rPr>
        <w:t>销售商品和提供劳务</w:t>
      </w:r>
    </w:p>
    <w:p>
      <w:pPr>
        <w:pStyle w:val="Style32"/>
        <w:keepNext w:val="0"/>
        <w:keepLines w:val="0"/>
        <w:widowControl w:val="0"/>
        <w:shd w:val="clear" w:color="auto" w:fill="auto"/>
        <w:bidi w:val="0"/>
        <w:spacing w:before="0" w:after="300" w:line="240" w:lineRule="auto"/>
        <w:ind w:left="0" w:right="0" w:firstLine="720"/>
        <w:jc w:val="left"/>
        <w:rPr>
          <w:sz w:val="24"/>
          <w:szCs w:val="24"/>
        </w:rPr>
      </w:pPr>
      <w:r>
        <w:rPr>
          <w:color w:val="000000"/>
          <w:spacing w:val="0"/>
          <w:w w:val="100"/>
          <w:position w:val="0"/>
          <w:sz w:val="24"/>
          <w:szCs w:val="24"/>
        </w:rPr>
        <w:t>销售商品及提供售后服务</w:t>
      </w:r>
    </w:p>
    <w:tbl>
      <w:tblPr>
        <w:tblOverlap w:val="never"/>
        <w:jc w:val="right"/>
        <w:tblLayout w:type="fixed"/>
      </w:tblPr>
      <w:tblGrid>
        <w:gridCol w:w="1954"/>
        <w:gridCol w:w="1891"/>
        <w:gridCol w:w="1310"/>
        <w:gridCol w:w="1661"/>
        <w:gridCol w:w="1315"/>
      </w:tblGrid>
      <w:tr>
        <w:trPr>
          <w:trHeight w:val="638"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关联方</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关联交易内容</w:t>
            </w:r>
          </w:p>
        </w:tc>
        <w:tc>
          <w:tcPr>
            <w:tcBorders/>
            <w:shd w:val="clear" w:color="auto" w:fill="FFFFFF"/>
            <w:vAlign w:val="top"/>
          </w:tcPr>
          <w:p>
            <w:pPr>
              <w:pStyle w:val="Style28"/>
              <w:keepNext w:val="0"/>
              <w:keepLines w:val="0"/>
              <w:widowControl w:val="0"/>
              <w:shd w:val="clear" w:color="auto" w:fill="auto"/>
              <w:bidi w:val="0"/>
              <w:spacing w:before="0" w:after="0" w:line="274" w:lineRule="exact"/>
              <w:ind w:left="140" w:right="0" w:firstLine="0"/>
              <w:jc w:val="left"/>
              <w:rPr>
                <w:sz w:val="20"/>
                <w:szCs w:val="20"/>
              </w:rPr>
            </w:pPr>
            <w:r>
              <w:rPr>
                <w:color w:val="000000"/>
                <w:spacing w:val="0"/>
                <w:w w:val="100"/>
                <w:position w:val="0"/>
                <w:sz w:val="20"/>
                <w:szCs w:val="20"/>
              </w:rPr>
              <w:t>关联交易 定价政策</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both"/>
              <w:rPr>
                <w:sz w:val="20"/>
                <w:szCs w:val="20"/>
              </w:rPr>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年度</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2015</w:t>
            </w:r>
            <w:r>
              <w:rPr>
                <w:color w:val="000000"/>
                <w:spacing w:val="0"/>
                <w:w w:val="100"/>
                <w:position w:val="0"/>
                <w:sz w:val="20"/>
                <w:szCs w:val="20"/>
              </w:rPr>
              <w:t>年度</w:t>
            </w:r>
          </w:p>
        </w:tc>
      </w:tr>
      <w:tr>
        <w:trPr>
          <w:trHeight w:val="648"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江苏苏宁建材</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销售商品和提</w:t>
            </w:r>
          </w:p>
          <w:p>
            <w:pPr>
              <w:pStyle w:val="Style28"/>
              <w:keepNext w:val="0"/>
              <w:keepLines w:val="0"/>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20"/>
                <w:szCs w:val="20"/>
              </w:rPr>
              <w:t>供售后服务</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市场价格</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45,589</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12,611</w:t>
            </w:r>
          </w:p>
        </w:tc>
      </w:tr>
      <w:tr>
        <w:trPr>
          <w:trHeight w:val="518"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上海聚力</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销售商品和提</w:t>
            </w:r>
          </w:p>
          <w:p>
            <w:pPr>
              <w:pStyle w:val="Style28"/>
              <w:keepNext w:val="0"/>
              <w:keepLines w:val="0"/>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20"/>
                <w:szCs w:val="20"/>
              </w:rPr>
              <w:t>供售后服务</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市场价格</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10,266</w:t>
            </w:r>
          </w:p>
        </w:tc>
        <w:tc>
          <w:tcPr>
            <w:tcBorders/>
            <w:shd w:val="clear" w:color="auto" w:fill="FFFFFF"/>
            <w:vAlign w:val="top"/>
          </w:tcPr>
          <w:p>
            <w:pPr>
              <w:widowControl w:val="0"/>
              <w:rPr>
                <w:sz w:val="10"/>
                <w:szCs w:val="10"/>
              </w:rPr>
            </w:pPr>
          </w:p>
        </w:tc>
      </w:tr>
      <w:tr>
        <w:trPr>
          <w:trHeight w:val="518"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鞍山苏宁影城</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销售商品和提</w:t>
            </w:r>
          </w:p>
          <w:p>
            <w:pPr>
              <w:pStyle w:val="Style28"/>
              <w:keepNext w:val="0"/>
              <w:keepLines w:val="0"/>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20"/>
                <w:szCs w:val="20"/>
              </w:rPr>
              <w:t>供售后服务</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市场价格</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left"/>
              <w:rPr>
                <w:sz w:val="20"/>
                <w:szCs w:val="20"/>
              </w:rPr>
            </w:pPr>
            <w:r>
              <w:rPr>
                <w:rFonts w:ascii="Times New Roman" w:eastAsia="Times New Roman" w:hAnsi="Times New Roman" w:cs="Times New Roman"/>
                <w:color w:val="000000"/>
                <w:spacing w:val="0"/>
                <w:w w:val="100"/>
                <w:position w:val="0"/>
                <w:sz w:val="20"/>
                <w:szCs w:val="20"/>
              </w:rPr>
              <w:t>7,095</w:t>
            </w:r>
          </w:p>
        </w:tc>
        <w:tc>
          <w:tcPr>
            <w:tcBorders/>
            <w:shd w:val="clear" w:color="auto" w:fill="FFFFFF"/>
            <w:vAlign w:val="top"/>
          </w:tcPr>
          <w:p>
            <w:pPr>
              <w:widowControl w:val="0"/>
              <w:rPr>
                <w:sz w:val="10"/>
                <w:szCs w:val="10"/>
              </w:rPr>
            </w:pPr>
          </w:p>
        </w:tc>
      </w:tr>
      <w:tr>
        <w:trPr>
          <w:trHeight w:val="518"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上海苏宁影城</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销售商品和提</w:t>
            </w:r>
          </w:p>
          <w:p>
            <w:pPr>
              <w:pStyle w:val="Style28"/>
              <w:keepNext w:val="0"/>
              <w:keepLines w:val="0"/>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20"/>
                <w:szCs w:val="20"/>
              </w:rPr>
              <w:t>供售后服务</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市场价格</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left"/>
              <w:rPr>
                <w:sz w:val="20"/>
                <w:szCs w:val="20"/>
              </w:rPr>
            </w:pPr>
            <w:r>
              <w:rPr>
                <w:rFonts w:ascii="Times New Roman" w:eastAsia="Times New Roman" w:hAnsi="Times New Roman" w:cs="Times New Roman"/>
                <w:color w:val="000000"/>
                <w:spacing w:val="0"/>
                <w:w w:val="100"/>
                <w:position w:val="0"/>
                <w:sz w:val="20"/>
                <w:szCs w:val="20"/>
              </w:rPr>
              <w:t>5,886</w:t>
            </w:r>
          </w:p>
        </w:tc>
        <w:tc>
          <w:tcPr>
            <w:tcBorders/>
            <w:shd w:val="clear" w:color="auto" w:fill="FFFFFF"/>
            <w:vAlign w:val="top"/>
          </w:tcPr>
          <w:p>
            <w:pPr>
              <w:widowControl w:val="0"/>
              <w:rPr>
                <w:sz w:val="10"/>
                <w:szCs w:val="10"/>
              </w:rPr>
            </w:pPr>
          </w:p>
        </w:tc>
      </w:tr>
      <w:tr>
        <w:trPr>
          <w:trHeight w:val="518"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日照苏宁影城</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销售商品和提</w:t>
            </w:r>
          </w:p>
          <w:p>
            <w:pPr>
              <w:pStyle w:val="Style28"/>
              <w:keepNext w:val="0"/>
              <w:keepLines w:val="0"/>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20"/>
                <w:szCs w:val="20"/>
              </w:rPr>
              <w:t>供售后服务</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市场价格</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left"/>
              <w:rPr>
                <w:sz w:val="20"/>
                <w:szCs w:val="20"/>
              </w:rPr>
            </w:pPr>
            <w:r>
              <w:rPr>
                <w:rFonts w:ascii="Times New Roman" w:eastAsia="Times New Roman" w:hAnsi="Times New Roman" w:cs="Times New Roman"/>
                <w:color w:val="000000"/>
                <w:spacing w:val="0"/>
                <w:w w:val="100"/>
                <w:position w:val="0"/>
                <w:sz w:val="20"/>
                <w:szCs w:val="20"/>
              </w:rPr>
              <w:t>4,930</w:t>
            </w:r>
          </w:p>
        </w:tc>
        <w:tc>
          <w:tcPr>
            <w:tcBorders/>
            <w:shd w:val="clear" w:color="auto" w:fill="FFFFFF"/>
            <w:vAlign w:val="top"/>
          </w:tcPr>
          <w:p>
            <w:pPr>
              <w:widowControl w:val="0"/>
              <w:rPr>
                <w:sz w:val="10"/>
                <w:szCs w:val="10"/>
              </w:rPr>
            </w:pPr>
          </w:p>
        </w:tc>
      </w:tr>
      <w:tr>
        <w:trPr>
          <w:trHeight w:val="518"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包头市苏宁影城</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销售商品和提</w:t>
            </w:r>
          </w:p>
          <w:p>
            <w:pPr>
              <w:pStyle w:val="Style28"/>
              <w:keepNext w:val="0"/>
              <w:keepLines w:val="0"/>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20"/>
                <w:szCs w:val="20"/>
              </w:rPr>
              <w:t>供售后服务</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市场价格</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left"/>
              <w:rPr>
                <w:sz w:val="20"/>
                <w:szCs w:val="20"/>
              </w:rPr>
            </w:pPr>
            <w:r>
              <w:rPr>
                <w:rFonts w:ascii="Times New Roman" w:eastAsia="Times New Roman" w:hAnsi="Times New Roman" w:cs="Times New Roman"/>
                <w:color w:val="000000"/>
                <w:spacing w:val="0"/>
                <w:w w:val="100"/>
                <w:position w:val="0"/>
                <w:sz w:val="20"/>
                <w:szCs w:val="20"/>
              </w:rPr>
              <w:t>4,857</w:t>
            </w:r>
          </w:p>
        </w:tc>
        <w:tc>
          <w:tcPr>
            <w:tcBorders/>
            <w:shd w:val="clear" w:color="auto" w:fill="FFFFFF"/>
            <w:vAlign w:val="top"/>
          </w:tcPr>
          <w:p>
            <w:pPr>
              <w:widowControl w:val="0"/>
              <w:rPr>
                <w:sz w:val="10"/>
                <w:szCs w:val="10"/>
              </w:rPr>
            </w:pPr>
          </w:p>
        </w:tc>
      </w:tr>
      <w:tr>
        <w:trPr>
          <w:trHeight w:val="518"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镇江苏宁影城</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销售商品和提</w:t>
            </w:r>
          </w:p>
          <w:p>
            <w:pPr>
              <w:pStyle w:val="Style28"/>
              <w:keepNext w:val="0"/>
              <w:keepLines w:val="0"/>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20"/>
                <w:szCs w:val="20"/>
              </w:rPr>
              <w:t>供售后服务</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市场价格</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left"/>
              <w:rPr>
                <w:sz w:val="20"/>
                <w:szCs w:val="20"/>
              </w:rPr>
            </w:pPr>
            <w:r>
              <w:rPr>
                <w:rFonts w:ascii="Times New Roman" w:eastAsia="Times New Roman" w:hAnsi="Times New Roman" w:cs="Times New Roman"/>
                <w:color w:val="000000"/>
                <w:spacing w:val="0"/>
                <w:w w:val="100"/>
                <w:position w:val="0"/>
                <w:sz w:val="20"/>
                <w:szCs w:val="20"/>
              </w:rPr>
              <w:t>3,658</w:t>
            </w:r>
          </w:p>
        </w:tc>
        <w:tc>
          <w:tcPr>
            <w:tcBorders/>
            <w:shd w:val="clear" w:color="auto" w:fill="FFFFFF"/>
            <w:vAlign w:val="top"/>
          </w:tcPr>
          <w:p>
            <w:pPr>
              <w:widowControl w:val="0"/>
              <w:rPr>
                <w:sz w:val="10"/>
                <w:szCs w:val="10"/>
              </w:rPr>
            </w:pPr>
          </w:p>
        </w:tc>
      </w:tr>
      <w:tr>
        <w:trPr>
          <w:trHeight w:val="518"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钟山高尔夫酒店</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销售商品和提</w:t>
            </w:r>
          </w:p>
          <w:p>
            <w:pPr>
              <w:pStyle w:val="Style28"/>
              <w:keepNext w:val="0"/>
              <w:keepLines w:val="0"/>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20"/>
                <w:szCs w:val="20"/>
              </w:rPr>
              <w:t>供售后服务</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市场价格</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left"/>
              <w:rPr>
                <w:sz w:val="20"/>
                <w:szCs w:val="20"/>
              </w:rPr>
            </w:pPr>
            <w:r>
              <w:rPr>
                <w:rFonts w:ascii="Times New Roman" w:eastAsia="Times New Roman" w:hAnsi="Times New Roman" w:cs="Times New Roman"/>
                <w:color w:val="000000"/>
                <w:spacing w:val="0"/>
                <w:w w:val="100"/>
                <w:position w:val="0"/>
                <w:sz w:val="20"/>
                <w:szCs w:val="20"/>
              </w:rPr>
              <w:t>2,765</w:t>
            </w:r>
          </w:p>
        </w:tc>
        <w:tc>
          <w:tcPr>
            <w:tcBorders/>
            <w:shd w:val="clear" w:color="auto" w:fill="FFFFFF"/>
            <w:vAlign w:val="top"/>
          </w:tcPr>
          <w:p>
            <w:pPr>
              <w:widowControl w:val="0"/>
              <w:rPr>
                <w:sz w:val="10"/>
                <w:szCs w:val="10"/>
              </w:rPr>
            </w:pPr>
          </w:p>
        </w:tc>
      </w:tr>
      <w:tr>
        <w:trPr>
          <w:trHeight w:val="518"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济宁苏宁影城</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销售商品和提</w:t>
            </w:r>
          </w:p>
          <w:p>
            <w:pPr>
              <w:pStyle w:val="Style28"/>
              <w:keepNext w:val="0"/>
              <w:keepLines w:val="0"/>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20"/>
                <w:szCs w:val="20"/>
              </w:rPr>
              <w:t>供售后服务</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市场价格</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left"/>
              <w:rPr>
                <w:sz w:val="20"/>
                <w:szCs w:val="20"/>
              </w:rPr>
            </w:pPr>
            <w:r>
              <w:rPr>
                <w:rFonts w:ascii="Times New Roman" w:eastAsia="Times New Roman" w:hAnsi="Times New Roman" w:cs="Times New Roman"/>
                <w:color w:val="000000"/>
                <w:spacing w:val="0"/>
                <w:w w:val="100"/>
                <w:position w:val="0"/>
                <w:sz w:val="20"/>
                <w:szCs w:val="20"/>
              </w:rPr>
              <w:t>2,278</w:t>
            </w:r>
          </w:p>
        </w:tc>
        <w:tc>
          <w:tcPr>
            <w:tcBorders/>
            <w:shd w:val="clear" w:color="auto" w:fill="FFFFFF"/>
            <w:vAlign w:val="top"/>
          </w:tcPr>
          <w:p>
            <w:pPr>
              <w:widowControl w:val="0"/>
              <w:rPr>
                <w:sz w:val="10"/>
                <w:szCs w:val="10"/>
              </w:rPr>
            </w:pPr>
          </w:p>
        </w:tc>
      </w:tr>
      <w:tr>
        <w:trPr>
          <w:trHeight w:val="523"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苏宁置业</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销售商品和提</w:t>
            </w:r>
          </w:p>
          <w:p>
            <w:pPr>
              <w:pStyle w:val="Style28"/>
              <w:keepNext w:val="0"/>
              <w:keepLines w:val="0"/>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20"/>
                <w:szCs w:val="20"/>
              </w:rPr>
              <w:t>供售后服务</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市场价格</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left"/>
              <w:rPr>
                <w:sz w:val="20"/>
                <w:szCs w:val="20"/>
              </w:rPr>
            </w:pPr>
            <w:r>
              <w:rPr>
                <w:rFonts w:ascii="Times New Roman" w:eastAsia="Times New Roman" w:hAnsi="Times New Roman" w:cs="Times New Roman"/>
                <w:color w:val="000000"/>
                <w:spacing w:val="0"/>
                <w:w w:val="100"/>
                <w:position w:val="0"/>
                <w:sz w:val="20"/>
                <w:szCs w:val="20"/>
              </w:rPr>
              <w:t>1,343</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5,310</w:t>
            </w:r>
          </w:p>
        </w:tc>
      </w:tr>
      <w:tr>
        <w:trPr>
          <w:trHeight w:val="518"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宿迁苏宁置业</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销售商品和提</w:t>
            </w:r>
          </w:p>
          <w:p>
            <w:pPr>
              <w:pStyle w:val="Style28"/>
              <w:keepNext w:val="0"/>
              <w:keepLines w:val="0"/>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20"/>
                <w:szCs w:val="20"/>
              </w:rPr>
              <w:t>供售后服务</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市场价格</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left"/>
              <w:rPr>
                <w:sz w:val="20"/>
                <w:szCs w:val="20"/>
              </w:rPr>
            </w:pPr>
            <w:r>
              <w:rPr>
                <w:rFonts w:ascii="Times New Roman" w:eastAsia="Times New Roman" w:hAnsi="Times New Roman" w:cs="Times New Roman"/>
                <w:color w:val="000000"/>
                <w:spacing w:val="0"/>
                <w:w w:val="100"/>
                <w:position w:val="0"/>
                <w:sz w:val="20"/>
                <w:szCs w:val="20"/>
              </w:rPr>
              <w:t>1,111</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6,122</w:t>
            </w:r>
          </w:p>
        </w:tc>
      </w:tr>
      <w:tr>
        <w:trPr>
          <w:trHeight w:val="514"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钟山高尔夫置业</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销售商品和提</w:t>
            </w:r>
          </w:p>
          <w:p>
            <w:pPr>
              <w:pStyle w:val="Style28"/>
              <w:keepNext w:val="0"/>
              <w:keepLines w:val="0"/>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20"/>
                <w:szCs w:val="20"/>
              </w:rPr>
              <w:t>供售后服务</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市场价格</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80"/>
              <w:jc w:val="both"/>
              <w:rPr>
                <w:sz w:val="20"/>
                <w:szCs w:val="20"/>
              </w:rPr>
            </w:pPr>
            <w:r>
              <w:rPr>
                <w:rFonts w:ascii="Times New Roman" w:eastAsia="Times New Roman" w:hAnsi="Times New Roman" w:cs="Times New Roman"/>
                <w:color w:val="000000"/>
                <w:spacing w:val="0"/>
                <w:w w:val="100"/>
                <w:position w:val="0"/>
                <w:sz w:val="20"/>
                <w:szCs w:val="20"/>
              </w:rPr>
              <w:t>882</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730</w:t>
            </w:r>
          </w:p>
        </w:tc>
      </w:tr>
      <w:tr>
        <w:trPr>
          <w:trHeight w:val="518"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徐州苏宁影城</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销售商品和提</w:t>
            </w:r>
          </w:p>
          <w:p>
            <w:pPr>
              <w:pStyle w:val="Style28"/>
              <w:keepNext w:val="0"/>
              <w:keepLines w:val="0"/>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20"/>
                <w:szCs w:val="20"/>
              </w:rPr>
              <w:t>供售后服务</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市场价格</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80"/>
              <w:jc w:val="both"/>
              <w:rPr>
                <w:sz w:val="20"/>
                <w:szCs w:val="20"/>
              </w:rPr>
            </w:pPr>
            <w:r>
              <w:rPr>
                <w:rFonts w:ascii="Times New Roman" w:eastAsia="Times New Roman" w:hAnsi="Times New Roman" w:cs="Times New Roman"/>
                <w:color w:val="000000"/>
                <w:spacing w:val="0"/>
                <w:w w:val="100"/>
                <w:position w:val="0"/>
                <w:sz w:val="20"/>
                <w:szCs w:val="20"/>
              </w:rPr>
              <w:t>623</w:t>
            </w:r>
          </w:p>
        </w:tc>
        <w:tc>
          <w:tcPr>
            <w:tcBorders/>
            <w:shd w:val="clear" w:color="auto" w:fill="FFFFFF"/>
            <w:vAlign w:val="top"/>
          </w:tcPr>
          <w:p>
            <w:pPr>
              <w:widowControl w:val="0"/>
              <w:rPr>
                <w:sz w:val="10"/>
                <w:szCs w:val="10"/>
              </w:rPr>
            </w:pPr>
          </w:p>
        </w:tc>
      </w:tr>
      <w:tr>
        <w:trPr>
          <w:trHeight w:val="518"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江苏银河物业</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销售商品和提</w:t>
            </w:r>
          </w:p>
          <w:p>
            <w:pPr>
              <w:pStyle w:val="Style28"/>
              <w:keepNext w:val="0"/>
              <w:keepLines w:val="0"/>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20"/>
                <w:szCs w:val="20"/>
              </w:rPr>
              <w:t>供售后服务</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市场价格</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80"/>
              <w:jc w:val="both"/>
              <w:rPr>
                <w:sz w:val="20"/>
                <w:szCs w:val="20"/>
              </w:rPr>
            </w:pPr>
            <w:r>
              <w:rPr>
                <w:rFonts w:ascii="Times New Roman" w:eastAsia="Times New Roman" w:hAnsi="Times New Roman" w:cs="Times New Roman"/>
                <w:color w:val="000000"/>
                <w:spacing w:val="0"/>
                <w:w w:val="100"/>
                <w:position w:val="0"/>
                <w:sz w:val="20"/>
                <w:szCs w:val="20"/>
              </w:rPr>
              <w:t>429</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318</w:t>
            </w:r>
          </w:p>
        </w:tc>
      </w:tr>
      <w:tr>
        <w:trPr>
          <w:trHeight w:val="518"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徐州苏宁置业</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销售商品和提</w:t>
            </w:r>
          </w:p>
          <w:p>
            <w:pPr>
              <w:pStyle w:val="Style28"/>
              <w:keepNext w:val="0"/>
              <w:keepLines w:val="0"/>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20"/>
                <w:szCs w:val="20"/>
              </w:rPr>
              <w:t>供售后服务</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市场价格</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80"/>
              <w:jc w:val="both"/>
              <w:rPr>
                <w:sz w:val="20"/>
                <w:szCs w:val="20"/>
              </w:rPr>
            </w:pPr>
            <w:r>
              <w:rPr>
                <w:rFonts w:ascii="Times New Roman" w:eastAsia="Times New Roman" w:hAnsi="Times New Roman" w:cs="Times New Roman"/>
                <w:color w:val="000000"/>
                <w:spacing w:val="0"/>
                <w:w w:val="100"/>
                <w:position w:val="0"/>
                <w:sz w:val="20"/>
                <w:szCs w:val="20"/>
              </w:rPr>
              <w:t>233</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122</w:t>
            </w:r>
          </w:p>
        </w:tc>
      </w:tr>
      <w:tr>
        <w:trPr>
          <w:trHeight w:val="518"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福州苏宁置业</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销售商品和提</w:t>
            </w:r>
          </w:p>
          <w:p>
            <w:pPr>
              <w:pStyle w:val="Style28"/>
              <w:keepNext w:val="0"/>
              <w:keepLines w:val="0"/>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20"/>
                <w:szCs w:val="20"/>
              </w:rPr>
              <w:t>供售后服务</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市场价格</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80"/>
              <w:jc w:val="both"/>
              <w:rPr>
                <w:sz w:val="20"/>
                <w:szCs w:val="20"/>
              </w:rPr>
            </w:pPr>
            <w:r>
              <w:rPr>
                <w:rFonts w:ascii="Times New Roman" w:eastAsia="Times New Roman" w:hAnsi="Times New Roman" w:cs="Times New Roman"/>
                <w:color w:val="000000"/>
                <w:spacing w:val="0"/>
                <w:w w:val="100"/>
                <w:position w:val="0"/>
                <w:sz w:val="20"/>
                <w:szCs w:val="20"/>
              </w:rPr>
              <w:t>165</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65</w:t>
            </w:r>
          </w:p>
        </w:tc>
      </w:tr>
      <w:tr>
        <w:trPr>
          <w:trHeight w:val="533"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无锡苏宁置业</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销售商品和提</w:t>
            </w:r>
          </w:p>
          <w:p>
            <w:pPr>
              <w:pStyle w:val="Style28"/>
              <w:keepNext w:val="0"/>
              <w:keepLines w:val="0"/>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20"/>
                <w:szCs w:val="20"/>
              </w:rPr>
              <w:t>供售后服务</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市场价格</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80"/>
              <w:jc w:val="both"/>
              <w:rPr>
                <w:sz w:val="20"/>
                <w:szCs w:val="20"/>
              </w:rPr>
            </w:pPr>
            <w:r>
              <w:rPr>
                <w:rFonts w:ascii="Times New Roman" w:eastAsia="Times New Roman" w:hAnsi="Times New Roman" w:cs="Times New Roman"/>
                <w:color w:val="000000"/>
                <w:spacing w:val="0"/>
                <w:w w:val="100"/>
                <w:position w:val="0"/>
                <w:sz w:val="20"/>
                <w:szCs w:val="20"/>
              </w:rPr>
              <w:t>162</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8,948</w:t>
            </w:r>
          </w:p>
        </w:tc>
      </w:tr>
    </w:tbl>
    <w:p>
      <w:pPr>
        <w:pStyle w:val="Style32"/>
        <w:keepNext w:val="0"/>
        <w:keepLines w:val="0"/>
        <w:widowControl w:val="0"/>
        <w:shd w:val="clear" w:color="auto" w:fill="auto"/>
        <w:bidi w:val="0"/>
        <w:spacing w:before="0" w:after="0" w:line="288" w:lineRule="exact"/>
        <w:ind w:left="720" w:right="0" w:firstLine="40"/>
        <w:jc w:val="left"/>
        <w:rPr>
          <w:sz w:val="24"/>
          <w:szCs w:val="24"/>
        </w:rPr>
      </w:pPr>
      <w:r>
        <w:rPr>
          <w:b/>
          <w:bCs/>
          <w:color w:val="000000"/>
          <w:spacing w:val="0"/>
          <w:w w:val="100"/>
          <w:position w:val="0"/>
          <w:sz w:val="24"/>
          <w:szCs w:val="24"/>
        </w:rPr>
        <w:t xml:space="preserve">财务报表附注 </w:t>
      </w:r>
      <w:r>
        <w:rPr>
          <w:rFonts w:ascii="Arial" w:eastAsia="Arial" w:hAnsi="Arial" w:cs="Arial"/>
          <w:color w:val="000000"/>
          <w:spacing w:val="0"/>
          <w:w w:val="100"/>
          <w:position w:val="0"/>
          <w:sz w:val="24"/>
          <w:szCs w:val="24"/>
        </w:rPr>
        <w:t>2016</w:t>
      </w:r>
      <w:r>
        <w:rPr>
          <w:b/>
          <w:bCs/>
          <w:color w:val="000000"/>
          <w:spacing w:val="0"/>
          <w:w w:val="100"/>
          <w:position w:val="0"/>
          <w:sz w:val="24"/>
          <w:szCs w:val="24"/>
        </w:rPr>
        <w:t>年度</w:t>
      </w:r>
    </w:p>
    <w:p>
      <w:pPr>
        <w:pStyle w:val="Style32"/>
        <w:keepNext w:val="0"/>
        <w:keepLines w:val="0"/>
        <w:widowControl w:val="0"/>
        <w:shd w:val="clear" w:color="auto" w:fill="auto"/>
        <w:bidi w:val="0"/>
        <w:spacing w:before="0" w:after="260" w:line="240" w:lineRule="auto"/>
        <w:ind w:left="0" w:right="0" w:firstLine="720"/>
        <w:jc w:val="left"/>
        <w:rPr>
          <w:sz w:val="20"/>
          <w:szCs w:val="20"/>
        </w:rPr>
      </w:pPr>
      <w:r>
        <w:rPr>
          <w:rFonts w:ascii="Arial" w:eastAsia="Arial" w:hAnsi="Arial" w:cs="Arial"/>
          <w:color w:val="000000"/>
          <w:spacing w:val="0"/>
          <w:w w:val="100"/>
          <w:position w:val="0"/>
          <w:sz w:val="20"/>
          <w:szCs w:val="20"/>
        </w:rPr>
        <w:t>（</w:t>
      </w:r>
      <w:r>
        <w:rPr>
          <w:color w:val="000000"/>
          <w:spacing w:val="0"/>
          <w:w w:val="100"/>
          <w:position w:val="0"/>
          <w:sz w:val="20"/>
          <w:szCs w:val="20"/>
        </w:rPr>
        <w:t>除特别注明外，金额单位为人民币千元</w:t>
      </w:r>
      <w:r>
        <w:rPr>
          <w:rFonts w:ascii="Arial" w:eastAsia="Arial" w:hAnsi="Arial" w:cs="Arial"/>
          <w:color w:val="000000"/>
          <w:spacing w:val="0"/>
          <w:w w:val="100"/>
          <w:position w:val="0"/>
          <w:sz w:val="20"/>
          <w:szCs w:val="20"/>
        </w:rPr>
        <w:t>）</w:t>
      </w:r>
    </w:p>
    <w:p>
      <w:pPr>
        <w:pStyle w:val="Style32"/>
        <w:keepNext w:val="0"/>
        <w:keepLines w:val="0"/>
        <w:widowControl w:val="0"/>
        <w:shd w:val="clear" w:color="auto" w:fill="auto"/>
        <w:tabs>
          <w:tab w:pos="691" w:val="left"/>
        </w:tabs>
        <w:bidi w:val="0"/>
        <w:spacing w:before="0" w:after="260" w:line="240" w:lineRule="auto"/>
        <w:ind w:left="0" w:right="0" w:firstLine="0"/>
        <w:jc w:val="left"/>
        <w:rPr>
          <w:sz w:val="24"/>
          <w:szCs w:val="24"/>
        </w:rPr>
      </w:pPr>
      <w:r>
        <w:rPr>
          <w:b/>
          <w:bCs/>
          <w:color w:val="000000"/>
          <w:spacing w:val="0"/>
          <w:w w:val="100"/>
          <w:position w:val="0"/>
          <w:sz w:val="24"/>
          <w:szCs w:val="24"/>
        </w:rPr>
        <w:t>八</w:t>
        <w:tab/>
        <w:t>关联方关系及其交易</w:t>
      </w:r>
      <w:r>
        <w:rPr>
          <w:rFonts w:ascii="Times New Roman" w:eastAsia="Times New Roman" w:hAnsi="Times New Roman" w:cs="Times New Roman"/>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4"/>
          <w:szCs w:val="24"/>
        </w:rPr>
        <w:t>）</w:t>
      </w:r>
    </w:p>
    <w:p>
      <w:pPr>
        <w:pStyle w:val="Style53"/>
        <w:keepNext w:val="0"/>
        <w:keepLines w:val="0"/>
        <w:widowControl w:val="0"/>
        <w:shd w:val="clear" w:color="auto" w:fill="auto"/>
        <w:tabs>
          <w:tab w:pos="691" w:val="left"/>
        </w:tabs>
        <w:bidi w:val="0"/>
        <w:spacing w:before="0" w:after="260" w:line="240" w:lineRule="auto"/>
        <w:ind w:left="0" w:right="0" w:firstLine="0"/>
        <w:jc w:val="left"/>
        <w:rPr>
          <w:sz w:val="24"/>
          <w:szCs w:val="24"/>
        </w:rPr>
      </w:pPr>
      <w:r>
        <w:rPr>
          <w:color w:val="000000"/>
          <w:spacing w:val="0"/>
          <w:w w:val="100"/>
          <w:position w:val="0"/>
          <w:sz w:val="24"/>
          <w:szCs w:val="24"/>
        </w:rPr>
        <w:t>（6）</w:t>
        <w:tab/>
      </w:r>
      <w:r>
        <w:rPr>
          <w:rFonts w:ascii="SimSun" w:eastAsia="SimSun" w:hAnsi="SimSun" w:cs="SimSun"/>
          <w:b/>
          <w:bCs/>
          <w:color w:val="000000"/>
          <w:spacing w:val="0"/>
          <w:w w:val="100"/>
          <w:position w:val="0"/>
          <w:sz w:val="24"/>
          <w:szCs w:val="24"/>
        </w:rPr>
        <w:t>关联交易</w:t>
      </w:r>
      <w:r>
        <w:rPr>
          <w:color w:val="000000"/>
          <w:spacing w:val="0"/>
          <w:w w:val="100"/>
          <w:position w:val="0"/>
          <w:sz w:val="24"/>
          <w:szCs w:val="24"/>
        </w:rPr>
        <w:t>（</w:t>
      </w:r>
      <w:r>
        <w:rPr>
          <w:rFonts w:ascii="SimSun" w:eastAsia="SimSun" w:hAnsi="SimSun" w:cs="SimSun"/>
          <w:b/>
          <w:bCs/>
          <w:color w:val="000000"/>
          <w:spacing w:val="0"/>
          <w:w w:val="100"/>
          <w:position w:val="0"/>
          <w:sz w:val="24"/>
          <w:szCs w:val="24"/>
        </w:rPr>
        <w:t>续</w:t>
      </w:r>
      <w:r>
        <w:rPr>
          <w:rFonts w:ascii="SimSun" w:eastAsia="SimSun" w:hAnsi="SimSun" w:cs="SimSun"/>
          <w:color w:val="000000"/>
          <w:spacing w:val="0"/>
          <w:w w:val="100"/>
          <w:position w:val="0"/>
          <w:sz w:val="24"/>
          <w:szCs w:val="24"/>
        </w:rPr>
        <w:t>）</w:t>
      </w:r>
    </w:p>
    <w:p>
      <w:pPr>
        <w:pStyle w:val="Style32"/>
        <w:keepNext w:val="0"/>
        <w:keepLines w:val="0"/>
        <w:widowControl w:val="0"/>
        <w:shd w:val="clear" w:color="auto" w:fill="auto"/>
        <w:tabs>
          <w:tab w:pos="691" w:val="left"/>
        </w:tabs>
        <w:bidi w:val="0"/>
        <w:spacing w:before="0" w:after="26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（a）</w:t>
        <w:tab/>
      </w:r>
      <w:r>
        <w:rPr>
          <w:color w:val="000000"/>
          <w:spacing w:val="0"/>
          <w:w w:val="100"/>
          <w:position w:val="0"/>
          <w:sz w:val="24"/>
          <w:szCs w:val="24"/>
        </w:rPr>
        <w:t>销售商品和提供劳务</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续</w:t>
      </w:r>
      <w:r>
        <w:rPr>
          <w:color w:val="000000"/>
          <w:spacing w:val="0"/>
          <w:w w:val="100"/>
          <w:position w:val="0"/>
          <w:sz w:val="24"/>
          <w:szCs w:val="24"/>
        </w:rPr>
        <w:t>）</w:t>
      </w:r>
    </w:p>
    <w:p>
      <w:pPr>
        <w:pStyle w:val="Style32"/>
        <w:keepNext w:val="0"/>
        <w:keepLines w:val="0"/>
        <w:widowControl w:val="0"/>
        <w:shd w:val="clear" w:color="auto" w:fill="auto"/>
        <w:bidi w:val="0"/>
        <w:spacing w:before="0" w:after="260" w:line="240" w:lineRule="auto"/>
        <w:ind w:left="0" w:right="0" w:firstLine="720"/>
        <w:jc w:val="left"/>
        <w:rPr>
          <w:sz w:val="24"/>
          <w:szCs w:val="24"/>
        </w:rPr>
      </w:pPr>
      <w:r>
        <w:rPr>
          <w:color w:val="000000"/>
          <w:spacing w:val="0"/>
          <w:w w:val="100"/>
          <w:position w:val="0"/>
          <w:sz w:val="24"/>
          <w:szCs w:val="24"/>
        </w:rPr>
        <w:t>销售商品及提供售后服务</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续</w:t>
      </w:r>
      <w:r>
        <w:rPr>
          <w:color w:val="000000"/>
          <w:spacing w:val="0"/>
          <w:w w:val="100"/>
          <w:position w:val="0"/>
          <w:sz w:val="24"/>
          <w:szCs w:val="24"/>
        </w:rPr>
        <w:t>）</w:t>
      </w:r>
    </w:p>
    <w:tbl>
      <w:tblPr>
        <w:tblOverlap w:val="never"/>
        <w:jc w:val="right"/>
        <w:tblLayout w:type="fixed"/>
      </w:tblPr>
      <w:tblGrid>
        <w:gridCol w:w="2342"/>
        <w:gridCol w:w="1498"/>
        <w:gridCol w:w="1310"/>
        <w:gridCol w:w="1656"/>
        <w:gridCol w:w="1387"/>
      </w:tblGrid>
      <w:tr>
        <w:trPr>
          <w:trHeight w:val="624"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关联方</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关联交易内容</w:t>
            </w:r>
          </w:p>
        </w:tc>
        <w:tc>
          <w:tcPr>
            <w:tcBorders/>
            <w:shd w:val="clear" w:color="auto" w:fill="FFFFFF"/>
            <w:vAlign w:val="top"/>
          </w:tcPr>
          <w:p>
            <w:pPr>
              <w:pStyle w:val="Style28"/>
              <w:keepNext w:val="0"/>
              <w:keepLines w:val="0"/>
              <w:widowControl w:val="0"/>
              <w:shd w:val="clear" w:color="auto" w:fill="auto"/>
              <w:bidi w:val="0"/>
              <w:spacing w:before="0" w:after="0" w:line="274" w:lineRule="exact"/>
              <w:ind w:left="140" w:right="0" w:firstLine="0"/>
              <w:jc w:val="both"/>
              <w:rPr>
                <w:sz w:val="20"/>
                <w:szCs w:val="20"/>
              </w:rPr>
            </w:pPr>
            <w:r>
              <w:rPr>
                <w:color w:val="000000"/>
                <w:spacing w:val="0"/>
                <w:w w:val="100"/>
                <w:position w:val="0"/>
                <w:sz w:val="20"/>
                <w:szCs w:val="20"/>
              </w:rPr>
              <w:t>关联交易 定价政策</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100" w:right="0" w:firstLine="0"/>
              <w:jc w:val="center"/>
              <w:rPr>
                <w:sz w:val="20"/>
                <w:szCs w:val="20"/>
              </w:rPr>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年度</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2015</w:t>
            </w:r>
            <w:r>
              <w:rPr>
                <w:color w:val="000000"/>
                <w:spacing w:val="0"/>
                <w:w w:val="100"/>
                <w:position w:val="0"/>
                <w:sz w:val="20"/>
                <w:szCs w:val="20"/>
              </w:rPr>
              <w:t>年度</w:t>
            </w:r>
          </w:p>
        </w:tc>
      </w:tr>
      <w:tr>
        <w:trPr>
          <w:trHeight w:val="634"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银河酒店管理公司</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销售商品和提</w:t>
            </w:r>
          </w:p>
          <w:p>
            <w:pPr>
              <w:pStyle w:val="Style28"/>
              <w:keepNext w:val="0"/>
              <w:keepLines w:val="0"/>
              <w:widowControl w:val="0"/>
              <w:shd w:val="clear" w:color="auto" w:fill="auto"/>
              <w:bidi w:val="0"/>
              <w:spacing w:before="0" w:after="0" w:line="240" w:lineRule="auto"/>
              <w:ind w:left="0" w:right="0" w:firstLine="340"/>
              <w:jc w:val="both"/>
              <w:rPr>
                <w:sz w:val="20"/>
                <w:szCs w:val="20"/>
              </w:rPr>
            </w:pPr>
            <w:r>
              <w:rPr>
                <w:color w:val="000000"/>
                <w:spacing w:val="0"/>
                <w:w w:val="100"/>
                <w:position w:val="0"/>
                <w:sz w:val="20"/>
                <w:szCs w:val="20"/>
              </w:rPr>
              <w:t>供售后服务</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市场价格</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80"/>
              <w:jc w:val="both"/>
              <w:rPr>
                <w:sz w:val="20"/>
                <w:szCs w:val="20"/>
              </w:rPr>
            </w:pPr>
            <w:r>
              <w:rPr>
                <w:rFonts w:ascii="Times New Roman" w:eastAsia="Times New Roman" w:hAnsi="Times New Roman" w:cs="Times New Roman"/>
                <w:color w:val="000000"/>
                <w:spacing w:val="0"/>
                <w:w w:val="100"/>
                <w:position w:val="0"/>
                <w:sz w:val="20"/>
                <w:szCs w:val="20"/>
              </w:rPr>
              <w:t>29</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148</w:t>
            </w:r>
          </w:p>
        </w:tc>
      </w:tr>
      <w:tr>
        <w:trPr>
          <w:trHeight w:val="523"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无锡苏宁置业苏宁大酒店</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销售商品和提</w:t>
            </w:r>
          </w:p>
          <w:p>
            <w:pPr>
              <w:pStyle w:val="Style28"/>
              <w:keepNext w:val="0"/>
              <w:keepLines w:val="0"/>
              <w:widowControl w:val="0"/>
              <w:shd w:val="clear" w:color="auto" w:fill="auto"/>
              <w:bidi w:val="0"/>
              <w:spacing w:before="0" w:after="0" w:line="240" w:lineRule="auto"/>
              <w:ind w:left="0" w:right="0" w:firstLine="340"/>
              <w:jc w:val="both"/>
              <w:rPr>
                <w:sz w:val="20"/>
                <w:szCs w:val="20"/>
              </w:rPr>
            </w:pPr>
            <w:r>
              <w:rPr>
                <w:color w:val="000000"/>
                <w:spacing w:val="0"/>
                <w:w w:val="100"/>
                <w:position w:val="0"/>
                <w:sz w:val="20"/>
                <w:szCs w:val="20"/>
              </w:rPr>
              <w:t>供售后服务</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市场价格</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80"/>
              <w:jc w:val="both"/>
              <w:rPr>
                <w:sz w:val="20"/>
                <w:szCs w:val="20"/>
              </w:rPr>
            </w:pPr>
            <w:r>
              <w:rPr>
                <w:rFonts w:ascii="Times New Roman" w:eastAsia="Times New Roman" w:hAnsi="Times New Roman" w:cs="Times New Roman"/>
                <w:color w:val="000000"/>
                <w:spacing w:val="0"/>
                <w:w w:val="100"/>
                <w:position w:val="0"/>
                <w:sz w:val="20"/>
                <w:szCs w:val="20"/>
              </w:rPr>
              <w:t>20</w:t>
            </w:r>
          </w:p>
        </w:tc>
        <w:tc>
          <w:tcPr>
            <w:tcBorders/>
            <w:shd w:val="clear" w:color="auto" w:fill="FFFFFF"/>
            <w:vAlign w:val="top"/>
          </w:tcPr>
          <w:p>
            <w:pPr>
              <w:widowControl w:val="0"/>
              <w:rPr>
                <w:sz w:val="10"/>
                <w:szCs w:val="10"/>
              </w:rPr>
            </w:pPr>
          </w:p>
        </w:tc>
      </w:tr>
      <w:tr>
        <w:trPr>
          <w:trHeight w:val="514"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无锡苏宁商业管理</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销售商品和提</w:t>
            </w:r>
          </w:p>
          <w:p>
            <w:pPr>
              <w:pStyle w:val="Style28"/>
              <w:keepNext w:val="0"/>
              <w:keepLines w:val="0"/>
              <w:widowControl w:val="0"/>
              <w:shd w:val="clear" w:color="auto" w:fill="auto"/>
              <w:bidi w:val="0"/>
              <w:spacing w:before="0" w:after="0" w:line="240" w:lineRule="auto"/>
              <w:ind w:left="0" w:right="0" w:firstLine="340"/>
              <w:jc w:val="both"/>
              <w:rPr>
                <w:sz w:val="20"/>
                <w:szCs w:val="20"/>
              </w:rPr>
            </w:pPr>
            <w:r>
              <w:rPr>
                <w:color w:val="000000"/>
                <w:spacing w:val="0"/>
                <w:w w:val="100"/>
                <w:position w:val="0"/>
                <w:sz w:val="20"/>
                <w:szCs w:val="20"/>
              </w:rPr>
              <w:t>供售后服务</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市场价格</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080" w:right="0" w:firstLine="0"/>
              <w:jc w:val="both"/>
              <w:rPr>
                <w:sz w:val="20"/>
                <w:szCs w:val="20"/>
              </w:rPr>
            </w:pPr>
            <w:r>
              <w:rPr>
                <w:rFonts w:ascii="Times New Roman" w:eastAsia="Times New Roman" w:hAnsi="Times New Roman" w:cs="Times New Roman"/>
                <w:color w:val="000000"/>
                <w:spacing w:val="0"/>
                <w:w w:val="100"/>
                <w:position w:val="0"/>
                <w:sz w:val="20"/>
                <w:szCs w:val="20"/>
              </w:rPr>
              <w:t>9</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98</w:t>
            </w:r>
          </w:p>
        </w:tc>
      </w:tr>
      <w:tr>
        <w:trPr>
          <w:trHeight w:val="518"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鼓楼国际软件与服务外包</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销售商品和提</w:t>
            </w:r>
          </w:p>
          <w:p>
            <w:pPr>
              <w:pStyle w:val="Style28"/>
              <w:keepNext w:val="0"/>
              <w:keepLines w:val="0"/>
              <w:widowControl w:val="0"/>
              <w:shd w:val="clear" w:color="auto" w:fill="auto"/>
              <w:bidi w:val="0"/>
              <w:spacing w:before="0" w:after="0" w:line="240" w:lineRule="auto"/>
              <w:ind w:left="0" w:right="0" w:firstLine="340"/>
              <w:jc w:val="both"/>
              <w:rPr>
                <w:sz w:val="20"/>
                <w:szCs w:val="20"/>
              </w:rPr>
            </w:pPr>
            <w:r>
              <w:rPr>
                <w:color w:val="000000"/>
                <w:spacing w:val="0"/>
                <w:w w:val="100"/>
                <w:position w:val="0"/>
                <w:sz w:val="20"/>
                <w:szCs w:val="20"/>
              </w:rPr>
              <w:t>供售后服务</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市场价格</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080" w:right="0" w:firstLine="0"/>
              <w:jc w:val="both"/>
              <w:rPr>
                <w:sz w:val="20"/>
                <w:szCs w:val="20"/>
              </w:rPr>
            </w:pPr>
            <w:r>
              <w:rPr>
                <w:rFonts w:ascii="Times New Roman" w:eastAsia="Times New Roman" w:hAnsi="Times New Roman" w:cs="Times New Roman"/>
                <w:color w:val="000000"/>
                <w:spacing w:val="0"/>
                <w:w w:val="100"/>
                <w:position w:val="0"/>
                <w:sz w:val="20"/>
                <w:szCs w:val="20"/>
              </w:rPr>
              <w:t>6</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654</w:t>
            </w:r>
          </w:p>
        </w:tc>
      </w:tr>
      <w:tr>
        <w:trPr>
          <w:trHeight w:val="518"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成都鸿业置业</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销售商品和提</w:t>
            </w:r>
          </w:p>
          <w:p>
            <w:pPr>
              <w:pStyle w:val="Style28"/>
              <w:keepNext w:val="0"/>
              <w:keepLines w:val="0"/>
              <w:widowControl w:val="0"/>
              <w:shd w:val="clear" w:color="auto" w:fill="auto"/>
              <w:bidi w:val="0"/>
              <w:spacing w:before="0" w:after="0" w:line="240" w:lineRule="auto"/>
              <w:ind w:left="0" w:right="0" w:firstLine="340"/>
              <w:jc w:val="both"/>
              <w:rPr>
                <w:sz w:val="20"/>
                <w:szCs w:val="20"/>
              </w:rPr>
            </w:pPr>
            <w:r>
              <w:rPr>
                <w:color w:val="000000"/>
                <w:spacing w:val="0"/>
                <w:w w:val="100"/>
                <w:position w:val="0"/>
                <w:sz w:val="20"/>
                <w:szCs w:val="20"/>
              </w:rPr>
              <w:t>供售后服务</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市场价格</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080" w:right="0" w:firstLine="0"/>
              <w:jc w:val="both"/>
              <w:rPr>
                <w:sz w:val="20"/>
                <w:szCs w:val="20"/>
              </w:rPr>
            </w:pPr>
            <w:r>
              <w:rPr>
                <w:rFonts w:ascii="Times New Roman" w:eastAsia="Times New Roman" w:hAnsi="Times New Roman" w:cs="Times New Roman"/>
                <w:color w:val="000000"/>
                <w:spacing w:val="0"/>
                <w:w w:val="100"/>
                <w:position w:val="0"/>
                <w:sz w:val="20"/>
                <w:szCs w:val="20"/>
              </w:rPr>
              <w:t>2</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19</w:t>
            </w:r>
          </w:p>
        </w:tc>
      </w:tr>
      <w:tr>
        <w:trPr>
          <w:trHeight w:val="523"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连云港苏宁置业</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销售商品和提</w:t>
            </w:r>
          </w:p>
          <w:p>
            <w:pPr>
              <w:pStyle w:val="Style28"/>
              <w:keepNext w:val="0"/>
              <w:keepLines w:val="0"/>
              <w:widowControl w:val="0"/>
              <w:shd w:val="clear" w:color="auto" w:fill="auto"/>
              <w:bidi w:val="0"/>
              <w:spacing w:before="0" w:after="0" w:line="240" w:lineRule="auto"/>
              <w:ind w:left="0" w:right="0" w:firstLine="340"/>
              <w:jc w:val="both"/>
              <w:rPr>
                <w:sz w:val="20"/>
                <w:szCs w:val="20"/>
              </w:rPr>
            </w:pPr>
            <w:r>
              <w:rPr>
                <w:color w:val="000000"/>
                <w:spacing w:val="0"/>
                <w:w w:val="100"/>
                <w:position w:val="0"/>
                <w:sz w:val="20"/>
                <w:szCs w:val="20"/>
              </w:rPr>
              <w:t>供售后服务</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市场价格</w:t>
            </w:r>
          </w:p>
        </w:tc>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1,780</w:t>
            </w:r>
          </w:p>
        </w:tc>
      </w:tr>
      <w:tr>
        <w:trPr>
          <w:trHeight w:val="514"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高淳苏宁置业</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销售商品和提</w:t>
            </w:r>
          </w:p>
          <w:p>
            <w:pPr>
              <w:pStyle w:val="Style28"/>
              <w:keepNext w:val="0"/>
              <w:keepLines w:val="0"/>
              <w:widowControl w:val="0"/>
              <w:shd w:val="clear" w:color="auto" w:fill="auto"/>
              <w:bidi w:val="0"/>
              <w:spacing w:before="0" w:after="0" w:line="240" w:lineRule="auto"/>
              <w:ind w:left="0" w:right="0" w:firstLine="340"/>
              <w:jc w:val="both"/>
              <w:rPr>
                <w:sz w:val="20"/>
                <w:szCs w:val="20"/>
              </w:rPr>
            </w:pPr>
            <w:r>
              <w:rPr>
                <w:color w:val="000000"/>
                <w:spacing w:val="0"/>
                <w:w w:val="100"/>
                <w:position w:val="0"/>
                <w:sz w:val="20"/>
                <w:szCs w:val="20"/>
              </w:rPr>
              <w:t>供售后服务</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市场价格</w:t>
            </w:r>
          </w:p>
        </w:tc>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635</w:t>
            </w:r>
          </w:p>
        </w:tc>
      </w:tr>
      <w:tr>
        <w:trPr>
          <w:trHeight w:val="518"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玄武苏宁置业</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销售商品和提</w:t>
            </w:r>
          </w:p>
          <w:p>
            <w:pPr>
              <w:pStyle w:val="Style28"/>
              <w:keepNext w:val="0"/>
              <w:keepLines w:val="0"/>
              <w:widowControl w:val="0"/>
              <w:shd w:val="clear" w:color="auto" w:fill="auto"/>
              <w:bidi w:val="0"/>
              <w:spacing w:before="0" w:after="0" w:line="240" w:lineRule="auto"/>
              <w:ind w:left="0" w:right="0" w:firstLine="340"/>
              <w:jc w:val="both"/>
              <w:rPr>
                <w:sz w:val="20"/>
                <w:szCs w:val="20"/>
              </w:rPr>
            </w:pPr>
            <w:r>
              <w:rPr>
                <w:color w:val="000000"/>
                <w:spacing w:val="0"/>
                <w:w w:val="100"/>
                <w:position w:val="0"/>
                <w:sz w:val="20"/>
                <w:szCs w:val="20"/>
              </w:rPr>
              <w:t>供售后服务</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市场价格</w:t>
            </w:r>
          </w:p>
        </w:tc>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303</w:t>
            </w:r>
          </w:p>
        </w:tc>
      </w:tr>
      <w:tr>
        <w:trPr>
          <w:trHeight w:val="523"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镇江苏宁置业</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销售商品和提</w:t>
            </w:r>
          </w:p>
          <w:p>
            <w:pPr>
              <w:pStyle w:val="Style28"/>
              <w:keepNext w:val="0"/>
              <w:keepLines w:val="0"/>
              <w:widowControl w:val="0"/>
              <w:shd w:val="clear" w:color="auto" w:fill="auto"/>
              <w:bidi w:val="0"/>
              <w:spacing w:before="0" w:after="0" w:line="240" w:lineRule="auto"/>
              <w:ind w:left="0" w:right="0" w:firstLine="340"/>
              <w:jc w:val="both"/>
              <w:rPr>
                <w:sz w:val="20"/>
                <w:szCs w:val="20"/>
              </w:rPr>
            </w:pPr>
            <w:r>
              <w:rPr>
                <w:color w:val="000000"/>
                <w:spacing w:val="0"/>
                <w:w w:val="100"/>
                <w:position w:val="0"/>
                <w:sz w:val="20"/>
                <w:szCs w:val="20"/>
              </w:rPr>
              <w:t>供售后服务</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市场价格</w:t>
            </w:r>
          </w:p>
        </w:tc>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158</w:t>
            </w:r>
          </w:p>
        </w:tc>
      </w:tr>
      <w:tr>
        <w:trPr>
          <w:trHeight w:val="518"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索菲特银河大酒店</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销售商品和提</w:t>
            </w:r>
          </w:p>
          <w:p>
            <w:pPr>
              <w:pStyle w:val="Style28"/>
              <w:keepNext w:val="0"/>
              <w:keepLines w:val="0"/>
              <w:widowControl w:val="0"/>
              <w:shd w:val="clear" w:color="auto" w:fill="auto"/>
              <w:bidi w:val="0"/>
              <w:spacing w:before="0" w:after="0" w:line="240" w:lineRule="auto"/>
              <w:ind w:left="0" w:right="0" w:firstLine="340"/>
              <w:jc w:val="both"/>
              <w:rPr>
                <w:sz w:val="20"/>
                <w:szCs w:val="20"/>
              </w:rPr>
            </w:pPr>
            <w:r>
              <w:rPr>
                <w:color w:val="000000"/>
                <w:spacing w:val="0"/>
                <w:w w:val="100"/>
                <w:position w:val="0"/>
                <w:sz w:val="20"/>
                <w:szCs w:val="20"/>
              </w:rPr>
              <w:t>供售后服务</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市场价格</w:t>
            </w:r>
          </w:p>
        </w:tc>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w:t>
            </w:r>
          </w:p>
        </w:tc>
      </w:tr>
      <w:tr>
        <w:trPr>
          <w:trHeight w:val="518"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石家庄苏宁房地产开发</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销售商品和提</w:t>
            </w:r>
          </w:p>
          <w:p>
            <w:pPr>
              <w:pStyle w:val="Style28"/>
              <w:keepNext w:val="0"/>
              <w:keepLines w:val="0"/>
              <w:widowControl w:val="0"/>
              <w:shd w:val="clear" w:color="auto" w:fill="auto"/>
              <w:bidi w:val="0"/>
              <w:spacing w:before="0" w:after="0" w:line="240" w:lineRule="auto"/>
              <w:ind w:left="0" w:right="0" w:firstLine="340"/>
              <w:jc w:val="both"/>
              <w:rPr>
                <w:sz w:val="20"/>
                <w:szCs w:val="20"/>
              </w:rPr>
            </w:pPr>
            <w:r>
              <w:rPr>
                <w:color w:val="000000"/>
                <w:spacing w:val="0"/>
                <w:w w:val="100"/>
                <w:position w:val="0"/>
                <w:sz w:val="20"/>
                <w:szCs w:val="20"/>
              </w:rPr>
              <w:t>供售后服务</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市场价格</w:t>
            </w:r>
          </w:p>
        </w:tc>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91</w:t>
            </w:r>
          </w:p>
        </w:tc>
      </w:tr>
      <w:tr>
        <w:trPr>
          <w:trHeight w:val="518"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苏宁电器集团</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销售商品和提</w:t>
            </w:r>
          </w:p>
          <w:p>
            <w:pPr>
              <w:pStyle w:val="Style28"/>
              <w:keepNext w:val="0"/>
              <w:keepLines w:val="0"/>
              <w:widowControl w:val="0"/>
              <w:shd w:val="clear" w:color="auto" w:fill="auto"/>
              <w:bidi w:val="0"/>
              <w:spacing w:before="0" w:after="0" w:line="240" w:lineRule="auto"/>
              <w:ind w:left="0" w:right="0" w:firstLine="340"/>
              <w:jc w:val="both"/>
              <w:rPr>
                <w:sz w:val="20"/>
                <w:szCs w:val="20"/>
              </w:rPr>
            </w:pPr>
            <w:r>
              <w:rPr>
                <w:color w:val="000000"/>
                <w:spacing w:val="0"/>
                <w:w w:val="100"/>
                <w:position w:val="0"/>
                <w:sz w:val="20"/>
                <w:szCs w:val="20"/>
              </w:rPr>
              <w:t>供售后服务</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市场价格</w:t>
            </w:r>
          </w:p>
        </w:tc>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78</w:t>
            </w:r>
          </w:p>
        </w:tc>
      </w:tr>
      <w:tr>
        <w:trPr>
          <w:trHeight w:val="518"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淮安苏宁置业</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销售商品和提</w:t>
            </w:r>
          </w:p>
          <w:p>
            <w:pPr>
              <w:pStyle w:val="Style28"/>
              <w:keepNext w:val="0"/>
              <w:keepLines w:val="0"/>
              <w:widowControl w:val="0"/>
              <w:shd w:val="clear" w:color="auto" w:fill="auto"/>
              <w:bidi w:val="0"/>
              <w:spacing w:before="0" w:after="0" w:line="240" w:lineRule="auto"/>
              <w:ind w:left="0" w:right="0" w:firstLine="340"/>
              <w:jc w:val="both"/>
              <w:rPr>
                <w:sz w:val="20"/>
                <w:szCs w:val="20"/>
              </w:rPr>
            </w:pPr>
            <w:r>
              <w:rPr>
                <w:color w:val="000000"/>
                <w:spacing w:val="0"/>
                <w:w w:val="100"/>
                <w:position w:val="0"/>
                <w:sz w:val="20"/>
                <w:szCs w:val="20"/>
              </w:rPr>
              <w:t>供售后服务</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市场价格</w:t>
            </w:r>
          </w:p>
        </w:tc>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60</w:t>
            </w:r>
          </w:p>
        </w:tc>
      </w:tr>
      <w:tr>
        <w:trPr>
          <w:trHeight w:val="528"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沃德置业</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销售商品和提</w:t>
            </w:r>
          </w:p>
          <w:p>
            <w:pPr>
              <w:pStyle w:val="Style28"/>
              <w:keepNext w:val="0"/>
              <w:keepLines w:val="0"/>
              <w:widowControl w:val="0"/>
              <w:shd w:val="clear" w:color="auto" w:fill="auto"/>
              <w:bidi w:val="0"/>
              <w:spacing w:before="0" w:after="0" w:line="240" w:lineRule="auto"/>
              <w:ind w:left="0" w:right="0" w:firstLine="340"/>
              <w:jc w:val="both"/>
              <w:rPr>
                <w:sz w:val="20"/>
                <w:szCs w:val="20"/>
              </w:rPr>
            </w:pPr>
            <w:r>
              <w:rPr>
                <w:color w:val="000000"/>
                <w:spacing w:val="0"/>
                <w:w w:val="100"/>
                <w:position w:val="0"/>
                <w:sz w:val="20"/>
                <w:szCs w:val="20"/>
              </w:rPr>
              <w:t>供售后服务</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市场价格</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46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32</w:t>
            </w:r>
          </w:p>
        </w:tc>
      </w:tr>
      <w:tr>
        <w:trPr>
          <w:trHeight w:val="259"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92,338</w:t>
            </w:r>
          </w:p>
        </w:tc>
        <w:tc>
          <w:tcPr>
            <w:tcBorders>
              <w:top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38,382</w:t>
            </w:r>
          </w:p>
        </w:tc>
      </w:tr>
    </w:tbl>
    <w:p>
      <w:pPr>
        <w:widowControl w:val="0"/>
        <w:spacing w:line="1" w:lineRule="exact"/>
      </w:pPr>
      <w:r>
        <w:br w:type="page"/>
      </w:r>
    </w:p>
    <w:p>
      <w:pPr>
        <w:pStyle w:val="Style25"/>
        <w:keepNext w:val="0"/>
        <w:keepLines w:val="0"/>
        <w:widowControl w:val="0"/>
        <w:shd w:val="clear" w:color="auto" w:fill="auto"/>
        <w:bidi w:val="0"/>
        <w:spacing w:before="0" w:after="0" w:line="240" w:lineRule="auto"/>
        <w:ind w:left="773" w:right="0" w:firstLine="0"/>
        <w:jc w:val="left"/>
        <w:rPr>
          <w:sz w:val="24"/>
          <w:szCs w:val="24"/>
        </w:rPr>
      </w:pPr>
      <w:r>
        <w:rPr>
          <w:b/>
          <w:bCs/>
          <w:color w:val="000000"/>
          <w:spacing w:val="0"/>
          <w:w w:val="100"/>
          <w:position w:val="0"/>
          <w:sz w:val="24"/>
          <w:szCs w:val="24"/>
        </w:rPr>
        <w:t>财务报表附注</w:t>
      </w:r>
    </w:p>
    <w:p>
      <w:pPr>
        <w:pStyle w:val="Style25"/>
        <w:keepNext w:val="0"/>
        <w:keepLines w:val="0"/>
        <w:widowControl w:val="0"/>
        <w:shd w:val="clear" w:color="auto" w:fill="auto"/>
        <w:bidi w:val="0"/>
        <w:spacing w:before="0" w:after="0" w:line="240" w:lineRule="auto"/>
        <w:ind w:left="773" w:right="0" w:firstLine="0"/>
        <w:jc w:val="left"/>
        <w:rPr>
          <w:sz w:val="24"/>
          <w:szCs w:val="24"/>
        </w:rPr>
      </w:pPr>
      <w:r>
        <w:rPr>
          <w:rFonts w:ascii="Arial" w:eastAsia="Arial" w:hAnsi="Arial" w:cs="Arial"/>
          <w:color w:val="000000"/>
          <w:spacing w:val="0"/>
          <w:w w:val="100"/>
          <w:position w:val="0"/>
          <w:sz w:val="24"/>
          <w:szCs w:val="24"/>
        </w:rPr>
        <w:t>2016</w:t>
      </w:r>
      <w:r>
        <w:rPr>
          <w:b/>
          <w:bCs/>
          <w:color w:val="000000"/>
          <w:spacing w:val="0"/>
          <w:w w:val="100"/>
          <w:position w:val="0"/>
          <w:sz w:val="24"/>
          <w:szCs w:val="24"/>
        </w:rPr>
        <w:t>年度</w:t>
      </w:r>
    </w:p>
    <w:p>
      <w:pPr>
        <w:pStyle w:val="Style25"/>
        <w:keepNext w:val="0"/>
        <w:keepLines w:val="0"/>
        <w:widowControl w:val="0"/>
        <w:shd w:val="clear" w:color="auto" w:fill="auto"/>
        <w:bidi w:val="0"/>
        <w:spacing w:before="0" w:after="0" w:line="240" w:lineRule="auto"/>
        <w:ind w:left="773" w:right="0" w:firstLine="0"/>
        <w:jc w:val="left"/>
        <w:rPr>
          <w:sz w:val="20"/>
          <w:szCs w:val="20"/>
        </w:rPr>
      </w:pPr>
      <w:r>
        <w:rPr>
          <w:rFonts w:ascii="Arial" w:eastAsia="Arial" w:hAnsi="Arial" w:cs="Arial"/>
          <w:color w:val="000000"/>
          <w:spacing w:val="0"/>
          <w:w w:val="100"/>
          <w:position w:val="0"/>
          <w:sz w:val="20"/>
          <w:szCs w:val="20"/>
        </w:rPr>
        <w:t>（</w:t>
      </w:r>
      <w:r>
        <w:rPr>
          <w:color w:val="000000"/>
          <w:spacing w:val="0"/>
          <w:w w:val="100"/>
          <w:position w:val="0"/>
          <w:sz w:val="20"/>
          <w:szCs w:val="20"/>
        </w:rPr>
        <w:t>除特别注明外，金额单位为人民币千元</w:t>
      </w:r>
      <w:r>
        <w:rPr>
          <w:rFonts w:ascii="Arial" w:eastAsia="Arial" w:hAnsi="Arial" w:cs="Arial"/>
          <w:color w:val="000000"/>
          <w:spacing w:val="0"/>
          <w:w w:val="100"/>
          <w:position w:val="0"/>
          <w:sz w:val="20"/>
          <w:szCs w:val="20"/>
        </w:rPr>
        <w:t>）</w:t>
      </w:r>
    </w:p>
    <w:tbl>
      <w:tblPr>
        <w:tblOverlap w:val="never"/>
        <w:jc w:val="center"/>
        <w:tblLayout w:type="fixed"/>
      </w:tblPr>
      <w:tblGrid>
        <w:gridCol w:w="528"/>
        <w:gridCol w:w="3893"/>
        <w:gridCol w:w="2890"/>
        <w:gridCol w:w="1872"/>
      </w:tblGrid>
      <w:tr>
        <w:trPr>
          <w:trHeight w:val="446"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4"/>
                <w:szCs w:val="24"/>
              </w:rPr>
            </w:pPr>
            <w:r>
              <w:rPr>
                <w:b/>
                <w:bCs/>
                <w:color w:val="000000"/>
                <w:spacing w:val="0"/>
                <w:w w:val="100"/>
                <w:position w:val="0"/>
                <w:sz w:val="24"/>
                <w:szCs w:val="24"/>
              </w:rPr>
              <w:t>八</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left"/>
              <w:rPr>
                <w:sz w:val="24"/>
                <w:szCs w:val="24"/>
              </w:rPr>
            </w:pPr>
            <w:r>
              <w:rPr>
                <w:b/>
                <w:bCs/>
                <w:color w:val="000000"/>
                <w:spacing w:val="0"/>
                <w:w w:val="100"/>
                <w:position w:val="0"/>
                <w:sz w:val="24"/>
                <w:szCs w:val="24"/>
              </w:rPr>
              <w:t>关联方关系及其交易</w:t>
            </w:r>
            <w:r>
              <w:rPr>
                <w:rFonts w:ascii="Times New Roman" w:eastAsia="Times New Roman" w:hAnsi="Times New Roman" w:cs="Times New Roman"/>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4"/>
                <w:szCs w:val="24"/>
              </w:rPr>
              <w: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586"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4"/>
                <w:szCs w:val="24"/>
              </w:rPr>
            </w:pPr>
            <w:r>
              <w:rPr>
                <w:rFonts w:ascii="Times New Roman" w:eastAsia="Times New Roman" w:hAnsi="Times New Roman" w:cs="Times New Roman"/>
                <w:color w:val="000000"/>
                <w:spacing w:val="0"/>
                <w:w w:val="100"/>
                <w:position w:val="0"/>
                <w:sz w:val="24"/>
                <w:szCs w:val="24"/>
              </w:rPr>
              <w:t>(6)</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24"/>
                <w:szCs w:val="24"/>
              </w:rPr>
            </w:pPr>
            <w:r>
              <w:rPr>
                <w:b/>
                <w:bCs/>
                <w:color w:val="000000"/>
                <w:spacing w:val="0"/>
                <w:w w:val="100"/>
                <w:position w:val="0"/>
                <w:sz w:val="24"/>
                <w:szCs w:val="24"/>
              </w:rPr>
              <w:t>关联交易</w:t>
            </w:r>
            <w:r>
              <w:rPr>
                <w:rFonts w:ascii="Times New Roman" w:eastAsia="Times New Roman" w:hAnsi="Times New Roman" w:cs="Times New Roman"/>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4"/>
                <w:szCs w:val="24"/>
              </w:rPr>
              <w: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576"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4"/>
                <w:szCs w:val="24"/>
              </w:rPr>
            </w:pPr>
            <w:r>
              <w:rPr>
                <w:rFonts w:ascii="Times New Roman" w:eastAsia="Times New Roman" w:hAnsi="Times New Roman" w:cs="Times New Roman"/>
                <w:color w:val="000000"/>
                <w:spacing w:val="0"/>
                <w:w w:val="100"/>
                <w:position w:val="0"/>
                <w:sz w:val="24"/>
                <w:szCs w:val="24"/>
              </w:rPr>
              <w:t>(b)</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24"/>
                <w:szCs w:val="24"/>
              </w:rPr>
            </w:pPr>
            <w:r>
              <w:rPr>
                <w:color w:val="000000"/>
                <w:spacing w:val="0"/>
                <w:w w:val="100"/>
                <w:position w:val="0"/>
                <w:sz w:val="24"/>
                <w:szCs w:val="24"/>
              </w:rPr>
              <w:t>米购商品</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590"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1100" w:right="0" w:firstLine="0"/>
              <w:jc w:val="both"/>
              <w:rPr>
                <w:sz w:val="24"/>
                <w:szCs w:val="24"/>
              </w:rPr>
            </w:pP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年度</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60"/>
              <w:jc w:val="left"/>
              <w:rPr>
                <w:sz w:val="24"/>
                <w:szCs w:val="24"/>
              </w:rPr>
            </w:pPr>
            <w:r>
              <w:rPr>
                <w:rFonts w:ascii="Times New Roman" w:eastAsia="Times New Roman" w:hAnsi="Times New Roman" w:cs="Times New Roman"/>
                <w:color w:val="000000"/>
                <w:spacing w:val="0"/>
                <w:w w:val="100"/>
                <w:position w:val="0"/>
                <w:sz w:val="24"/>
                <w:szCs w:val="24"/>
              </w:rPr>
              <w:t>2015</w:t>
            </w:r>
            <w:r>
              <w:rPr>
                <w:color w:val="000000"/>
                <w:spacing w:val="0"/>
                <w:w w:val="100"/>
                <w:position w:val="0"/>
                <w:sz w:val="24"/>
                <w:szCs w:val="24"/>
              </w:rPr>
              <w:t>年度</w:t>
            </w:r>
          </w:p>
        </w:tc>
      </w:tr>
      <w:tr>
        <w:trPr>
          <w:trHeight w:val="456"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left"/>
              <w:rPr>
                <w:sz w:val="24"/>
                <w:szCs w:val="24"/>
              </w:rPr>
            </w:pPr>
            <w:r>
              <w:rPr>
                <w:color w:val="000000"/>
                <w:spacing w:val="0"/>
                <w:w w:val="100"/>
                <w:position w:val="0"/>
                <w:sz w:val="24"/>
                <w:szCs w:val="24"/>
              </w:rPr>
              <w:t>上海通视铭泰</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760" w:firstLine="0"/>
              <w:jc w:val="right"/>
              <w:rPr>
                <w:sz w:val="24"/>
                <w:szCs w:val="24"/>
              </w:rPr>
            </w:pPr>
            <w:r>
              <w:rPr>
                <w:rFonts w:ascii="Times New Roman" w:eastAsia="Times New Roman" w:hAnsi="Times New Roman" w:cs="Times New Roman"/>
                <w:color w:val="000000"/>
                <w:spacing w:val="0"/>
                <w:w w:val="100"/>
                <w:position w:val="0"/>
                <w:sz w:val="24"/>
                <w:szCs w:val="24"/>
              </w:rPr>
              <w:t>684,620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w:t>
            </w:r>
          </w:p>
        </w:tc>
      </w:tr>
      <w:tr>
        <w:trPr>
          <w:trHeight w:val="302"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left"/>
              <w:rPr>
                <w:sz w:val="24"/>
                <w:szCs w:val="24"/>
              </w:rPr>
            </w:pPr>
            <w:r>
              <w:rPr>
                <w:color w:val="000000"/>
                <w:spacing w:val="0"/>
                <w:w w:val="100"/>
                <w:position w:val="0"/>
                <w:sz w:val="24"/>
                <w:szCs w:val="24"/>
              </w:rPr>
              <w:t>上海骋娱</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760" w:firstLine="0"/>
              <w:jc w:val="right"/>
              <w:rPr>
                <w:sz w:val="24"/>
                <w:szCs w:val="24"/>
              </w:rPr>
            </w:pPr>
            <w:r>
              <w:rPr>
                <w:rFonts w:ascii="Times New Roman" w:eastAsia="Times New Roman" w:hAnsi="Times New Roman" w:cs="Times New Roman"/>
                <w:color w:val="000000"/>
                <w:spacing w:val="0"/>
                <w:w w:val="100"/>
                <w:position w:val="0"/>
                <w:sz w:val="24"/>
                <w:szCs w:val="24"/>
              </w:rPr>
              <w:t>53,756</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w:t>
            </w:r>
          </w:p>
        </w:tc>
      </w:tr>
      <w:tr>
        <w:trPr>
          <w:trHeight w:val="312"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24"/>
                <w:szCs w:val="24"/>
              </w:rPr>
            </w:pPr>
            <w:r>
              <w:rPr>
                <w:color w:val="000000"/>
                <w:spacing w:val="0"/>
                <w:w w:val="100"/>
                <w:position w:val="0"/>
                <w:sz w:val="24"/>
                <w:szCs w:val="24"/>
              </w:rPr>
              <w:t>锤子科技</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760" w:firstLine="0"/>
              <w:jc w:val="right"/>
              <w:rPr>
                <w:sz w:val="24"/>
                <w:szCs w:val="24"/>
              </w:rPr>
            </w:pPr>
            <w:r>
              <w:rPr>
                <w:rFonts w:ascii="Times New Roman" w:eastAsia="Times New Roman" w:hAnsi="Times New Roman" w:cs="Times New Roman"/>
                <w:color w:val="000000"/>
                <w:spacing w:val="0"/>
                <w:w w:val="100"/>
                <w:position w:val="0"/>
                <w:sz w:val="24"/>
                <w:szCs w:val="24"/>
              </w:rPr>
              <w:t>7,168</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w:t>
            </w:r>
          </w:p>
        </w:tc>
      </w:tr>
      <w:tr>
        <w:trPr>
          <w:trHeight w:val="293" w:hRule="exact"/>
        </w:trPr>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760" w:firstLine="0"/>
              <w:jc w:val="right"/>
              <w:rPr>
                <w:sz w:val="24"/>
                <w:szCs w:val="24"/>
              </w:rPr>
            </w:pPr>
            <w:r>
              <w:rPr>
                <w:rFonts w:ascii="Times New Roman" w:eastAsia="Times New Roman" w:hAnsi="Times New Roman" w:cs="Times New Roman"/>
                <w:color w:val="000000"/>
                <w:spacing w:val="0"/>
                <w:w w:val="100"/>
                <w:position w:val="0"/>
                <w:sz w:val="24"/>
                <w:szCs w:val="24"/>
              </w:rPr>
              <w:t>745,544</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w:t>
            </w:r>
          </w:p>
        </w:tc>
      </w:tr>
      <w:tr>
        <w:trPr>
          <w:trHeight w:val="739"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4"/>
                <w:szCs w:val="24"/>
              </w:rPr>
            </w:pPr>
            <w:r>
              <w:rPr>
                <w:rFonts w:ascii="Times New Roman" w:eastAsia="Times New Roman" w:hAnsi="Times New Roman" w:cs="Times New Roman"/>
                <w:color w:val="000000"/>
                <w:spacing w:val="0"/>
                <w:w w:val="100"/>
                <w:position w:val="0"/>
                <w:sz w:val="24"/>
                <w:szCs w:val="24"/>
              </w:rPr>
              <w:t>(c)</w:t>
            </w:r>
          </w:p>
        </w:tc>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24"/>
                <w:szCs w:val="24"/>
              </w:rPr>
            </w:pPr>
            <w:r>
              <w:rPr>
                <w:color w:val="000000"/>
                <w:spacing w:val="0"/>
                <w:w w:val="100"/>
                <w:position w:val="0"/>
                <w:sz w:val="24"/>
                <w:szCs w:val="24"/>
              </w:rPr>
              <w:t>提供物流售后服务</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590"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1100" w:right="0" w:firstLine="0"/>
              <w:jc w:val="both"/>
              <w:rPr>
                <w:sz w:val="24"/>
                <w:szCs w:val="24"/>
              </w:rPr>
            </w:pP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年度</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60"/>
              <w:jc w:val="left"/>
              <w:rPr>
                <w:sz w:val="24"/>
                <w:szCs w:val="24"/>
              </w:rPr>
            </w:pPr>
            <w:r>
              <w:rPr>
                <w:rFonts w:ascii="Times New Roman" w:eastAsia="Times New Roman" w:hAnsi="Times New Roman" w:cs="Times New Roman"/>
                <w:color w:val="000000"/>
                <w:spacing w:val="0"/>
                <w:w w:val="100"/>
                <w:position w:val="0"/>
                <w:sz w:val="24"/>
                <w:szCs w:val="24"/>
              </w:rPr>
              <w:t>2015</w:t>
            </w:r>
            <w:r>
              <w:rPr>
                <w:color w:val="000000"/>
                <w:spacing w:val="0"/>
                <w:w w:val="100"/>
                <w:position w:val="0"/>
                <w:sz w:val="24"/>
                <w:szCs w:val="24"/>
              </w:rPr>
              <w:t>年度</w:t>
            </w:r>
          </w:p>
        </w:tc>
      </w:tr>
      <w:tr>
        <w:trPr>
          <w:trHeight w:val="451"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left"/>
              <w:rPr>
                <w:sz w:val="24"/>
                <w:szCs w:val="24"/>
              </w:rPr>
            </w:pPr>
            <w:r>
              <w:rPr>
                <w:color w:val="000000"/>
                <w:spacing w:val="0"/>
                <w:w w:val="100"/>
                <w:position w:val="0"/>
                <w:sz w:val="24"/>
                <w:szCs w:val="24"/>
              </w:rPr>
              <w:t>上海通视铭泰</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760" w:firstLine="0"/>
              <w:jc w:val="right"/>
              <w:rPr>
                <w:sz w:val="24"/>
                <w:szCs w:val="24"/>
              </w:rPr>
            </w:pPr>
            <w:r>
              <w:rPr>
                <w:rFonts w:ascii="Times New Roman" w:eastAsia="Times New Roman" w:hAnsi="Times New Roman" w:cs="Times New Roman"/>
                <w:color w:val="000000"/>
                <w:spacing w:val="0"/>
                <w:w w:val="100"/>
                <w:position w:val="0"/>
                <w:sz w:val="24"/>
                <w:szCs w:val="24"/>
              </w:rPr>
              <w:t>608</w:t>
            </w:r>
          </w:p>
        </w:tc>
        <w:tc>
          <w:tcPr>
            <w:tcBorders/>
            <w:shd w:val="clear" w:color="auto" w:fill="FFFFFF"/>
            <w:vAlign w:val="top"/>
          </w:tcPr>
          <w:p>
            <w:pPr>
              <w:widowControl w:val="0"/>
              <w:rPr>
                <w:sz w:val="10"/>
                <w:szCs w:val="10"/>
              </w:rPr>
            </w:pPr>
          </w:p>
        </w:tc>
      </w:tr>
      <w:tr>
        <w:trPr>
          <w:trHeight w:val="312"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left"/>
              <w:rPr>
                <w:sz w:val="24"/>
                <w:szCs w:val="24"/>
              </w:rPr>
            </w:pPr>
            <w:r>
              <w:rPr>
                <w:color w:val="000000"/>
                <w:spacing w:val="0"/>
                <w:w w:val="100"/>
                <w:position w:val="0"/>
                <w:sz w:val="24"/>
                <w:szCs w:val="24"/>
              </w:rPr>
              <w:t>上海骋娱</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760" w:firstLine="0"/>
              <w:jc w:val="right"/>
              <w:rPr>
                <w:sz w:val="24"/>
                <w:szCs w:val="24"/>
              </w:rPr>
            </w:pPr>
            <w:r>
              <w:rPr>
                <w:rFonts w:ascii="Times New Roman" w:eastAsia="Times New Roman" w:hAnsi="Times New Roman" w:cs="Times New Roman"/>
                <w:color w:val="000000"/>
                <w:spacing w:val="0"/>
                <w:w w:val="100"/>
                <w:position w:val="0"/>
                <w:sz w:val="24"/>
                <w:szCs w:val="24"/>
              </w:rPr>
              <w:t>79</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w:t>
            </w:r>
          </w:p>
        </w:tc>
      </w:tr>
      <w:tr>
        <w:trPr>
          <w:trHeight w:val="293" w:hRule="exact"/>
        </w:trPr>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760" w:firstLine="0"/>
              <w:jc w:val="right"/>
              <w:rPr>
                <w:sz w:val="24"/>
                <w:szCs w:val="24"/>
              </w:rPr>
            </w:pPr>
            <w:r>
              <w:rPr>
                <w:rFonts w:ascii="Times New Roman" w:eastAsia="Times New Roman" w:hAnsi="Times New Roman" w:cs="Times New Roman"/>
                <w:color w:val="000000"/>
                <w:spacing w:val="0"/>
                <w:w w:val="100"/>
                <w:position w:val="0"/>
                <w:sz w:val="24"/>
                <w:szCs w:val="24"/>
              </w:rPr>
              <w:t>687</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w:t>
            </w:r>
          </w:p>
        </w:tc>
      </w:tr>
      <w:tr>
        <w:trPr>
          <w:trHeight w:val="739"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4"/>
                <w:szCs w:val="24"/>
              </w:rPr>
            </w:pPr>
            <w:r>
              <w:rPr>
                <w:rFonts w:ascii="Times New Roman" w:eastAsia="Times New Roman" w:hAnsi="Times New Roman" w:cs="Times New Roman"/>
                <w:color w:val="000000"/>
                <w:spacing w:val="0"/>
                <w:w w:val="100"/>
                <w:position w:val="0"/>
                <w:sz w:val="24"/>
                <w:szCs w:val="24"/>
              </w:rPr>
              <w:t>(d)</w:t>
            </w:r>
          </w:p>
        </w:tc>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24"/>
                <w:szCs w:val="24"/>
              </w:rPr>
            </w:pPr>
            <w:r>
              <w:rPr>
                <w:color w:val="000000"/>
                <w:spacing w:val="0"/>
                <w:w w:val="100"/>
                <w:position w:val="0"/>
                <w:sz w:val="24"/>
                <w:szCs w:val="24"/>
              </w:rPr>
              <w:t>接受工程设计服务</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590"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1100" w:right="0" w:firstLine="0"/>
              <w:jc w:val="both"/>
              <w:rPr>
                <w:sz w:val="24"/>
                <w:szCs w:val="24"/>
              </w:rPr>
            </w:pP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年度</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60"/>
              <w:jc w:val="left"/>
              <w:rPr>
                <w:sz w:val="24"/>
                <w:szCs w:val="24"/>
              </w:rPr>
            </w:pPr>
            <w:r>
              <w:rPr>
                <w:rFonts w:ascii="Times New Roman" w:eastAsia="Times New Roman" w:hAnsi="Times New Roman" w:cs="Times New Roman"/>
                <w:color w:val="000000"/>
                <w:spacing w:val="0"/>
                <w:w w:val="100"/>
                <w:position w:val="0"/>
                <w:sz w:val="24"/>
                <w:szCs w:val="24"/>
              </w:rPr>
              <w:t>2015</w:t>
            </w:r>
            <w:r>
              <w:rPr>
                <w:color w:val="000000"/>
                <w:spacing w:val="0"/>
                <w:w w:val="100"/>
                <w:position w:val="0"/>
                <w:sz w:val="24"/>
                <w:szCs w:val="24"/>
              </w:rPr>
              <w:t>年度</w:t>
            </w:r>
          </w:p>
        </w:tc>
      </w:tr>
      <w:tr>
        <w:trPr>
          <w:trHeight w:val="461"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left"/>
              <w:rPr>
                <w:sz w:val="24"/>
                <w:szCs w:val="24"/>
              </w:rPr>
            </w:pPr>
            <w:r>
              <w:rPr>
                <w:color w:val="000000"/>
                <w:spacing w:val="0"/>
                <w:w w:val="100"/>
                <w:position w:val="0"/>
                <w:sz w:val="24"/>
                <w:szCs w:val="24"/>
              </w:rPr>
              <w:t>南京鼎辰建筑设计</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760" w:firstLine="0"/>
              <w:jc w:val="right"/>
              <w:rPr>
                <w:sz w:val="24"/>
                <w:szCs w:val="24"/>
              </w:rPr>
            </w:pPr>
            <w:r>
              <w:rPr>
                <w:rFonts w:ascii="Times New Roman" w:eastAsia="Times New Roman" w:hAnsi="Times New Roman" w:cs="Times New Roman"/>
                <w:color w:val="000000"/>
                <w:spacing w:val="0"/>
                <w:w w:val="100"/>
                <w:position w:val="0"/>
                <w:sz w:val="24"/>
                <w:szCs w:val="24"/>
              </w:rPr>
              <w:t>2,998</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w:t>
            </w:r>
          </w:p>
        </w:tc>
      </w:tr>
      <w:tr>
        <w:trPr>
          <w:trHeight w:val="739"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4"/>
                <w:szCs w:val="24"/>
              </w:rPr>
            </w:pPr>
            <w:r>
              <w:rPr>
                <w:rFonts w:ascii="Times New Roman" w:eastAsia="Times New Roman" w:hAnsi="Times New Roman" w:cs="Times New Roman"/>
                <w:color w:val="000000"/>
                <w:spacing w:val="0"/>
                <w:w w:val="100"/>
                <w:position w:val="0"/>
                <w:sz w:val="24"/>
                <w:szCs w:val="24"/>
              </w:rPr>
              <w:t>(e)</w:t>
            </w:r>
          </w:p>
        </w:tc>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24"/>
                <w:szCs w:val="24"/>
              </w:rPr>
            </w:pPr>
            <w:r>
              <w:rPr>
                <w:color w:val="000000"/>
                <w:spacing w:val="0"/>
                <w:w w:val="100"/>
                <w:position w:val="0"/>
                <w:sz w:val="24"/>
                <w:szCs w:val="24"/>
              </w:rPr>
              <w:t>提供技术咨询服务</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590"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1100" w:right="0" w:firstLine="0"/>
              <w:jc w:val="both"/>
              <w:rPr>
                <w:sz w:val="24"/>
                <w:szCs w:val="24"/>
              </w:rPr>
            </w:pP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年度</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60"/>
              <w:jc w:val="left"/>
              <w:rPr>
                <w:sz w:val="24"/>
                <w:szCs w:val="24"/>
              </w:rPr>
            </w:pPr>
            <w:r>
              <w:rPr>
                <w:rFonts w:ascii="Times New Roman" w:eastAsia="Times New Roman" w:hAnsi="Times New Roman" w:cs="Times New Roman"/>
                <w:color w:val="000000"/>
                <w:spacing w:val="0"/>
                <w:w w:val="100"/>
                <w:position w:val="0"/>
                <w:sz w:val="24"/>
                <w:szCs w:val="24"/>
              </w:rPr>
              <w:t>2015</w:t>
            </w:r>
            <w:r>
              <w:rPr>
                <w:color w:val="000000"/>
                <w:spacing w:val="0"/>
                <w:w w:val="100"/>
                <w:position w:val="0"/>
                <w:sz w:val="24"/>
                <w:szCs w:val="24"/>
              </w:rPr>
              <w:t>年度</w:t>
            </w:r>
          </w:p>
        </w:tc>
      </w:tr>
      <w:tr>
        <w:trPr>
          <w:trHeight w:val="466"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left"/>
              <w:rPr>
                <w:sz w:val="24"/>
                <w:szCs w:val="24"/>
              </w:rPr>
            </w:pPr>
            <w:r>
              <w:rPr>
                <w:color w:val="000000"/>
                <w:spacing w:val="0"/>
                <w:w w:val="100"/>
                <w:position w:val="0"/>
                <w:sz w:val="24"/>
                <w:szCs w:val="24"/>
              </w:rPr>
              <w:t>突触计算机系统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上海</w:t>
            </w:r>
            <w:r>
              <w:rPr>
                <w:color w:val="000000"/>
                <w:spacing w:val="0"/>
                <w:w w:val="100"/>
                <w:position w:val="0"/>
                <w:sz w:val="24"/>
                <w:szCs w:val="24"/>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760" w:firstLine="0"/>
              <w:jc w:val="right"/>
              <w:rPr>
                <w:sz w:val="24"/>
                <w:szCs w:val="24"/>
              </w:rPr>
            </w:pPr>
            <w:r>
              <w:rPr>
                <w:rFonts w:ascii="Times New Roman" w:eastAsia="Times New Roman" w:hAnsi="Times New Roman" w:cs="Times New Roman"/>
                <w:color w:val="000000"/>
                <w:spacing w:val="0"/>
                <w:w w:val="100"/>
                <w:position w:val="0"/>
                <w:sz w:val="24"/>
                <w:szCs w:val="24"/>
              </w:rPr>
              <w:t>12,150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w:t>
            </w:r>
          </w:p>
        </w:tc>
      </w:tr>
      <w:tr>
        <w:trPr>
          <w:trHeight w:val="739"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4"/>
                <w:szCs w:val="24"/>
              </w:rPr>
            </w:pPr>
            <w:r>
              <w:rPr>
                <w:rFonts w:ascii="Times New Roman" w:eastAsia="Times New Roman" w:hAnsi="Times New Roman" w:cs="Times New Roman"/>
                <w:color w:val="000000"/>
                <w:spacing w:val="0"/>
                <w:w w:val="100"/>
                <w:position w:val="0"/>
                <w:sz w:val="24"/>
                <w:szCs w:val="24"/>
              </w:rPr>
              <w:t>(f)</w:t>
            </w:r>
          </w:p>
        </w:tc>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24"/>
                <w:szCs w:val="24"/>
              </w:rPr>
            </w:pPr>
            <w:r>
              <w:rPr>
                <w:color w:val="000000"/>
                <w:spacing w:val="0"/>
                <w:w w:val="100"/>
                <w:position w:val="0"/>
                <w:sz w:val="24"/>
                <w:szCs w:val="24"/>
              </w:rPr>
              <w:t>提供众筹服务</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586"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1100" w:right="0" w:firstLine="0"/>
              <w:jc w:val="both"/>
              <w:rPr>
                <w:sz w:val="24"/>
                <w:szCs w:val="24"/>
              </w:rPr>
            </w:pP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年度</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60"/>
              <w:jc w:val="left"/>
              <w:rPr>
                <w:sz w:val="24"/>
                <w:szCs w:val="24"/>
              </w:rPr>
            </w:pPr>
            <w:r>
              <w:rPr>
                <w:rFonts w:ascii="Times New Roman" w:eastAsia="Times New Roman" w:hAnsi="Times New Roman" w:cs="Times New Roman"/>
                <w:color w:val="000000"/>
                <w:spacing w:val="0"/>
                <w:w w:val="100"/>
                <w:position w:val="0"/>
                <w:sz w:val="24"/>
                <w:szCs w:val="24"/>
              </w:rPr>
              <w:t>2015</w:t>
            </w:r>
            <w:r>
              <w:rPr>
                <w:color w:val="000000"/>
                <w:spacing w:val="0"/>
                <w:w w:val="100"/>
                <w:position w:val="0"/>
                <w:sz w:val="24"/>
                <w:szCs w:val="24"/>
              </w:rPr>
              <w:t>年度</w:t>
            </w:r>
          </w:p>
        </w:tc>
      </w:tr>
      <w:tr>
        <w:trPr>
          <w:trHeight w:val="480" w:hRule="exact"/>
        </w:trPr>
        <w:tc>
          <w:tcPr>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left"/>
              <w:rPr>
                <w:sz w:val="24"/>
                <w:szCs w:val="24"/>
              </w:rPr>
            </w:pPr>
            <w:r>
              <w:rPr>
                <w:color w:val="000000"/>
                <w:spacing w:val="0"/>
                <w:w w:val="100"/>
                <w:position w:val="0"/>
                <w:sz w:val="24"/>
                <w:szCs w:val="24"/>
              </w:rPr>
              <w:t>上海聚力</w:t>
            </w:r>
          </w:p>
        </w:tc>
        <w:tc>
          <w:tcPr>
            <w:tcBorders>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760" w:firstLine="0"/>
              <w:jc w:val="right"/>
              <w:rPr>
                <w:sz w:val="24"/>
                <w:szCs w:val="24"/>
              </w:rPr>
            </w:pPr>
            <w:r>
              <w:rPr>
                <w:rFonts w:ascii="Times New Roman" w:eastAsia="Times New Roman" w:hAnsi="Times New Roman" w:cs="Times New Roman"/>
                <w:color w:val="000000"/>
                <w:spacing w:val="0"/>
                <w:w w:val="100"/>
                <w:position w:val="0"/>
                <w:sz w:val="24"/>
                <w:szCs w:val="24"/>
              </w:rPr>
              <w:t>287</w:t>
            </w:r>
          </w:p>
        </w:tc>
        <w:tc>
          <w:tcPr>
            <w:tcBorders>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w:t>
            </w:r>
          </w:p>
        </w:tc>
      </w:tr>
    </w:tbl>
    <w:p>
      <w:pPr>
        <w:widowControl w:val="0"/>
        <w:spacing w:line="1" w:lineRule="exact"/>
      </w:pPr>
      <w:r>
        <w:br w:type="page"/>
      </w:r>
    </w:p>
    <w:p>
      <w:pPr>
        <w:pStyle w:val="Style25"/>
        <w:keepNext w:val="0"/>
        <w:keepLines w:val="0"/>
        <w:widowControl w:val="0"/>
        <w:shd w:val="clear" w:color="auto" w:fill="auto"/>
        <w:bidi w:val="0"/>
        <w:spacing w:before="0" w:after="0" w:line="240" w:lineRule="auto"/>
        <w:ind w:left="715" w:right="0" w:firstLine="0"/>
        <w:jc w:val="left"/>
        <w:rPr>
          <w:sz w:val="24"/>
          <w:szCs w:val="24"/>
        </w:rPr>
      </w:pPr>
      <w:r>
        <w:rPr>
          <w:b/>
          <w:bCs/>
          <w:color w:val="000000"/>
          <w:spacing w:val="0"/>
          <w:w w:val="100"/>
          <w:position w:val="0"/>
          <w:sz w:val="24"/>
          <w:szCs w:val="24"/>
        </w:rPr>
        <w:t>财务报表附注</w:t>
      </w:r>
    </w:p>
    <w:p>
      <w:pPr>
        <w:pStyle w:val="Style25"/>
        <w:keepNext w:val="0"/>
        <w:keepLines w:val="0"/>
        <w:widowControl w:val="0"/>
        <w:shd w:val="clear" w:color="auto" w:fill="auto"/>
        <w:bidi w:val="0"/>
        <w:spacing w:before="0" w:after="0" w:line="240" w:lineRule="auto"/>
        <w:ind w:left="715" w:right="0" w:firstLine="0"/>
        <w:jc w:val="left"/>
        <w:rPr>
          <w:sz w:val="24"/>
          <w:szCs w:val="24"/>
        </w:rPr>
      </w:pPr>
      <w:r>
        <w:rPr>
          <w:rFonts w:ascii="Arial" w:eastAsia="Arial" w:hAnsi="Arial" w:cs="Arial"/>
          <w:color w:val="000000"/>
          <w:spacing w:val="0"/>
          <w:w w:val="100"/>
          <w:position w:val="0"/>
          <w:sz w:val="24"/>
          <w:szCs w:val="24"/>
        </w:rPr>
        <w:t>2016</w:t>
      </w:r>
      <w:r>
        <w:rPr>
          <w:b/>
          <w:bCs/>
          <w:color w:val="000000"/>
          <w:spacing w:val="0"/>
          <w:w w:val="100"/>
          <w:position w:val="0"/>
          <w:sz w:val="24"/>
          <w:szCs w:val="24"/>
        </w:rPr>
        <w:t>年度</w:t>
      </w:r>
    </w:p>
    <w:p>
      <w:pPr>
        <w:pStyle w:val="Style25"/>
        <w:keepNext w:val="0"/>
        <w:keepLines w:val="0"/>
        <w:widowControl w:val="0"/>
        <w:shd w:val="clear" w:color="auto" w:fill="auto"/>
        <w:bidi w:val="0"/>
        <w:spacing w:before="0" w:after="0" w:line="240" w:lineRule="auto"/>
        <w:ind w:left="715" w:right="0" w:firstLine="0"/>
        <w:jc w:val="left"/>
        <w:rPr>
          <w:sz w:val="20"/>
          <w:szCs w:val="20"/>
        </w:rPr>
      </w:pPr>
      <w:r>
        <w:rPr>
          <w:rFonts w:ascii="Arial" w:eastAsia="Arial" w:hAnsi="Arial" w:cs="Arial"/>
          <w:color w:val="000000"/>
          <w:spacing w:val="0"/>
          <w:w w:val="100"/>
          <w:position w:val="0"/>
          <w:sz w:val="20"/>
          <w:szCs w:val="20"/>
        </w:rPr>
        <w:t>（</w:t>
      </w:r>
      <w:r>
        <w:rPr>
          <w:color w:val="000000"/>
          <w:spacing w:val="0"/>
          <w:w w:val="100"/>
          <w:position w:val="0"/>
          <w:sz w:val="20"/>
          <w:szCs w:val="20"/>
        </w:rPr>
        <w:t>除特别注明外，金额单位为人民币千元</w:t>
      </w:r>
      <w:r>
        <w:rPr>
          <w:rFonts w:ascii="Arial" w:eastAsia="Arial" w:hAnsi="Arial" w:cs="Arial"/>
          <w:color w:val="000000"/>
          <w:spacing w:val="0"/>
          <w:w w:val="100"/>
          <w:position w:val="0"/>
          <w:sz w:val="20"/>
          <w:szCs w:val="20"/>
        </w:rPr>
        <w:t>）</w:t>
      </w:r>
    </w:p>
    <w:tbl>
      <w:tblPr>
        <w:tblOverlap w:val="never"/>
        <w:jc w:val="center"/>
        <w:tblLayout w:type="fixed"/>
      </w:tblPr>
      <w:tblGrid>
        <w:gridCol w:w="514"/>
        <w:gridCol w:w="4013"/>
        <w:gridCol w:w="2717"/>
        <w:gridCol w:w="1882"/>
      </w:tblGrid>
      <w:tr>
        <w:trPr>
          <w:trHeight w:val="446"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4"/>
                <w:szCs w:val="24"/>
              </w:rPr>
            </w:pPr>
            <w:r>
              <w:rPr>
                <w:b/>
                <w:bCs/>
                <w:color w:val="000000"/>
                <w:spacing w:val="0"/>
                <w:w w:val="100"/>
                <w:position w:val="0"/>
                <w:sz w:val="24"/>
                <w:szCs w:val="24"/>
              </w:rPr>
              <w:t>八</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20"/>
              <w:jc w:val="left"/>
              <w:rPr>
                <w:sz w:val="24"/>
                <w:szCs w:val="24"/>
              </w:rPr>
            </w:pPr>
            <w:r>
              <w:rPr>
                <w:b/>
                <w:bCs/>
                <w:color w:val="000000"/>
                <w:spacing w:val="0"/>
                <w:w w:val="100"/>
                <w:position w:val="0"/>
                <w:sz w:val="24"/>
                <w:szCs w:val="24"/>
              </w:rPr>
              <w:t>关联方关系及其交易</w:t>
            </w:r>
            <w:r>
              <w:rPr>
                <w:rFonts w:ascii="Times New Roman" w:eastAsia="Times New Roman" w:hAnsi="Times New Roman" w:cs="Times New Roman"/>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4"/>
                <w:szCs w:val="24"/>
              </w:rPr>
              <w: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586"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4"/>
                <w:szCs w:val="24"/>
              </w:rPr>
            </w:pPr>
            <w:r>
              <w:rPr>
                <w:rFonts w:ascii="Times New Roman" w:eastAsia="Times New Roman" w:hAnsi="Times New Roman" w:cs="Times New Roman"/>
                <w:color w:val="000000"/>
                <w:spacing w:val="0"/>
                <w:w w:val="100"/>
                <w:position w:val="0"/>
                <w:sz w:val="24"/>
                <w:szCs w:val="24"/>
              </w:rPr>
              <w:t>(6)</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rPr>
                <w:sz w:val="24"/>
                <w:szCs w:val="24"/>
              </w:rPr>
            </w:pPr>
            <w:r>
              <w:rPr>
                <w:b/>
                <w:bCs/>
                <w:color w:val="000000"/>
                <w:spacing w:val="0"/>
                <w:w w:val="100"/>
                <w:position w:val="0"/>
                <w:sz w:val="24"/>
                <w:szCs w:val="24"/>
              </w:rPr>
              <w:t>关联交易</w:t>
            </w:r>
            <w:r>
              <w:rPr>
                <w:rFonts w:ascii="Times New Roman" w:eastAsia="Times New Roman" w:hAnsi="Times New Roman" w:cs="Times New Roman"/>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4"/>
                <w:szCs w:val="24"/>
              </w:rPr>
              <w: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576"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4"/>
                <w:szCs w:val="24"/>
              </w:rPr>
            </w:pPr>
            <w:r>
              <w:rPr>
                <w:rFonts w:ascii="Times New Roman" w:eastAsia="Times New Roman" w:hAnsi="Times New Roman" w:cs="Times New Roman"/>
                <w:color w:val="000000"/>
                <w:spacing w:val="0"/>
                <w:w w:val="100"/>
                <w:position w:val="0"/>
                <w:sz w:val="24"/>
                <w:szCs w:val="24"/>
              </w:rPr>
              <w:t>(g)</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rPr>
                <w:sz w:val="24"/>
                <w:szCs w:val="24"/>
              </w:rPr>
            </w:pPr>
            <w:r>
              <w:rPr>
                <w:color w:val="000000"/>
                <w:spacing w:val="0"/>
                <w:w w:val="100"/>
                <w:position w:val="0"/>
                <w:sz w:val="24"/>
                <w:szCs w:val="24"/>
              </w:rPr>
              <w:t>接受商业广场招商代理服务</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590"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40"/>
              <w:jc w:val="both"/>
              <w:rPr>
                <w:sz w:val="24"/>
                <w:szCs w:val="24"/>
              </w:rPr>
            </w:pP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年度</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left"/>
              <w:rPr>
                <w:sz w:val="24"/>
                <w:szCs w:val="24"/>
              </w:rPr>
            </w:pPr>
            <w:r>
              <w:rPr>
                <w:rFonts w:ascii="Times New Roman" w:eastAsia="Times New Roman" w:hAnsi="Times New Roman" w:cs="Times New Roman"/>
                <w:color w:val="000000"/>
                <w:spacing w:val="0"/>
                <w:w w:val="100"/>
                <w:position w:val="0"/>
                <w:sz w:val="24"/>
                <w:szCs w:val="24"/>
              </w:rPr>
              <w:t>2015</w:t>
            </w:r>
            <w:r>
              <w:rPr>
                <w:color w:val="000000"/>
                <w:spacing w:val="0"/>
                <w:w w:val="100"/>
                <w:position w:val="0"/>
                <w:sz w:val="24"/>
                <w:szCs w:val="24"/>
              </w:rPr>
              <w:t>年度</w:t>
            </w:r>
          </w:p>
        </w:tc>
      </w:tr>
      <w:tr>
        <w:trPr>
          <w:trHeight w:val="461"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left"/>
              <w:rPr>
                <w:sz w:val="24"/>
                <w:szCs w:val="24"/>
              </w:rPr>
            </w:pPr>
            <w:r>
              <w:rPr>
                <w:color w:val="000000"/>
                <w:spacing w:val="0"/>
                <w:w w:val="100"/>
                <w:position w:val="0"/>
                <w:sz w:val="24"/>
                <w:szCs w:val="24"/>
              </w:rPr>
              <w:t>江苏苏宁广场商业管理</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280" w:right="0" w:firstLine="0"/>
              <w:jc w:val="both"/>
              <w:rPr>
                <w:sz w:val="24"/>
                <w:szCs w:val="24"/>
              </w:rPr>
            </w:pPr>
            <w:r>
              <w:rPr>
                <w:rFonts w:ascii="Times New Roman" w:eastAsia="Times New Roman" w:hAnsi="Times New Roman" w:cs="Times New Roman"/>
                <w:color w:val="000000"/>
                <w:spacing w:val="0"/>
                <w:w w:val="100"/>
                <w:position w:val="0"/>
                <w:sz w:val="24"/>
                <w:szCs w:val="24"/>
              </w:rPr>
              <w:t>11,421</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w:t>
            </w:r>
          </w:p>
        </w:tc>
      </w:tr>
      <w:tr>
        <w:trPr>
          <w:trHeight w:val="739"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4"/>
                <w:szCs w:val="24"/>
              </w:rPr>
            </w:pPr>
            <w:r>
              <w:rPr>
                <w:rFonts w:ascii="Times New Roman" w:eastAsia="Times New Roman" w:hAnsi="Times New Roman" w:cs="Times New Roman"/>
                <w:color w:val="000000"/>
                <w:spacing w:val="0"/>
                <w:w w:val="100"/>
                <w:position w:val="0"/>
                <w:sz w:val="24"/>
                <w:szCs w:val="24"/>
              </w:rPr>
              <w:t>(h)</w:t>
            </w:r>
          </w:p>
        </w:tc>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rPr>
                <w:sz w:val="24"/>
                <w:szCs w:val="24"/>
              </w:rPr>
            </w:pPr>
            <w:r>
              <w:rPr>
                <w:color w:val="000000"/>
                <w:spacing w:val="0"/>
                <w:w w:val="100"/>
                <w:position w:val="0"/>
                <w:sz w:val="24"/>
                <w:szCs w:val="24"/>
              </w:rPr>
              <w:t>提供信息服务</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590"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40"/>
              <w:jc w:val="both"/>
              <w:rPr>
                <w:sz w:val="24"/>
                <w:szCs w:val="24"/>
              </w:rPr>
            </w:pP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年度</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left"/>
              <w:rPr>
                <w:sz w:val="24"/>
                <w:szCs w:val="24"/>
              </w:rPr>
            </w:pPr>
            <w:r>
              <w:rPr>
                <w:rFonts w:ascii="Times New Roman" w:eastAsia="Times New Roman" w:hAnsi="Times New Roman" w:cs="Times New Roman"/>
                <w:color w:val="000000"/>
                <w:spacing w:val="0"/>
                <w:w w:val="100"/>
                <w:position w:val="0"/>
                <w:sz w:val="24"/>
                <w:szCs w:val="24"/>
              </w:rPr>
              <w:t>2015</w:t>
            </w:r>
            <w:r>
              <w:rPr>
                <w:color w:val="000000"/>
                <w:spacing w:val="0"/>
                <w:w w:val="100"/>
                <w:position w:val="0"/>
                <w:sz w:val="24"/>
                <w:szCs w:val="24"/>
              </w:rPr>
              <w:t>年度</w:t>
            </w:r>
          </w:p>
        </w:tc>
      </w:tr>
      <w:tr>
        <w:trPr>
          <w:trHeight w:val="461"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left"/>
              <w:rPr>
                <w:sz w:val="24"/>
                <w:szCs w:val="24"/>
              </w:rPr>
            </w:pPr>
            <w:r>
              <w:rPr>
                <w:color w:val="000000"/>
                <w:spacing w:val="0"/>
                <w:w w:val="100"/>
                <w:position w:val="0"/>
                <w:sz w:val="24"/>
                <w:szCs w:val="24"/>
              </w:rPr>
              <w:t>苏宁消费金融</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760" w:firstLine="0"/>
              <w:jc w:val="right"/>
              <w:rPr>
                <w:sz w:val="24"/>
                <w:szCs w:val="24"/>
              </w:rPr>
            </w:pPr>
            <w:r>
              <w:rPr>
                <w:rFonts w:ascii="Times New Roman" w:eastAsia="Times New Roman" w:hAnsi="Times New Roman" w:cs="Times New Roman"/>
                <w:color w:val="000000"/>
                <w:spacing w:val="0"/>
                <w:w w:val="100"/>
                <w:position w:val="0"/>
                <w:sz w:val="24"/>
                <w:szCs w:val="24"/>
              </w:rPr>
              <w:t>495</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240" w:right="0" w:firstLine="0"/>
              <w:jc w:val="left"/>
              <w:rPr>
                <w:sz w:val="24"/>
                <w:szCs w:val="24"/>
              </w:rPr>
            </w:pPr>
            <w:r>
              <w:rPr>
                <w:rFonts w:ascii="Times New Roman" w:eastAsia="Times New Roman" w:hAnsi="Times New Roman" w:cs="Times New Roman"/>
                <w:color w:val="000000"/>
                <w:spacing w:val="0"/>
                <w:w w:val="100"/>
                <w:position w:val="0"/>
                <w:sz w:val="24"/>
                <w:szCs w:val="24"/>
              </w:rPr>
              <w:t>1,727</w:t>
            </w:r>
          </w:p>
        </w:tc>
      </w:tr>
      <w:tr>
        <w:trPr>
          <w:trHeight w:val="739"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4"/>
                <w:szCs w:val="24"/>
              </w:rPr>
            </w:pPr>
            <w:r>
              <w:rPr>
                <w:rFonts w:ascii="Times New Roman" w:eastAsia="Times New Roman" w:hAnsi="Times New Roman" w:cs="Times New Roman"/>
                <w:color w:val="000000"/>
                <w:spacing w:val="0"/>
                <w:w w:val="100"/>
                <w:position w:val="0"/>
                <w:sz w:val="24"/>
                <w:szCs w:val="24"/>
              </w:rPr>
              <w:t>(i)</w:t>
            </w:r>
          </w:p>
        </w:tc>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rPr>
                <w:sz w:val="24"/>
                <w:szCs w:val="24"/>
              </w:rPr>
            </w:pPr>
            <w:r>
              <w:rPr>
                <w:color w:val="000000"/>
                <w:spacing w:val="0"/>
                <w:w w:val="100"/>
                <w:position w:val="0"/>
                <w:sz w:val="24"/>
                <w:szCs w:val="24"/>
              </w:rPr>
              <w:t>提供平台推广服务</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590"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40"/>
              <w:jc w:val="both"/>
              <w:rPr>
                <w:sz w:val="24"/>
                <w:szCs w:val="24"/>
              </w:rPr>
            </w:pP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年度</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left"/>
              <w:rPr>
                <w:sz w:val="24"/>
                <w:szCs w:val="24"/>
              </w:rPr>
            </w:pPr>
            <w:r>
              <w:rPr>
                <w:rFonts w:ascii="Times New Roman" w:eastAsia="Times New Roman" w:hAnsi="Times New Roman" w:cs="Times New Roman"/>
                <w:color w:val="000000"/>
                <w:spacing w:val="0"/>
                <w:w w:val="100"/>
                <w:position w:val="0"/>
                <w:sz w:val="24"/>
                <w:szCs w:val="24"/>
              </w:rPr>
              <w:t>2015</w:t>
            </w:r>
            <w:r>
              <w:rPr>
                <w:color w:val="000000"/>
                <w:spacing w:val="0"/>
                <w:w w:val="100"/>
                <w:position w:val="0"/>
                <w:sz w:val="24"/>
                <w:szCs w:val="24"/>
              </w:rPr>
              <w:t>年度</w:t>
            </w:r>
          </w:p>
        </w:tc>
      </w:tr>
      <w:tr>
        <w:trPr>
          <w:trHeight w:val="451"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left"/>
              <w:rPr>
                <w:sz w:val="24"/>
                <w:szCs w:val="24"/>
              </w:rPr>
            </w:pPr>
            <w:r>
              <w:rPr>
                <w:color w:val="000000"/>
                <w:spacing w:val="0"/>
                <w:w w:val="100"/>
                <w:position w:val="0"/>
                <w:sz w:val="24"/>
                <w:szCs w:val="24"/>
              </w:rPr>
              <w:t>阿里巴巴集团</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280" w:right="0" w:firstLine="0"/>
              <w:jc w:val="both"/>
              <w:rPr>
                <w:sz w:val="24"/>
                <w:szCs w:val="24"/>
              </w:rPr>
            </w:pPr>
            <w:r>
              <w:rPr>
                <w:rFonts w:ascii="Times New Roman" w:eastAsia="Times New Roman" w:hAnsi="Times New Roman" w:cs="Times New Roman"/>
                <w:color w:val="000000"/>
                <w:spacing w:val="0"/>
                <w:w w:val="100"/>
                <w:position w:val="0"/>
                <w:sz w:val="24"/>
                <w:szCs w:val="24"/>
              </w:rPr>
              <w:t>53,065</w:t>
            </w:r>
          </w:p>
        </w:tc>
        <w:tc>
          <w:tcPr>
            <w:tcBorders/>
            <w:shd w:val="clear" w:color="auto" w:fill="FFFFFF"/>
            <w:vAlign w:val="top"/>
          </w:tcPr>
          <w:p>
            <w:pPr>
              <w:widowControl w:val="0"/>
              <w:rPr>
                <w:sz w:val="10"/>
                <w:szCs w:val="10"/>
              </w:rPr>
            </w:pPr>
          </w:p>
        </w:tc>
      </w:tr>
      <w:tr>
        <w:trPr>
          <w:trHeight w:val="312"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left"/>
              <w:rPr>
                <w:sz w:val="24"/>
                <w:szCs w:val="24"/>
              </w:rPr>
            </w:pPr>
            <w:r>
              <w:rPr>
                <w:color w:val="000000"/>
                <w:spacing w:val="0"/>
                <w:w w:val="100"/>
                <w:position w:val="0"/>
                <w:sz w:val="24"/>
                <w:szCs w:val="24"/>
              </w:rPr>
              <w:t>苏宁消费金融</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760" w:firstLine="0"/>
              <w:jc w:val="right"/>
              <w:rPr>
                <w:sz w:val="24"/>
                <w:szCs w:val="24"/>
              </w:rPr>
            </w:pPr>
            <w:r>
              <w:rPr>
                <w:rFonts w:ascii="Times New Roman" w:eastAsia="Times New Roman" w:hAnsi="Times New Roman" w:cs="Times New Roman"/>
                <w:color w:val="000000"/>
                <w:spacing w:val="0"/>
                <w:w w:val="100"/>
                <w:position w:val="0"/>
                <w:sz w:val="24"/>
                <w:szCs w:val="24"/>
              </w:rPr>
              <w:t>2,866</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240" w:right="0" w:firstLine="0"/>
              <w:jc w:val="left"/>
              <w:rPr>
                <w:sz w:val="24"/>
                <w:szCs w:val="24"/>
              </w:rPr>
            </w:pPr>
            <w:r>
              <w:rPr>
                <w:rFonts w:ascii="Times New Roman" w:eastAsia="Times New Roman" w:hAnsi="Times New Roman" w:cs="Times New Roman"/>
                <w:color w:val="000000"/>
                <w:spacing w:val="0"/>
                <w:w w:val="100"/>
                <w:position w:val="0"/>
                <w:sz w:val="24"/>
                <w:szCs w:val="24"/>
              </w:rPr>
              <w:t>1,258</w:t>
            </w:r>
          </w:p>
        </w:tc>
      </w:tr>
      <w:tr>
        <w:trPr>
          <w:trHeight w:val="312"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rPr>
                <w:sz w:val="24"/>
                <w:szCs w:val="24"/>
              </w:rPr>
            </w:pPr>
            <w:r>
              <w:rPr>
                <w:color w:val="000000"/>
                <w:spacing w:val="0"/>
                <w:w w:val="100"/>
                <w:position w:val="0"/>
                <w:sz w:val="24"/>
                <w:szCs w:val="24"/>
              </w:rPr>
              <w:t>江苏苏宁建材</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760" w:firstLine="0"/>
              <w:jc w:val="right"/>
              <w:rPr>
                <w:sz w:val="24"/>
                <w:szCs w:val="24"/>
              </w:rPr>
            </w:pPr>
            <w:r>
              <w:rPr>
                <w:rFonts w:ascii="Times New Roman" w:eastAsia="Times New Roman" w:hAnsi="Times New Roman" w:cs="Times New Roman"/>
                <w:color w:val="000000"/>
                <w:spacing w:val="0"/>
                <w:w w:val="100"/>
                <w:position w:val="0"/>
                <w:sz w:val="24"/>
                <w:szCs w:val="24"/>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11,104</w:t>
            </w:r>
          </w:p>
        </w:tc>
      </w:tr>
      <w:tr>
        <w:trPr>
          <w:trHeight w:val="298" w:hRule="exact"/>
        </w:trPr>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280" w:right="0" w:firstLine="0"/>
              <w:jc w:val="both"/>
              <w:rPr>
                <w:sz w:val="24"/>
                <w:szCs w:val="24"/>
              </w:rPr>
            </w:pPr>
            <w:r>
              <w:rPr>
                <w:rFonts w:ascii="Times New Roman" w:eastAsia="Times New Roman" w:hAnsi="Times New Roman" w:cs="Times New Roman"/>
                <w:color w:val="000000"/>
                <w:spacing w:val="0"/>
                <w:w w:val="100"/>
                <w:position w:val="0"/>
                <w:sz w:val="24"/>
                <w:szCs w:val="24"/>
              </w:rPr>
              <w:t>55,931</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12,362</w:t>
            </w:r>
          </w:p>
        </w:tc>
      </w:tr>
      <w:tr>
        <w:trPr>
          <w:trHeight w:val="739"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4"/>
                <w:szCs w:val="24"/>
              </w:rPr>
            </w:pPr>
            <w:r>
              <w:rPr>
                <w:rFonts w:ascii="Times New Roman" w:eastAsia="Times New Roman" w:hAnsi="Times New Roman" w:cs="Times New Roman"/>
                <w:color w:val="000000"/>
                <w:spacing w:val="0"/>
                <w:w w:val="100"/>
                <w:position w:val="0"/>
                <w:sz w:val="24"/>
                <w:szCs w:val="24"/>
              </w:rPr>
              <w:t>(j)</w:t>
            </w:r>
          </w:p>
        </w:tc>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rPr>
                <w:sz w:val="24"/>
                <w:szCs w:val="24"/>
              </w:rPr>
            </w:pPr>
            <w:r>
              <w:rPr>
                <w:color w:val="000000"/>
                <w:spacing w:val="0"/>
                <w:w w:val="100"/>
                <w:position w:val="0"/>
                <w:sz w:val="24"/>
                <w:szCs w:val="24"/>
              </w:rPr>
              <w:t>向关联方借款</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590"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40"/>
              <w:jc w:val="both"/>
              <w:rPr>
                <w:sz w:val="24"/>
                <w:szCs w:val="24"/>
              </w:rPr>
            </w:pP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年度</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left"/>
              <w:rPr>
                <w:sz w:val="24"/>
                <w:szCs w:val="24"/>
              </w:rPr>
            </w:pPr>
            <w:r>
              <w:rPr>
                <w:rFonts w:ascii="Times New Roman" w:eastAsia="Times New Roman" w:hAnsi="Times New Roman" w:cs="Times New Roman"/>
                <w:color w:val="000000"/>
                <w:spacing w:val="0"/>
                <w:w w:val="100"/>
                <w:position w:val="0"/>
                <w:sz w:val="24"/>
                <w:szCs w:val="24"/>
              </w:rPr>
              <w:t>2015</w:t>
            </w:r>
            <w:r>
              <w:rPr>
                <w:color w:val="000000"/>
                <w:spacing w:val="0"/>
                <w:w w:val="100"/>
                <w:position w:val="0"/>
                <w:sz w:val="24"/>
                <w:szCs w:val="24"/>
              </w:rPr>
              <w:t>年度</w:t>
            </w:r>
          </w:p>
        </w:tc>
      </w:tr>
      <w:tr>
        <w:trPr>
          <w:trHeight w:val="461"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left"/>
              <w:rPr>
                <w:sz w:val="24"/>
                <w:szCs w:val="24"/>
              </w:rPr>
            </w:pPr>
            <w:r>
              <w:rPr>
                <w:color w:val="000000"/>
                <w:spacing w:val="0"/>
                <w:w w:val="100"/>
                <w:position w:val="0"/>
                <w:sz w:val="24"/>
                <w:szCs w:val="24"/>
              </w:rPr>
              <w:t>苏宁金控投资</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760" w:firstLine="0"/>
              <w:jc w:val="right"/>
              <w:rPr>
                <w:sz w:val="24"/>
                <w:szCs w:val="24"/>
              </w:rPr>
            </w:pPr>
            <w:r>
              <w:rPr>
                <w:rFonts w:ascii="Times New Roman" w:eastAsia="Times New Roman" w:hAnsi="Times New Roman" w:cs="Times New Roman"/>
                <w:color w:val="000000"/>
                <w:spacing w:val="0"/>
                <w:w w:val="100"/>
                <w:position w:val="0"/>
                <w:sz w:val="24"/>
                <w:szCs w:val="24"/>
              </w:rPr>
              <w:t>100,000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w:t>
            </w:r>
          </w:p>
        </w:tc>
      </w:tr>
      <w:tr>
        <w:trPr>
          <w:trHeight w:val="739"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4"/>
                <w:szCs w:val="24"/>
              </w:rPr>
            </w:pPr>
            <w:r>
              <w:rPr>
                <w:rFonts w:ascii="Times New Roman" w:eastAsia="Times New Roman" w:hAnsi="Times New Roman" w:cs="Times New Roman"/>
                <w:color w:val="000000"/>
                <w:spacing w:val="0"/>
                <w:w w:val="100"/>
                <w:position w:val="0"/>
                <w:sz w:val="24"/>
                <w:szCs w:val="24"/>
              </w:rPr>
              <w:t>(k)</w:t>
            </w:r>
          </w:p>
        </w:tc>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rPr>
                <w:sz w:val="24"/>
                <w:szCs w:val="24"/>
              </w:rPr>
            </w:pPr>
            <w:r>
              <w:rPr>
                <w:color w:val="000000"/>
                <w:spacing w:val="0"/>
                <w:w w:val="100"/>
                <w:position w:val="0"/>
                <w:sz w:val="24"/>
                <w:szCs w:val="24"/>
              </w:rPr>
              <w:t>支付利息支出</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590"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40"/>
              <w:jc w:val="both"/>
              <w:rPr>
                <w:sz w:val="24"/>
                <w:szCs w:val="24"/>
              </w:rPr>
            </w:pP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年度</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left"/>
              <w:rPr>
                <w:sz w:val="24"/>
                <w:szCs w:val="24"/>
              </w:rPr>
            </w:pPr>
            <w:r>
              <w:rPr>
                <w:rFonts w:ascii="Times New Roman" w:eastAsia="Times New Roman" w:hAnsi="Times New Roman" w:cs="Times New Roman"/>
                <w:color w:val="000000"/>
                <w:spacing w:val="0"/>
                <w:w w:val="100"/>
                <w:position w:val="0"/>
                <w:sz w:val="24"/>
                <w:szCs w:val="24"/>
              </w:rPr>
              <w:t>2015</w:t>
            </w:r>
            <w:r>
              <w:rPr>
                <w:color w:val="000000"/>
                <w:spacing w:val="0"/>
                <w:w w:val="100"/>
                <w:position w:val="0"/>
                <w:sz w:val="24"/>
                <w:szCs w:val="24"/>
              </w:rPr>
              <w:t>年度</w:t>
            </w:r>
          </w:p>
        </w:tc>
      </w:tr>
      <w:tr>
        <w:trPr>
          <w:trHeight w:val="461"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left"/>
              <w:rPr>
                <w:sz w:val="24"/>
                <w:szCs w:val="24"/>
              </w:rPr>
            </w:pPr>
            <w:r>
              <w:rPr>
                <w:color w:val="000000"/>
                <w:spacing w:val="0"/>
                <w:w w:val="100"/>
                <w:position w:val="0"/>
                <w:sz w:val="24"/>
                <w:szCs w:val="24"/>
              </w:rPr>
              <w:t>苏宁金控投资</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760" w:firstLine="0"/>
              <w:jc w:val="right"/>
              <w:rPr>
                <w:sz w:val="24"/>
                <w:szCs w:val="24"/>
              </w:rPr>
            </w:pPr>
            <w:r>
              <w:rPr>
                <w:rFonts w:ascii="Times New Roman" w:eastAsia="Times New Roman" w:hAnsi="Times New Roman" w:cs="Times New Roman"/>
                <w:color w:val="000000"/>
                <w:spacing w:val="0"/>
                <w:w w:val="100"/>
                <w:position w:val="0"/>
                <w:sz w:val="24"/>
                <w:szCs w:val="24"/>
              </w:rPr>
              <w:t>375</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w:t>
            </w:r>
          </w:p>
        </w:tc>
      </w:tr>
      <w:tr>
        <w:trPr>
          <w:trHeight w:val="744"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4"/>
                <w:szCs w:val="24"/>
              </w:rPr>
            </w:pPr>
            <w:r>
              <w:rPr>
                <w:rFonts w:ascii="Times New Roman" w:eastAsia="Times New Roman" w:hAnsi="Times New Roman" w:cs="Times New Roman"/>
                <w:color w:val="000000"/>
                <w:spacing w:val="0"/>
                <w:w w:val="100"/>
                <w:position w:val="0"/>
                <w:sz w:val="24"/>
                <w:szCs w:val="24"/>
              </w:rPr>
              <w:t>(l)</w:t>
            </w:r>
          </w:p>
        </w:tc>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rPr>
                <w:sz w:val="24"/>
                <w:szCs w:val="24"/>
              </w:rPr>
            </w:pPr>
            <w:r>
              <w:rPr>
                <w:color w:val="000000"/>
                <w:spacing w:val="0"/>
                <w:w w:val="100"/>
                <w:position w:val="0"/>
                <w:sz w:val="24"/>
                <w:szCs w:val="24"/>
              </w:rPr>
              <w:t>取得利息收入</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586"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40"/>
              <w:jc w:val="both"/>
              <w:rPr>
                <w:sz w:val="24"/>
                <w:szCs w:val="24"/>
              </w:rPr>
            </w:pP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年度</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left"/>
              <w:rPr>
                <w:sz w:val="24"/>
                <w:szCs w:val="24"/>
              </w:rPr>
            </w:pPr>
            <w:r>
              <w:rPr>
                <w:rFonts w:ascii="Times New Roman" w:eastAsia="Times New Roman" w:hAnsi="Times New Roman" w:cs="Times New Roman"/>
                <w:color w:val="000000"/>
                <w:spacing w:val="0"/>
                <w:w w:val="100"/>
                <w:position w:val="0"/>
                <w:sz w:val="24"/>
                <w:szCs w:val="24"/>
              </w:rPr>
              <w:t>2015</w:t>
            </w:r>
            <w:r>
              <w:rPr>
                <w:color w:val="000000"/>
                <w:spacing w:val="0"/>
                <w:w w:val="100"/>
                <w:position w:val="0"/>
                <w:sz w:val="24"/>
                <w:szCs w:val="24"/>
              </w:rPr>
              <w:t>年度</w:t>
            </w:r>
          </w:p>
        </w:tc>
      </w:tr>
      <w:tr>
        <w:trPr>
          <w:trHeight w:val="480" w:hRule="exact"/>
        </w:trPr>
        <w:tc>
          <w:tcPr>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left"/>
              <w:rPr>
                <w:sz w:val="24"/>
                <w:szCs w:val="24"/>
              </w:rPr>
            </w:pPr>
            <w:r>
              <w:rPr>
                <w:color w:val="000000"/>
                <w:spacing w:val="0"/>
                <w:w w:val="100"/>
                <w:position w:val="0"/>
                <w:sz w:val="24"/>
                <w:szCs w:val="24"/>
              </w:rPr>
              <w:t>苏宁消费金融</w:t>
            </w:r>
          </w:p>
        </w:tc>
        <w:tc>
          <w:tcPr>
            <w:tcBorders>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280" w:right="0" w:firstLine="0"/>
              <w:jc w:val="both"/>
              <w:rPr>
                <w:sz w:val="24"/>
                <w:szCs w:val="24"/>
              </w:rPr>
            </w:pPr>
            <w:r>
              <w:rPr>
                <w:rFonts w:ascii="Times New Roman" w:eastAsia="Times New Roman" w:hAnsi="Times New Roman" w:cs="Times New Roman"/>
                <w:color w:val="000000"/>
                <w:spacing w:val="0"/>
                <w:w w:val="100"/>
                <w:position w:val="0"/>
                <w:sz w:val="24"/>
                <w:szCs w:val="24"/>
              </w:rPr>
              <w:t>35,749</w:t>
            </w:r>
          </w:p>
        </w:tc>
        <w:tc>
          <w:tcPr>
            <w:tcBorders>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240" w:right="0" w:firstLine="0"/>
              <w:jc w:val="left"/>
              <w:rPr>
                <w:sz w:val="24"/>
                <w:szCs w:val="24"/>
              </w:rPr>
            </w:pPr>
            <w:r>
              <w:rPr>
                <w:rFonts w:ascii="Times New Roman" w:eastAsia="Times New Roman" w:hAnsi="Times New Roman" w:cs="Times New Roman"/>
                <w:color w:val="000000"/>
                <w:spacing w:val="0"/>
                <w:w w:val="100"/>
                <w:position w:val="0"/>
                <w:sz w:val="24"/>
                <w:szCs w:val="24"/>
              </w:rPr>
              <w:t>5,635</w:t>
            </w:r>
          </w:p>
        </w:tc>
      </w:tr>
    </w:tbl>
    <w:p>
      <w:pPr>
        <w:pStyle w:val="Style32"/>
        <w:keepNext w:val="0"/>
        <w:keepLines w:val="0"/>
        <w:widowControl w:val="0"/>
        <w:shd w:val="clear" w:color="auto" w:fill="auto"/>
        <w:bidi w:val="0"/>
        <w:spacing w:before="0" w:after="0" w:line="240" w:lineRule="auto"/>
        <w:ind w:left="0" w:right="0" w:firstLine="660"/>
        <w:jc w:val="left"/>
        <w:rPr>
          <w:sz w:val="24"/>
          <w:szCs w:val="24"/>
        </w:rPr>
      </w:pPr>
      <w:r>
        <w:rPr>
          <w:b/>
          <w:bCs/>
          <w:color w:val="000000"/>
          <w:spacing w:val="0"/>
          <w:w w:val="100"/>
          <w:position w:val="0"/>
          <w:sz w:val="24"/>
          <w:szCs w:val="24"/>
        </w:rPr>
        <w:t>财务报表附注</w:t>
      </w:r>
    </w:p>
    <w:p>
      <w:pPr>
        <w:pStyle w:val="Style88"/>
        <w:keepNext/>
        <w:keepLines/>
        <w:widowControl w:val="0"/>
        <w:shd w:val="clear" w:color="auto" w:fill="auto"/>
        <w:bidi w:val="0"/>
        <w:spacing w:before="0" w:after="0" w:line="240" w:lineRule="auto"/>
        <w:ind w:left="0" w:right="0" w:firstLine="660"/>
        <w:jc w:val="left"/>
      </w:pPr>
      <w:bookmarkStart w:id="1071" w:name="bookmark1071"/>
      <w:bookmarkStart w:id="1072" w:name="bookmark1072"/>
      <w:bookmarkStart w:id="1073" w:name="bookmark1073"/>
      <w:r>
        <w:rPr>
          <w:color w:val="000000"/>
          <w:spacing w:val="0"/>
          <w:w w:val="100"/>
          <w:position w:val="0"/>
          <w:sz w:val="24"/>
          <w:szCs w:val="24"/>
        </w:rPr>
        <w:t>2016</w:t>
      </w:r>
      <w:r>
        <w:rPr>
          <w:rFonts w:ascii="SimSun" w:eastAsia="SimSun" w:hAnsi="SimSun" w:cs="SimSun"/>
          <w:b/>
          <w:bCs/>
          <w:color w:val="000000"/>
          <w:spacing w:val="0"/>
          <w:w w:val="100"/>
          <w:position w:val="0"/>
          <w:sz w:val="24"/>
          <w:szCs w:val="24"/>
        </w:rPr>
        <w:t>年度</w:t>
      </w:r>
      <w:bookmarkEnd w:id="1071"/>
      <w:bookmarkEnd w:id="1072"/>
      <w:bookmarkEnd w:id="1073"/>
    </w:p>
    <w:p>
      <w:pPr>
        <w:pStyle w:val="Style32"/>
        <w:keepNext w:val="0"/>
        <w:keepLines w:val="0"/>
        <w:widowControl w:val="0"/>
        <w:shd w:val="clear" w:color="auto" w:fill="auto"/>
        <w:bidi w:val="0"/>
        <w:spacing w:before="0" w:after="240" w:line="240" w:lineRule="auto"/>
        <w:ind w:left="0" w:right="0" w:firstLine="660"/>
        <w:jc w:val="left"/>
        <w:rPr>
          <w:sz w:val="20"/>
          <w:szCs w:val="20"/>
        </w:rPr>
      </w:pPr>
      <w:r>
        <w:rPr>
          <w:rFonts w:ascii="Arial" w:eastAsia="Arial" w:hAnsi="Arial" w:cs="Arial"/>
          <w:color w:val="000000"/>
          <w:spacing w:val="0"/>
          <w:w w:val="100"/>
          <w:position w:val="0"/>
          <w:sz w:val="20"/>
          <w:szCs w:val="20"/>
        </w:rPr>
        <w:t>（</w:t>
      </w:r>
      <w:r>
        <w:rPr>
          <w:color w:val="000000"/>
          <w:spacing w:val="0"/>
          <w:w w:val="100"/>
          <w:position w:val="0"/>
          <w:sz w:val="20"/>
          <w:szCs w:val="20"/>
        </w:rPr>
        <w:t>除特别注明外，金额单位为人民币千元</w:t>
      </w:r>
      <w:r>
        <w:rPr>
          <w:rFonts w:ascii="Arial" w:eastAsia="Arial" w:hAnsi="Arial" w:cs="Arial"/>
          <w:color w:val="000000"/>
          <w:spacing w:val="0"/>
          <w:w w:val="100"/>
          <w:position w:val="0"/>
          <w:sz w:val="20"/>
          <w:szCs w:val="20"/>
        </w:rPr>
        <w:t>）</w:t>
      </w:r>
    </w:p>
    <w:p>
      <w:pPr>
        <w:pStyle w:val="Style32"/>
        <w:keepNext w:val="0"/>
        <w:keepLines w:val="0"/>
        <w:widowControl w:val="0"/>
        <w:shd w:val="clear" w:color="auto" w:fill="auto"/>
        <w:tabs>
          <w:tab w:pos="619" w:val="left"/>
        </w:tabs>
        <w:bidi w:val="0"/>
        <w:spacing w:before="0" w:after="300" w:line="240" w:lineRule="auto"/>
        <w:ind w:left="0" w:right="0" w:firstLine="0"/>
        <w:jc w:val="left"/>
        <w:rPr>
          <w:sz w:val="24"/>
          <w:szCs w:val="24"/>
        </w:rPr>
      </w:pPr>
      <w:r>
        <w:rPr>
          <w:b/>
          <w:bCs/>
          <w:color w:val="000000"/>
          <w:spacing w:val="0"/>
          <w:w w:val="100"/>
          <w:position w:val="0"/>
          <w:sz w:val="24"/>
          <w:szCs w:val="24"/>
        </w:rPr>
        <w:t>八</w:t>
        <w:tab/>
        <w:t>关联方关系及其交易</w:t>
      </w:r>
      <w:r>
        <w:rPr>
          <w:rFonts w:ascii="Times New Roman" w:eastAsia="Times New Roman" w:hAnsi="Times New Roman" w:cs="Times New Roman"/>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4"/>
          <w:szCs w:val="24"/>
        </w:rPr>
        <w:t>）</w:t>
      </w:r>
    </w:p>
    <w:p>
      <w:pPr>
        <w:pStyle w:val="Style53"/>
        <w:keepNext w:val="0"/>
        <w:keepLines w:val="0"/>
        <w:widowControl w:val="0"/>
        <w:shd w:val="clear" w:color="auto" w:fill="auto"/>
        <w:tabs>
          <w:tab w:pos="619" w:val="left"/>
        </w:tabs>
        <w:bidi w:val="0"/>
        <w:spacing w:before="0" w:after="240" w:line="240" w:lineRule="auto"/>
        <w:ind w:left="0" w:right="0" w:firstLine="0"/>
        <w:jc w:val="left"/>
        <w:rPr>
          <w:sz w:val="24"/>
          <w:szCs w:val="24"/>
        </w:rPr>
      </w:pPr>
      <w:r>
        <w:rPr>
          <w:color w:val="000000"/>
          <w:spacing w:val="0"/>
          <w:w w:val="100"/>
          <w:position w:val="0"/>
          <w:sz w:val="24"/>
          <w:szCs w:val="24"/>
        </w:rPr>
        <w:t>（6）</w:t>
        <w:tab/>
      </w:r>
      <w:r>
        <w:rPr>
          <w:rFonts w:ascii="SimSun" w:eastAsia="SimSun" w:hAnsi="SimSun" w:cs="SimSun"/>
          <w:b/>
          <w:bCs/>
          <w:color w:val="000000"/>
          <w:spacing w:val="0"/>
          <w:w w:val="100"/>
          <w:position w:val="0"/>
          <w:sz w:val="24"/>
          <w:szCs w:val="24"/>
        </w:rPr>
        <w:t>关联交易</w:t>
      </w:r>
      <w:r>
        <w:rPr>
          <w:color w:val="000000"/>
          <w:spacing w:val="0"/>
          <w:w w:val="100"/>
          <w:position w:val="0"/>
          <w:sz w:val="24"/>
          <w:szCs w:val="24"/>
        </w:rPr>
        <w:t>（</w:t>
      </w:r>
      <w:r>
        <w:rPr>
          <w:rFonts w:ascii="SimSun" w:eastAsia="SimSun" w:hAnsi="SimSun" w:cs="SimSun"/>
          <w:b/>
          <w:bCs/>
          <w:color w:val="000000"/>
          <w:spacing w:val="0"/>
          <w:w w:val="100"/>
          <w:position w:val="0"/>
          <w:sz w:val="24"/>
          <w:szCs w:val="24"/>
        </w:rPr>
        <w:t>续</w:t>
      </w:r>
      <w:r>
        <w:rPr>
          <w:rFonts w:ascii="SimSun" w:eastAsia="SimSun" w:hAnsi="SimSun" w:cs="SimSun"/>
          <w:color w:val="000000"/>
          <w:spacing w:val="0"/>
          <w:w w:val="100"/>
          <w:position w:val="0"/>
          <w:sz w:val="24"/>
          <w:szCs w:val="24"/>
        </w:rPr>
        <w:t>）</w:t>
      </w:r>
    </w:p>
    <w:p>
      <w:pPr>
        <w:pStyle w:val="Style32"/>
        <w:keepNext w:val="0"/>
        <w:keepLines w:val="0"/>
        <w:widowControl w:val="0"/>
        <w:shd w:val="clear" w:color="auto" w:fill="auto"/>
        <w:bidi w:val="0"/>
        <w:spacing w:before="0" w:after="300" w:line="240" w:lineRule="auto"/>
        <w:ind w:left="0" w:right="0" w:firstLine="0"/>
        <w:jc w:val="left"/>
        <w:rPr>
          <w:sz w:val="24"/>
          <w:szCs w:val="24"/>
        </w:rPr>
      </w:pPr>
      <w:bookmarkStart w:id="1074" w:name="bookmark1074"/>
      <w:r>
        <w:rPr>
          <w:rFonts w:ascii="Times New Roman" w:eastAsia="Times New Roman" w:hAnsi="Times New Roman" w:cs="Times New Roman"/>
          <w:color w:val="000000"/>
          <w:spacing w:val="0"/>
          <w:w w:val="100"/>
          <w:position w:val="0"/>
          <w:sz w:val="24"/>
          <w:szCs w:val="24"/>
        </w:rPr>
        <w:t>（</w:t>
      </w:r>
      <w:bookmarkEnd w:id="1074"/>
      <w:r>
        <w:rPr>
          <w:rFonts w:ascii="Times New Roman" w:eastAsia="Times New Roman" w:hAnsi="Times New Roman" w:cs="Times New Roman"/>
          <w:color w:val="000000"/>
          <w:spacing w:val="0"/>
          <w:w w:val="100"/>
          <w:position w:val="0"/>
          <w:sz w:val="24"/>
          <w:szCs w:val="24"/>
        </w:rPr>
        <w:t>m）</w:t>
      </w:r>
      <w:r>
        <w:rPr>
          <w:color w:val="000000"/>
          <w:spacing w:val="0"/>
          <w:w w:val="100"/>
          <w:position w:val="0"/>
          <w:sz w:val="24"/>
          <w:szCs w:val="24"/>
        </w:rPr>
        <w:t>租赁</w:t>
      </w:r>
    </w:p>
    <w:p>
      <w:pPr>
        <w:pStyle w:val="Style32"/>
        <w:keepNext w:val="0"/>
        <w:keepLines w:val="0"/>
        <w:widowControl w:val="0"/>
        <w:shd w:val="clear" w:color="auto" w:fill="auto"/>
        <w:bidi w:val="0"/>
        <w:spacing w:before="0" w:after="300" w:line="240" w:lineRule="auto"/>
        <w:ind w:left="0" w:right="0" w:firstLine="660"/>
        <w:jc w:val="left"/>
        <w:rPr>
          <w:sz w:val="24"/>
          <w:szCs w:val="24"/>
        </w:rPr>
      </w:pPr>
      <w:r>
        <w:rPr>
          <w:color w:val="000000"/>
          <w:spacing w:val="0"/>
          <w:w w:val="100"/>
          <w:position w:val="0"/>
          <w:sz w:val="24"/>
          <w:szCs w:val="24"/>
        </w:rPr>
        <w:t>本集团作为承租方：</w:t>
      </w:r>
    </w:p>
    <w:tbl>
      <w:tblPr>
        <w:tblOverlap w:val="never"/>
        <w:jc w:val="right"/>
        <w:tblLayout w:type="fixed"/>
      </w:tblPr>
      <w:tblGrid>
        <w:gridCol w:w="2050"/>
        <w:gridCol w:w="2750"/>
        <w:gridCol w:w="2083"/>
        <w:gridCol w:w="1565"/>
      </w:tblGrid>
      <w:tr>
        <w:trPr>
          <w:trHeight w:val="619"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出租方名称</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租赁资产种类</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8"/>
                <w:szCs w:val="18"/>
              </w:rPr>
              <w:t>年确认的</w:t>
            </w:r>
          </w:p>
          <w:p>
            <w:pPr>
              <w:pStyle w:val="Style28"/>
              <w:keepNext w:val="0"/>
              <w:keepLines w:val="0"/>
              <w:widowControl w:val="0"/>
              <w:shd w:val="clear" w:color="auto" w:fill="auto"/>
              <w:bidi w:val="0"/>
              <w:spacing w:before="0" w:after="0" w:line="240" w:lineRule="auto"/>
              <w:ind w:left="0" w:right="420" w:firstLine="0"/>
              <w:jc w:val="right"/>
              <w:rPr>
                <w:sz w:val="18"/>
                <w:szCs w:val="18"/>
              </w:rPr>
            </w:pPr>
            <w:r>
              <w:rPr>
                <w:color w:val="000000"/>
                <w:spacing w:val="0"/>
                <w:w w:val="100"/>
                <w:position w:val="0"/>
                <w:sz w:val="18"/>
                <w:szCs w:val="18"/>
              </w:rPr>
              <w:t>租赁费</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8"/>
                <w:szCs w:val="18"/>
              </w:rPr>
              <w:t>年确认的</w:t>
            </w:r>
          </w:p>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租赁费</w:t>
            </w:r>
          </w:p>
        </w:tc>
      </w:tr>
      <w:tr>
        <w:trPr>
          <w:trHeight w:val="418"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苏宁置业</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新街口苏宁广场店</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41,194</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51,676</w:t>
            </w:r>
          </w:p>
        </w:tc>
      </w:tr>
      <w:tr>
        <w:trPr>
          <w:trHeight w:val="278"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无锡苏宁商业管理</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无锡苏宁广场店</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25,846</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27,126</w:t>
            </w:r>
          </w:p>
        </w:tc>
      </w:tr>
      <w:tr>
        <w:trPr>
          <w:trHeight w:val="274"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青岛苏宁置业</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李村广场店</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12,424</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12,885</w:t>
            </w:r>
          </w:p>
        </w:tc>
      </w:tr>
      <w:tr>
        <w:trPr>
          <w:trHeight w:val="274"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石家庄苏宁房地产开发</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石家庄苏宁广场店</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10,709</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13,908</w:t>
            </w:r>
          </w:p>
        </w:tc>
      </w:tr>
      <w:tr>
        <w:trPr>
          <w:trHeight w:val="278"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福州苏宁置业台江</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福州苏宁广场店</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10,063</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9,302</w:t>
            </w:r>
          </w:p>
        </w:tc>
      </w:tr>
      <w:tr>
        <w:trPr>
          <w:trHeight w:val="278"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成都鸿业置业苏宁广场</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天府立交店</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7,051</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16,411</w:t>
            </w:r>
          </w:p>
        </w:tc>
      </w:tr>
      <w:tr>
        <w:trPr>
          <w:trHeight w:val="274"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宿迁苏宁置业</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宿迁苏宁广场店</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5,496</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5,852</w:t>
            </w:r>
          </w:p>
        </w:tc>
      </w:tr>
      <w:tr>
        <w:trPr>
          <w:trHeight w:val="278"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淮安苏宁置业</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淮安苏宁广场店</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5,375</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5,427</w:t>
            </w:r>
          </w:p>
        </w:tc>
      </w:tr>
      <w:tr>
        <w:trPr>
          <w:trHeight w:val="274"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苏宁置业集团清凉门</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清凉苏宁广场电器店</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4,910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274"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苏宁置业集团清凉门</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清凉苏宁广场超市</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4,268</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278"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玄武苏宁置业</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员工宿舍</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4,261</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274"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苏宁电器集团</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乐购仕山西路店</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3,468</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15,932</w:t>
            </w:r>
          </w:p>
        </w:tc>
      </w:tr>
      <w:tr>
        <w:trPr>
          <w:trHeight w:val="278"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石家庄苏宁房地产开发</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石家庄苏宁广场办公区</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2,473</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2,527</w:t>
            </w:r>
          </w:p>
        </w:tc>
      </w:tr>
      <w:tr>
        <w:trPr>
          <w:trHeight w:val="278"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成都鸿业置业苏宁广场</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苏宁广场超市</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1,974</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1,564</w:t>
            </w:r>
          </w:p>
        </w:tc>
      </w:tr>
      <w:tr>
        <w:trPr>
          <w:trHeight w:val="269"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成都鸿业置业苏宁广场</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红孩子店</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1,837</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1,804</w:t>
            </w:r>
          </w:p>
        </w:tc>
      </w:tr>
      <w:tr>
        <w:trPr>
          <w:trHeight w:val="278"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苏宁电器集团</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新街口店</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1,068</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274"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宿迁苏宁置业</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宿迁苏宁广场办公区</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533</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917</w:t>
            </w:r>
          </w:p>
        </w:tc>
      </w:tr>
      <w:tr>
        <w:trPr>
          <w:trHeight w:val="278"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石家庄苏宁房地产开发</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石家庄苏宁广场红孩子店</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211</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259"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无锡苏宁商业管理</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无锡苏宁广场红孩子店</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42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1,250</w:t>
            </w:r>
          </w:p>
        </w:tc>
      </w:tr>
      <w:tr>
        <w:trPr>
          <w:trHeight w:val="312" w:hRule="exact"/>
        </w:trPr>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143,161</w:t>
            </w:r>
          </w:p>
        </w:tc>
        <w:tc>
          <w:tcPr>
            <w:tcBorders>
              <w:top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166,581</w:t>
            </w:r>
          </w:p>
        </w:tc>
      </w:tr>
    </w:tbl>
    <w:p>
      <w:pPr>
        <w:pStyle w:val="Style32"/>
        <w:keepNext w:val="0"/>
        <w:keepLines w:val="0"/>
        <w:widowControl w:val="0"/>
        <w:shd w:val="clear" w:color="auto" w:fill="auto"/>
        <w:bidi w:val="0"/>
        <w:spacing w:before="0" w:after="0" w:line="288" w:lineRule="exact"/>
        <w:ind w:left="660" w:right="0" w:firstLine="40"/>
        <w:jc w:val="left"/>
        <w:rPr>
          <w:sz w:val="24"/>
          <w:szCs w:val="24"/>
        </w:rPr>
      </w:pPr>
      <w:r>
        <w:rPr>
          <w:b/>
          <w:bCs/>
          <w:color w:val="000000"/>
          <w:spacing w:val="0"/>
          <w:w w:val="100"/>
          <w:position w:val="0"/>
          <w:sz w:val="24"/>
          <w:szCs w:val="24"/>
        </w:rPr>
        <w:t xml:space="preserve">财务报表附注 </w:t>
      </w:r>
      <w:r>
        <w:rPr>
          <w:rFonts w:ascii="Arial" w:eastAsia="Arial" w:hAnsi="Arial" w:cs="Arial"/>
          <w:color w:val="000000"/>
          <w:spacing w:val="0"/>
          <w:w w:val="100"/>
          <w:position w:val="0"/>
          <w:sz w:val="24"/>
          <w:szCs w:val="24"/>
        </w:rPr>
        <w:t>2016</w:t>
      </w:r>
      <w:r>
        <w:rPr>
          <w:b/>
          <w:bCs/>
          <w:color w:val="000000"/>
          <w:spacing w:val="0"/>
          <w:w w:val="100"/>
          <w:position w:val="0"/>
          <w:sz w:val="24"/>
          <w:szCs w:val="24"/>
        </w:rPr>
        <w:t>年度</w:t>
      </w:r>
    </w:p>
    <w:p>
      <w:pPr>
        <w:pStyle w:val="Style32"/>
        <w:keepNext w:val="0"/>
        <w:keepLines w:val="0"/>
        <w:widowControl w:val="0"/>
        <w:shd w:val="clear" w:color="auto" w:fill="auto"/>
        <w:bidi w:val="0"/>
        <w:spacing w:before="0" w:after="200" w:line="240" w:lineRule="auto"/>
        <w:ind w:left="0" w:right="0" w:firstLine="660"/>
        <w:jc w:val="left"/>
        <w:rPr>
          <w:sz w:val="20"/>
          <w:szCs w:val="20"/>
        </w:rPr>
      </w:pPr>
      <w:r>
        <w:rPr>
          <w:rFonts w:ascii="Arial" w:eastAsia="Arial" w:hAnsi="Arial" w:cs="Arial"/>
          <w:color w:val="000000"/>
          <w:spacing w:val="0"/>
          <w:w w:val="100"/>
          <w:position w:val="0"/>
          <w:sz w:val="20"/>
          <w:szCs w:val="20"/>
        </w:rPr>
        <w:t>（</w:t>
      </w:r>
      <w:r>
        <w:rPr>
          <w:color w:val="000000"/>
          <w:spacing w:val="0"/>
          <w:w w:val="100"/>
          <w:position w:val="0"/>
          <w:sz w:val="20"/>
          <w:szCs w:val="20"/>
        </w:rPr>
        <w:t>除特别注明外，金额单位为人民币千元</w:t>
      </w:r>
      <w:r>
        <w:rPr>
          <w:rFonts w:ascii="Arial" w:eastAsia="Arial" w:hAnsi="Arial" w:cs="Arial"/>
          <w:color w:val="000000"/>
          <w:spacing w:val="0"/>
          <w:w w:val="100"/>
          <w:position w:val="0"/>
          <w:sz w:val="20"/>
          <w:szCs w:val="20"/>
        </w:rPr>
        <w:t>）</w:t>
      </w:r>
    </w:p>
    <w:p>
      <w:pPr>
        <w:pStyle w:val="Style32"/>
        <w:keepNext w:val="0"/>
        <w:keepLines w:val="0"/>
        <w:widowControl w:val="0"/>
        <w:shd w:val="clear" w:color="auto" w:fill="auto"/>
        <w:tabs>
          <w:tab w:pos="640" w:val="left"/>
        </w:tabs>
        <w:bidi w:val="0"/>
        <w:spacing w:before="0" w:after="260" w:line="240" w:lineRule="auto"/>
        <w:ind w:left="0" w:right="0" w:firstLine="0"/>
        <w:jc w:val="left"/>
        <w:rPr>
          <w:sz w:val="24"/>
          <w:szCs w:val="24"/>
        </w:rPr>
      </w:pPr>
      <w:r>
        <w:rPr>
          <w:b/>
          <w:bCs/>
          <w:color w:val="000000"/>
          <w:spacing w:val="0"/>
          <w:w w:val="100"/>
          <w:position w:val="0"/>
          <w:sz w:val="24"/>
          <w:szCs w:val="24"/>
        </w:rPr>
        <w:t>八</w:t>
        <w:tab/>
        <w:t>关联方关系及其交易</w:t>
      </w:r>
      <w:r>
        <w:rPr>
          <w:rFonts w:ascii="Times New Roman" w:eastAsia="Times New Roman" w:hAnsi="Times New Roman" w:cs="Times New Roman"/>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4"/>
          <w:szCs w:val="24"/>
        </w:rPr>
        <w:t>）</w:t>
      </w:r>
    </w:p>
    <w:p>
      <w:pPr>
        <w:pStyle w:val="Style53"/>
        <w:keepNext w:val="0"/>
        <w:keepLines w:val="0"/>
        <w:widowControl w:val="0"/>
        <w:shd w:val="clear" w:color="auto" w:fill="auto"/>
        <w:tabs>
          <w:tab w:pos="640" w:val="left"/>
        </w:tabs>
        <w:bidi w:val="0"/>
        <w:spacing w:before="0" w:after="260" w:line="240" w:lineRule="auto"/>
        <w:ind w:left="0" w:right="0" w:firstLine="0"/>
        <w:jc w:val="left"/>
        <w:rPr>
          <w:sz w:val="24"/>
          <w:szCs w:val="24"/>
        </w:rPr>
      </w:pPr>
      <w:r>
        <w:rPr>
          <w:color w:val="000000"/>
          <w:spacing w:val="0"/>
          <w:w w:val="100"/>
          <w:position w:val="0"/>
          <w:sz w:val="24"/>
          <w:szCs w:val="24"/>
        </w:rPr>
        <w:t>（6）</w:t>
        <w:tab/>
      </w:r>
      <w:r>
        <w:rPr>
          <w:rFonts w:ascii="SimSun" w:eastAsia="SimSun" w:hAnsi="SimSun" w:cs="SimSun"/>
          <w:b/>
          <w:bCs/>
          <w:color w:val="000000"/>
          <w:spacing w:val="0"/>
          <w:w w:val="100"/>
          <w:position w:val="0"/>
          <w:sz w:val="24"/>
          <w:szCs w:val="24"/>
        </w:rPr>
        <w:t>关联交易</w:t>
      </w:r>
      <w:r>
        <w:rPr>
          <w:color w:val="000000"/>
          <w:spacing w:val="0"/>
          <w:w w:val="100"/>
          <w:position w:val="0"/>
          <w:sz w:val="24"/>
          <w:szCs w:val="24"/>
        </w:rPr>
        <w:t>（</w:t>
      </w:r>
      <w:r>
        <w:rPr>
          <w:rFonts w:ascii="SimSun" w:eastAsia="SimSun" w:hAnsi="SimSun" w:cs="SimSun"/>
          <w:b/>
          <w:bCs/>
          <w:color w:val="000000"/>
          <w:spacing w:val="0"/>
          <w:w w:val="100"/>
          <w:position w:val="0"/>
          <w:sz w:val="24"/>
          <w:szCs w:val="24"/>
        </w:rPr>
        <w:t>续</w:t>
      </w:r>
      <w:r>
        <w:rPr>
          <w:rFonts w:ascii="SimSun" w:eastAsia="SimSun" w:hAnsi="SimSun" w:cs="SimSun"/>
          <w:color w:val="000000"/>
          <w:spacing w:val="0"/>
          <w:w w:val="100"/>
          <w:position w:val="0"/>
          <w:sz w:val="24"/>
          <w:szCs w:val="24"/>
        </w:rPr>
        <w:t>）</w:t>
      </w:r>
    </w:p>
    <w:p>
      <w:pPr>
        <w:pStyle w:val="Style53"/>
        <w:keepNext w:val="0"/>
        <w:keepLines w:val="0"/>
        <w:widowControl w:val="0"/>
        <w:shd w:val="clear" w:color="auto" w:fill="auto"/>
        <w:bidi w:val="0"/>
        <w:spacing w:before="0" w:after="300" w:line="240" w:lineRule="auto"/>
        <w:ind w:left="0" w:right="0" w:firstLine="0"/>
        <w:jc w:val="left"/>
        <w:rPr>
          <w:sz w:val="24"/>
          <w:szCs w:val="24"/>
        </w:rPr>
      </w:pPr>
      <w:r>
        <w:rPr>
          <w:color w:val="000000"/>
          <w:spacing w:val="0"/>
          <w:w w:val="100"/>
          <w:position w:val="0"/>
          <w:sz w:val="24"/>
          <w:szCs w:val="24"/>
        </w:rPr>
        <w:t>（m）</w:t>
      </w:r>
      <w:r>
        <w:rPr>
          <w:rFonts w:ascii="SimSun" w:eastAsia="SimSun" w:hAnsi="SimSun" w:cs="SimSun"/>
          <w:color w:val="000000"/>
          <w:spacing w:val="0"/>
          <w:w w:val="100"/>
          <w:position w:val="0"/>
          <w:sz w:val="24"/>
          <w:szCs w:val="24"/>
        </w:rPr>
        <w:t>租赁</w:t>
      </w:r>
      <w:r>
        <w:rPr>
          <w:color w:val="000000"/>
          <w:spacing w:val="0"/>
          <w:w w:val="100"/>
          <w:position w:val="0"/>
          <w:sz w:val="24"/>
          <w:szCs w:val="24"/>
        </w:rPr>
        <w:t>（</w:t>
      </w:r>
      <w:r>
        <w:rPr>
          <w:rFonts w:ascii="SimSun" w:eastAsia="SimSun" w:hAnsi="SimSun" w:cs="SimSun"/>
          <w:color w:val="000000"/>
          <w:spacing w:val="0"/>
          <w:w w:val="100"/>
          <w:position w:val="0"/>
          <w:sz w:val="24"/>
          <w:szCs w:val="24"/>
        </w:rPr>
        <w:t>续</w:t>
      </w:r>
      <w:r>
        <w:rPr>
          <w:rFonts w:ascii="SimSun" w:eastAsia="SimSun" w:hAnsi="SimSun" w:cs="SimSun"/>
          <w:color w:val="000000"/>
          <w:spacing w:val="0"/>
          <w:w w:val="100"/>
          <w:position w:val="0"/>
          <w:sz w:val="24"/>
          <w:szCs w:val="24"/>
        </w:rPr>
        <w:t>）</w:t>
      </w:r>
    </w:p>
    <w:p>
      <w:pPr>
        <w:pStyle w:val="Style32"/>
        <w:keepNext w:val="0"/>
        <w:keepLines w:val="0"/>
        <w:widowControl w:val="0"/>
        <w:shd w:val="clear" w:color="auto" w:fill="auto"/>
        <w:bidi w:val="0"/>
        <w:spacing w:before="0" w:after="260" w:line="240" w:lineRule="auto"/>
        <w:ind w:left="0" w:right="0" w:firstLine="660"/>
        <w:jc w:val="left"/>
        <w:rPr>
          <w:sz w:val="24"/>
          <w:szCs w:val="24"/>
        </w:rPr>
      </w:pPr>
      <w:r>
        <w:rPr>
          <w:color w:val="000000"/>
          <w:spacing w:val="0"/>
          <w:w w:val="100"/>
          <w:position w:val="0"/>
          <w:sz w:val="24"/>
          <w:szCs w:val="24"/>
        </w:rPr>
        <w:t>本集团作为出租方：</w:t>
      </w:r>
    </w:p>
    <w:tbl>
      <w:tblPr>
        <w:tblOverlap w:val="never"/>
        <w:jc w:val="right"/>
        <w:tblLayout w:type="fixed"/>
      </w:tblPr>
      <w:tblGrid>
        <w:gridCol w:w="2045"/>
        <w:gridCol w:w="2923"/>
        <w:gridCol w:w="1949"/>
        <w:gridCol w:w="1541"/>
      </w:tblGrid>
      <w:tr>
        <w:trPr>
          <w:trHeight w:val="600"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承租方名称</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租赁资产种类</w:t>
            </w:r>
          </w:p>
        </w:tc>
        <w:tc>
          <w:tcPr>
            <w:tcBorders/>
            <w:shd w:val="clear" w:color="auto" w:fill="FFFFFF"/>
            <w:vAlign w:val="top"/>
          </w:tcPr>
          <w:p>
            <w:pPr>
              <w:pStyle w:val="Style28"/>
              <w:keepNext w:val="0"/>
              <w:keepLines w:val="0"/>
              <w:widowControl w:val="0"/>
              <w:shd w:val="clear" w:color="auto" w:fill="auto"/>
              <w:bidi w:val="0"/>
              <w:spacing w:before="0" w:after="0" w:line="245" w:lineRule="exact"/>
              <w:ind w:left="0" w:right="380" w:firstLine="0"/>
              <w:jc w:val="right"/>
              <w:rPr>
                <w:sz w:val="18"/>
                <w:szCs w:val="18"/>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8"/>
                <w:szCs w:val="18"/>
              </w:rPr>
              <w:t>年确认的 租赁收入</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8"/>
                <w:szCs w:val="18"/>
              </w:rPr>
              <w:t>年确认的</w:t>
            </w:r>
          </w:p>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租赁收入</w:t>
            </w:r>
          </w:p>
        </w:tc>
      </w:tr>
      <w:tr>
        <w:trPr>
          <w:trHeight w:val="408"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玄武苏宁置业诺富特</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房屋租赁</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诺富特酒店</w:t>
            </w:r>
            <w:r>
              <w:rPr>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18,895</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19,710</w:t>
            </w:r>
          </w:p>
        </w:tc>
      </w:tr>
      <w:tr>
        <w:trPr>
          <w:trHeight w:val="485"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苏宁置业</w:t>
            </w:r>
          </w:p>
        </w:tc>
        <w:tc>
          <w:tcPr>
            <w:tcBorders/>
            <w:shd w:val="clear" w:color="auto" w:fill="FFFFFF"/>
            <w:vAlign w:val="bottom"/>
          </w:tcPr>
          <w:p>
            <w:pPr>
              <w:pStyle w:val="Style28"/>
              <w:keepNext w:val="0"/>
              <w:keepLines w:val="0"/>
              <w:widowControl w:val="0"/>
              <w:shd w:val="clear" w:color="auto" w:fill="auto"/>
              <w:bidi w:val="0"/>
              <w:spacing w:before="0" w:after="0" w:line="235" w:lineRule="exact"/>
              <w:ind w:left="420" w:right="0" w:hanging="180"/>
              <w:jc w:val="left"/>
              <w:rPr>
                <w:sz w:val="18"/>
                <w:szCs w:val="18"/>
              </w:rPr>
            </w:pPr>
            <w:r>
              <w:rPr>
                <w:color w:val="000000"/>
                <w:spacing w:val="0"/>
                <w:w w:val="100"/>
                <w:position w:val="0"/>
                <w:sz w:val="18"/>
                <w:szCs w:val="18"/>
              </w:rPr>
              <w:t>苏宁总部</w:t>
            </w:r>
            <w:r>
              <w:rPr>
                <w:rFonts w:ascii="Times New Roman" w:eastAsia="Times New Roman" w:hAnsi="Times New Roman" w:cs="Times New Roman"/>
                <w:color w:val="000000"/>
                <w:spacing w:val="0"/>
                <w:w w:val="100"/>
                <w:position w:val="0"/>
                <w:sz w:val="18"/>
                <w:szCs w:val="18"/>
              </w:rPr>
              <w:t>1#7-13F</w:t>
            </w:r>
            <w:r>
              <w:rPr>
                <w:color w:val="000000"/>
                <w:spacing w:val="0"/>
                <w:w w:val="100"/>
                <w:position w:val="0"/>
                <w:sz w:val="18"/>
                <w:szCs w:val="18"/>
              </w:rPr>
              <w:t>部分区域 以及</w:t>
            </w:r>
            <w:r>
              <w:rPr>
                <w:rFonts w:ascii="Times New Roman" w:eastAsia="Times New Roman" w:hAnsi="Times New Roman" w:cs="Times New Roman"/>
                <w:color w:val="000000"/>
                <w:spacing w:val="0"/>
                <w:w w:val="100"/>
                <w:position w:val="0"/>
                <w:sz w:val="18"/>
                <w:szCs w:val="18"/>
              </w:rPr>
              <w:t>5#3F</w:t>
            </w:r>
            <w:r>
              <w:rPr>
                <w:color w:val="000000"/>
                <w:spacing w:val="0"/>
                <w:w w:val="100"/>
                <w:position w:val="0"/>
                <w:sz w:val="18"/>
                <w:szCs w:val="18"/>
              </w:rPr>
              <w:t>区域</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4,643</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3,137</w:t>
            </w:r>
          </w:p>
        </w:tc>
      </w:tr>
      <w:tr>
        <w:trPr>
          <w:trHeight w:val="254"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苏宁消费金融</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苏宁总部</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号楼</w:t>
            </w:r>
            <w:r>
              <w:rPr>
                <w:rFonts w:ascii="Times New Roman" w:eastAsia="Times New Roman" w:hAnsi="Times New Roman" w:cs="Times New Roman"/>
                <w:color w:val="000000"/>
                <w:spacing w:val="0"/>
                <w:w w:val="100"/>
                <w:position w:val="0"/>
                <w:sz w:val="18"/>
                <w:szCs w:val="18"/>
              </w:rPr>
              <w:t>2#</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1,369</w:t>
            </w:r>
          </w:p>
        </w:tc>
        <w:tc>
          <w:tcPr>
            <w:tcBorders/>
            <w:shd w:val="clear" w:color="auto" w:fill="FFFFFF"/>
            <w:vAlign w:val="top"/>
          </w:tcPr>
          <w:p>
            <w:pPr>
              <w:widowControl w:val="0"/>
              <w:rPr>
                <w:sz w:val="10"/>
                <w:szCs w:val="10"/>
              </w:rPr>
            </w:pPr>
          </w:p>
        </w:tc>
      </w:tr>
      <w:tr>
        <w:trPr>
          <w:trHeight w:val="278"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江苏苏宁广场商业管理</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办公场所租赁</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徐庄总部</w:t>
            </w:r>
            <w:r>
              <w:rPr>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1,271</w:t>
            </w:r>
          </w:p>
        </w:tc>
        <w:tc>
          <w:tcPr>
            <w:tcBorders/>
            <w:shd w:val="clear" w:color="auto" w:fill="FFFFFF"/>
            <w:vAlign w:val="top"/>
          </w:tcPr>
          <w:p>
            <w:pPr>
              <w:widowControl w:val="0"/>
              <w:rPr>
                <w:sz w:val="10"/>
                <w:szCs w:val="10"/>
              </w:rPr>
            </w:pPr>
          </w:p>
        </w:tc>
      </w:tr>
      <w:tr>
        <w:trPr>
          <w:trHeight w:val="278"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银河酒店管理公司</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徐庄总部办公区</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859</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1,308</w:t>
            </w:r>
          </w:p>
        </w:tc>
      </w:tr>
      <w:tr>
        <w:trPr>
          <w:trHeight w:val="269"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南京鼎辰建筑设计</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苏宁总部</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号楼</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8"/>
                <w:szCs w:val="18"/>
              </w:rPr>
              <w:t>层</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667</w:t>
            </w:r>
          </w:p>
        </w:tc>
        <w:tc>
          <w:tcPr>
            <w:tcBorders/>
            <w:shd w:val="clear" w:color="auto" w:fill="FFFFFF"/>
            <w:vAlign w:val="top"/>
          </w:tcPr>
          <w:p>
            <w:pPr>
              <w:widowControl w:val="0"/>
              <w:rPr>
                <w:sz w:val="10"/>
                <w:szCs w:val="10"/>
              </w:rPr>
            </w:pPr>
          </w:p>
        </w:tc>
      </w:tr>
      <w:tr>
        <w:trPr>
          <w:trHeight w:val="490"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江苏银河物业</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办公场所租赁</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徐庄总部</w:t>
            </w:r>
            <w:r>
              <w:rPr>
                <w:rFonts w:ascii="Times New Roman" w:eastAsia="Times New Roman" w:hAnsi="Times New Roman" w:cs="Times New Roman"/>
                <w:color w:val="000000"/>
                <w:spacing w:val="0"/>
                <w:w w:val="100"/>
                <w:position w:val="0"/>
                <w:sz w:val="18"/>
                <w:szCs w:val="18"/>
              </w:rPr>
              <w:t>）5#</w:t>
            </w:r>
          </w:p>
          <w:p>
            <w:pPr>
              <w:pStyle w:val="Style28"/>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4F</w:t>
            </w:r>
            <w:r>
              <w:rPr>
                <w:color w:val="000000"/>
                <w:spacing w:val="0"/>
                <w:w w:val="100"/>
                <w:position w:val="0"/>
                <w:sz w:val="18"/>
                <w:szCs w:val="18"/>
              </w:rPr>
              <w:t>区域</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662</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1,717</w:t>
            </w:r>
          </w:p>
        </w:tc>
      </w:tr>
      <w:tr>
        <w:trPr>
          <w:trHeight w:val="254"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苏宁电器集团</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苏宁总部</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号楼</w:t>
            </w:r>
            <w:r>
              <w:rPr>
                <w:rFonts w:ascii="Times New Roman" w:eastAsia="Times New Roman" w:hAnsi="Times New Roman" w:cs="Times New Roman"/>
                <w:color w:val="000000"/>
                <w:spacing w:val="0"/>
                <w:w w:val="100"/>
                <w:position w:val="0"/>
                <w:sz w:val="18"/>
                <w:szCs w:val="18"/>
              </w:rPr>
              <w:t>15F</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615</w:t>
            </w:r>
          </w:p>
        </w:tc>
        <w:tc>
          <w:tcPr>
            <w:tcBorders/>
            <w:shd w:val="clear" w:color="auto" w:fill="FFFFFF"/>
            <w:vAlign w:val="top"/>
          </w:tcPr>
          <w:p>
            <w:pPr>
              <w:widowControl w:val="0"/>
              <w:rPr>
                <w:sz w:val="10"/>
                <w:szCs w:val="10"/>
              </w:rPr>
            </w:pPr>
          </w:p>
        </w:tc>
      </w:tr>
      <w:tr>
        <w:trPr>
          <w:trHeight w:val="274"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苏宁控股集团</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苏宁总部</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号楼</w:t>
            </w:r>
            <w:r>
              <w:rPr>
                <w:rFonts w:ascii="Times New Roman" w:eastAsia="Times New Roman" w:hAnsi="Times New Roman" w:cs="Times New Roman"/>
                <w:color w:val="000000"/>
                <w:spacing w:val="0"/>
                <w:w w:val="100"/>
                <w:position w:val="0"/>
                <w:sz w:val="18"/>
                <w:szCs w:val="18"/>
              </w:rPr>
              <w:t>15F</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297</w:t>
            </w:r>
          </w:p>
        </w:tc>
        <w:tc>
          <w:tcPr>
            <w:tcBorders/>
            <w:shd w:val="clear" w:color="auto" w:fill="FFFFFF"/>
            <w:vAlign w:val="top"/>
          </w:tcPr>
          <w:p>
            <w:pPr>
              <w:widowControl w:val="0"/>
              <w:rPr>
                <w:sz w:val="10"/>
                <w:szCs w:val="10"/>
              </w:rPr>
            </w:pPr>
          </w:p>
        </w:tc>
      </w:tr>
      <w:tr>
        <w:trPr>
          <w:trHeight w:val="269"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银河国际购物广场</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山西路店一楼部分区域</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27</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w:t>
            </w:r>
          </w:p>
        </w:tc>
      </w:tr>
      <w:tr>
        <w:trPr>
          <w:trHeight w:val="490"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苏宁置业</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办公场所租赁</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徐庄总部</w:t>
            </w:r>
            <w:r>
              <w:rPr>
                <w:rFonts w:ascii="Times New Roman" w:eastAsia="Times New Roman" w:hAnsi="Times New Roman" w:cs="Times New Roman"/>
                <w:color w:val="000000"/>
                <w:spacing w:val="0"/>
                <w:w w:val="100"/>
                <w:position w:val="0"/>
                <w:sz w:val="18"/>
                <w:szCs w:val="18"/>
              </w:rPr>
              <w:t>）1#7-</w:t>
            </w:r>
          </w:p>
          <w:p>
            <w:pPr>
              <w:pStyle w:val="Style28"/>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11F</w:t>
            </w:r>
            <w:r>
              <w:rPr>
                <w:color w:val="000000"/>
                <w:spacing w:val="0"/>
                <w:w w:val="100"/>
                <w:position w:val="0"/>
                <w:sz w:val="18"/>
                <w:szCs w:val="18"/>
              </w:rPr>
              <w:t>部分区域，</w:t>
            </w:r>
            <w:r>
              <w:rPr>
                <w:rFonts w:ascii="Times New Roman" w:eastAsia="Times New Roman" w:hAnsi="Times New Roman" w:cs="Times New Roman"/>
                <w:color w:val="000000"/>
                <w:spacing w:val="0"/>
                <w:w w:val="100"/>
                <w:position w:val="0"/>
                <w:sz w:val="18"/>
                <w:szCs w:val="18"/>
              </w:rPr>
              <w:t>5#3F</w:t>
            </w:r>
            <w:r>
              <w:rPr>
                <w:color w:val="000000"/>
                <w:spacing w:val="0"/>
                <w:w w:val="100"/>
                <w:position w:val="0"/>
                <w:sz w:val="18"/>
                <w:szCs w:val="18"/>
              </w:rPr>
              <w:t>区域</w:t>
            </w:r>
          </w:p>
        </w:tc>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7,031</w:t>
            </w:r>
          </w:p>
        </w:tc>
      </w:tr>
      <w:tr>
        <w:trPr>
          <w:trHeight w:val="504"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苏宁消费金融</w:t>
            </w:r>
          </w:p>
        </w:tc>
        <w:tc>
          <w:tcPr>
            <w:tcBorders/>
            <w:shd w:val="clear" w:color="auto" w:fill="FFFFFF"/>
            <w:vAlign w:val="top"/>
          </w:tcPr>
          <w:p>
            <w:pPr>
              <w:pStyle w:val="Style28"/>
              <w:keepNext w:val="0"/>
              <w:keepLines w:val="0"/>
              <w:widowControl w:val="0"/>
              <w:shd w:val="clear" w:color="auto" w:fill="auto"/>
              <w:bidi w:val="0"/>
              <w:spacing w:before="0" w:after="0" w:line="226" w:lineRule="exact"/>
              <w:ind w:left="420" w:right="0" w:hanging="180"/>
              <w:jc w:val="left"/>
              <w:rPr>
                <w:sz w:val="18"/>
                <w:szCs w:val="18"/>
              </w:rPr>
            </w:pPr>
            <w:r>
              <w:rPr>
                <w:color w:val="000000"/>
                <w:spacing w:val="0"/>
                <w:w w:val="100"/>
                <w:position w:val="0"/>
                <w:sz w:val="18"/>
                <w:szCs w:val="18"/>
              </w:rPr>
              <w:t>办公场所租赁</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徐庄总部</w:t>
            </w:r>
            <w:r>
              <w:rPr>
                <w:rFonts w:ascii="Times New Roman" w:eastAsia="Times New Roman" w:hAnsi="Times New Roman" w:cs="Times New Roman"/>
                <w:color w:val="000000"/>
                <w:spacing w:val="0"/>
                <w:w w:val="100"/>
                <w:position w:val="0"/>
                <w:sz w:val="18"/>
                <w:szCs w:val="18"/>
              </w:rPr>
              <w:t xml:space="preserve">）5#2F </w:t>
            </w:r>
            <w:r>
              <w:rPr>
                <w:color w:val="000000"/>
                <w:spacing w:val="0"/>
                <w:w w:val="100"/>
                <w:position w:val="0"/>
                <w:sz w:val="18"/>
                <w:szCs w:val="18"/>
              </w:rPr>
              <w:t>区域</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38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780</w:t>
            </w:r>
          </w:p>
        </w:tc>
      </w:tr>
      <w:tr>
        <w:trPr>
          <w:trHeight w:val="278" w:hRule="exact"/>
        </w:trPr>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29,305</w:t>
            </w:r>
          </w:p>
        </w:tc>
        <w:tc>
          <w:tcPr>
            <w:tcBorders>
              <w:top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33,762</w:t>
            </w:r>
          </w:p>
        </w:tc>
      </w:tr>
    </w:tbl>
    <w:p>
      <w:pPr>
        <w:widowControl w:val="0"/>
        <w:spacing w:after="199" w:line="1" w:lineRule="exact"/>
      </w:pPr>
    </w:p>
    <w:p>
      <w:pPr>
        <w:pStyle w:val="Style32"/>
        <w:keepNext w:val="0"/>
        <w:keepLines w:val="0"/>
        <w:widowControl w:val="0"/>
        <w:shd w:val="clear" w:color="auto" w:fill="auto"/>
        <w:tabs>
          <w:tab w:pos="640" w:val="left"/>
        </w:tabs>
        <w:bidi w:val="0"/>
        <w:spacing w:before="0" w:after="260" w:line="326" w:lineRule="exact"/>
        <w:ind w:left="0" w:right="0" w:firstLine="0"/>
        <w:jc w:val="left"/>
        <w:rPr>
          <w:sz w:val="24"/>
          <w:szCs w:val="24"/>
        </w:rPr>
      </w:pPr>
      <w:bookmarkStart w:id="1075" w:name="bookmark1075"/>
      <w:r>
        <w:rPr>
          <w:rFonts w:ascii="Times New Roman" w:eastAsia="Times New Roman" w:hAnsi="Times New Roman" w:cs="Times New Roman"/>
          <w:color w:val="000000"/>
          <w:spacing w:val="0"/>
          <w:w w:val="100"/>
          <w:position w:val="0"/>
          <w:sz w:val="24"/>
          <w:szCs w:val="24"/>
          <w:shd w:val="clear" w:color="auto" w:fill="FFFFFF"/>
        </w:rPr>
        <w:t>（</w:t>
      </w:r>
      <w:bookmarkEnd w:id="1075"/>
      <w:r>
        <w:rPr>
          <w:rFonts w:ascii="Times New Roman" w:eastAsia="Times New Roman" w:hAnsi="Times New Roman" w:cs="Times New Roman"/>
          <w:color w:val="000000"/>
          <w:spacing w:val="0"/>
          <w:w w:val="100"/>
          <w:position w:val="0"/>
          <w:sz w:val="24"/>
          <w:szCs w:val="24"/>
          <w:shd w:val="clear" w:color="auto" w:fill="FFFFFF"/>
        </w:rPr>
        <w:t>n）</w:t>
      </w:r>
      <w:r>
        <w:rPr>
          <w:rFonts w:ascii="Times New Roman" w:eastAsia="Times New Roman" w:hAnsi="Times New Roman" w:cs="Times New Roman"/>
          <w:color w:val="000000"/>
          <w:spacing w:val="0"/>
          <w:w w:val="100"/>
          <w:position w:val="0"/>
          <w:sz w:val="24"/>
          <w:szCs w:val="24"/>
        </w:rPr>
        <w:tab/>
      </w:r>
      <w:r>
        <w:rPr>
          <w:color w:val="000000"/>
          <w:spacing w:val="0"/>
          <w:w w:val="100"/>
          <w:position w:val="0"/>
          <w:sz w:val="24"/>
          <w:szCs w:val="24"/>
        </w:rPr>
        <w:t>担保</w:t>
      </w:r>
    </w:p>
    <w:p>
      <w:pPr>
        <w:pStyle w:val="Style32"/>
        <w:keepNext w:val="0"/>
        <w:keepLines w:val="0"/>
        <w:widowControl w:val="0"/>
        <w:shd w:val="clear" w:color="auto" w:fill="auto"/>
        <w:bidi w:val="0"/>
        <w:spacing w:before="0" w:after="260" w:line="326" w:lineRule="exact"/>
        <w:ind w:left="660" w:right="0" w:firstLine="40"/>
        <w:jc w:val="left"/>
        <w:rPr>
          <w:sz w:val="24"/>
          <w:szCs w:val="24"/>
        </w:rPr>
      </w:pPr>
      <w:r>
        <w:rPr>
          <w:color w:val="000000"/>
          <w:spacing w:val="0"/>
          <w:w w:val="100"/>
          <w:position w:val="0"/>
          <w:sz w:val="24"/>
          <w:szCs w:val="24"/>
        </w:rPr>
        <w:t>于</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年度，无关联方为本集团提供担保</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sz w:val="24"/>
          <w:szCs w:val="24"/>
        </w:rPr>
        <w:t>年度：无</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，亦无本集团为关联 方提供担保。</w:t>
      </w:r>
    </w:p>
    <w:p>
      <w:pPr>
        <w:pStyle w:val="Style32"/>
        <w:keepNext w:val="0"/>
        <w:keepLines w:val="0"/>
        <w:widowControl w:val="0"/>
        <w:shd w:val="clear" w:color="auto" w:fill="auto"/>
        <w:bidi w:val="0"/>
        <w:spacing w:before="0" w:after="0" w:line="288" w:lineRule="exact"/>
        <w:ind w:left="740" w:right="0" w:firstLine="0"/>
        <w:jc w:val="left"/>
        <w:rPr>
          <w:sz w:val="24"/>
          <w:szCs w:val="24"/>
        </w:rPr>
      </w:pPr>
      <w:r>
        <w:rPr>
          <w:b/>
          <w:bCs/>
          <w:color w:val="000000"/>
          <w:spacing w:val="0"/>
          <w:w w:val="100"/>
          <w:position w:val="0"/>
          <w:sz w:val="24"/>
          <w:szCs w:val="24"/>
        </w:rPr>
        <w:t xml:space="preserve">财务报表附注 </w:t>
      </w:r>
      <w:r>
        <w:rPr>
          <w:rFonts w:ascii="Arial" w:eastAsia="Arial" w:hAnsi="Arial" w:cs="Arial"/>
          <w:color w:val="000000"/>
          <w:spacing w:val="0"/>
          <w:w w:val="100"/>
          <w:position w:val="0"/>
          <w:sz w:val="24"/>
          <w:szCs w:val="24"/>
        </w:rPr>
        <w:t>2016</w:t>
      </w:r>
      <w:r>
        <w:rPr>
          <w:b/>
          <w:bCs/>
          <w:color w:val="000000"/>
          <w:spacing w:val="0"/>
          <w:w w:val="100"/>
          <w:position w:val="0"/>
          <w:sz w:val="24"/>
          <w:szCs w:val="24"/>
        </w:rPr>
        <w:t>年度</w:t>
      </w:r>
    </w:p>
    <w:p>
      <w:pPr>
        <w:pStyle w:val="Style32"/>
        <w:keepNext w:val="0"/>
        <w:keepLines w:val="0"/>
        <w:widowControl w:val="0"/>
        <w:shd w:val="clear" w:color="auto" w:fill="auto"/>
        <w:bidi w:val="0"/>
        <w:spacing w:before="0" w:after="260" w:line="240" w:lineRule="auto"/>
        <w:ind w:left="0" w:right="0" w:firstLine="740"/>
        <w:jc w:val="left"/>
        <w:rPr>
          <w:sz w:val="20"/>
          <w:szCs w:val="20"/>
        </w:rPr>
      </w:pPr>
      <w:r>
        <w:rPr>
          <w:rFonts w:ascii="Arial" w:eastAsia="Arial" w:hAnsi="Arial" w:cs="Arial"/>
          <w:color w:val="000000"/>
          <w:spacing w:val="0"/>
          <w:w w:val="100"/>
          <w:position w:val="0"/>
          <w:sz w:val="20"/>
          <w:szCs w:val="20"/>
        </w:rPr>
        <w:t>(</w:t>
      </w:r>
      <w:r>
        <w:rPr>
          <w:color w:val="000000"/>
          <w:spacing w:val="0"/>
          <w:w w:val="100"/>
          <w:position w:val="0"/>
          <w:sz w:val="20"/>
          <w:szCs w:val="20"/>
        </w:rPr>
        <w:t>除特别注明外，金额单位为人民币千元</w:t>
      </w:r>
      <w:r>
        <w:rPr>
          <w:rFonts w:ascii="Arial" w:eastAsia="Arial" w:hAnsi="Arial" w:cs="Arial"/>
          <w:color w:val="000000"/>
          <w:spacing w:val="0"/>
          <w:w w:val="100"/>
          <w:position w:val="0"/>
          <w:sz w:val="20"/>
          <w:szCs w:val="20"/>
        </w:rPr>
        <w:t>)</w:t>
      </w:r>
    </w:p>
    <w:p>
      <w:pPr>
        <w:pStyle w:val="Style32"/>
        <w:keepNext w:val="0"/>
        <w:keepLines w:val="0"/>
        <w:widowControl w:val="0"/>
        <w:shd w:val="clear" w:color="auto" w:fill="auto"/>
        <w:tabs>
          <w:tab w:pos="719" w:val="left"/>
        </w:tabs>
        <w:bidi w:val="0"/>
        <w:spacing w:before="0" w:after="260" w:line="240" w:lineRule="auto"/>
        <w:ind w:left="0" w:right="0" w:firstLine="0"/>
        <w:jc w:val="left"/>
        <w:rPr>
          <w:sz w:val="24"/>
          <w:szCs w:val="24"/>
        </w:rPr>
      </w:pPr>
      <w:r>
        <w:rPr>
          <w:b/>
          <w:bCs/>
          <w:color w:val="000000"/>
          <w:spacing w:val="0"/>
          <w:w w:val="100"/>
          <w:position w:val="0"/>
          <w:sz w:val="24"/>
          <w:szCs w:val="24"/>
        </w:rPr>
        <w:t>八</w:t>
        <w:tab/>
        <w:t>关联方关系及其交易</w:t>
      </w:r>
      <w:r>
        <w:rPr>
          <w:rFonts w:ascii="Times New Roman" w:eastAsia="Times New Roman" w:hAnsi="Times New Roman" w:cs="Times New Roman"/>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4"/>
          <w:szCs w:val="24"/>
        </w:rPr>
        <w:t>)</w:t>
      </w:r>
    </w:p>
    <w:p>
      <w:pPr>
        <w:pStyle w:val="Style53"/>
        <w:keepNext w:val="0"/>
        <w:keepLines w:val="0"/>
        <w:widowControl w:val="0"/>
        <w:shd w:val="clear" w:color="auto" w:fill="auto"/>
        <w:tabs>
          <w:tab w:pos="719" w:val="left"/>
        </w:tabs>
        <w:bidi w:val="0"/>
        <w:spacing w:before="0" w:after="260" w:line="240" w:lineRule="auto"/>
        <w:ind w:left="0" w:right="0" w:firstLine="0"/>
        <w:jc w:val="left"/>
        <w:rPr>
          <w:sz w:val="24"/>
          <w:szCs w:val="24"/>
        </w:rPr>
      </w:pPr>
      <w:r>
        <w:rPr>
          <w:color w:val="000000"/>
          <w:spacing w:val="0"/>
          <w:w w:val="100"/>
          <w:position w:val="0"/>
          <w:sz w:val="24"/>
          <w:szCs w:val="24"/>
        </w:rPr>
        <w:t>(6)</w:t>
        <w:tab/>
      </w:r>
      <w:r>
        <w:rPr>
          <w:rFonts w:ascii="SimSun" w:eastAsia="SimSun" w:hAnsi="SimSun" w:cs="SimSun"/>
          <w:b/>
          <w:bCs/>
          <w:color w:val="000000"/>
          <w:spacing w:val="0"/>
          <w:w w:val="100"/>
          <w:position w:val="0"/>
          <w:sz w:val="24"/>
          <w:szCs w:val="24"/>
        </w:rPr>
        <w:t>关联交易</w:t>
      </w:r>
      <w:r>
        <w:rPr>
          <w:color w:val="000000"/>
          <w:spacing w:val="0"/>
          <w:w w:val="100"/>
          <w:position w:val="0"/>
          <w:sz w:val="24"/>
          <w:szCs w:val="24"/>
        </w:rPr>
        <w:t>(</w:t>
      </w:r>
      <w:r>
        <w:rPr>
          <w:rFonts w:ascii="SimSun" w:eastAsia="SimSun" w:hAnsi="SimSun" w:cs="SimSun"/>
          <w:b/>
          <w:bCs/>
          <w:color w:val="000000"/>
          <w:spacing w:val="0"/>
          <w:w w:val="100"/>
          <w:position w:val="0"/>
          <w:sz w:val="24"/>
          <w:szCs w:val="24"/>
        </w:rPr>
        <w:t>续</w:t>
      </w:r>
      <w:r>
        <w:rPr>
          <w:rFonts w:ascii="SimSun" w:eastAsia="SimSun" w:hAnsi="SimSun" w:cs="SimSun"/>
          <w:color w:val="000000"/>
          <w:spacing w:val="0"/>
          <w:w w:val="100"/>
          <w:position w:val="0"/>
          <w:sz w:val="24"/>
          <w:szCs w:val="24"/>
        </w:rPr>
        <w:t>)</w:t>
      </w:r>
    </w:p>
    <w:p>
      <w:pPr>
        <w:pStyle w:val="Style32"/>
        <w:keepNext w:val="0"/>
        <w:keepLines w:val="0"/>
        <w:widowControl w:val="0"/>
        <w:shd w:val="clear" w:color="auto" w:fill="auto"/>
        <w:tabs>
          <w:tab w:pos="719" w:val="left"/>
        </w:tabs>
        <w:bidi w:val="0"/>
        <w:spacing w:before="0" w:after="300" w:line="240" w:lineRule="auto"/>
        <w:ind w:left="0" w:right="0" w:firstLine="0"/>
        <w:jc w:val="left"/>
        <w:rPr>
          <w:sz w:val="24"/>
          <w:szCs w:val="24"/>
        </w:rPr>
      </w:pPr>
      <w:bookmarkStart w:id="1076" w:name="bookmark1076"/>
      <w:r>
        <w:rPr>
          <w:rFonts w:ascii="Times New Roman" w:eastAsia="Times New Roman" w:hAnsi="Times New Roman" w:cs="Times New Roman"/>
          <w:color w:val="000000"/>
          <w:spacing w:val="0"/>
          <w:w w:val="100"/>
          <w:position w:val="0"/>
          <w:sz w:val="24"/>
          <w:szCs w:val="24"/>
        </w:rPr>
        <w:t>(</w:t>
      </w:r>
      <w:bookmarkEnd w:id="1076"/>
      <w:r>
        <w:rPr>
          <w:rFonts w:ascii="Times New Roman" w:eastAsia="Times New Roman" w:hAnsi="Times New Roman" w:cs="Times New Roman"/>
          <w:color w:val="000000"/>
          <w:spacing w:val="0"/>
          <w:w w:val="100"/>
          <w:position w:val="0"/>
          <w:sz w:val="24"/>
          <w:szCs w:val="24"/>
        </w:rPr>
        <w:t>o)</w:t>
        <w:tab/>
      </w:r>
      <w:r>
        <w:rPr>
          <w:color w:val="000000"/>
          <w:spacing w:val="0"/>
          <w:w w:val="100"/>
          <w:position w:val="0"/>
          <w:sz w:val="24"/>
          <w:szCs w:val="24"/>
        </w:rPr>
        <w:t>接受项目管理服务</w:t>
      </w:r>
    </w:p>
    <w:tbl>
      <w:tblPr>
        <w:tblOverlap w:val="never"/>
        <w:jc w:val="right"/>
        <w:tblLayout w:type="fixed"/>
      </w:tblPr>
      <w:tblGrid>
        <w:gridCol w:w="3624"/>
        <w:gridCol w:w="2938"/>
        <w:gridCol w:w="1858"/>
      </w:tblGrid>
      <w:tr>
        <w:trPr>
          <w:trHeight w:val="437"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1200" w:right="0" w:firstLine="0"/>
              <w:jc w:val="left"/>
              <w:rPr>
                <w:sz w:val="24"/>
                <w:szCs w:val="24"/>
              </w:rPr>
            </w:pP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年度</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00"/>
              <w:jc w:val="both"/>
              <w:rPr>
                <w:sz w:val="24"/>
                <w:szCs w:val="24"/>
              </w:rPr>
            </w:pPr>
            <w:r>
              <w:rPr>
                <w:rFonts w:ascii="Times New Roman" w:eastAsia="Times New Roman" w:hAnsi="Times New Roman" w:cs="Times New Roman"/>
                <w:color w:val="000000"/>
                <w:spacing w:val="0"/>
                <w:w w:val="100"/>
                <w:position w:val="0"/>
                <w:sz w:val="24"/>
                <w:szCs w:val="24"/>
              </w:rPr>
              <w:t>2015</w:t>
            </w:r>
            <w:r>
              <w:rPr>
                <w:color w:val="000000"/>
                <w:spacing w:val="0"/>
                <w:w w:val="100"/>
                <w:position w:val="0"/>
                <w:sz w:val="24"/>
                <w:szCs w:val="24"/>
              </w:rPr>
              <w:t>年度</w:t>
            </w:r>
          </w:p>
        </w:tc>
      </w:tr>
      <w:tr>
        <w:trPr>
          <w:trHeight w:val="451"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苏宁置业</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700" w:firstLine="0"/>
              <w:jc w:val="right"/>
              <w:rPr>
                <w:sz w:val="24"/>
                <w:szCs w:val="24"/>
              </w:rPr>
            </w:pPr>
            <w:r>
              <w:rPr>
                <w:rFonts w:ascii="Times New Roman" w:eastAsia="Times New Roman" w:hAnsi="Times New Roman" w:cs="Times New Roman"/>
                <w:color w:val="000000"/>
                <w:spacing w:val="0"/>
                <w:w w:val="100"/>
                <w:position w:val="0"/>
                <w:sz w:val="24"/>
                <w:szCs w:val="24"/>
              </w:rPr>
              <w:t>15,365</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060" w:right="0" w:firstLine="0"/>
              <w:jc w:val="both"/>
              <w:rPr>
                <w:sz w:val="24"/>
                <w:szCs w:val="24"/>
              </w:rPr>
            </w:pPr>
            <w:r>
              <w:rPr>
                <w:rFonts w:ascii="Times New Roman" w:eastAsia="Times New Roman" w:hAnsi="Times New Roman" w:cs="Times New Roman"/>
                <w:color w:val="000000"/>
                <w:spacing w:val="0"/>
                <w:w w:val="100"/>
                <w:position w:val="0"/>
                <w:sz w:val="24"/>
                <w:szCs w:val="24"/>
              </w:rPr>
              <w:t>49,950</w:t>
            </w:r>
          </w:p>
        </w:tc>
      </w:tr>
      <w:tr>
        <w:trPr>
          <w:trHeight w:val="317"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成都鸿业置业</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680" w:right="0" w:firstLine="0"/>
              <w:jc w:val="left"/>
              <w:rPr>
                <w:sz w:val="24"/>
                <w:szCs w:val="24"/>
              </w:rPr>
            </w:pPr>
            <w:r>
              <w:rPr>
                <w:rFonts w:ascii="Times New Roman" w:eastAsia="Times New Roman" w:hAnsi="Times New Roman" w:cs="Times New Roman"/>
                <w:color w:val="000000"/>
                <w:spacing w:val="0"/>
                <w:w w:val="100"/>
                <w:position w:val="0"/>
                <w:sz w:val="24"/>
                <w:szCs w:val="24"/>
              </w:rPr>
              <w:t>2,640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180" w:right="0" w:firstLine="0"/>
              <w:jc w:val="both"/>
              <w:rPr>
                <w:sz w:val="24"/>
                <w:szCs w:val="24"/>
              </w:rPr>
            </w:pPr>
            <w:r>
              <w:rPr>
                <w:rFonts w:ascii="Times New Roman" w:eastAsia="Times New Roman" w:hAnsi="Times New Roman" w:cs="Times New Roman"/>
                <w:color w:val="000000"/>
                <w:spacing w:val="0"/>
                <w:w w:val="100"/>
                <w:position w:val="0"/>
                <w:sz w:val="24"/>
                <w:szCs w:val="24"/>
              </w:rPr>
              <w:t>2,256</w:t>
            </w:r>
          </w:p>
        </w:tc>
      </w:tr>
      <w:tr>
        <w:trPr>
          <w:trHeight w:val="302"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无锡苏宁置业</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680" w:right="0" w:firstLine="0"/>
              <w:jc w:val="left"/>
              <w:rPr>
                <w:sz w:val="24"/>
                <w:szCs w:val="24"/>
              </w:rPr>
            </w:pPr>
            <w:r>
              <w:rPr>
                <w:rFonts w:ascii="Times New Roman" w:eastAsia="Times New Roman" w:hAnsi="Times New Roman" w:cs="Times New Roman"/>
                <w:color w:val="000000"/>
                <w:spacing w:val="0"/>
                <w:w w:val="100"/>
                <w:position w:val="0"/>
                <w:sz w:val="24"/>
                <w:szCs w:val="24"/>
              </w:rPr>
              <w:t>1,734</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180" w:right="0" w:firstLine="0"/>
              <w:jc w:val="both"/>
              <w:rPr>
                <w:sz w:val="24"/>
                <w:szCs w:val="24"/>
              </w:rPr>
            </w:pPr>
            <w:r>
              <w:rPr>
                <w:rFonts w:ascii="Times New Roman" w:eastAsia="Times New Roman" w:hAnsi="Times New Roman" w:cs="Times New Roman"/>
                <w:color w:val="000000"/>
                <w:spacing w:val="0"/>
                <w:w w:val="100"/>
                <w:position w:val="0"/>
                <w:sz w:val="24"/>
                <w:szCs w:val="24"/>
              </w:rPr>
              <w:t>2,015</w:t>
            </w:r>
          </w:p>
        </w:tc>
      </w:tr>
      <w:tr>
        <w:trPr>
          <w:trHeight w:val="312"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石家庄苏宁房地产开发</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860" w:right="0" w:firstLine="0"/>
              <w:jc w:val="left"/>
              <w:rPr>
                <w:sz w:val="24"/>
                <w:szCs w:val="24"/>
              </w:rPr>
            </w:pPr>
            <w:r>
              <w:rPr>
                <w:rFonts w:ascii="Times New Roman" w:eastAsia="Times New Roman" w:hAnsi="Times New Roman" w:cs="Times New Roman"/>
                <w:color w:val="000000"/>
                <w:spacing w:val="0"/>
                <w:w w:val="100"/>
                <w:position w:val="0"/>
                <w:sz w:val="24"/>
                <w:szCs w:val="24"/>
              </w:rPr>
              <w:t>678</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580" w:right="0" w:firstLine="0"/>
              <w:jc w:val="both"/>
              <w:rPr>
                <w:sz w:val="24"/>
                <w:szCs w:val="24"/>
              </w:rPr>
            </w:pPr>
            <w:r>
              <w:rPr>
                <w:rFonts w:ascii="Times New Roman" w:eastAsia="Times New Roman" w:hAnsi="Times New Roman" w:cs="Times New Roman"/>
                <w:color w:val="000000"/>
                <w:spacing w:val="0"/>
                <w:w w:val="100"/>
                <w:position w:val="0"/>
                <w:sz w:val="24"/>
                <w:szCs w:val="24"/>
              </w:rPr>
              <w:t>4</w:t>
            </w:r>
          </w:p>
        </w:tc>
      </w:tr>
      <w:tr>
        <w:trPr>
          <w:trHeight w:val="307"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福州苏宁置业</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860" w:right="0" w:firstLine="0"/>
              <w:jc w:val="left"/>
              <w:rPr>
                <w:sz w:val="24"/>
                <w:szCs w:val="24"/>
              </w:rPr>
            </w:pPr>
            <w:r>
              <w:rPr>
                <w:rFonts w:ascii="Times New Roman" w:eastAsia="Times New Roman" w:hAnsi="Times New Roman" w:cs="Times New Roman"/>
                <w:color w:val="000000"/>
                <w:spacing w:val="0"/>
                <w:w w:val="100"/>
                <w:position w:val="0"/>
                <w:sz w:val="24"/>
                <w:szCs w:val="24"/>
              </w:rPr>
              <w:t>421</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72</w:t>
            </w:r>
          </w:p>
        </w:tc>
      </w:tr>
      <w:tr>
        <w:trPr>
          <w:trHeight w:val="312"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淮安苏宁置业</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860" w:right="0" w:firstLine="0"/>
              <w:jc w:val="left"/>
              <w:rPr>
                <w:sz w:val="24"/>
                <w:szCs w:val="24"/>
              </w:rPr>
            </w:pPr>
            <w:r>
              <w:rPr>
                <w:rFonts w:ascii="Times New Roman" w:eastAsia="Times New Roman" w:hAnsi="Times New Roman" w:cs="Times New Roman"/>
                <w:color w:val="000000"/>
                <w:spacing w:val="0"/>
                <w:w w:val="100"/>
                <w:position w:val="0"/>
                <w:sz w:val="24"/>
                <w:szCs w:val="24"/>
              </w:rPr>
              <w:t>132</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180" w:right="0" w:firstLine="0"/>
              <w:jc w:val="both"/>
              <w:rPr>
                <w:sz w:val="24"/>
                <w:szCs w:val="24"/>
              </w:rPr>
            </w:pPr>
            <w:r>
              <w:rPr>
                <w:rFonts w:ascii="Times New Roman" w:eastAsia="Times New Roman" w:hAnsi="Times New Roman" w:cs="Times New Roman"/>
                <w:color w:val="000000"/>
                <w:spacing w:val="0"/>
                <w:w w:val="100"/>
                <w:position w:val="0"/>
                <w:sz w:val="24"/>
                <w:szCs w:val="24"/>
              </w:rPr>
              <w:t>2,782</w:t>
            </w:r>
          </w:p>
        </w:tc>
      </w:tr>
      <w:tr>
        <w:trPr>
          <w:trHeight w:val="312"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北京苏宁置业</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700" w:firstLine="0"/>
              <w:jc w:val="right"/>
              <w:rPr>
                <w:sz w:val="24"/>
                <w:szCs w:val="24"/>
              </w:rPr>
            </w:pPr>
            <w:r>
              <w:rPr>
                <w:rFonts w:ascii="Times New Roman" w:eastAsia="Times New Roman" w:hAnsi="Times New Roman" w:cs="Times New Roman"/>
                <w:color w:val="000000"/>
                <w:spacing w:val="0"/>
                <w:w w:val="100"/>
                <w:position w:val="0"/>
                <w:sz w:val="24"/>
                <w:szCs w:val="24"/>
              </w:rPr>
              <w:t>90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180" w:right="0" w:firstLine="0"/>
              <w:jc w:val="both"/>
              <w:rPr>
                <w:sz w:val="24"/>
                <w:szCs w:val="24"/>
              </w:rPr>
            </w:pPr>
            <w:r>
              <w:rPr>
                <w:rFonts w:ascii="Times New Roman" w:eastAsia="Times New Roman" w:hAnsi="Times New Roman" w:cs="Times New Roman"/>
                <w:color w:val="000000"/>
                <w:spacing w:val="0"/>
                <w:w w:val="100"/>
                <w:position w:val="0"/>
                <w:sz w:val="24"/>
                <w:szCs w:val="24"/>
              </w:rPr>
              <w:t>5,939</w:t>
            </w:r>
          </w:p>
        </w:tc>
      </w:tr>
      <w:tr>
        <w:trPr>
          <w:trHeight w:val="312"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上海苏宁房地产开发</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700" w:firstLine="0"/>
              <w:jc w:val="right"/>
              <w:rPr>
                <w:sz w:val="24"/>
                <w:szCs w:val="24"/>
              </w:rPr>
            </w:pPr>
            <w:r>
              <w:rPr>
                <w:rFonts w:ascii="Times New Roman" w:eastAsia="Times New Roman" w:hAnsi="Times New Roman" w:cs="Times New Roman"/>
                <w:color w:val="000000"/>
                <w:spacing w:val="0"/>
                <w:w w:val="100"/>
                <w:position w:val="0"/>
                <w:sz w:val="24"/>
                <w:szCs w:val="24"/>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060" w:right="0" w:firstLine="0"/>
              <w:jc w:val="both"/>
              <w:rPr>
                <w:sz w:val="24"/>
                <w:szCs w:val="24"/>
              </w:rPr>
            </w:pPr>
            <w:r>
              <w:rPr>
                <w:rFonts w:ascii="Times New Roman" w:eastAsia="Times New Roman" w:hAnsi="Times New Roman" w:cs="Times New Roman"/>
                <w:color w:val="000000"/>
                <w:spacing w:val="0"/>
                <w:w w:val="100"/>
                <w:position w:val="0"/>
                <w:sz w:val="24"/>
                <w:szCs w:val="24"/>
              </w:rPr>
              <w:t>11,241</w:t>
            </w:r>
          </w:p>
        </w:tc>
      </w:tr>
      <w:tr>
        <w:trPr>
          <w:trHeight w:val="312"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青岛苏宁置业</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700" w:firstLine="0"/>
              <w:jc w:val="right"/>
              <w:rPr>
                <w:sz w:val="24"/>
                <w:szCs w:val="24"/>
              </w:rPr>
            </w:pPr>
            <w:r>
              <w:rPr>
                <w:rFonts w:ascii="Times New Roman" w:eastAsia="Times New Roman" w:hAnsi="Times New Roman" w:cs="Times New Roman"/>
                <w:color w:val="000000"/>
                <w:spacing w:val="0"/>
                <w:w w:val="100"/>
                <w:position w:val="0"/>
                <w:sz w:val="24"/>
                <w:szCs w:val="24"/>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180" w:right="0" w:firstLine="0"/>
              <w:jc w:val="both"/>
              <w:rPr>
                <w:sz w:val="24"/>
                <w:szCs w:val="24"/>
              </w:rPr>
            </w:pPr>
            <w:r>
              <w:rPr>
                <w:rFonts w:ascii="Times New Roman" w:eastAsia="Times New Roman" w:hAnsi="Times New Roman" w:cs="Times New Roman"/>
                <w:color w:val="000000"/>
                <w:spacing w:val="0"/>
                <w:w w:val="100"/>
                <w:position w:val="0"/>
                <w:sz w:val="24"/>
                <w:szCs w:val="24"/>
              </w:rPr>
              <w:t>4,284</w:t>
            </w:r>
          </w:p>
        </w:tc>
      </w:tr>
      <w:tr>
        <w:trPr>
          <w:trHeight w:val="322"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长春苏宁置业</w:t>
            </w:r>
          </w:p>
        </w:tc>
        <w:tc>
          <w:tcPr>
            <w:tcBorders>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700" w:firstLine="0"/>
              <w:jc w:val="right"/>
              <w:rPr>
                <w:sz w:val="24"/>
                <w:szCs w:val="24"/>
              </w:rPr>
            </w:pPr>
            <w:r>
              <w:rPr>
                <w:rFonts w:ascii="Times New Roman" w:eastAsia="Times New Roman" w:hAnsi="Times New Roman" w:cs="Times New Roman"/>
                <w:color w:val="000000"/>
                <w:spacing w:val="0"/>
                <w:w w:val="100"/>
                <w:position w:val="0"/>
                <w:sz w:val="24"/>
                <w:szCs w:val="24"/>
              </w:rPr>
              <w:t>-</w:t>
            </w:r>
          </w:p>
        </w:tc>
        <w:tc>
          <w:tcPr>
            <w:tcBorders>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80" w:right="0" w:firstLine="0"/>
              <w:jc w:val="both"/>
              <w:rPr>
                <w:sz w:val="24"/>
                <w:szCs w:val="24"/>
              </w:rPr>
            </w:pPr>
            <w:r>
              <w:rPr>
                <w:rFonts w:ascii="Times New Roman" w:eastAsia="Times New Roman" w:hAnsi="Times New Roman" w:cs="Times New Roman"/>
                <w:color w:val="000000"/>
                <w:spacing w:val="0"/>
                <w:w w:val="100"/>
                <w:position w:val="0"/>
                <w:sz w:val="24"/>
                <w:szCs w:val="24"/>
              </w:rPr>
              <w:t>4</w:t>
            </w:r>
          </w:p>
        </w:tc>
      </w:tr>
    </w:tbl>
    <w:p>
      <w:pPr>
        <w:pStyle w:val="Style25"/>
        <w:keepNext w:val="0"/>
        <w:keepLines w:val="0"/>
        <w:widowControl w:val="0"/>
        <w:shd w:val="clear" w:color="auto" w:fill="auto"/>
        <w:tabs>
          <w:tab w:pos="950" w:val="left"/>
          <w:tab w:leader="underscore" w:pos="2386" w:val="left"/>
        </w:tabs>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u w:val="single"/>
        </w:rPr>
        <w:t>21,060</w:t>
      </w:r>
      <w:r>
        <w:rPr>
          <w:rFonts w:ascii="Times New Roman" w:eastAsia="Times New Roman" w:hAnsi="Times New Roman" w:cs="Times New Roman"/>
          <w:color w:val="000000"/>
          <w:spacing w:val="0"/>
          <w:w w:val="100"/>
          <w:position w:val="0"/>
          <w:sz w:val="24"/>
          <w:szCs w:val="24"/>
        </w:rPr>
        <w:tab/>
        <w:tab/>
      </w:r>
      <w:r>
        <w:rPr>
          <w:rFonts w:ascii="Times New Roman" w:eastAsia="Times New Roman" w:hAnsi="Times New Roman" w:cs="Times New Roman"/>
          <w:color w:val="000000"/>
          <w:spacing w:val="0"/>
          <w:w w:val="100"/>
          <w:position w:val="0"/>
          <w:sz w:val="24"/>
          <w:szCs w:val="24"/>
          <w:u w:val="single"/>
        </w:rPr>
        <w:t>78,547</w:t>
      </w:r>
    </w:p>
    <w:p>
      <w:pPr>
        <w:widowControl w:val="0"/>
        <w:spacing w:after="259" w:line="1" w:lineRule="exact"/>
      </w:pPr>
    </w:p>
    <w:p>
      <w:pPr>
        <w:pStyle w:val="Style32"/>
        <w:keepNext w:val="0"/>
        <w:keepLines w:val="0"/>
        <w:widowControl w:val="0"/>
        <w:shd w:val="clear" w:color="auto" w:fill="auto"/>
        <w:tabs>
          <w:tab w:pos="719" w:val="left"/>
        </w:tabs>
        <w:bidi w:val="0"/>
        <w:spacing w:before="0" w:after="260" w:line="240" w:lineRule="auto"/>
        <w:ind w:left="0" w:right="0" w:firstLine="0"/>
        <w:jc w:val="left"/>
        <w:rPr>
          <w:sz w:val="24"/>
          <w:szCs w:val="24"/>
        </w:rPr>
      </w:pPr>
      <w:bookmarkStart w:id="1077" w:name="bookmark1077"/>
      <w:r>
        <w:rPr>
          <w:rFonts w:ascii="Times New Roman" w:eastAsia="Times New Roman" w:hAnsi="Times New Roman" w:cs="Times New Roman"/>
          <w:color w:val="000000"/>
          <w:spacing w:val="0"/>
          <w:w w:val="100"/>
          <w:position w:val="0"/>
          <w:sz w:val="24"/>
          <w:szCs w:val="24"/>
        </w:rPr>
        <w:t>(</w:t>
      </w:r>
      <w:bookmarkEnd w:id="1077"/>
      <w:r>
        <w:rPr>
          <w:rFonts w:ascii="Times New Roman" w:eastAsia="Times New Roman" w:hAnsi="Times New Roman" w:cs="Times New Roman"/>
          <w:color w:val="000000"/>
          <w:spacing w:val="0"/>
          <w:w w:val="100"/>
          <w:position w:val="0"/>
          <w:sz w:val="24"/>
          <w:szCs w:val="24"/>
        </w:rPr>
        <w:t>p)</w:t>
        <w:tab/>
      </w:r>
      <w:r>
        <w:rPr>
          <w:color w:val="000000"/>
          <w:spacing w:val="0"/>
          <w:w w:val="100"/>
          <w:position w:val="0"/>
          <w:sz w:val="24"/>
          <w:szCs w:val="24"/>
        </w:rPr>
        <w:t>接受物业服务</w:t>
      </w:r>
    </w:p>
    <w:p>
      <w:pPr>
        <w:pStyle w:val="Style53"/>
        <w:keepNext w:val="0"/>
        <w:keepLines w:val="0"/>
        <w:widowControl w:val="0"/>
        <w:shd w:val="clear" w:color="auto" w:fill="auto"/>
        <w:tabs>
          <w:tab w:pos="2429" w:val="left"/>
        </w:tabs>
        <w:bidi w:val="0"/>
        <w:spacing w:before="0" w:after="260" w:line="240" w:lineRule="auto"/>
        <w:ind w:left="0" w:right="0" w:firstLine="0"/>
        <w:jc w:val="right"/>
        <w:rPr>
          <w:sz w:val="24"/>
          <w:szCs w:val="24"/>
        </w:rPr>
      </w:pPr>
      <w:r>
        <w:rPr>
          <w:color w:val="000000"/>
          <w:spacing w:val="0"/>
          <w:w w:val="100"/>
          <w:position w:val="0"/>
          <w:sz w:val="24"/>
          <w:szCs w:val="24"/>
        </w:rPr>
        <w:t>2016</w:t>
      </w:r>
      <w:r>
        <w:rPr>
          <w:rFonts w:ascii="SimSun" w:eastAsia="SimSun" w:hAnsi="SimSun" w:cs="SimSun"/>
          <w:color w:val="000000"/>
          <w:spacing w:val="0"/>
          <w:w w:val="100"/>
          <w:position w:val="0"/>
          <w:sz w:val="24"/>
          <w:szCs w:val="24"/>
        </w:rPr>
        <w:t>年度</w:t>
        <w:tab/>
      </w:r>
      <w:r>
        <w:rPr>
          <w:color w:val="000000"/>
          <w:spacing w:val="0"/>
          <w:w w:val="100"/>
          <w:position w:val="0"/>
          <w:sz w:val="24"/>
          <w:szCs w:val="24"/>
        </w:rPr>
        <w:t>2015</w:t>
      </w:r>
      <w:r>
        <w:rPr>
          <w:rFonts w:ascii="SimSun" w:eastAsia="SimSun" w:hAnsi="SimSun" w:cs="SimSun"/>
          <w:color w:val="000000"/>
          <w:spacing w:val="0"/>
          <w:w w:val="100"/>
          <w:position w:val="0"/>
          <w:sz w:val="24"/>
          <w:szCs w:val="24"/>
        </w:rPr>
        <w:t>年度</w:t>
      </w:r>
    </w:p>
    <w:p>
      <w:pPr>
        <w:pStyle w:val="Style53"/>
        <w:keepNext w:val="0"/>
        <w:keepLines w:val="0"/>
        <w:widowControl w:val="0"/>
        <w:shd w:val="clear" w:color="auto" w:fill="auto"/>
        <w:tabs>
          <w:tab w:pos="4369" w:val="left"/>
          <w:tab w:leader="underscore" w:pos="5809" w:val="left"/>
          <w:tab w:pos="6903" w:val="left"/>
          <w:tab w:leader="underscore" w:pos="8238" w:val="left"/>
        </w:tabs>
        <w:bidi w:val="0"/>
        <w:spacing w:before="0" w:after="260" w:line="240" w:lineRule="auto"/>
        <w:ind w:left="0" w:right="0" w:firstLine="740"/>
        <w:jc w:val="left"/>
        <w:rPr>
          <w:sz w:val="24"/>
          <w:szCs w:val="24"/>
        </w:rPr>
      </w:pPr>
      <w:r>
        <w:rPr>
          <w:rFonts w:ascii="SimSun" w:eastAsia="SimSun" w:hAnsi="SimSun" w:cs="SimSun"/>
          <w:color w:val="000000"/>
          <w:spacing w:val="0"/>
          <w:w w:val="100"/>
          <w:position w:val="0"/>
          <w:sz w:val="24"/>
          <w:szCs w:val="24"/>
        </w:rPr>
        <w:t>江苏银河物业</w:t>
        <w:tab/>
        <w:tab/>
      </w:r>
      <w:r>
        <w:rPr>
          <w:color w:val="000000"/>
          <w:spacing w:val="0"/>
          <w:w w:val="100"/>
          <w:position w:val="0"/>
          <w:sz w:val="24"/>
          <w:szCs w:val="24"/>
          <w:u w:val="single"/>
        </w:rPr>
        <w:t>145,966</w:t>
      </w:r>
      <w:r>
        <w:rPr>
          <w:color w:val="000000"/>
          <w:spacing w:val="0"/>
          <w:w w:val="100"/>
          <w:position w:val="0"/>
          <w:sz w:val="24"/>
          <w:szCs w:val="24"/>
        </w:rPr>
        <w:tab/>
        <w:tab/>
      </w:r>
      <w:r>
        <w:rPr>
          <w:color w:val="000000"/>
          <w:spacing w:val="0"/>
          <w:w w:val="100"/>
          <w:position w:val="0"/>
          <w:sz w:val="24"/>
          <w:szCs w:val="24"/>
          <w:u w:val="single"/>
        </w:rPr>
        <w:t>106,410</w:t>
      </w:r>
    </w:p>
    <w:p>
      <w:pPr>
        <w:pStyle w:val="Style32"/>
        <w:keepNext w:val="0"/>
        <w:keepLines w:val="0"/>
        <w:widowControl w:val="0"/>
        <w:shd w:val="clear" w:color="auto" w:fill="auto"/>
        <w:tabs>
          <w:tab w:pos="719" w:val="left"/>
        </w:tabs>
        <w:bidi w:val="0"/>
        <w:spacing w:before="0" w:after="300" w:line="240" w:lineRule="auto"/>
        <w:ind w:left="0" w:right="0" w:firstLine="0"/>
        <w:jc w:val="left"/>
        <w:rPr>
          <w:sz w:val="24"/>
          <w:szCs w:val="24"/>
        </w:rPr>
      </w:pPr>
      <w:bookmarkStart w:id="1078" w:name="bookmark1078"/>
      <w:r>
        <w:rPr>
          <w:rFonts w:ascii="Times New Roman" w:eastAsia="Times New Roman" w:hAnsi="Times New Roman" w:cs="Times New Roman"/>
          <w:color w:val="000000"/>
          <w:spacing w:val="0"/>
          <w:w w:val="100"/>
          <w:position w:val="0"/>
          <w:sz w:val="24"/>
          <w:szCs w:val="24"/>
        </w:rPr>
        <w:t>(</w:t>
      </w:r>
      <w:bookmarkEnd w:id="1078"/>
      <w:r>
        <w:rPr>
          <w:rFonts w:ascii="Times New Roman" w:eastAsia="Times New Roman" w:hAnsi="Times New Roman" w:cs="Times New Roman"/>
          <w:color w:val="000000"/>
          <w:spacing w:val="0"/>
          <w:w w:val="100"/>
          <w:position w:val="0"/>
          <w:sz w:val="24"/>
          <w:szCs w:val="24"/>
        </w:rPr>
        <w:t>q)</w:t>
        <w:tab/>
      </w:r>
      <w:r>
        <w:rPr>
          <w:color w:val="000000"/>
          <w:spacing w:val="0"/>
          <w:w w:val="100"/>
          <w:position w:val="0"/>
          <w:sz w:val="24"/>
          <w:szCs w:val="24"/>
        </w:rPr>
        <w:t>关联方为本集团提供的餐饮会务服务</w:t>
      </w:r>
    </w:p>
    <w:tbl>
      <w:tblPr>
        <w:tblOverlap w:val="never"/>
        <w:jc w:val="right"/>
        <w:tblLayout w:type="fixed"/>
      </w:tblPr>
      <w:tblGrid>
        <w:gridCol w:w="3744"/>
        <w:gridCol w:w="2818"/>
        <w:gridCol w:w="1858"/>
      </w:tblGrid>
      <w:tr>
        <w:trPr>
          <w:trHeight w:val="437"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1080" w:right="0" w:firstLine="0"/>
              <w:jc w:val="left"/>
              <w:rPr>
                <w:sz w:val="24"/>
                <w:szCs w:val="24"/>
              </w:rPr>
            </w:pP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年度</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00"/>
              <w:jc w:val="both"/>
              <w:rPr>
                <w:sz w:val="24"/>
                <w:szCs w:val="24"/>
              </w:rPr>
            </w:pPr>
            <w:r>
              <w:rPr>
                <w:rFonts w:ascii="Times New Roman" w:eastAsia="Times New Roman" w:hAnsi="Times New Roman" w:cs="Times New Roman"/>
                <w:color w:val="000000"/>
                <w:spacing w:val="0"/>
                <w:w w:val="100"/>
                <w:position w:val="0"/>
                <w:sz w:val="24"/>
                <w:szCs w:val="24"/>
              </w:rPr>
              <w:t>2015</w:t>
            </w:r>
            <w:r>
              <w:rPr>
                <w:color w:val="000000"/>
                <w:spacing w:val="0"/>
                <w:w w:val="100"/>
                <w:position w:val="0"/>
                <w:sz w:val="24"/>
                <w:szCs w:val="24"/>
              </w:rPr>
              <w:t>年度</w:t>
            </w:r>
          </w:p>
        </w:tc>
      </w:tr>
      <w:tr>
        <w:trPr>
          <w:trHeight w:val="451"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银河酒店管理公司</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560" w:right="0" w:firstLine="0"/>
              <w:jc w:val="left"/>
              <w:rPr>
                <w:sz w:val="24"/>
                <w:szCs w:val="24"/>
              </w:rPr>
            </w:pPr>
            <w:r>
              <w:rPr>
                <w:rFonts w:ascii="Times New Roman" w:eastAsia="Times New Roman" w:hAnsi="Times New Roman" w:cs="Times New Roman"/>
                <w:color w:val="000000"/>
                <w:spacing w:val="0"/>
                <w:w w:val="100"/>
                <w:position w:val="0"/>
                <w:sz w:val="24"/>
                <w:szCs w:val="24"/>
              </w:rPr>
              <w:t>6,395</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060" w:right="0" w:firstLine="0"/>
              <w:jc w:val="both"/>
              <w:rPr>
                <w:sz w:val="24"/>
                <w:szCs w:val="24"/>
              </w:rPr>
            </w:pPr>
            <w:r>
              <w:rPr>
                <w:rFonts w:ascii="Times New Roman" w:eastAsia="Times New Roman" w:hAnsi="Times New Roman" w:cs="Times New Roman"/>
                <w:color w:val="000000"/>
                <w:spacing w:val="0"/>
                <w:w w:val="100"/>
                <w:position w:val="0"/>
                <w:sz w:val="24"/>
                <w:szCs w:val="24"/>
              </w:rPr>
              <w:t>11,961</w:t>
            </w:r>
          </w:p>
        </w:tc>
      </w:tr>
      <w:tr>
        <w:trPr>
          <w:trHeight w:val="312"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玄武苏宁置业诺富特</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560" w:right="0" w:firstLine="0"/>
              <w:jc w:val="left"/>
              <w:rPr>
                <w:sz w:val="24"/>
                <w:szCs w:val="24"/>
              </w:rPr>
            </w:pPr>
            <w:r>
              <w:rPr>
                <w:rFonts w:ascii="Times New Roman" w:eastAsia="Times New Roman" w:hAnsi="Times New Roman" w:cs="Times New Roman"/>
                <w:color w:val="000000"/>
                <w:spacing w:val="0"/>
                <w:w w:val="100"/>
                <w:position w:val="0"/>
                <w:sz w:val="24"/>
                <w:szCs w:val="24"/>
              </w:rPr>
              <w:t>3,630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180" w:right="0" w:firstLine="0"/>
              <w:jc w:val="both"/>
              <w:rPr>
                <w:sz w:val="24"/>
                <w:szCs w:val="24"/>
              </w:rPr>
            </w:pPr>
            <w:r>
              <w:rPr>
                <w:rFonts w:ascii="Times New Roman" w:eastAsia="Times New Roman" w:hAnsi="Times New Roman" w:cs="Times New Roman"/>
                <w:color w:val="000000"/>
                <w:spacing w:val="0"/>
                <w:w w:val="100"/>
                <w:position w:val="0"/>
                <w:sz w:val="24"/>
                <w:szCs w:val="24"/>
              </w:rPr>
              <w:t>4,583</w:t>
            </w:r>
          </w:p>
        </w:tc>
      </w:tr>
      <w:tr>
        <w:trPr>
          <w:trHeight w:val="317"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钟山高尔夫酒店</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560" w:right="0" w:firstLine="0"/>
              <w:jc w:val="left"/>
              <w:rPr>
                <w:sz w:val="24"/>
                <w:szCs w:val="24"/>
              </w:rPr>
            </w:pPr>
            <w:r>
              <w:rPr>
                <w:rFonts w:ascii="Times New Roman" w:eastAsia="Times New Roman" w:hAnsi="Times New Roman" w:cs="Times New Roman"/>
                <w:color w:val="000000"/>
                <w:spacing w:val="0"/>
                <w:w w:val="100"/>
                <w:position w:val="0"/>
                <w:sz w:val="24"/>
                <w:szCs w:val="24"/>
              </w:rPr>
              <w:t>2,482</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180" w:right="0" w:firstLine="0"/>
              <w:jc w:val="both"/>
              <w:rPr>
                <w:sz w:val="24"/>
                <w:szCs w:val="24"/>
              </w:rPr>
            </w:pPr>
            <w:r>
              <w:rPr>
                <w:rFonts w:ascii="Times New Roman" w:eastAsia="Times New Roman" w:hAnsi="Times New Roman" w:cs="Times New Roman"/>
                <w:color w:val="000000"/>
                <w:spacing w:val="0"/>
                <w:w w:val="100"/>
                <w:position w:val="0"/>
                <w:sz w:val="24"/>
                <w:szCs w:val="24"/>
              </w:rPr>
              <w:t>1,770</w:t>
            </w:r>
          </w:p>
        </w:tc>
      </w:tr>
      <w:tr>
        <w:trPr>
          <w:trHeight w:val="307"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索菲特银河大酒店</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740" w:right="0" w:firstLine="0"/>
              <w:jc w:val="left"/>
              <w:rPr>
                <w:sz w:val="24"/>
                <w:szCs w:val="24"/>
              </w:rPr>
            </w:pPr>
            <w:r>
              <w:rPr>
                <w:rFonts w:ascii="Times New Roman" w:eastAsia="Times New Roman" w:hAnsi="Times New Roman" w:cs="Times New Roman"/>
                <w:color w:val="000000"/>
                <w:spacing w:val="0"/>
                <w:w w:val="100"/>
                <w:position w:val="0"/>
                <w:sz w:val="24"/>
                <w:szCs w:val="24"/>
              </w:rPr>
              <w:t>945</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996</w:t>
            </w:r>
          </w:p>
        </w:tc>
      </w:tr>
      <w:tr>
        <w:trPr>
          <w:trHeight w:val="307"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华商会议中心</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740" w:right="0" w:firstLine="0"/>
              <w:jc w:val="left"/>
              <w:rPr>
                <w:sz w:val="24"/>
                <w:szCs w:val="24"/>
              </w:rPr>
            </w:pPr>
            <w:r>
              <w:rPr>
                <w:rFonts w:ascii="Times New Roman" w:eastAsia="Times New Roman" w:hAnsi="Times New Roman" w:cs="Times New Roman"/>
                <w:color w:val="000000"/>
                <w:spacing w:val="0"/>
                <w:w w:val="100"/>
                <w:position w:val="0"/>
                <w:sz w:val="24"/>
                <w:szCs w:val="24"/>
              </w:rPr>
              <w:t>563</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180" w:right="0" w:firstLine="0"/>
              <w:jc w:val="both"/>
              <w:rPr>
                <w:sz w:val="24"/>
                <w:szCs w:val="24"/>
              </w:rPr>
            </w:pPr>
            <w:r>
              <w:rPr>
                <w:rFonts w:ascii="Times New Roman" w:eastAsia="Times New Roman" w:hAnsi="Times New Roman" w:cs="Times New Roman"/>
                <w:color w:val="000000"/>
                <w:spacing w:val="0"/>
                <w:w w:val="100"/>
                <w:position w:val="0"/>
                <w:sz w:val="24"/>
                <w:szCs w:val="24"/>
              </w:rPr>
              <w:t>1,010</w:t>
            </w:r>
          </w:p>
        </w:tc>
      </w:tr>
      <w:tr>
        <w:trPr>
          <w:trHeight w:val="312"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新街口诺富特酒店</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740" w:right="0" w:firstLine="0"/>
              <w:jc w:val="left"/>
              <w:rPr>
                <w:sz w:val="24"/>
                <w:szCs w:val="24"/>
              </w:rPr>
            </w:pPr>
            <w:r>
              <w:rPr>
                <w:rFonts w:ascii="Times New Roman" w:eastAsia="Times New Roman" w:hAnsi="Times New Roman" w:cs="Times New Roman"/>
                <w:color w:val="000000"/>
                <w:spacing w:val="0"/>
                <w:w w:val="100"/>
                <w:position w:val="0"/>
                <w:sz w:val="24"/>
                <w:szCs w:val="24"/>
              </w:rPr>
              <w:t>200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227</w:t>
            </w:r>
          </w:p>
        </w:tc>
      </w:tr>
      <w:tr>
        <w:trPr>
          <w:trHeight w:val="312"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无锡苏宁置业苏宁大酒店</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740" w:right="0" w:firstLine="0"/>
              <w:jc w:val="left"/>
              <w:rPr>
                <w:sz w:val="24"/>
                <w:szCs w:val="24"/>
              </w:rPr>
            </w:pPr>
            <w:r>
              <w:rPr>
                <w:rFonts w:ascii="Times New Roman" w:eastAsia="Times New Roman" w:hAnsi="Times New Roman" w:cs="Times New Roman"/>
                <w:color w:val="000000"/>
                <w:spacing w:val="0"/>
                <w:w w:val="100"/>
                <w:position w:val="0"/>
                <w:sz w:val="24"/>
                <w:szCs w:val="24"/>
              </w:rPr>
              <w:t>102</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w:t>
            </w:r>
          </w:p>
        </w:tc>
      </w:tr>
      <w:tr>
        <w:trPr>
          <w:trHeight w:val="317"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银河国际购物广场</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1740" w:right="0" w:firstLine="0"/>
              <w:jc w:val="left"/>
              <w:rPr>
                <w:sz w:val="24"/>
                <w:szCs w:val="24"/>
              </w:rPr>
            </w:pPr>
            <w:r>
              <w:rPr>
                <w:rFonts w:ascii="Times New Roman" w:eastAsia="Times New Roman" w:hAnsi="Times New Roman" w:cs="Times New Roman"/>
                <w:color w:val="000000"/>
                <w:spacing w:val="0"/>
                <w:w w:val="100"/>
                <w:position w:val="0"/>
                <w:sz w:val="24"/>
                <w:szCs w:val="24"/>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34</w:t>
            </w:r>
          </w:p>
        </w:tc>
      </w:tr>
      <w:tr>
        <w:trPr>
          <w:trHeight w:val="312" w:hRule="exact"/>
        </w:trPr>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740" w:right="0" w:firstLine="0"/>
              <w:jc w:val="left"/>
              <w:rPr>
                <w:sz w:val="24"/>
                <w:szCs w:val="24"/>
              </w:rPr>
            </w:pPr>
            <w:r>
              <w:rPr>
                <w:rFonts w:ascii="Times New Roman" w:eastAsia="Times New Roman" w:hAnsi="Times New Roman" w:cs="Times New Roman"/>
                <w:color w:val="000000"/>
                <w:spacing w:val="0"/>
                <w:w w:val="100"/>
                <w:position w:val="0"/>
                <w:sz w:val="24"/>
                <w:szCs w:val="24"/>
              </w:rPr>
              <w:t>14,317</w:t>
            </w:r>
          </w:p>
        </w:tc>
        <w:tc>
          <w:tcPr>
            <w:tcBorders>
              <w:top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060" w:right="0" w:firstLine="0"/>
              <w:jc w:val="both"/>
              <w:rPr>
                <w:sz w:val="24"/>
                <w:szCs w:val="24"/>
              </w:rPr>
            </w:pPr>
            <w:r>
              <w:rPr>
                <w:rFonts w:ascii="Times New Roman" w:eastAsia="Times New Roman" w:hAnsi="Times New Roman" w:cs="Times New Roman"/>
                <w:color w:val="000000"/>
                <w:spacing w:val="0"/>
                <w:w w:val="100"/>
                <w:position w:val="0"/>
                <w:sz w:val="24"/>
                <w:szCs w:val="24"/>
              </w:rPr>
              <w:t>20,581</w:t>
            </w:r>
          </w:p>
        </w:tc>
      </w:tr>
    </w:tbl>
    <w:p>
      <w:pPr>
        <w:spacing w:lineRule="exact" w:line="1"/>
        <w:rPr>
          <w:sz w:val="2"/>
          <w:szCs w:val="2"/>
        </w:rPr>
      </w:pPr>
      <w:r>
        <w:br w:type="page"/>
      </w:r>
    </w:p>
    <w:p>
      <w:pPr>
        <w:pStyle w:val="Style32"/>
        <w:keepNext w:val="0"/>
        <w:keepLines w:val="0"/>
        <w:widowControl w:val="0"/>
        <w:shd w:val="clear" w:color="auto" w:fill="auto"/>
        <w:bidi w:val="0"/>
        <w:spacing w:before="0" w:after="0" w:line="240" w:lineRule="auto"/>
        <w:ind w:left="0" w:right="0" w:firstLine="740"/>
        <w:jc w:val="left"/>
        <w:rPr>
          <w:sz w:val="24"/>
          <w:szCs w:val="24"/>
        </w:rPr>
      </w:pPr>
      <w:r>
        <w:rPr>
          <w:b/>
          <w:bCs/>
          <w:color w:val="000000"/>
          <w:spacing w:val="0"/>
          <w:w w:val="100"/>
          <w:position w:val="0"/>
          <w:sz w:val="24"/>
          <w:szCs w:val="24"/>
        </w:rPr>
        <w:t>财务报表附注</w:t>
      </w:r>
    </w:p>
    <w:p>
      <w:pPr>
        <w:pStyle w:val="Style88"/>
        <w:keepNext/>
        <w:keepLines/>
        <w:widowControl w:val="0"/>
        <w:shd w:val="clear" w:color="auto" w:fill="auto"/>
        <w:bidi w:val="0"/>
        <w:spacing w:before="0" w:after="0" w:line="240" w:lineRule="auto"/>
        <w:ind w:left="0" w:right="0" w:firstLine="740"/>
        <w:jc w:val="left"/>
      </w:pPr>
      <w:bookmarkStart w:id="1079" w:name="bookmark1079"/>
      <w:bookmarkStart w:id="1080" w:name="bookmark1080"/>
      <w:bookmarkStart w:id="1081" w:name="bookmark1081"/>
      <w:r>
        <w:rPr>
          <w:color w:val="000000"/>
          <w:spacing w:val="0"/>
          <w:w w:val="100"/>
          <w:position w:val="0"/>
          <w:sz w:val="24"/>
          <w:szCs w:val="24"/>
        </w:rPr>
        <w:t>2016</w:t>
      </w:r>
      <w:r>
        <w:rPr>
          <w:rFonts w:ascii="SimSun" w:eastAsia="SimSun" w:hAnsi="SimSun" w:cs="SimSun"/>
          <w:b/>
          <w:bCs/>
          <w:color w:val="000000"/>
          <w:spacing w:val="0"/>
          <w:w w:val="100"/>
          <w:position w:val="0"/>
          <w:sz w:val="24"/>
          <w:szCs w:val="24"/>
        </w:rPr>
        <w:t>年度</w:t>
      </w:r>
      <w:bookmarkEnd w:id="1079"/>
      <w:bookmarkEnd w:id="1080"/>
      <w:bookmarkEnd w:id="1081"/>
    </w:p>
    <w:p>
      <w:pPr>
        <w:pStyle w:val="Style32"/>
        <w:keepNext w:val="0"/>
        <w:keepLines w:val="0"/>
        <w:widowControl w:val="0"/>
        <w:shd w:val="clear" w:color="auto" w:fill="auto"/>
        <w:bidi w:val="0"/>
        <w:spacing w:before="0" w:after="240" w:line="240" w:lineRule="auto"/>
        <w:ind w:left="0" w:right="0" w:firstLine="740"/>
        <w:jc w:val="left"/>
        <w:rPr>
          <w:sz w:val="20"/>
          <w:szCs w:val="20"/>
        </w:rPr>
      </w:pPr>
      <w:r>
        <w:rPr>
          <w:rFonts w:ascii="Arial" w:eastAsia="Arial" w:hAnsi="Arial" w:cs="Arial"/>
          <w:color w:val="000000"/>
          <w:spacing w:val="0"/>
          <w:w w:val="100"/>
          <w:position w:val="0"/>
          <w:sz w:val="20"/>
          <w:szCs w:val="20"/>
        </w:rPr>
        <w:t>（</w:t>
      </w:r>
      <w:r>
        <w:rPr>
          <w:color w:val="000000"/>
          <w:spacing w:val="0"/>
          <w:w w:val="100"/>
          <w:position w:val="0"/>
          <w:sz w:val="20"/>
          <w:szCs w:val="20"/>
        </w:rPr>
        <w:t>除特别注明外，金额单位为人民币千元</w:t>
      </w:r>
      <w:r>
        <w:rPr>
          <w:rFonts w:ascii="Arial" w:eastAsia="Arial" w:hAnsi="Arial" w:cs="Arial"/>
          <w:color w:val="000000"/>
          <w:spacing w:val="0"/>
          <w:w w:val="100"/>
          <w:position w:val="0"/>
          <w:sz w:val="20"/>
          <w:szCs w:val="20"/>
        </w:rPr>
        <w:t>）</w:t>
      </w:r>
    </w:p>
    <w:p>
      <w:pPr>
        <w:pStyle w:val="Style32"/>
        <w:keepNext w:val="0"/>
        <w:keepLines w:val="0"/>
        <w:widowControl w:val="0"/>
        <w:shd w:val="clear" w:color="auto" w:fill="auto"/>
        <w:tabs>
          <w:tab w:pos="672" w:val="left"/>
        </w:tabs>
        <w:bidi w:val="0"/>
        <w:spacing w:before="0" w:after="240" w:line="240" w:lineRule="auto"/>
        <w:ind w:left="0" w:right="0" w:firstLine="0"/>
        <w:jc w:val="left"/>
        <w:rPr>
          <w:sz w:val="24"/>
          <w:szCs w:val="24"/>
        </w:rPr>
      </w:pPr>
      <w:r>
        <w:rPr>
          <w:b/>
          <w:bCs/>
          <w:color w:val="000000"/>
          <w:spacing w:val="0"/>
          <w:w w:val="100"/>
          <w:position w:val="0"/>
          <w:sz w:val="24"/>
          <w:szCs w:val="24"/>
        </w:rPr>
        <w:t>八</w:t>
        <w:tab/>
        <w:t>关联方关系及其交易</w:t>
      </w:r>
      <w:r>
        <w:rPr>
          <w:rFonts w:ascii="Times New Roman" w:eastAsia="Times New Roman" w:hAnsi="Times New Roman" w:cs="Times New Roman"/>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4"/>
          <w:szCs w:val="24"/>
        </w:rPr>
        <w:t>）</w:t>
      </w:r>
    </w:p>
    <w:p>
      <w:pPr>
        <w:pStyle w:val="Style53"/>
        <w:keepNext w:val="0"/>
        <w:keepLines w:val="0"/>
        <w:widowControl w:val="0"/>
        <w:shd w:val="clear" w:color="auto" w:fill="auto"/>
        <w:tabs>
          <w:tab w:pos="672" w:val="left"/>
        </w:tabs>
        <w:bidi w:val="0"/>
        <w:spacing w:before="0" w:after="240" w:line="240" w:lineRule="auto"/>
        <w:ind w:left="0" w:right="0" w:firstLine="0"/>
        <w:jc w:val="left"/>
        <w:rPr>
          <w:sz w:val="24"/>
          <w:szCs w:val="24"/>
        </w:rPr>
      </w:pPr>
      <w:r>
        <w:rPr>
          <w:color w:val="000000"/>
          <w:spacing w:val="0"/>
          <w:w w:val="100"/>
          <w:position w:val="0"/>
          <w:sz w:val="24"/>
          <w:szCs w:val="24"/>
        </w:rPr>
        <w:t>（6）</w:t>
        <w:tab/>
      </w:r>
      <w:r>
        <w:rPr>
          <w:rFonts w:ascii="SimSun" w:eastAsia="SimSun" w:hAnsi="SimSun" w:cs="SimSun"/>
          <w:b/>
          <w:bCs/>
          <w:color w:val="000000"/>
          <w:spacing w:val="0"/>
          <w:w w:val="100"/>
          <w:position w:val="0"/>
          <w:sz w:val="24"/>
          <w:szCs w:val="24"/>
        </w:rPr>
        <w:t>关联交易</w:t>
      </w:r>
      <w:r>
        <w:rPr>
          <w:color w:val="000000"/>
          <w:spacing w:val="0"/>
          <w:w w:val="100"/>
          <w:position w:val="0"/>
          <w:sz w:val="24"/>
          <w:szCs w:val="24"/>
        </w:rPr>
        <w:t>（</w:t>
      </w:r>
      <w:r>
        <w:rPr>
          <w:rFonts w:ascii="SimSun" w:eastAsia="SimSun" w:hAnsi="SimSun" w:cs="SimSun"/>
          <w:b/>
          <w:bCs/>
          <w:color w:val="000000"/>
          <w:spacing w:val="0"/>
          <w:w w:val="100"/>
          <w:position w:val="0"/>
          <w:sz w:val="24"/>
          <w:szCs w:val="24"/>
        </w:rPr>
        <w:t>续</w:t>
      </w:r>
      <w:r>
        <w:rPr>
          <w:rFonts w:ascii="SimSun" w:eastAsia="SimSun" w:hAnsi="SimSun" w:cs="SimSun"/>
          <w:color w:val="000000"/>
          <w:spacing w:val="0"/>
          <w:w w:val="100"/>
          <w:position w:val="0"/>
          <w:sz w:val="24"/>
          <w:szCs w:val="24"/>
        </w:rPr>
        <w:t>）</w:t>
      </w:r>
    </w:p>
    <w:p>
      <w:pPr>
        <w:pStyle w:val="Style25"/>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 xml:space="preserve">（r） </w:t>
      </w:r>
      <w:r>
        <w:rPr>
          <w:color w:val="000000"/>
          <w:spacing w:val="0"/>
          <w:w w:val="100"/>
          <w:position w:val="0"/>
          <w:sz w:val="24"/>
          <w:szCs w:val="24"/>
        </w:rPr>
        <w:t>接受代售自建店配套物业服务</w:t>
      </w:r>
    </w:p>
    <w:tbl>
      <w:tblPr>
        <w:tblOverlap w:val="never"/>
        <w:jc w:val="center"/>
        <w:tblLayout w:type="fixed"/>
      </w:tblPr>
      <w:tblGrid>
        <w:gridCol w:w="509"/>
        <w:gridCol w:w="4680"/>
        <w:gridCol w:w="2122"/>
        <w:gridCol w:w="1742"/>
      </w:tblGrid>
      <w:tr>
        <w:trPr>
          <w:trHeight w:val="437"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jc w:val="both"/>
              <w:rPr>
                <w:sz w:val="24"/>
                <w:szCs w:val="24"/>
              </w:rPr>
            </w:pP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年度</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2015</w:t>
            </w:r>
            <w:r>
              <w:rPr>
                <w:color w:val="000000"/>
                <w:spacing w:val="0"/>
                <w:w w:val="100"/>
                <w:position w:val="0"/>
                <w:sz w:val="24"/>
                <w:szCs w:val="24"/>
              </w:rPr>
              <w:t>年度</w:t>
            </w:r>
          </w:p>
        </w:tc>
      </w:tr>
      <w:tr>
        <w:trPr>
          <w:trHeight w:val="456"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left"/>
              <w:rPr>
                <w:sz w:val="24"/>
                <w:szCs w:val="24"/>
              </w:rPr>
            </w:pPr>
            <w:r>
              <w:rPr>
                <w:color w:val="000000"/>
                <w:spacing w:val="0"/>
                <w:w w:val="100"/>
                <w:position w:val="0"/>
                <w:sz w:val="24"/>
                <w:szCs w:val="24"/>
              </w:rPr>
              <w:t>苏宁置业</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60"/>
              <w:jc w:val="both"/>
              <w:rPr>
                <w:sz w:val="24"/>
                <w:szCs w:val="24"/>
              </w:rPr>
            </w:pPr>
            <w:r>
              <w:rPr>
                <w:rFonts w:ascii="Times New Roman" w:eastAsia="Times New Roman" w:hAnsi="Times New Roman" w:cs="Times New Roman"/>
                <w:color w:val="000000"/>
                <w:spacing w:val="0"/>
                <w:w w:val="100"/>
                <w:position w:val="0"/>
                <w:sz w:val="24"/>
                <w:szCs w:val="24"/>
              </w:rPr>
              <w:t>4,819</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3,171</w:t>
            </w:r>
          </w:p>
        </w:tc>
      </w:tr>
      <w:tr>
        <w:trPr>
          <w:trHeight w:val="302"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left"/>
              <w:rPr>
                <w:sz w:val="24"/>
                <w:szCs w:val="24"/>
              </w:rPr>
            </w:pPr>
            <w:r>
              <w:rPr>
                <w:color w:val="000000"/>
                <w:spacing w:val="0"/>
                <w:w w:val="100"/>
                <w:position w:val="0"/>
                <w:sz w:val="24"/>
                <w:szCs w:val="24"/>
              </w:rPr>
              <w:t>上海苏宁房地产开发</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60"/>
              <w:jc w:val="both"/>
              <w:rPr>
                <w:sz w:val="24"/>
                <w:szCs w:val="24"/>
              </w:rPr>
            </w:pPr>
            <w:r>
              <w:rPr>
                <w:rFonts w:ascii="Times New Roman" w:eastAsia="Times New Roman" w:hAnsi="Times New Roman" w:cs="Times New Roman"/>
                <w:color w:val="000000"/>
                <w:spacing w:val="0"/>
                <w:w w:val="100"/>
                <w:position w:val="0"/>
                <w:sz w:val="24"/>
                <w:szCs w:val="24"/>
              </w:rPr>
              <w:t>1,080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5,520</w:t>
            </w:r>
          </w:p>
        </w:tc>
      </w:tr>
      <w:tr>
        <w:trPr>
          <w:trHeight w:val="317"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rPr>
                <w:sz w:val="24"/>
                <w:szCs w:val="24"/>
              </w:rPr>
            </w:pPr>
            <w:r>
              <w:rPr>
                <w:color w:val="000000"/>
                <w:spacing w:val="0"/>
                <w:w w:val="100"/>
                <w:position w:val="0"/>
                <w:sz w:val="24"/>
                <w:szCs w:val="24"/>
              </w:rPr>
              <w:t>北京苏宁置业</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700" w:firstLine="0"/>
              <w:jc w:val="right"/>
              <w:rPr>
                <w:sz w:val="24"/>
                <w:szCs w:val="24"/>
              </w:rPr>
            </w:pPr>
            <w:r>
              <w:rPr>
                <w:rFonts w:ascii="Times New Roman" w:eastAsia="Times New Roman" w:hAnsi="Times New Roman" w:cs="Times New Roman"/>
                <w:color w:val="000000"/>
                <w:spacing w:val="0"/>
                <w:w w:val="100"/>
                <w:position w:val="0"/>
                <w:sz w:val="24"/>
                <w:szCs w:val="24"/>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200</w:t>
            </w:r>
          </w:p>
        </w:tc>
      </w:tr>
      <w:tr>
        <w:trPr>
          <w:trHeight w:val="293" w:hRule="exact"/>
        </w:trPr>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60"/>
              <w:jc w:val="both"/>
              <w:rPr>
                <w:sz w:val="24"/>
                <w:szCs w:val="24"/>
              </w:rPr>
            </w:pPr>
            <w:r>
              <w:rPr>
                <w:rFonts w:ascii="Times New Roman" w:eastAsia="Times New Roman" w:hAnsi="Times New Roman" w:cs="Times New Roman"/>
                <w:color w:val="000000"/>
                <w:spacing w:val="0"/>
                <w:w w:val="100"/>
                <w:position w:val="0"/>
                <w:sz w:val="24"/>
                <w:szCs w:val="24"/>
              </w:rPr>
              <w:t>5,899</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8,891</w:t>
            </w:r>
          </w:p>
        </w:tc>
      </w:tr>
      <w:tr>
        <w:trPr>
          <w:trHeight w:val="739"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S</w:t>
            </w:r>
            <w:r>
              <w:rPr>
                <w:color w:val="000000"/>
                <w:spacing w:val="0"/>
                <w:w w:val="100"/>
                <w:position w:val="0"/>
                <w:sz w:val="24"/>
                <w:szCs w:val="24"/>
              </w:rPr>
              <w:t>）</w:t>
            </w:r>
          </w:p>
        </w:tc>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rPr>
                <w:sz w:val="24"/>
                <w:szCs w:val="24"/>
              </w:rPr>
            </w:pPr>
            <w:r>
              <w:rPr>
                <w:color w:val="000000"/>
                <w:spacing w:val="0"/>
                <w:w w:val="100"/>
                <w:position w:val="0"/>
                <w:sz w:val="24"/>
                <w:szCs w:val="24"/>
              </w:rPr>
              <w:t>接受市场推广服务</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590"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both"/>
              <w:rPr>
                <w:sz w:val="24"/>
                <w:szCs w:val="24"/>
              </w:rPr>
            </w:pP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年度</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00"/>
              <w:jc w:val="both"/>
              <w:rPr>
                <w:sz w:val="24"/>
                <w:szCs w:val="24"/>
              </w:rPr>
            </w:pPr>
            <w:r>
              <w:rPr>
                <w:rFonts w:ascii="Times New Roman" w:eastAsia="Times New Roman" w:hAnsi="Times New Roman" w:cs="Times New Roman"/>
                <w:color w:val="000000"/>
                <w:spacing w:val="0"/>
                <w:w w:val="100"/>
                <w:position w:val="0"/>
                <w:sz w:val="24"/>
                <w:szCs w:val="24"/>
              </w:rPr>
              <w:t>2015</w:t>
            </w:r>
            <w:r>
              <w:rPr>
                <w:color w:val="000000"/>
                <w:spacing w:val="0"/>
                <w:w w:val="100"/>
                <w:position w:val="0"/>
                <w:sz w:val="24"/>
                <w:szCs w:val="24"/>
              </w:rPr>
              <w:t>年度</w:t>
            </w:r>
          </w:p>
        </w:tc>
      </w:tr>
      <w:tr>
        <w:trPr>
          <w:trHeight w:val="451"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left"/>
              <w:rPr>
                <w:sz w:val="24"/>
                <w:szCs w:val="24"/>
              </w:rPr>
            </w:pPr>
            <w:r>
              <w:rPr>
                <w:color w:val="000000"/>
                <w:spacing w:val="0"/>
                <w:w w:val="100"/>
                <w:position w:val="0"/>
                <w:sz w:val="24"/>
                <w:szCs w:val="24"/>
              </w:rPr>
              <w:t>江苏苏宁足球俱乐部</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20"/>
              <w:jc w:val="both"/>
              <w:rPr>
                <w:sz w:val="24"/>
                <w:szCs w:val="24"/>
              </w:rPr>
            </w:pPr>
            <w:r>
              <w:rPr>
                <w:rFonts w:ascii="Times New Roman" w:eastAsia="Times New Roman" w:hAnsi="Times New Roman" w:cs="Times New Roman"/>
                <w:color w:val="000000"/>
                <w:spacing w:val="0"/>
                <w:w w:val="100"/>
                <w:position w:val="0"/>
                <w:sz w:val="24"/>
                <w:szCs w:val="24"/>
              </w:rPr>
              <w:t>122,925</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w:t>
            </w:r>
          </w:p>
        </w:tc>
      </w:tr>
      <w:tr>
        <w:trPr>
          <w:trHeight w:val="312"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left"/>
              <w:rPr>
                <w:sz w:val="24"/>
                <w:szCs w:val="24"/>
              </w:rPr>
            </w:pPr>
            <w:r>
              <w:rPr>
                <w:color w:val="000000"/>
                <w:spacing w:val="0"/>
                <w:w w:val="100"/>
                <w:position w:val="0"/>
                <w:sz w:val="24"/>
                <w:szCs w:val="24"/>
              </w:rPr>
              <w:t>阿里巴巴集团</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20"/>
              <w:jc w:val="both"/>
              <w:rPr>
                <w:sz w:val="24"/>
                <w:szCs w:val="24"/>
              </w:rPr>
            </w:pPr>
            <w:r>
              <w:rPr>
                <w:rFonts w:ascii="Times New Roman" w:eastAsia="Times New Roman" w:hAnsi="Times New Roman" w:cs="Times New Roman"/>
                <w:color w:val="000000"/>
                <w:spacing w:val="0"/>
                <w:w w:val="100"/>
                <w:position w:val="0"/>
                <w:sz w:val="24"/>
                <w:szCs w:val="24"/>
              </w:rPr>
              <w:t>104,129</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w:t>
            </w:r>
          </w:p>
        </w:tc>
      </w:tr>
      <w:tr>
        <w:trPr>
          <w:trHeight w:val="307"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left"/>
              <w:rPr>
                <w:sz w:val="24"/>
                <w:szCs w:val="24"/>
              </w:rPr>
            </w:pPr>
            <w:r>
              <w:rPr>
                <w:color w:val="000000"/>
                <w:spacing w:val="0"/>
                <w:w w:val="100"/>
                <w:position w:val="0"/>
                <w:sz w:val="24"/>
                <w:szCs w:val="24"/>
              </w:rPr>
              <w:t>苏宁消费金融</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46,228</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18,524</w:t>
            </w:r>
          </w:p>
        </w:tc>
      </w:tr>
      <w:tr>
        <w:trPr>
          <w:trHeight w:val="312"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left"/>
              <w:rPr>
                <w:sz w:val="24"/>
                <w:szCs w:val="24"/>
              </w:rPr>
            </w:pPr>
            <w:r>
              <w:rPr>
                <w:color w:val="000000"/>
                <w:spacing w:val="0"/>
                <w:w w:val="100"/>
                <w:position w:val="0"/>
                <w:sz w:val="24"/>
                <w:szCs w:val="24"/>
              </w:rPr>
              <w:t>天津聚力</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60"/>
              <w:jc w:val="both"/>
              <w:rPr>
                <w:sz w:val="24"/>
                <w:szCs w:val="24"/>
              </w:rPr>
            </w:pPr>
            <w:r>
              <w:rPr>
                <w:rFonts w:ascii="Times New Roman" w:eastAsia="Times New Roman" w:hAnsi="Times New Roman" w:cs="Times New Roman"/>
                <w:color w:val="000000"/>
                <w:spacing w:val="0"/>
                <w:w w:val="100"/>
                <w:position w:val="0"/>
                <w:sz w:val="24"/>
                <w:szCs w:val="24"/>
              </w:rPr>
              <w:t>2,119</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w:t>
            </w:r>
          </w:p>
        </w:tc>
      </w:tr>
      <w:tr>
        <w:trPr>
          <w:trHeight w:val="322"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left"/>
              <w:rPr>
                <w:sz w:val="24"/>
                <w:szCs w:val="24"/>
              </w:rPr>
            </w:pPr>
            <w:r>
              <w:rPr>
                <w:color w:val="000000"/>
                <w:spacing w:val="0"/>
                <w:w w:val="100"/>
                <w:position w:val="0"/>
                <w:sz w:val="24"/>
                <w:szCs w:val="24"/>
              </w:rPr>
              <w:t>淘宝</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中国</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软件</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040" w:right="0" w:firstLine="0"/>
              <w:jc w:val="both"/>
              <w:rPr>
                <w:sz w:val="24"/>
                <w:szCs w:val="24"/>
              </w:rPr>
            </w:pPr>
            <w:r>
              <w:rPr>
                <w:rFonts w:ascii="Times New Roman" w:eastAsia="Times New Roman" w:hAnsi="Times New Roman" w:cs="Times New Roman"/>
                <w:color w:val="000000"/>
                <w:spacing w:val="0"/>
                <w:w w:val="100"/>
                <w:position w:val="0"/>
                <w:sz w:val="24"/>
                <w:szCs w:val="24"/>
              </w:rPr>
              <w:t>470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w:t>
            </w:r>
          </w:p>
        </w:tc>
      </w:tr>
      <w:tr>
        <w:trPr>
          <w:trHeight w:val="307"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20"/>
              <w:jc w:val="left"/>
              <w:rPr>
                <w:sz w:val="24"/>
                <w:szCs w:val="24"/>
              </w:rPr>
            </w:pPr>
            <w:r>
              <w:rPr>
                <w:color w:val="000000"/>
                <w:spacing w:val="0"/>
                <w:w w:val="100"/>
                <w:position w:val="0"/>
                <w:sz w:val="24"/>
                <w:szCs w:val="24"/>
              </w:rPr>
              <w:t>上海聚力</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1040" w:right="0" w:firstLine="0"/>
              <w:jc w:val="both"/>
              <w:rPr>
                <w:sz w:val="24"/>
                <w:szCs w:val="24"/>
              </w:rPr>
            </w:pPr>
            <w:r>
              <w:rPr>
                <w:rFonts w:ascii="Times New Roman" w:eastAsia="Times New Roman" w:hAnsi="Times New Roman" w:cs="Times New Roman"/>
                <w:color w:val="000000"/>
                <w:spacing w:val="0"/>
                <w:w w:val="100"/>
                <w:position w:val="0"/>
                <w:sz w:val="24"/>
                <w:szCs w:val="24"/>
              </w:rPr>
              <w:t>102</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w:t>
            </w:r>
          </w:p>
        </w:tc>
      </w:tr>
      <w:tr>
        <w:trPr>
          <w:trHeight w:val="298" w:hRule="exact"/>
        </w:trPr>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20"/>
              <w:jc w:val="both"/>
              <w:rPr>
                <w:sz w:val="24"/>
                <w:szCs w:val="24"/>
              </w:rPr>
            </w:pPr>
            <w:r>
              <w:rPr>
                <w:rFonts w:ascii="Times New Roman" w:eastAsia="Times New Roman" w:hAnsi="Times New Roman" w:cs="Times New Roman"/>
                <w:color w:val="000000"/>
                <w:spacing w:val="0"/>
                <w:w w:val="100"/>
                <w:position w:val="0"/>
                <w:sz w:val="24"/>
                <w:szCs w:val="24"/>
              </w:rPr>
              <w:t>275,973</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18,524</w:t>
            </w:r>
          </w:p>
        </w:tc>
      </w:tr>
      <w:tr>
        <w:trPr>
          <w:trHeight w:val="739"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4"/>
                <w:szCs w:val="24"/>
              </w:rPr>
            </w:pPr>
            <w:r>
              <w:rPr>
                <w:rFonts w:ascii="Times New Roman" w:eastAsia="Times New Roman" w:hAnsi="Times New Roman" w:cs="Times New Roman"/>
                <w:color w:val="000000"/>
                <w:spacing w:val="0"/>
                <w:w w:val="100"/>
                <w:position w:val="0"/>
                <w:sz w:val="24"/>
                <w:szCs w:val="24"/>
              </w:rPr>
              <w:t>(t)</w:t>
            </w:r>
          </w:p>
        </w:tc>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rPr>
                <w:sz w:val="24"/>
                <w:szCs w:val="24"/>
              </w:rPr>
            </w:pPr>
            <w:r>
              <w:rPr>
                <w:color w:val="000000"/>
                <w:spacing w:val="0"/>
                <w:w w:val="100"/>
                <w:position w:val="0"/>
                <w:sz w:val="24"/>
                <w:szCs w:val="24"/>
              </w:rPr>
              <w:t>向关联方转让子公司股权</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590"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both"/>
              <w:rPr>
                <w:sz w:val="24"/>
                <w:szCs w:val="24"/>
              </w:rPr>
            </w:pP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年度</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00"/>
              <w:jc w:val="both"/>
              <w:rPr>
                <w:sz w:val="24"/>
                <w:szCs w:val="24"/>
              </w:rPr>
            </w:pPr>
            <w:r>
              <w:rPr>
                <w:rFonts w:ascii="Times New Roman" w:eastAsia="Times New Roman" w:hAnsi="Times New Roman" w:cs="Times New Roman"/>
                <w:color w:val="000000"/>
                <w:spacing w:val="0"/>
                <w:w w:val="100"/>
                <w:position w:val="0"/>
                <w:sz w:val="24"/>
                <w:szCs w:val="24"/>
              </w:rPr>
              <w:t>2015</w:t>
            </w:r>
            <w:r>
              <w:rPr>
                <w:color w:val="000000"/>
                <w:spacing w:val="0"/>
                <w:w w:val="100"/>
                <w:position w:val="0"/>
                <w:sz w:val="24"/>
                <w:szCs w:val="24"/>
              </w:rPr>
              <w:t>年度</w:t>
            </w:r>
          </w:p>
        </w:tc>
      </w:tr>
      <w:tr>
        <w:trPr>
          <w:trHeight w:val="446"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left"/>
              <w:rPr>
                <w:sz w:val="24"/>
                <w:szCs w:val="24"/>
              </w:rPr>
            </w:pPr>
            <w:r>
              <w:rPr>
                <w:color w:val="000000"/>
                <w:spacing w:val="0"/>
                <w:w w:val="100"/>
                <w:position w:val="0"/>
                <w:sz w:val="24"/>
                <w:szCs w:val="24"/>
              </w:rPr>
              <w:t>南京润煜</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jc w:val="both"/>
              <w:rPr>
                <w:sz w:val="24"/>
                <w:szCs w:val="24"/>
              </w:rPr>
            </w:pPr>
            <w:r>
              <w:rPr>
                <w:rFonts w:ascii="Times New Roman" w:eastAsia="Times New Roman" w:hAnsi="Times New Roman" w:cs="Times New Roman"/>
                <w:color w:val="000000"/>
                <w:spacing w:val="0"/>
                <w:w w:val="100"/>
                <w:position w:val="0"/>
                <w:sz w:val="24"/>
                <w:szCs w:val="24"/>
              </w:rPr>
              <w:t>5,833,340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w:t>
            </w:r>
          </w:p>
        </w:tc>
      </w:tr>
      <w:tr>
        <w:trPr>
          <w:trHeight w:val="312"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rPr>
                <w:sz w:val="24"/>
                <w:szCs w:val="24"/>
              </w:rPr>
            </w:pPr>
            <w:r>
              <w:rPr>
                <w:color w:val="000000"/>
                <w:spacing w:val="0"/>
                <w:w w:val="100"/>
                <w:position w:val="0"/>
                <w:sz w:val="24"/>
                <w:szCs w:val="24"/>
              </w:rPr>
              <w:t>苏宁电器集团</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jc w:val="both"/>
              <w:rPr>
                <w:sz w:val="24"/>
                <w:szCs w:val="24"/>
              </w:rPr>
            </w:pPr>
            <w:r>
              <w:rPr>
                <w:rFonts w:ascii="Times New Roman" w:eastAsia="Times New Roman" w:hAnsi="Times New Roman" w:cs="Times New Roman"/>
                <w:color w:val="000000"/>
                <w:spacing w:val="0"/>
                <w:w w:val="100"/>
                <w:position w:val="0"/>
                <w:sz w:val="24"/>
                <w:szCs w:val="24"/>
              </w:rPr>
              <w:t>1,304,837</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w:t>
            </w:r>
          </w:p>
        </w:tc>
      </w:tr>
      <w:tr>
        <w:trPr>
          <w:trHeight w:val="307"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left"/>
              <w:rPr>
                <w:sz w:val="24"/>
                <w:szCs w:val="24"/>
              </w:rPr>
            </w:pPr>
            <w:r>
              <w:rPr>
                <w:color w:val="000000"/>
                <w:spacing w:val="0"/>
                <w:w w:val="100"/>
                <w:position w:val="0"/>
                <w:sz w:val="24"/>
                <w:szCs w:val="24"/>
              </w:rPr>
              <w:t>苏宁文化</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700" w:firstLine="0"/>
              <w:jc w:val="right"/>
              <w:rPr>
                <w:sz w:val="24"/>
                <w:szCs w:val="24"/>
              </w:rPr>
            </w:pPr>
            <w:r>
              <w:rPr>
                <w:rFonts w:ascii="Times New Roman" w:eastAsia="Times New Roman" w:hAnsi="Times New Roman" w:cs="Times New Roman"/>
                <w:color w:val="000000"/>
                <w:spacing w:val="0"/>
                <w:w w:val="100"/>
                <w:position w:val="0"/>
                <w:sz w:val="24"/>
                <w:szCs w:val="24"/>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2,585,483</w:t>
            </w:r>
          </w:p>
        </w:tc>
      </w:tr>
      <w:tr>
        <w:trPr>
          <w:trHeight w:val="298" w:hRule="exact"/>
        </w:trPr>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jc w:val="both"/>
              <w:rPr>
                <w:sz w:val="24"/>
                <w:szCs w:val="24"/>
              </w:rPr>
            </w:pPr>
            <w:r>
              <w:rPr>
                <w:rFonts w:ascii="Times New Roman" w:eastAsia="Times New Roman" w:hAnsi="Times New Roman" w:cs="Times New Roman"/>
                <w:color w:val="000000"/>
                <w:spacing w:val="0"/>
                <w:w w:val="100"/>
                <w:position w:val="0"/>
                <w:sz w:val="24"/>
                <w:szCs w:val="24"/>
              </w:rPr>
              <w:t>7,138,177</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2,585,483</w:t>
            </w:r>
          </w:p>
        </w:tc>
      </w:tr>
      <w:tr>
        <w:trPr>
          <w:trHeight w:val="744"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4"/>
                <w:szCs w:val="24"/>
              </w:rPr>
            </w:pPr>
            <w:r>
              <w:rPr>
                <w:rFonts w:ascii="Times New Roman" w:eastAsia="Times New Roman" w:hAnsi="Times New Roman" w:cs="Times New Roman"/>
                <w:color w:val="000000"/>
                <w:spacing w:val="0"/>
                <w:w w:val="100"/>
                <w:position w:val="0"/>
                <w:sz w:val="24"/>
                <w:szCs w:val="24"/>
              </w:rPr>
              <w:t>(u)</w:t>
            </w:r>
          </w:p>
        </w:tc>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rPr>
                <w:sz w:val="24"/>
                <w:szCs w:val="24"/>
              </w:rPr>
            </w:pPr>
            <w:r>
              <w:rPr>
                <w:color w:val="000000"/>
                <w:spacing w:val="0"/>
                <w:w w:val="100"/>
                <w:position w:val="0"/>
                <w:sz w:val="24"/>
                <w:szCs w:val="24"/>
              </w:rPr>
              <w:t>向关联方转让持有的可供出售金融资产</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581"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both"/>
              <w:rPr>
                <w:sz w:val="24"/>
                <w:szCs w:val="24"/>
              </w:rPr>
            </w:pPr>
            <w:r>
              <w:rPr>
                <w:rFonts w:ascii="Times New Roman" w:eastAsia="Times New Roman" w:hAnsi="Times New Roman" w:cs="Times New Roman"/>
                <w:color w:val="000000"/>
                <w:spacing w:val="0"/>
                <w:w w:val="100"/>
                <w:position w:val="0"/>
                <w:sz w:val="24"/>
                <w:szCs w:val="24"/>
              </w:rPr>
              <w:t>2016</w:t>
            </w:r>
            <w:r>
              <w:rPr>
                <w:b/>
                <w:bCs/>
                <w:color w:val="000000"/>
                <w:spacing w:val="0"/>
                <w:w w:val="100"/>
                <w:position w:val="0"/>
                <w:sz w:val="24"/>
                <w:szCs w:val="24"/>
              </w:rPr>
              <w:t>年度</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00"/>
              <w:jc w:val="both"/>
              <w:rPr>
                <w:sz w:val="24"/>
                <w:szCs w:val="24"/>
              </w:rPr>
            </w:pPr>
            <w:r>
              <w:rPr>
                <w:rFonts w:ascii="Times New Roman" w:eastAsia="Times New Roman" w:hAnsi="Times New Roman" w:cs="Times New Roman"/>
                <w:color w:val="000000"/>
                <w:spacing w:val="0"/>
                <w:w w:val="100"/>
                <w:position w:val="0"/>
                <w:sz w:val="24"/>
                <w:szCs w:val="24"/>
              </w:rPr>
              <w:t>2015</w:t>
            </w:r>
            <w:r>
              <w:rPr>
                <w:b/>
                <w:bCs/>
                <w:color w:val="000000"/>
                <w:spacing w:val="0"/>
                <w:w w:val="100"/>
                <w:position w:val="0"/>
                <w:sz w:val="24"/>
                <w:szCs w:val="24"/>
              </w:rPr>
              <w:t>年度</w:t>
            </w:r>
          </w:p>
        </w:tc>
      </w:tr>
      <w:tr>
        <w:trPr>
          <w:trHeight w:val="480" w:hRule="exact"/>
        </w:trPr>
        <w:tc>
          <w:tcPr>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left"/>
              <w:rPr>
                <w:sz w:val="24"/>
                <w:szCs w:val="24"/>
              </w:rPr>
            </w:pPr>
            <w:r>
              <w:rPr>
                <w:color w:val="000000"/>
                <w:spacing w:val="0"/>
                <w:w w:val="100"/>
                <w:position w:val="0"/>
                <w:sz w:val="24"/>
                <w:szCs w:val="24"/>
              </w:rPr>
              <w:t>苏宁控股集团</w:t>
            </w:r>
          </w:p>
        </w:tc>
        <w:tc>
          <w:tcPr>
            <w:tcBorders>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60"/>
              <w:jc w:val="both"/>
              <w:rPr>
                <w:sz w:val="24"/>
                <w:szCs w:val="24"/>
              </w:rPr>
            </w:pPr>
            <w:r>
              <w:rPr>
                <w:rFonts w:ascii="Times New Roman" w:eastAsia="Times New Roman" w:hAnsi="Times New Roman" w:cs="Times New Roman"/>
                <w:color w:val="000000"/>
                <w:spacing w:val="0"/>
                <w:w w:val="100"/>
                <w:position w:val="0"/>
                <w:sz w:val="24"/>
                <w:szCs w:val="24"/>
              </w:rPr>
              <w:t>1,522</w:t>
            </w:r>
          </w:p>
        </w:tc>
        <w:tc>
          <w:tcPr>
            <w:tcBorders>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w:t>
            </w:r>
          </w:p>
        </w:tc>
      </w:tr>
    </w:tbl>
    <w:p>
      <w:pPr>
        <w:pStyle w:val="Style32"/>
        <w:keepNext w:val="0"/>
        <w:keepLines w:val="0"/>
        <w:widowControl w:val="0"/>
        <w:shd w:val="clear" w:color="auto" w:fill="auto"/>
        <w:bidi w:val="0"/>
        <w:spacing w:before="0" w:after="0" w:line="240" w:lineRule="auto"/>
        <w:ind w:left="0" w:right="0" w:firstLine="720"/>
        <w:jc w:val="left"/>
        <w:rPr>
          <w:sz w:val="24"/>
          <w:szCs w:val="24"/>
        </w:rPr>
      </w:pPr>
      <w:r>
        <w:rPr>
          <w:b/>
          <w:bCs/>
          <w:color w:val="000000"/>
          <w:spacing w:val="0"/>
          <w:w w:val="100"/>
          <w:position w:val="0"/>
          <w:sz w:val="24"/>
          <w:szCs w:val="24"/>
        </w:rPr>
        <w:t>财务报表附注</w:t>
      </w:r>
    </w:p>
    <w:p>
      <w:pPr>
        <w:pStyle w:val="Style88"/>
        <w:keepNext/>
        <w:keepLines/>
        <w:widowControl w:val="0"/>
        <w:shd w:val="clear" w:color="auto" w:fill="auto"/>
        <w:bidi w:val="0"/>
        <w:spacing w:before="0" w:after="0" w:line="240" w:lineRule="auto"/>
        <w:ind w:left="0" w:right="0" w:firstLine="720"/>
        <w:jc w:val="left"/>
      </w:pPr>
      <w:bookmarkStart w:id="1082" w:name="bookmark1082"/>
      <w:bookmarkStart w:id="1083" w:name="bookmark1083"/>
      <w:bookmarkStart w:id="1084" w:name="bookmark1084"/>
      <w:r>
        <w:rPr>
          <w:color w:val="000000"/>
          <w:spacing w:val="0"/>
          <w:w w:val="100"/>
          <w:position w:val="0"/>
          <w:sz w:val="24"/>
          <w:szCs w:val="24"/>
        </w:rPr>
        <w:t>2016</w:t>
      </w:r>
      <w:r>
        <w:rPr>
          <w:rFonts w:ascii="SimSun" w:eastAsia="SimSun" w:hAnsi="SimSun" w:cs="SimSun"/>
          <w:b/>
          <w:bCs/>
          <w:color w:val="000000"/>
          <w:spacing w:val="0"/>
          <w:w w:val="100"/>
          <w:position w:val="0"/>
          <w:sz w:val="24"/>
          <w:szCs w:val="24"/>
        </w:rPr>
        <w:t>年度</w:t>
      </w:r>
      <w:bookmarkEnd w:id="1082"/>
      <w:bookmarkEnd w:id="1083"/>
      <w:bookmarkEnd w:id="1084"/>
    </w:p>
    <w:p>
      <w:pPr>
        <w:pStyle w:val="Style32"/>
        <w:keepNext w:val="0"/>
        <w:keepLines w:val="0"/>
        <w:widowControl w:val="0"/>
        <w:shd w:val="clear" w:color="auto" w:fill="auto"/>
        <w:bidi w:val="0"/>
        <w:spacing w:before="0" w:after="260" w:line="240" w:lineRule="auto"/>
        <w:ind w:left="0" w:right="0" w:firstLine="720"/>
        <w:jc w:val="left"/>
        <w:rPr>
          <w:sz w:val="24"/>
          <w:szCs w:val="24"/>
        </w:rPr>
      </w:pPr>
      <w:r>
        <w:rPr>
          <w:rFonts w:ascii="Arial" w:eastAsia="Arial" w:hAnsi="Arial" w:cs="Arial"/>
          <w:color w:val="000000"/>
          <w:spacing w:val="0"/>
          <w:w w:val="100"/>
          <w:position w:val="0"/>
          <w:sz w:val="20"/>
          <w:szCs w:val="20"/>
        </w:rPr>
        <w:t>(</w:t>
      </w:r>
      <w:r>
        <w:rPr>
          <w:color w:val="000000"/>
          <w:spacing w:val="0"/>
          <w:w w:val="100"/>
          <w:position w:val="0"/>
          <w:sz w:val="20"/>
          <w:szCs w:val="20"/>
        </w:rPr>
        <w:t>除特别注明外，金额单位为人民币千元</w:t>
      </w:r>
      <w:r>
        <w:rPr>
          <w:color w:val="000000"/>
          <w:spacing w:val="0"/>
          <w:w w:val="100"/>
          <w:position w:val="0"/>
          <w:sz w:val="24"/>
          <w:szCs w:val="24"/>
        </w:rPr>
        <w:t>)</w:t>
      </w:r>
    </w:p>
    <w:p>
      <w:pPr>
        <w:pStyle w:val="Style32"/>
        <w:keepNext w:val="0"/>
        <w:keepLines w:val="0"/>
        <w:widowControl w:val="0"/>
        <w:shd w:val="clear" w:color="auto" w:fill="auto"/>
        <w:tabs>
          <w:tab w:pos="708" w:val="left"/>
        </w:tabs>
        <w:bidi w:val="0"/>
        <w:spacing w:before="0" w:after="260" w:line="240" w:lineRule="auto"/>
        <w:ind w:left="0" w:right="0" w:firstLine="0"/>
        <w:jc w:val="left"/>
        <w:rPr>
          <w:sz w:val="24"/>
          <w:szCs w:val="24"/>
        </w:rPr>
      </w:pPr>
      <w:r>
        <w:rPr>
          <w:b/>
          <w:bCs/>
          <w:color w:val="000000"/>
          <w:spacing w:val="0"/>
          <w:w w:val="100"/>
          <w:position w:val="0"/>
          <w:sz w:val="24"/>
          <w:szCs w:val="24"/>
        </w:rPr>
        <w:t>八</w:t>
        <w:tab/>
        <w:t>关联方关系及其交易</w:t>
      </w:r>
      <w:r>
        <w:rPr>
          <w:rFonts w:ascii="Times New Roman" w:eastAsia="Times New Roman" w:hAnsi="Times New Roman" w:cs="Times New Roman"/>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4"/>
          <w:szCs w:val="24"/>
        </w:rPr>
        <w:t>)</w:t>
      </w:r>
    </w:p>
    <w:p>
      <w:pPr>
        <w:pStyle w:val="Style53"/>
        <w:keepNext w:val="0"/>
        <w:keepLines w:val="0"/>
        <w:widowControl w:val="0"/>
        <w:shd w:val="clear" w:color="auto" w:fill="auto"/>
        <w:tabs>
          <w:tab w:pos="708" w:val="left"/>
        </w:tabs>
        <w:bidi w:val="0"/>
        <w:spacing w:before="0" w:after="260" w:line="240" w:lineRule="auto"/>
        <w:ind w:left="0" w:right="0" w:firstLine="0"/>
        <w:jc w:val="left"/>
        <w:rPr>
          <w:sz w:val="24"/>
          <w:szCs w:val="24"/>
        </w:rPr>
      </w:pPr>
      <w:r>
        <w:rPr>
          <w:color w:val="000000"/>
          <w:spacing w:val="0"/>
          <w:w w:val="100"/>
          <w:position w:val="0"/>
          <w:sz w:val="24"/>
          <w:szCs w:val="24"/>
        </w:rPr>
        <w:t>(6)</w:t>
        <w:tab/>
      </w:r>
      <w:r>
        <w:rPr>
          <w:rFonts w:ascii="SimSun" w:eastAsia="SimSun" w:hAnsi="SimSun" w:cs="SimSun"/>
          <w:b/>
          <w:bCs/>
          <w:color w:val="000000"/>
          <w:spacing w:val="0"/>
          <w:w w:val="100"/>
          <w:position w:val="0"/>
          <w:sz w:val="24"/>
          <w:szCs w:val="24"/>
        </w:rPr>
        <w:t>关联交易</w:t>
      </w:r>
      <w:r>
        <w:rPr>
          <w:color w:val="000000"/>
          <w:spacing w:val="0"/>
          <w:w w:val="100"/>
          <w:position w:val="0"/>
          <w:sz w:val="24"/>
          <w:szCs w:val="24"/>
        </w:rPr>
        <w:t>(</w:t>
      </w:r>
      <w:r>
        <w:rPr>
          <w:rFonts w:ascii="SimSun" w:eastAsia="SimSun" w:hAnsi="SimSun" w:cs="SimSun"/>
          <w:b/>
          <w:bCs/>
          <w:color w:val="000000"/>
          <w:spacing w:val="0"/>
          <w:w w:val="100"/>
          <w:position w:val="0"/>
          <w:sz w:val="24"/>
          <w:szCs w:val="24"/>
        </w:rPr>
        <w:t>续</w:t>
      </w:r>
      <w:r>
        <w:rPr>
          <w:rFonts w:ascii="SimSun" w:eastAsia="SimSun" w:hAnsi="SimSun" w:cs="SimSun"/>
          <w:color w:val="000000"/>
          <w:spacing w:val="0"/>
          <w:w w:val="100"/>
          <w:position w:val="0"/>
          <w:sz w:val="24"/>
          <w:szCs w:val="24"/>
        </w:rPr>
        <w:t>)</w:t>
      </w:r>
    </w:p>
    <w:p>
      <w:pPr>
        <w:pStyle w:val="Style32"/>
        <w:keepNext w:val="0"/>
        <w:keepLines w:val="0"/>
        <w:widowControl w:val="0"/>
        <w:numPr>
          <w:ilvl w:val="0"/>
          <w:numId w:val="91"/>
        </w:numPr>
        <w:shd w:val="clear" w:color="auto" w:fill="auto"/>
        <w:tabs>
          <w:tab w:pos="708" w:val="left"/>
        </w:tabs>
        <w:bidi w:val="0"/>
        <w:spacing w:before="0" w:after="260" w:line="240" w:lineRule="auto"/>
        <w:ind w:left="0" w:right="0" w:firstLine="0"/>
        <w:jc w:val="left"/>
        <w:rPr>
          <w:sz w:val="24"/>
          <w:szCs w:val="24"/>
        </w:rPr>
      </w:pPr>
      <w:bookmarkStart w:id="1085" w:name="bookmark1085"/>
      <w:bookmarkEnd w:id="1085"/>
      <w:r>
        <w:rPr>
          <w:color w:val="000000"/>
          <w:spacing w:val="0"/>
          <w:w w:val="100"/>
          <w:position w:val="0"/>
          <w:sz w:val="24"/>
          <w:szCs w:val="24"/>
        </w:rPr>
        <w:t>收购关联方持有的子公司股权</w:t>
      </w:r>
    </w:p>
    <w:p>
      <w:pPr>
        <w:pStyle w:val="Style53"/>
        <w:keepNext w:val="0"/>
        <w:keepLines w:val="0"/>
        <w:widowControl w:val="0"/>
        <w:shd w:val="clear" w:color="auto" w:fill="auto"/>
        <w:tabs>
          <w:tab w:pos="2414" w:val="left"/>
        </w:tabs>
        <w:bidi w:val="0"/>
        <w:spacing w:before="0" w:after="260" w:line="240" w:lineRule="auto"/>
        <w:ind w:left="0" w:right="0" w:firstLine="0"/>
        <w:jc w:val="right"/>
        <w:rPr>
          <w:sz w:val="24"/>
          <w:szCs w:val="24"/>
        </w:rPr>
      </w:pPr>
      <w:r>
        <w:rPr>
          <w:color w:val="000000"/>
          <w:spacing w:val="0"/>
          <w:w w:val="100"/>
          <w:position w:val="0"/>
          <w:sz w:val="24"/>
          <w:szCs w:val="24"/>
        </w:rPr>
        <w:t>2016</w:t>
      </w:r>
      <w:r>
        <w:rPr>
          <w:rFonts w:ascii="SimSun" w:eastAsia="SimSun" w:hAnsi="SimSun" w:cs="SimSun"/>
          <w:color w:val="000000"/>
          <w:spacing w:val="0"/>
          <w:w w:val="100"/>
          <w:position w:val="0"/>
          <w:sz w:val="24"/>
          <w:szCs w:val="24"/>
        </w:rPr>
        <w:t>年度</w:t>
        <w:tab/>
      </w:r>
      <w:r>
        <w:rPr>
          <w:color w:val="000000"/>
          <w:spacing w:val="0"/>
          <w:w w:val="100"/>
          <w:position w:val="0"/>
          <w:sz w:val="24"/>
          <w:szCs w:val="24"/>
        </w:rPr>
        <w:t>2015</w:t>
      </w:r>
      <w:r>
        <w:rPr>
          <w:rFonts w:ascii="SimSun" w:eastAsia="SimSun" w:hAnsi="SimSun" w:cs="SimSun"/>
          <w:color w:val="000000"/>
          <w:spacing w:val="0"/>
          <w:w w:val="100"/>
          <w:position w:val="0"/>
          <w:sz w:val="24"/>
          <w:szCs w:val="24"/>
        </w:rPr>
        <w:t>年度</w:t>
      </w:r>
    </w:p>
    <w:p>
      <w:pPr>
        <w:pStyle w:val="Style53"/>
        <w:keepNext w:val="0"/>
        <w:keepLines w:val="0"/>
        <w:widowControl w:val="0"/>
        <w:shd w:val="clear" w:color="auto" w:fill="auto"/>
        <w:tabs>
          <w:tab w:pos="6490" w:val="left"/>
          <w:tab w:pos="8338" w:val="left"/>
        </w:tabs>
        <w:bidi w:val="0"/>
        <w:spacing w:before="0" w:after="300" w:line="240" w:lineRule="auto"/>
        <w:ind w:left="0" w:right="0" w:firstLine="720"/>
        <w:jc w:val="both"/>
        <w:rPr>
          <w:sz w:val="24"/>
          <w:szCs w:val="24"/>
        </w:rPr>
      </w:pPr>
      <w:r>
        <w:rPr>
          <w:rFonts w:ascii="SimSun" w:eastAsia="SimSun" w:hAnsi="SimSun" w:cs="SimSun"/>
          <w:color w:val="000000"/>
          <w:spacing w:val="0"/>
          <w:w w:val="100"/>
          <w:position w:val="0"/>
          <w:sz w:val="24"/>
          <w:szCs w:val="24"/>
        </w:rPr>
        <w:t>苏宁电器集团</w:t>
        <w:tab/>
      </w:r>
      <w:r>
        <w:rPr>
          <w:color w:val="000000"/>
          <w:spacing w:val="0"/>
          <w:w w:val="100"/>
          <w:position w:val="0"/>
          <w:sz w:val="24"/>
          <w:szCs w:val="24"/>
        </w:rPr>
        <w:t>-</w:t>
        <w:tab/>
        <w:t>78,148</w:t>
      </w:r>
    </w:p>
    <w:p>
      <w:pPr>
        <w:pStyle w:val="Style32"/>
        <w:keepNext w:val="0"/>
        <w:keepLines w:val="0"/>
        <w:widowControl w:val="0"/>
        <w:shd w:val="clear" w:color="auto" w:fill="auto"/>
        <w:tabs>
          <w:tab w:pos="708" w:val="left"/>
        </w:tabs>
        <w:bidi w:val="0"/>
        <w:spacing w:before="0" w:after="260" w:line="314" w:lineRule="exact"/>
        <w:ind w:left="0" w:right="0" w:firstLine="0"/>
        <w:jc w:val="left"/>
        <w:rPr>
          <w:sz w:val="24"/>
          <w:szCs w:val="24"/>
        </w:rPr>
      </w:pPr>
      <w:bookmarkStart w:id="1086" w:name="bookmark1086"/>
      <w:r>
        <w:rPr>
          <w:rFonts w:ascii="Times New Roman" w:eastAsia="Times New Roman" w:hAnsi="Times New Roman" w:cs="Times New Roman"/>
          <w:color w:val="000000"/>
          <w:spacing w:val="0"/>
          <w:w w:val="100"/>
          <w:position w:val="0"/>
          <w:sz w:val="24"/>
          <w:szCs w:val="24"/>
        </w:rPr>
        <w:t>(</w:t>
      </w:r>
      <w:bookmarkEnd w:id="1086"/>
      <w:r>
        <w:rPr>
          <w:rFonts w:ascii="Times New Roman" w:eastAsia="Times New Roman" w:hAnsi="Times New Roman" w:cs="Times New Roman"/>
          <w:color w:val="000000"/>
          <w:spacing w:val="0"/>
          <w:w w:val="100"/>
          <w:position w:val="0"/>
          <w:sz w:val="24"/>
          <w:szCs w:val="24"/>
        </w:rPr>
        <w:t>w)</w:t>
        <w:tab/>
      </w:r>
      <w:r>
        <w:rPr>
          <w:color w:val="000000"/>
          <w:spacing w:val="0"/>
          <w:w w:val="100"/>
          <w:position w:val="0"/>
          <w:sz w:val="24"/>
          <w:szCs w:val="24"/>
        </w:rPr>
        <w:t>收购关联方持有的可供出售金融资产</w:t>
      </w:r>
    </w:p>
    <w:p>
      <w:pPr>
        <w:pStyle w:val="Style53"/>
        <w:keepNext w:val="0"/>
        <w:keepLines w:val="0"/>
        <w:widowControl w:val="0"/>
        <w:shd w:val="clear" w:color="auto" w:fill="auto"/>
        <w:tabs>
          <w:tab w:pos="2414" w:val="left"/>
        </w:tabs>
        <w:bidi w:val="0"/>
        <w:spacing w:before="0" w:after="260" w:line="314" w:lineRule="exact"/>
        <w:ind w:left="0" w:right="0" w:firstLine="0"/>
        <w:jc w:val="right"/>
        <w:rPr>
          <w:sz w:val="24"/>
          <w:szCs w:val="24"/>
        </w:rPr>
      </w:pPr>
      <w:r>
        <w:rPr>
          <w:color w:val="000000"/>
          <w:spacing w:val="0"/>
          <w:w w:val="100"/>
          <w:position w:val="0"/>
          <w:sz w:val="24"/>
          <w:szCs w:val="24"/>
        </w:rPr>
        <w:t>2016</w:t>
      </w:r>
      <w:r>
        <w:rPr>
          <w:rFonts w:ascii="SimSun" w:eastAsia="SimSun" w:hAnsi="SimSun" w:cs="SimSun"/>
          <w:color w:val="000000"/>
          <w:spacing w:val="0"/>
          <w:w w:val="100"/>
          <w:position w:val="0"/>
          <w:sz w:val="24"/>
          <w:szCs w:val="24"/>
        </w:rPr>
        <w:t>年度</w:t>
        <w:tab/>
      </w:r>
      <w:r>
        <w:rPr>
          <w:color w:val="000000"/>
          <w:spacing w:val="0"/>
          <w:w w:val="100"/>
          <w:position w:val="0"/>
          <w:sz w:val="24"/>
          <w:szCs w:val="24"/>
        </w:rPr>
        <w:t>2015</w:t>
      </w:r>
      <w:r>
        <w:rPr>
          <w:rFonts w:ascii="SimSun" w:eastAsia="SimSun" w:hAnsi="SimSun" w:cs="SimSun"/>
          <w:color w:val="000000"/>
          <w:spacing w:val="0"/>
          <w:w w:val="100"/>
          <w:position w:val="0"/>
          <w:sz w:val="24"/>
          <w:szCs w:val="24"/>
        </w:rPr>
        <w:t>年度</w:t>
      </w:r>
    </w:p>
    <w:p>
      <w:pPr>
        <w:pStyle w:val="Style32"/>
        <w:keepNext w:val="0"/>
        <w:keepLines w:val="0"/>
        <w:widowControl w:val="0"/>
        <w:shd w:val="clear" w:color="auto" w:fill="auto"/>
        <w:tabs>
          <w:tab w:pos="4358" w:val="left"/>
          <w:tab w:leader="underscore" w:pos="5789" w:val="left"/>
          <w:tab w:pos="6902" w:val="left"/>
          <w:tab w:leader="underscore" w:pos="8923" w:val="left"/>
        </w:tabs>
        <w:bidi w:val="0"/>
        <w:spacing w:before="0" w:after="260" w:line="314" w:lineRule="exact"/>
        <w:ind w:left="0" w:right="0" w:firstLine="720"/>
        <w:jc w:val="both"/>
        <w:rPr>
          <w:sz w:val="24"/>
          <w:szCs w:val="24"/>
        </w:rPr>
      </w:pPr>
      <w:r>
        <w:rPr>
          <w:color w:val="000000"/>
          <w:spacing w:val="0"/>
          <w:w w:val="100"/>
          <w:position w:val="0"/>
          <w:sz w:val="24"/>
          <w:szCs w:val="24"/>
        </w:rPr>
        <w:t>苏宁润东</w:t>
        <w:tab/>
        <w:tab/>
      </w:r>
      <w:r>
        <w:rPr>
          <w:rFonts w:ascii="Times New Roman" w:eastAsia="Times New Roman" w:hAnsi="Times New Roman" w:cs="Times New Roman"/>
          <w:color w:val="000000"/>
          <w:spacing w:val="0"/>
          <w:w w:val="100"/>
          <w:position w:val="0"/>
          <w:sz w:val="24"/>
          <w:szCs w:val="24"/>
          <w:u w:val="single"/>
        </w:rPr>
        <w:t>283,710</w:t>
      </w:r>
      <w:r>
        <w:rPr>
          <w:rFonts w:ascii="Times New Roman" w:eastAsia="Times New Roman" w:hAnsi="Times New Roman" w:cs="Times New Roman"/>
          <w:color w:val="000000"/>
          <w:spacing w:val="0"/>
          <w:w w:val="100"/>
          <w:position w:val="0"/>
          <w:sz w:val="24"/>
          <w:szCs w:val="24"/>
        </w:rPr>
        <w:tab/>
        <w:tab/>
      </w:r>
      <w:r>
        <w:rPr>
          <w:color w:val="000000"/>
          <w:spacing w:val="0"/>
          <w:w w:val="100"/>
          <w:position w:val="0"/>
          <w:sz w:val="24"/>
          <w:szCs w:val="24"/>
        </w:rPr>
        <w:t>二</w:t>
      </w:r>
    </w:p>
    <w:p>
      <w:pPr>
        <w:pStyle w:val="Style32"/>
        <w:keepNext w:val="0"/>
        <w:keepLines w:val="0"/>
        <w:widowControl w:val="0"/>
        <w:numPr>
          <w:ilvl w:val="0"/>
          <w:numId w:val="93"/>
        </w:numPr>
        <w:shd w:val="clear" w:color="auto" w:fill="auto"/>
        <w:tabs>
          <w:tab w:pos="708" w:val="left"/>
        </w:tabs>
        <w:bidi w:val="0"/>
        <w:spacing w:before="0" w:after="260" w:line="314" w:lineRule="exact"/>
        <w:ind w:left="0" w:right="0" w:firstLine="0"/>
        <w:jc w:val="left"/>
        <w:rPr>
          <w:sz w:val="24"/>
          <w:szCs w:val="24"/>
        </w:rPr>
      </w:pPr>
      <w:bookmarkStart w:id="1087" w:name="bookmark1087"/>
      <w:bookmarkEnd w:id="1087"/>
      <w:r>
        <w:rPr>
          <w:color w:val="000000"/>
          <w:spacing w:val="0"/>
          <w:w w:val="100"/>
          <w:position w:val="0"/>
          <w:sz w:val="24"/>
          <w:szCs w:val="24"/>
        </w:rPr>
        <w:t>商标使用许可协议</w:t>
      </w:r>
    </w:p>
    <w:p>
      <w:pPr>
        <w:pStyle w:val="Style32"/>
        <w:keepNext w:val="0"/>
        <w:keepLines w:val="0"/>
        <w:widowControl w:val="0"/>
        <w:numPr>
          <w:ilvl w:val="0"/>
          <w:numId w:val="95"/>
        </w:numPr>
        <w:shd w:val="clear" w:color="auto" w:fill="auto"/>
        <w:tabs>
          <w:tab w:pos="1199" w:val="left"/>
        </w:tabs>
        <w:bidi w:val="0"/>
        <w:spacing w:before="0" w:after="260" w:line="314" w:lineRule="exact"/>
        <w:ind w:left="1080" w:right="0" w:hanging="340"/>
        <w:jc w:val="both"/>
        <w:rPr>
          <w:sz w:val="24"/>
          <w:szCs w:val="24"/>
        </w:rPr>
      </w:pPr>
      <w:bookmarkStart w:id="1088" w:name="bookmark1088"/>
      <w:bookmarkEnd w:id="1088"/>
      <w:r>
        <w:rPr>
          <w:color w:val="000000"/>
          <w:spacing w:val="0"/>
          <w:w w:val="100"/>
          <w:position w:val="0"/>
          <w:sz w:val="24"/>
          <w:szCs w:val="24"/>
        </w:rPr>
        <w:t>于</w:t>
      </w:r>
      <w:r>
        <w:rPr>
          <w:rFonts w:ascii="Times New Roman" w:eastAsia="Times New Roman" w:hAnsi="Times New Roman" w:cs="Times New Roman"/>
          <w:color w:val="000000"/>
          <w:spacing w:val="0"/>
          <w:w w:val="100"/>
          <w:position w:val="0"/>
          <w:sz w:val="24"/>
          <w:szCs w:val="24"/>
        </w:rPr>
        <w:t>2002</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20</w:t>
      </w:r>
      <w:r>
        <w:rPr>
          <w:color w:val="000000"/>
          <w:spacing w:val="0"/>
          <w:w w:val="100"/>
          <w:position w:val="0"/>
          <w:sz w:val="24"/>
          <w:szCs w:val="24"/>
        </w:rPr>
        <w:t>日，经本集团</w:t>
      </w:r>
      <w:r>
        <w:rPr>
          <w:rFonts w:ascii="Times New Roman" w:eastAsia="Times New Roman" w:hAnsi="Times New Roman" w:cs="Times New Roman"/>
          <w:color w:val="000000"/>
          <w:spacing w:val="0"/>
          <w:w w:val="100"/>
          <w:position w:val="0"/>
          <w:sz w:val="24"/>
          <w:szCs w:val="24"/>
        </w:rPr>
        <w:t>2001</w:t>
      </w:r>
      <w:r>
        <w:rPr>
          <w:color w:val="000000"/>
          <w:spacing w:val="0"/>
          <w:w w:val="100"/>
          <w:position w:val="0"/>
          <w:sz w:val="24"/>
          <w:szCs w:val="24"/>
        </w:rPr>
        <w:t>年年度股东大会批准，同意苏宁环球 集团及其全资、控股子公司和具有实际控制权的公司在规定的投资行业 中，无偿使用</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蕨窣</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苏宁</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及</w:t>
      </w:r>
      <w:r>
        <w:rPr>
          <w:rFonts w:ascii="Times New Roman" w:eastAsia="Times New Roman" w:hAnsi="Times New Roman" w:cs="Times New Roman"/>
          <w:color w:val="000000"/>
          <w:spacing w:val="0"/>
          <w:w w:val="100"/>
          <w:position w:val="0"/>
          <w:sz w:val="24"/>
          <w:szCs w:val="24"/>
        </w:rPr>
        <w:t>“NS”</w:t>
      </w:r>
      <w:r>
        <w:rPr>
          <w:color w:val="000000"/>
          <w:spacing w:val="0"/>
          <w:w w:val="100"/>
          <w:position w:val="0"/>
          <w:sz w:val="24"/>
          <w:szCs w:val="24"/>
        </w:rPr>
        <w:t>组合的系列注册商标。</w:t>
      </w:r>
    </w:p>
    <w:p>
      <w:pPr>
        <w:pStyle w:val="Style32"/>
        <w:keepNext w:val="0"/>
        <w:keepLines w:val="0"/>
        <w:widowControl w:val="0"/>
        <w:numPr>
          <w:ilvl w:val="0"/>
          <w:numId w:val="95"/>
        </w:numPr>
        <w:shd w:val="clear" w:color="auto" w:fill="auto"/>
        <w:tabs>
          <w:tab w:pos="1199" w:val="left"/>
        </w:tabs>
        <w:bidi w:val="0"/>
        <w:spacing w:before="0" w:after="260" w:line="318" w:lineRule="exact"/>
        <w:ind w:left="1080" w:right="0" w:hanging="340"/>
        <w:jc w:val="both"/>
        <w:rPr>
          <w:sz w:val="24"/>
          <w:szCs w:val="24"/>
        </w:rPr>
      </w:pPr>
      <w:bookmarkStart w:id="1089" w:name="bookmark1089"/>
      <w:bookmarkEnd w:id="1089"/>
      <w:r>
        <w:rPr>
          <w:color w:val="000000"/>
          <w:spacing w:val="0"/>
          <w:w w:val="100"/>
          <w:position w:val="0"/>
          <w:sz w:val="24"/>
          <w:szCs w:val="24"/>
        </w:rPr>
        <w:t>于</w:t>
      </w:r>
      <w:r>
        <w:rPr>
          <w:rFonts w:ascii="Times New Roman" w:eastAsia="Times New Roman" w:hAnsi="Times New Roman" w:cs="Times New Roman"/>
          <w:color w:val="000000"/>
          <w:spacing w:val="0"/>
          <w:w w:val="100"/>
          <w:position w:val="0"/>
          <w:sz w:val="24"/>
          <w:szCs w:val="24"/>
        </w:rPr>
        <w:t>2008</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20</w:t>
      </w:r>
      <w:r>
        <w:rPr>
          <w:color w:val="000000"/>
          <w:spacing w:val="0"/>
          <w:w w:val="100"/>
          <w:position w:val="0"/>
          <w:sz w:val="24"/>
          <w:szCs w:val="24"/>
        </w:rPr>
        <w:t>日，经本公司</w:t>
      </w:r>
      <w:r>
        <w:rPr>
          <w:rFonts w:ascii="Times New Roman" w:eastAsia="Times New Roman" w:hAnsi="Times New Roman" w:cs="Times New Roman"/>
          <w:color w:val="000000"/>
          <w:spacing w:val="0"/>
          <w:w w:val="100"/>
          <w:position w:val="0"/>
          <w:sz w:val="24"/>
          <w:szCs w:val="24"/>
        </w:rPr>
        <w:t>2007</w:t>
      </w:r>
      <w:r>
        <w:rPr>
          <w:color w:val="000000"/>
          <w:spacing w:val="0"/>
          <w:w w:val="100"/>
          <w:position w:val="0"/>
          <w:sz w:val="24"/>
          <w:szCs w:val="24"/>
        </w:rPr>
        <w:t>年年度股东大会批准，同意许可苏宁 电器集团及其全资、控股子公司和具有实际控制权的公司使用本公司已注 册的部分</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蕨窣</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系列注册商标以及部分</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苏宁</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及</w:t>
      </w:r>
      <w:r>
        <w:rPr>
          <w:rFonts w:ascii="Times New Roman" w:eastAsia="Times New Roman" w:hAnsi="Times New Roman" w:cs="Times New Roman"/>
          <w:color w:val="000000"/>
          <w:spacing w:val="0"/>
          <w:w w:val="100"/>
          <w:position w:val="0"/>
          <w:sz w:val="24"/>
          <w:szCs w:val="24"/>
        </w:rPr>
        <w:t>“NS”</w:t>
      </w:r>
      <w:r>
        <w:rPr>
          <w:color w:val="000000"/>
          <w:spacing w:val="0"/>
          <w:w w:val="100"/>
          <w:position w:val="0"/>
          <w:sz w:val="24"/>
          <w:szCs w:val="24"/>
        </w:rPr>
        <w:t>组合的系列注册商 标。</w:t>
      </w:r>
    </w:p>
    <w:p>
      <w:pPr>
        <w:pStyle w:val="Style32"/>
        <w:keepNext w:val="0"/>
        <w:keepLines w:val="0"/>
        <w:widowControl w:val="0"/>
        <w:shd w:val="clear" w:color="auto" w:fill="auto"/>
        <w:bidi w:val="0"/>
        <w:spacing w:before="0" w:after="260" w:line="311" w:lineRule="exact"/>
        <w:ind w:left="1080" w:right="0" w:firstLine="0"/>
        <w:jc w:val="both"/>
        <w:rPr>
          <w:sz w:val="24"/>
          <w:szCs w:val="24"/>
        </w:rPr>
        <w:sectPr>
          <w:headerReference w:type="default" r:id="rId227"/>
          <w:footerReference w:type="default" r:id="rId228"/>
          <w:headerReference w:type="even" r:id="rId229"/>
          <w:footerReference w:type="even" r:id="rId230"/>
          <w:footnotePr>
            <w:pos w:val="pageBottom"/>
            <w:numFmt w:val="decimal"/>
            <w:numRestart w:val="continuous"/>
          </w:footnotePr>
          <w:pgSz w:w="11900" w:h="16840"/>
          <w:pgMar w:top="1313" w:right="1078" w:bottom="1698" w:left="1640" w:header="0" w:footer="3" w:gutter="0"/>
          <w:cols w:space="720"/>
          <w:noEndnote/>
          <w:rtlGutter w:val="0"/>
          <w:docGrid w:linePitch="360"/>
        </w:sectPr>
      </w:pPr>
      <w:r>
        <w:rPr>
          <w:color w:val="000000"/>
          <w:spacing w:val="0"/>
          <w:w w:val="100"/>
          <w:position w:val="0"/>
          <w:sz w:val="24"/>
          <w:szCs w:val="24"/>
        </w:rPr>
        <w:t>于</w:t>
      </w:r>
      <w:r>
        <w:rPr>
          <w:rFonts w:ascii="Times New Roman" w:eastAsia="Times New Roman" w:hAnsi="Times New Roman" w:cs="Times New Roman"/>
          <w:color w:val="000000"/>
          <w:spacing w:val="0"/>
          <w:w w:val="100"/>
          <w:position w:val="0"/>
          <w:sz w:val="24"/>
          <w:szCs w:val="24"/>
        </w:rPr>
        <w:t>2008</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15</w:t>
      </w:r>
      <w:r>
        <w:rPr>
          <w:color w:val="000000"/>
          <w:spacing w:val="0"/>
          <w:w w:val="100"/>
          <w:position w:val="0"/>
          <w:sz w:val="24"/>
          <w:szCs w:val="24"/>
        </w:rPr>
        <w:t>日，本公司与苏宁电器集团签订《商标使用许可协议》， 约定自</w:t>
      </w:r>
      <w:r>
        <w:rPr>
          <w:rFonts w:ascii="Times New Roman" w:eastAsia="Times New Roman" w:hAnsi="Times New Roman" w:cs="Times New Roman"/>
          <w:color w:val="000000"/>
          <w:spacing w:val="0"/>
          <w:w w:val="100"/>
          <w:position w:val="0"/>
          <w:sz w:val="24"/>
          <w:szCs w:val="24"/>
        </w:rPr>
        <w:t>2008</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日起，在本公司拥有的</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蕨窣</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 xml:space="preserve">系列注册商标以及部分 </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苏宁</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及</w:t>
      </w:r>
      <w:r>
        <w:rPr>
          <w:rFonts w:ascii="Times New Roman" w:eastAsia="Times New Roman" w:hAnsi="Times New Roman" w:cs="Times New Roman"/>
          <w:color w:val="000000"/>
          <w:spacing w:val="0"/>
          <w:w w:val="100"/>
          <w:position w:val="0"/>
          <w:sz w:val="24"/>
          <w:szCs w:val="24"/>
        </w:rPr>
        <w:t>“NS”</w:t>
      </w:r>
      <w:r>
        <w:rPr>
          <w:color w:val="000000"/>
          <w:spacing w:val="0"/>
          <w:w w:val="100"/>
          <w:position w:val="0"/>
          <w:sz w:val="24"/>
          <w:szCs w:val="24"/>
        </w:rPr>
        <w:t>组合的系列注册商标的专用权期限内，许可苏宁电器集团无 限期有偿使用部分注册商标，苏宁电器集团每年支付本公司商标使用费人 民币</w:t>
      </w:r>
      <w:r>
        <w:rPr>
          <w:rFonts w:ascii="Times New Roman" w:eastAsia="Times New Roman" w:hAnsi="Times New Roman" w:cs="Times New Roman"/>
          <w:color w:val="000000"/>
          <w:spacing w:val="0"/>
          <w:w w:val="100"/>
          <w:position w:val="0"/>
          <w:sz w:val="24"/>
          <w:szCs w:val="24"/>
        </w:rPr>
        <w:t>100</w:t>
      </w:r>
      <w:r>
        <w:rPr>
          <w:color w:val="000000"/>
          <w:spacing w:val="0"/>
          <w:w w:val="100"/>
          <w:position w:val="0"/>
          <w:sz w:val="24"/>
          <w:szCs w:val="24"/>
        </w:rPr>
        <w:t>万元。</w:t>
      </w:r>
    </w:p>
    <w:p>
      <w:pPr>
        <w:pStyle w:val="Style32"/>
        <w:keepNext w:val="0"/>
        <w:keepLines w:val="0"/>
        <w:widowControl w:val="0"/>
        <w:shd w:val="clear" w:color="auto" w:fill="auto"/>
        <w:bidi w:val="0"/>
        <w:spacing w:before="0" w:after="0" w:line="240" w:lineRule="auto"/>
        <w:ind w:left="0" w:right="0" w:firstLine="720"/>
        <w:jc w:val="left"/>
        <w:rPr>
          <w:sz w:val="24"/>
          <w:szCs w:val="24"/>
        </w:rPr>
      </w:pPr>
      <w:r>
        <w:rPr>
          <w:b/>
          <w:bCs/>
          <w:color w:val="000000"/>
          <w:spacing w:val="0"/>
          <w:w w:val="100"/>
          <w:position w:val="0"/>
          <w:sz w:val="24"/>
          <w:szCs w:val="24"/>
        </w:rPr>
        <w:t>财务报表附注</w:t>
      </w:r>
    </w:p>
    <w:p>
      <w:pPr>
        <w:pStyle w:val="Style88"/>
        <w:keepNext/>
        <w:keepLines/>
        <w:widowControl w:val="0"/>
        <w:shd w:val="clear" w:color="auto" w:fill="auto"/>
        <w:bidi w:val="0"/>
        <w:spacing w:before="0" w:after="0" w:line="240" w:lineRule="auto"/>
        <w:ind w:left="0" w:right="0" w:firstLine="720"/>
        <w:jc w:val="left"/>
      </w:pPr>
      <w:bookmarkStart w:id="1090" w:name="bookmark1090"/>
      <w:bookmarkStart w:id="1091" w:name="bookmark1091"/>
      <w:bookmarkStart w:id="1092" w:name="bookmark1092"/>
      <w:r>
        <w:rPr>
          <w:color w:val="000000"/>
          <w:spacing w:val="0"/>
          <w:w w:val="100"/>
          <w:position w:val="0"/>
          <w:sz w:val="24"/>
          <w:szCs w:val="24"/>
        </w:rPr>
        <w:t>2016</w:t>
      </w:r>
      <w:r>
        <w:rPr>
          <w:rFonts w:ascii="SimSun" w:eastAsia="SimSun" w:hAnsi="SimSun" w:cs="SimSun"/>
          <w:b/>
          <w:bCs/>
          <w:color w:val="000000"/>
          <w:spacing w:val="0"/>
          <w:w w:val="100"/>
          <w:position w:val="0"/>
          <w:sz w:val="24"/>
          <w:szCs w:val="24"/>
        </w:rPr>
        <w:t>年度</w:t>
      </w:r>
      <w:bookmarkEnd w:id="1090"/>
      <w:bookmarkEnd w:id="1091"/>
      <w:bookmarkEnd w:id="1092"/>
    </w:p>
    <w:p>
      <w:pPr>
        <w:pStyle w:val="Style32"/>
        <w:keepNext w:val="0"/>
        <w:keepLines w:val="0"/>
        <w:widowControl w:val="0"/>
        <w:shd w:val="clear" w:color="auto" w:fill="auto"/>
        <w:bidi w:val="0"/>
        <w:spacing w:before="0" w:after="260" w:line="240" w:lineRule="auto"/>
        <w:ind w:left="0" w:right="0" w:firstLine="720"/>
        <w:jc w:val="left"/>
        <w:rPr>
          <w:sz w:val="24"/>
          <w:szCs w:val="24"/>
        </w:rPr>
      </w:pPr>
      <w:r>
        <w:rPr>
          <w:rFonts w:ascii="Arial" w:eastAsia="Arial" w:hAnsi="Arial" w:cs="Arial"/>
          <w:color w:val="000000"/>
          <w:spacing w:val="0"/>
          <w:w w:val="100"/>
          <w:position w:val="0"/>
          <w:sz w:val="20"/>
          <w:szCs w:val="20"/>
        </w:rPr>
        <w:t>（</w:t>
      </w:r>
      <w:r>
        <w:rPr>
          <w:color w:val="000000"/>
          <w:spacing w:val="0"/>
          <w:w w:val="100"/>
          <w:position w:val="0"/>
          <w:sz w:val="20"/>
          <w:szCs w:val="20"/>
        </w:rPr>
        <w:t>除特别注明外，金额单位为人民币千元</w:t>
      </w:r>
      <w:r>
        <w:rPr>
          <w:color w:val="000000"/>
          <w:spacing w:val="0"/>
          <w:w w:val="100"/>
          <w:position w:val="0"/>
          <w:sz w:val="24"/>
          <w:szCs w:val="24"/>
        </w:rPr>
        <w:t>）</w:t>
      </w:r>
    </w:p>
    <w:p>
      <w:pPr>
        <w:pStyle w:val="Style32"/>
        <w:keepNext w:val="0"/>
        <w:keepLines w:val="0"/>
        <w:widowControl w:val="0"/>
        <w:shd w:val="clear" w:color="auto" w:fill="auto"/>
        <w:tabs>
          <w:tab w:pos="686" w:val="left"/>
        </w:tabs>
        <w:bidi w:val="0"/>
        <w:spacing w:before="0" w:after="260" w:line="240" w:lineRule="auto"/>
        <w:ind w:left="0" w:right="0" w:firstLine="0"/>
        <w:jc w:val="left"/>
        <w:rPr>
          <w:sz w:val="24"/>
          <w:szCs w:val="24"/>
        </w:rPr>
      </w:pPr>
      <w:r>
        <w:rPr>
          <w:b/>
          <w:bCs/>
          <w:color w:val="000000"/>
          <w:spacing w:val="0"/>
          <w:w w:val="100"/>
          <w:position w:val="0"/>
          <w:sz w:val="24"/>
          <w:szCs w:val="24"/>
        </w:rPr>
        <w:t>八</w:t>
        <w:tab/>
        <w:t>关联方关系及其交易</w:t>
      </w:r>
      <w:r>
        <w:rPr>
          <w:rFonts w:ascii="Times New Roman" w:eastAsia="Times New Roman" w:hAnsi="Times New Roman" w:cs="Times New Roman"/>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4"/>
          <w:szCs w:val="24"/>
        </w:rPr>
        <w:t>）</w:t>
      </w:r>
    </w:p>
    <w:p>
      <w:pPr>
        <w:pStyle w:val="Style53"/>
        <w:keepNext w:val="0"/>
        <w:keepLines w:val="0"/>
        <w:widowControl w:val="0"/>
        <w:shd w:val="clear" w:color="auto" w:fill="auto"/>
        <w:tabs>
          <w:tab w:pos="686" w:val="left"/>
        </w:tabs>
        <w:bidi w:val="0"/>
        <w:spacing w:before="0" w:after="260" w:line="313" w:lineRule="exact"/>
        <w:ind w:left="0" w:right="0" w:firstLine="0"/>
        <w:jc w:val="left"/>
        <w:rPr>
          <w:sz w:val="24"/>
          <w:szCs w:val="24"/>
        </w:rPr>
      </w:pPr>
      <w:r>
        <w:rPr>
          <w:color w:val="000000"/>
          <w:spacing w:val="0"/>
          <w:w w:val="100"/>
          <w:position w:val="0"/>
          <w:sz w:val="24"/>
          <w:szCs w:val="24"/>
        </w:rPr>
        <w:t>（6）</w:t>
        <w:tab/>
      </w:r>
      <w:r>
        <w:rPr>
          <w:rFonts w:ascii="SimSun" w:eastAsia="SimSun" w:hAnsi="SimSun" w:cs="SimSun"/>
          <w:b/>
          <w:bCs/>
          <w:color w:val="000000"/>
          <w:spacing w:val="0"/>
          <w:w w:val="100"/>
          <w:position w:val="0"/>
          <w:sz w:val="24"/>
          <w:szCs w:val="24"/>
        </w:rPr>
        <w:t>关联交易</w:t>
      </w:r>
      <w:r>
        <w:rPr>
          <w:color w:val="000000"/>
          <w:spacing w:val="0"/>
          <w:w w:val="100"/>
          <w:position w:val="0"/>
          <w:sz w:val="24"/>
          <w:szCs w:val="24"/>
        </w:rPr>
        <w:t>（</w:t>
      </w:r>
      <w:r>
        <w:rPr>
          <w:rFonts w:ascii="SimSun" w:eastAsia="SimSun" w:hAnsi="SimSun" w:cs="SimSun"/>
          <w:b/>
          <w:bCs/>
          <w:color w:val="000000"/>
          <w:spacing w:val="0"/>
          <w:w w:val="100"/>
          <w:position w:val="0"/>
          <w:sz w:val="24"/>
          <w:szCs w:val="24"/>
        </w:rPr>
        <w:t>续</w:t>
      </w:r>
      <w:r>
        <w:rPr>
          <w:rFonts w:ascii="SimSun" w:eastAsia="SimSun" w:hAnsi="SimSun" w:cs="SimSun"/>
          <w:color w:val="000000"/>
          <w:spacing w:val="0"/>
          <w:w w:val="100"/>
          <w:position w:val="0"/>
          <w:sz w:val="24"/>
          <w:szCs w:val="24"/>
        </w:rPr>
        <w:t>）</w:t>
      </w:r>
    </w:p>
    <w:p>
      <w:pPr>
        <w:pStyle w:val="Style32"/>
        <w:keepNext w:val="0"/>
        <w:keepLines w:val="0"/>
        <w:widowControl w:val="0"/>
        <w:shd w:val="clear" w:color="auto" w:fill="auto"/>
        <w:tabs>
          <w:tab w:pos="686" w:val="left"/>
        </w:tabs>
        <w:bidi w:val="0"/>
        <w:spacing w:before="0" w:after="260" w:line="313" w:lineRule="exact"/>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（x）</w:t>
        <w:tab/>
      </w:r>
      <w:r>
        <w:rPr>
          <w:color w:val="000000"/>
          <w:spacing w:val="0"/>
          <w:w w:val="100"/>
          <w:position w:val="0"/>
          <w:sz w:val="24"/>
          <w:szCs w:val="24"/>
        </w:rPr>
        <w:t>商标使用许可协议</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续</w:t>
      </w:r>
      <w:r>
        <w:rPr>
          <w:color w:val="000000"/>
          <w:spacing w:val="0"/>
          <w:w w:val="100"/>
          <w:position w:val="0"/>
          <w:sz w:val="24"/>
          <w:szCs w:val="24"/>
        </w:rPr>
        <w:t>）</w:t>
      </w:r>
    </w:p>
    <w:p>
      <w:pPr>
        <w:pStyle w:val="Style32"/>
        <w:keepNext w:val="0"/>
        <w:keepLines w:val="0"/>
        <w:widowControl w:val="0"/>
        <w:shd w:val="clear" w:color="auto" w:fill="auto"/>
        <w:tabs>
          <w:tab w:pos="1190" w:val="left"/>
        </w:tabs>
        <w:bidi w:val="0"/>
        <w:spacing w:before="0" w:after="260" w:line="317" w:lineRule="exact"/>
        <w:ind w:left="1080" w:right="0" w:hanging="340"/>
        <w:jc w:val="both"/>
        <w:rPr>
          <w:sz w:val="24"/>
          <w:szCs w:val="24"/>
        </w:rPr>
      </w:pPr>
      <w:bookmarkStart w:id="1093" w:name="bookmark1093"/>
      <w:r>
        <w:rPr>
          <w:rFonts w:ascii="Times New Roman" w:eastAsia="Times New Roman" w:hAnsi="Times New Roman" w:cs="Times New Roman"/>
          <w:color w:val="000000"/>
          <w:spacing w:val="0"/>
          <w:w w:val="100"/>
          <w:position w:val="0"/>
          <w:sz w:val="24"/>
          <w:szCs w:val="24"/>
        </w:rPr>
        <w:t>（</w:t>
      </w:r>
      <w:bookmarkEnd w:id="1093"/>
      <w:r>
        <w:rPr>
          <w:rFonts w:ascii="Times New Roman" w:eastAsia="Times New Roman" w:hAnsi="Times New Roman" w:cs="Times New Roman"/>
          <w:color w:val="000000"/>
          <w:spacing w:val="0"/>
          <w:w w:val="100"/>
          <w:position w:val="0"/>
          <w:sz w:val="24"/>
          <w:szCs w:val="24"/>
        </w:rPr>
        <w:t>3）</w:t>
        <w:tab/>
      </w:r>
      <w:r>
        <w:rPr>
          <w:color w:val="000000"/>
          <w:spacing w:val="0"/>
          <w:w w:val="100"/>
          <w:position w:val="0"/>
          <w:sz w:val="24"/>
          <w:szCs w:val="24"/>
        </w:rPr>
        <w:t>于</w:t>
      </w:r>
      <w:r>
        <w:rPr>
          <w:rFonts w:ascii="Times New Roman" w:eastAsia="Times New Roman" w:hAnsi="Times New Roman" w:cs="Times New Roman"/>
          <w:color w:val="000000"/>
          <w:spacing w:val="0"/>
          <w:w w:val="100"/>
          <w:position w:val="0"/>
          <w:sz w:val="24"/>
          <w:szCs w:val="24"/>
        </w:rPr>
        <w:t>2009</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日，经本公司</w:t>
      </w:r>
      <w:r>
        <w:rPr>
          <w:rFonts w:ascii="Times New Roman" w:eastAsia="Times New Roman" w:hAnsi="Times New Roman" w:cs="Times New Roman"/>
          <w:color w:val="000000"/>
          <w:spacing w:val="0"/>
          <w:w w:val="100"/>
          <w:position w:val="0"/>
          <w:sz w:val="24"/>
          <w:szCs w:val="24"/>
        </w:rPr>
        <w:t>2008</w:t>
      </w:r>
      <w:r>
        <w:rPr>
          <w:color w:val="000000"/>
          <w:spacing w:val="0"/>
          <w:w w:val="100"/>
          <w:position w:val="0"/>
          <w:sz w:val="24"/>
          <w:szCs w:val="24"/>
        </w:rPr>
        <w:t>年年度股东大会批准，同意许可苏宁 电器集团及其直接或间接持有</w:t>
      </w:r>
      <w:r>
        <w:rPr>
          <w:rFonts w:ascii="Times New Roman" w:eastAsia="Times New Roman" w:hAnsi="Times New Roman" w:cs="Times New Roman"/>
          <w:color w:val="000000"/>
          <w:spacing w:val="0"/>
          <w:w w:val="100"/>
          <w:position w:val="0"/>
          <w:sz w:val="24"/>
          <w:szCs w:val="24"/>
        </w:rPr>
        <w:t>20%</w:t>
      </w:r>
      <w:r>
        <w:rPr>
          <w:color w:val="000000"/>
          <w:spacing w:val="0"/>
          <w:w w:val="100"/>
          <w:position w:val="0"/>
          <w:sz w:val="24"/>
          <w:szCs w:val="24"/>
        </w:rPr>
        <w:t>以上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含</w:t>
      </w:r>
      <w:r>
        <w:rPr>
          <w:rFonts w:ascii="Times New Roman" w:eastAsia="Times New Roman" w:hAnsi="Times New Roman" w:cs="Times New Roman"/>
          <w:color w:val="000000"/>
          <w:spacing w:val="0"/>
          <w:w w:val="100"/>
          <w:position w:val="0"/>
          <w:sz w:val="24"/>
          <w:szCs w:val="24"/>
        </w:rPr>
        <w:t>20%）</w:t>
      </w:r>
      <w:r>
        <w:rPr>
          <w:color w:val="000000"/>
          <w:spacing w:val="0"/>
          <w:w w:val="100"/>
          <w:position w:val="0"/>
          <w:sz w:val="24"/>
          <w:szCs w:val="24"/>
        </w:rPr>
        <w:t>股份的公司使用本公司已注 册的部分</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苏宁</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以及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苏宁</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的汉语拼音</w:t>
      </w:r>
      <w:r>
        <w:rPr>
          <w:rFonts w:ascii="Times New Roman" w:eastAsia="Times New Roman" w:hAnsi="Times New Roman" w:cs="Times New Roman"/>
          <w:color w:val="000000"/>
          <w:spacing w:val="0"/>
          <w:w w:val="100"/>
          <w:position w:val="0"/>
          <w:sz w:val="24"/>
          <w:szCs w:val="24"/>
        </w:rPr>
        <w:t>"SUNING”</w:t>
      </w:r>
      <w:r>
        <w:rPr>
          <w:color w:val="000000"/>
          <w:spacing w:val="0"/>
          <w:w w:val="100"/>
          <w:position w:val="0"/>
          <w:sz w:val="24"/>
          <w:szCs w:val="24"/>
        </w:rPr>
        <w:t>系列商标。</w:t>
      </w:r>
    </w:p>
    <w:p>
      <w:pPr>
        <w:pStyle w:val="Style32"/>
        <w:keepNext w:val="0"/>
        <w:keepLines w:val="0"/>
        <w:widowControl w:val="0"/>
        <w:shd w:val="clear" w:color="auto" w:fill="auto"/>
        <w:bidi w:val="0"/>
        <w:spacing w:before="0" w:after="260" w:line="312" w:lineRule="exact"/>
        <w:ind w:left="1080" w:right="0" w:firstLine="0"/>
        <w:jc w:val="both"/>
        <w:rPr>
          <w:sz w:val="24"/>
          <w:szCs w:val="24"/>
        </w:rPr>
      </w:pPr>
      <w:r>
        <w:rPr>
          <w:color w:val="000000"/>
          <w:spacing w:val="0"/>
          <w:w w:val="100"/>
          <w:position w:val="0"/>
          <w:sz w:val="24"/>
          <w:szCs w:val="24"/>
        </w:rPr>
        <w:t>于</w:t>
      </w:r>
      <w:r>
        <w:rPr>
          <w:rFonts w:ascii="Times New Roman" w:eastAsia="Times New Roman" w:hAnsi="Times New Roman" w:cs="Times New Roman"/>
          <w:color w:val="000000"/>
          <w:spacing w:val="0"/>
          <w:w w:val="100"/>
          <w:position w:val="0"/>
          <w:sz w:val="24"/>
          <w:szCs w:val="24"/>
        </w:rPr>
        <w:t>2009</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26</w:t>
      </w:r>
      <w:r>
        <w:rPr>
          <w:color w:val="000000"/>
          <w:spacing w:val="0"/>
          <w:w w:val="100"/>
          <w:position w:val="0"/>
          <w:sz w:val="24"/>
          <w:szCs w:val="24"/>
        </w:rPr>
        <w:t>日，本公司与苏宁电器集团签订《商标使用许可协议》， 约定自签订协议之日起，在本公司拥有的</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苏宁</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以及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苏宁</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 xml:space="preserve">的汉语拼音 </w:t>
      </w:r>
      <w:r>
        <w:rPr>
          <w:rFonts w:ascii="Times New Roman" w:eastAsia="Times New Roman" w:hAnsi="Times New Roman" w:cs="Times New Roman"/>
          <w:color w:val="000000"/>
          <w:spacing w:val="0"/>
          <w:w w:val="100"/>
          <w:position w:val="0"/>
          <w:sz w:val="24"/>
          <w:szCs w:val="24"/>
        </w:rPr>
        <w:t>“SUNING</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系列注册商标的专用权期限内，许可苏宁电器集团无限期有偿使 用部分注册商标，苏宁电器集团每年支付本公司商标使用费人民币</w:t>
      </w:r>
      <w:r>
        <w:rPr>
          <w:rFonts w:ascii="Times New Roman" w:eastAsia="Times New Roman" w:hAnsi="Times New Roman" w:cs="Times New Roman"/>
          <w:color w:val="000000"/>
          <w:spacing w:val="0"/>
          <w:w w:val="100"/>
          <w:position w:val="0"/>
          <w:sz w:val="24"/>
          <w:szCs w:val="24"/>
        </w:rPr>
        <w:t>100</w:t>
      </w:r>
      <w:r>
        <w:rPr>
          <w:color w:val="000000"/>
          <w:spacing w:val="0"/>
          <w:w w:val="100"/>
          <w:position w:val="0"/>
          <w:sz w:val="24"/>
          <w:szCs w:val="24"/>
        </w:rPr>
        <w:t xml:space="preserve">万 </w:t>
      </w:r>
      <w:r>
        <w:rPr>
          <w:i/>
          <w:iCs/>
          <w:color w:val="000000"/>
          <w:spacing w:val="0"/>
          <w:w w:val="100"/>
          <w:position w:val="0"/>
          <w:sz w:val="20"/>
          <w:szCs w:val="20"/>
        </w:rPr>
        <w:t>元</w:t>
      </w:r>
      <w:r>
        <w:rPr>
          <w:color w:val="000000"/>
          <w:spacing w:val="0"/>
          <w:w w:val="100"/>
          <w:position w:val="0"/>
          <w:sz w:val="24"/>
          <w:szCs w:val="24"/>
        </w:rPr>
        <w:t>元</w:t>
      </w:r>
      <w:r>
        <w:rPr>
          <w:rFonts w:ascii="Times New Roman" w:eastAsia="Times New Roman" w:hAnsi="Times New Roman" w:cs="Times New Roman"/>
          <w:color w:val="000000"/>
          <w:spacing w:val="0"/>
          <w:w w:val="100"/>
          <w:position w:val="0"/>
          <w:sz w:val="24"/>
          <w:szCs w:val="24"/>
        </w:rPr>
        <w:t>O</w:t>
      </w:r>
    </w:p>
    <w:p>
      <w:pPr>
        <w:pStyle w:val="Style32"/>
        <w:keepNext w:val="0"/>
        <w:keepLines w:val="0"/>
        <w:widowControl w:val="0"/>
        <w:shd w:val="clear" w:color="auto" w:fill="auto"/>
        <w:bidi w:val="0"/>
        <w:spacing w:before="0" w:after="260" w:line="302" w:lineRule="exact"/>
        <w:ind w:left="1080" w:right="0" w:firstLine="0"/>
        <w:jc w:val="both"/>
        <w:rPr>
          <w:sz w:val="24"/>
          <w:szCs w:val="24"/>
        </w:rPr>
      </w:pPr>
      <w:r>
        <w:rPr>
          <w:color w:val="000000"/>
          <w:spacing w:val="0"/>
          <w:w w:val="100"/>
          <w:position w:val="0"/>
          <w:sz w:val="24"/>
          <w:szCs w:val="24"/>
        </w:rPr>
        <w:t xml:space="preserve">本报告期内，苏宁电器集团向本公司支付了 </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年度商标使用许可费人民 币</w:t>
      </w:r>
      <w:r>
        <w:rPr>
          <w:rFonts w:ascii="Times New Roman" w:eastAsia="Times New Roman" w:hAnsi="Times New Roman" w:cs="Times New Roman"/>
          <w:color w:val="000000"/>
          <w:spacing w:val="0"/>
          <w:w w:val="100"/>
          <w:position w:val="0"/>
          <w:sz w:val="24"/>
          <w:szCs w:val="24"/>
        </w:rPr>
        <w:t>200</w:t>
      </w:r>
      <w:r>
        <w:rPr>
          <w:color w:val="000000"/>
          <w:spacing w:val="0"/>
          <w:w w:val="100"/>
          <w:position w:val="0"/>
          <w:sz w:val="24"/>
          <w:szCs w:val="24"/>
        </w:rPr>
        <w:t>万元。</w:t>
      </w:r>
    </w:p>
    <w:p>
      <w:pPr>
        <w:pStyle w:val="Style32"/>
        <w:keepNext w:val="0"/>
        <w:keepLines w:val="0"/>
        <w:widowControl w:val="0"/>
        <w:shd w:val="clear" w:color="auto" w:fill="auto"/>
        <w:tabs>
          <w:tab w:pos="1190" w:val="left"/>
        </w:tabs>
        <w:bidi w:val="0"/>
        <w:spacing w:before="0" w:after="260" w:line="313" w:lineRule="exact"/>
        <w:ind w:left="1080" w:right="0" w:hanging="340"/>
        <w:jc w:val="both"/>
        <w:rPr>
          <w:sz w:val="24"/>
          <w:szCs w:val="24"/>
        </w:rPr>
      </w:pPr>
      <w:bookmarkStart w:id="1094" w:name="bookmark1094"/>
      <w:r>
        <w:rPr>
          <w:rFonts w:ascii="Times New Roman" w:eastAsia="Times New Roman" w:hAnsi="Times New Roman" w:cs="Times New Roman"/>
          <w:color w:val="000000"/>
          <w:spacing w:val="0"/>
          <w:w w:val="100"/>
          <w:position w:val="0"/>
          <w:sz w:val="24"/>
          <w:szCs w:val="24"/>
        </w:rPr>
        <w:t>（</w:t>
      </w:r>
      <w:bookmarkEnd w:id="1094"/>
      <w:r>
        <w:rPr>
          <w:rFonts w:ascii="Times New Roman" w:eastAsia="Times New Roman" w:hAnsi="Times New Roman" w:cs="Times New Roman"/>
          <w:color w:val="000000"/>
          <w:spacing w:val="0"/>
          <w:w w:val="100"/>
          <w:position w:val="0"/>
          <w:sz w:val="24"/>
          <w:szCs w:val="24"/>
        </w:rPr>
        <w:t>4）</w:t>
        <w:tab/>
        <w:t>2016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22</w:t>
      </w:r>
      <w:r>
        <w:rPr>
          <w:color w:val="000000"/>
          <w:spacing w:val="0"/>
          <w:w w:val="100"/>
          <w:position w:val="0"/>
          <w:sz w:val="24"/>
          <w:szCs w:val="24"/>
        </w:rPr>
        <w:t>日，公司</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sz w:val="24"/>
          <w:szCs w:val="24"/>
        </w:rPr>
        <w:t>年年度股东大会审议通过了《关于部分商标 转让及使用许可的关联交易的议案》，在全球范围内，公司同意苏宁控股 集团及其子公司在其非主营业务范围内使用</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包括许可使用和再许可</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 xml:space="preserve">带有 </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苏宁</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字样的商标，即带</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苏宁</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字样</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简体、繁体、拼音和英文字母形式</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 非主营业务范围的商标，包括但不限于下述商标单独、组合或者设计形 式： 苏宁、</w:t>
      </w:r>
      <w:r>
        <w:rPr>
          <w:rFonts w:ascii="Times New Roman" w:eastAsia="Times New Roman" w:hAnsi="Times New Roman" w:cs="Times New Roman"/>
          <w:color w:val="000000"/>
          <w:spacing w:val="0"/>
          <w:w w:val="100"/>
          <w:position w:val="0"/>
          <w:sz w:val="24"/>
          <w:szCs w:val="24"/>
        </w:rPr>
        <w:t xml:space="preserve">s </w:t>
      </w:r>
      <w:r>
        <w:rPr>
          <w:color w:val="000000"/>
          <w:spacing w:val="0"/>
          <w:w w:val="100"/>
          <w:position w:val="0"/>
          <w:sz w:val="24"/>
          <w:szCs w:val="24"/>
        </w:rPr>
        <w:t>苏宁、</w:t>
      </w:r>
      <w:r>
        <w:rPr>
          <w:rFonts w:ascii="Times New Roman" w:eastAsia="Times New Roman" w:hAnsi="Times New Roman" w:cs="Times New Roman"/>
          <w:color w:val="000000"/>
          <w:spacing w:val="0"/>
          <w:w w:val="100"/>
          <w:position w:val="0"/>
          <w:sz w:val="24"/>
          <w:szCs w:val="24"/>
        </w:rPr>
        <w:t xml:space="preserve">S+ </w:t>
      </w:r>
      <w:r>
        <w:rPr>
          <w:color w:val="000000"/>
          <w:spacing w:val="0"/>
          <w:w w:val="100"/>
          <w:position w:val="0"/>
          <w:sz w:val="24"/>
          <w:szCs w:val="24"/>
        </w:rPr>
        <w:t>苏宁、</w:t>
      </w:r>
      <w:r>
        <w:rPr>
          <w:rFonts w:ascii="Times New Roman" w:eastAsia="Times New Roman" w:hAnsi="Times New Roman" w:cs="Times New Roman"/>
          <w:color w:val="000000"/>
          <w:spacing w:val="0"/>
          <w:w w:val="100"/>
          <w:position w:val="0"/>
          <w:sz w:val="24"/>
          <w:szCs w:val="24"/>
        </w:rPr>
        <w:t>S+Suning</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 xml:space="preserve">S+ </w:t>
      </w:r>
      <w:r>
        <w:rPr>
          <w:color w:val="000000"/>
          <w:spacing w:val="0"/>
          <w:w w:val="100"/>
          <w:position w:val="0"/>
          <w:sz w:val="24"/>
          <w:szCs w:val="24"/>
        </w:rPr>
        <w:t xml:space="preserve">苏宁 </w:t>
      </w:r>
      <w:r>
        <w:rPr>
          <w:rFonts w:ascii="Times New Roman" w:eastAsia="Times New Roman" w:hAnsi="Times New Roman" w:cs="Times New Roman"/>
          <w:color w:val="000000"/>
          <w:spacing w:val="0"/>
          <w:w w:val="100"/>
          <w:position w:val="0"/>
          <w:sz w:val="24"/>
          <w:szCs w:val="24"/>
        </w:rPr>
        <w:t>+Suning</w:t>
      </w:r>
      <w:r>
        <w:rPr>
          <w:color w:val="000000"/>
          <w:spacing w:val="0"/>
          <w:w w:val="100"/>
          <w:position w:val="0"/>
          <w:sz w:val="24"/>
          <w:szCs w:val="24"/>
        </w:rPr>
        <w:t xml:space="preserve">、苏宁 </w:t>
      </w:r>
      <w:r>
        <w:rPr>
          <w:rFonts w:ascii="Times New Roman" w:eastAsia="Times New Roman" w:hAnsi="Times New Roman" w:cs="Times New Roman"/>
          <w:color w:val="000000"/>
          <w:spacing w:val="0"/>
          <w:w w:val="100"/>
          <w:position w:val="0"/>
          <w:sz w:val="24"/>
          <w:szCs w:val="24"/>
        </w:rPr>
        <w:t>+S+SUNING</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SUNING</w:t>
      </w:r>
      <w:r>
        <w:rPr>
          <w:color w:val="000000"/>
          <w:spacing w:val="0"/>
          <w:w w:val="100"/>
          <w:position w:val="0"/>
          <w:sz w:val="24"/>
          <w:szCs w:val="24"/>
        </w:rPr>
        <w:t>苏宁、苏宁</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繁体</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等，并且个别商标的注册和</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或使 用国家除了中国还包括美国、香港、澳门、日本、朝鲜、文莱、澳大利 亚、欧盟等国家与地区。苏宁控股集团及下属公司在其经营活动中需使用 的商标如</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苏宁控股</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苏宁影业</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苏宁投资</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等公司尚未进行注册申请， 由于该类商标的使用领域均不属于其主营业务范围，本公司同意由苏宁控 股集团进行注册并使用。</w:t>
      </w:r>
    </w:p>
    <w:p>
      <w:pPr>
        <w:pStyle w:val="Style32"/>
        <w:keepNext w:val="0"/>
        <w:keepLines w:val="0"/>
        <w:widowControl w:val="0"/>
        <w:shd w:val="clear" w:color="auto" w:fill="auto"/>
        <w:bidi w:val="0"/>
        <w:spacing w:before="0" w:after="260" w:line="302" w:lineRule="exact"/>
        <w:ind w:left="1080" w:right="0" w:firstLine="0"/>
        <w:jc w:val="both"/>
        <w:rPr>
          <w:sz w:val="24"/>
          <w:szCs w:val="24"/>
        </w:rPr>
      </w:pPr>
      <w:r>
        <w:rPr>
          <w:color w:val="000000"/>
          <w:spacing w:val="0"/>
          <w:w w:val="100"/>
          <w:position w:val="0"/>
          <w:sz w:val="24"/>
          <w:szCs w:val="24"/>
        </w:rPr>
        <w:t>苏宁控股集团每年就其及其子公司使用部分商标事宜向本公司支付商标使 用费用人民币</w:t>
      </w:r>
      <w:r>
        <w:rPr>
          <w:rFonts w:ascii="Times New Roman" w:eastAsia="Times New Roman" w:hAnsi="Times New Roman" w:cs="Times New Roman"/>
          <w:color w:val="000000"/>
          <w:spacing w:val="0"/>
          <w:w w:val="100"/>
          <w:position w:val="0"/>
          <w:sz w:val="24"/>
          <w:szCs w:val="24"/>
        </w:rPr>
        <w:t>200</w:t>
      </w:r>
      <w:r>
        <w:rPr>
          <w:color w:val="000000"/>
          <w:spacing w:val="0"/>
          <w:w w:val="100"/>
          <w:position w:val="0"/>
          <w:sz w:val="24"/>
          <w:szCs w:val="24"/>
        </w:rPr>
        <w:t>万元，其子公司不再另行支付。</w:t>
      </w:r>
    </w:p>
    <w:p>
      <w:pPr>
        <w:pStyle w:val="Style32"/>
        <w:keepNext w:val="0"/>
        <w:keepLines w:val="0"/>
        <w:widowControl w:val="0"/>
        <w:shd w:val="clear" w:color="auto" w:fill="auto"/>
        <w:bidi w:val="0"/>
        <w:spacing w:before="0" w:after="260" w:line="313" w:lineRule="exact"/>
        <w:ind w:left="1080" w:right="0" w:firstLine="0"/>
        <w:jc w:val="both"/>
        <w:rPr>
          <w:sz w:val="24"/>
          <w:szCs w:val="24"/>
        </w:rPr>
      </w:pPr>
      <w:r>
        <w:rPr>
          <w:color w:val="000000"/>
          <w:spacing w:val="0"/>
          <w:w w:val="100"/>
          <w:position w:val="0"/>
          <w:sz w:val="24"/>
          <w:szCs w:val="24"/>
        </w:rPr>
        <w:t>报告期内，苏宁控股集团支付</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年度商标使用许可费人民币</w:t>
      </w:r>
      <w:r>
        <w:rPr>
          <w:rFonts w:ascii="Times New Roman" w:eastAsia="Times New Roman" w:hAnsi="Times New Roman" w:cs="Times New Roman"/>
          <w:color w:val="000000"/>
          <w:spacing w:val="0"/>
          <w:w w:val="100"/>
          <w:position w:val="0"/>
          <w:sz w:val="24"/>
          <w:szCs w:val="24"/>
        </w:rPr>
        <w:t>200</w:t>
      </w:r>
      <w:r>
        <w:rPr>
          <w:color w:val="000000"/>
          <w:spacing w:val="0"/>
          <w:w w:val="100"/>
          <w:position w:val="0"/>
          <w:sz w:val="24"/>
          <w:szCs w:val="24"/>
        </w:rPr>
        <w:t>万元。</w:t>
      </w:r>
    </w:p>
    <w:p>
      <w:pPr>
        <w:pStyle w:val="Style32"/>
        <w:keepNext w:val="0"/>
        <w:keepLines w:val="0"/>
        <w:widowControl w:val="0"/>
        <w:shd w:val="clear" w:color="auto" w:fill="auto"/>
        <w:bidi w:val="0"/>
        <w:spacing w:before="0" w:after="0" w:line="240" w:lineRule="auto"/>
        <w:ind w:left="0" w:right="0" w:firstLine="720"/>
        <w:jc w:val="both"/>
        <w:rPr>
          <w:sz w:val="24"/>
          <w:szCs w:val="24"/>
        </w:rPr>
      </w:pPr>
      <w:r>
        <w:rPr>
          <w:b/>
          <w:bCs/>
          <w:color w:val="000000"/>
          <w:spacing w:val="0"/>
          <w:w w:val="100"/>
          <w:position w:val="0"/>
          <w:sz w:val="24"/>
          <w:szCs w:val="24"/>
        </w:rPr>
        <w:t>财务报表附注</w:t>
      </w:r>
    </w:p>
    <w:p>
      <w:pPr>
        <w:pStyle w:val="Style88"/>
        <w:keepNext/>
        <w:keepLines/>
        <w:widowControl w:val="0"/>
        <w:shd w:val="clear" w:color="auto" w:fill="auto"/>
        <w:bidi w:val="0"/>
        <w:spacing w:before="0" w:after="0" w:line="240" w:lineRule="auto"/>
        <w:ind w:left="0" w:right="0" w:firstLine="720"/>
        <w:jc w:val="both"/>
      </w:pPr>
      <w:bookmarkStart w:id="1095" w:name="bookmark1095"/>
      <w:bookmarkStart w:id="1096" w:name="bookmark1096"/>
      <w:bookmarkStart w:id="1097" w:name="bookmark1097"/>
      <w:r>
        <w:rPr>
          <w:color w:val="000000"/>
          <w:spacing w:val="0"/>
          <w:w w:val="100"/>
          <w:position w:val="0"/>
          <w:sz w:val="24"/>
          <w:szCs w:val="24"/>
        </w:rPr>
        <w:t>2016</w:t>
      </w:r>
      <w:r>
        <w:rPr>
          <w:rFonts w:ascii="SimSun" w:eastAsia="SimSun" w:hAnsi="SimSun" w:cs="SimSun"/>
          <w:b/>
          <w:bCs/>
          <w:color w:val="000000"/>
          <w:spacing w:val="0"/>
          <w:w w:val="100"/>
          <w:position w:val="0"/>
          <w:sz w:val="24"/>
          <w:szCs w:val="24"/>
        </w:rPr>
        <w:t>年度</w:t>
      </w:r>
      <w:bookmarkEnd w:id="1095"/>
      <w:bookmarkEnd w:id="1096"/>
      <w:bookmarkEnd w:id="1097"/>
    </w:p>
    <w:p>
      <w:pPr>
        <w:pStyle w:val="Style32"/>
        <w:keepNext w:val="0"/>
        <w:keepLines w:val="0"/>
        <w:widowControl w:val="0"/>
        <w:shd w:val="clear" w:color="auto" w:fill="auto"/>
        <w:bidi w:val="0"/>
        <w:spacing w:before="0" w:after="240" w:line="240" w:lineRule="auto"/>
        <w:ind w:left="0" w:right="0" w:firstLine="720"/>
        <w:jc w:val="both"/>
        <w:rPr>
          <w:sz w:val="24"/>
          <w:szCs w:val="24"/>
        </w:rPr>
      </w:pPr>
      <w:r>
        <w:rPr>
          <w:rFonts w:ascii="Arial" w:eastAsia="Arial" w:hAnsi="Arial" w:cs="Arial"/>
          <w:color w:val="000000"/>
          <w:spacing w:val="0"/>
          <w:w w:val="100"/>
          <w:position w:val="0"/>
          <w:sz w:val="20"/>
          <w:szCs w:val="20"/>
        </w:rPr>
        <w:t>（</w:t>
      </w:r>
      <w:r>
        <w:rPr>
          <w:color w:val="000000"/>
          <w:spacing w:val="0"/>
          <w:w w:val="100"/>
          <w:position w:val="0"/>
          <w:sz w:val="20"/>
          <w:szCs w:val="20"/>
        </w:rPr>
        <w:t>除特别注明外，金额单位为人民币千元</w:t>
      </w:r>
      <w:r>
        <w:rPr>
          <w:color w:val="000000"/>
          <w:spacing w:val="0"/>
          <w:w w:val="100"/>
          <w:position w:val="0"/>
          <w:sz w:val="24"/>
          <w:szCs w:val="24"/>
        </w:rPr>
        <w:t>）</w:t>
      </w:r>
    </w:p>
    <w:p>
      <w:pPr>
        <w:pStyle w:val="Style32"/>
        <w:keepNext w:val="0"/>
        <w:keepLines w:val="0"/>
        <w:widowControl w:val="0"/>
        <w:shd w:val="clear" w:color="auto" w:fill="auto"/>
        <w:tabs>
          <w:tab w:pos="682" w:val="left"/>
        </w:tabs>
        <w:bidi w:val="0"/>
        <w:spacing w:before="0" w:after="300" w:line="240" w:lineRule="auto"/>
        <w:ind w:left="0" w:right="0" w:firstLine="0"/>
        <w:jc w:val="left"/>
        <w:rPr>
          <w:sz w:val="24"/>
          <w:szCs w:val="24"/>
        </w:rPr>
      </w:pPr>
      <w:r>
        <w:rPr>
          <w:b/>
          <w:bCs/>
          <w:color w:val="000000"/>
          <w:spacing w:val="0"/>
          <w:w w:val="100"/>
          <w:position w:val="0"/>
          <w:sz w:val="24"/>
          <w:szCs w:val="24"/>
        </w:rPr>
        <w:t>八</w:t>
        <w:tab/>
        <w:t>关联方关系及其交易</w:t>
      </w:r>
      <w:r>
        <w:rPr>
          <w:rFonts w:ascii="Times New Roman" w:eastAsia="Times New Roman" w:hAnsi="Times New Roman" w:cs="Times New Roman"/>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4"/>
          <w:szCs w:val="24"/>
        </w:rPr>
        <w:t>）</w:t>
      </w:r>
    </w:p>
    <w:p>
      <w:pPr>
        <w:pStyle w:val="Style53"/>
        <w:keepNext w:val="0"/>
        <w:keepLines w:val="0"/>
        <w:widowControl w:val="0"/>
        <w:shd w:val="clear" w:color="auto" w:fill="auto"/>
        <w:tabs>
          <w:tab w:pos="682" w:val="left"/>
        </w:tabs>
        <w:bidi w:val="0"/>
        <w:spacing w:before="0" w:after="240" w:line="271" w:lineRule="auto"/>
        <w:ind w:left="0" w:right="0" w:firstLine="0"/>
        <w:jc w:val="left"/>
        <w:rPr>
          <w:sz w:val="24"/>
          <w:szCs w:val="24"/>
        </w:rPr>
      </w:pPr>
      <w:r>
        <w:rPr>
          <w:color w:val="000000"/>
          <w:spacing w:val="0"/>
          <w:w w:val="100"/>
          <w:position w:val="0"/>
          <w:sz w:val="24"/>
          <w:szCs w:val="24"/>
        </w:rPr>
        <w:t>（6）</w:t>
        <w:tab/>
      </w:r>
      <w:r>
        <w:rPr>
          <w:rFonts w:ascii="SimSun" w:eastAsia="SimSun" w:hAnsi="SimSun" w:cs="SimSun"/>
          <w:b/>
          <w:bCs/>
          <w:color w:val="000000"/>
          <w:spacing w:val="0"/>
          <w:w w:val="100"/>
          <w:position w:val="0"/>
          <w:sz w:val="24"/>
          <w:szCs w:val="24"/>
        </w:rPr>
        <w:t>关联交易</w:t>
      </w:r>
      <w:r>
        <w:rPr>
          <w:color w:val="000000"/>
          <w:spacing w:val="0"/>
          <w:w w:val="100"/>
          <w:position w:val="0"/>
          <w:sz w:val="24"/>
          <w:szCs w:val="24"/>
        </w:rPr>
        <w:t>（</w:t>
      </w:r>
      <w:r>
        <w:rPr>
          <w:rFonts w:ascii="SimSun" w:eastAsia="SimSun" w:hAnsi="SimSun" w:cs="SimSun"/>
          <w:b/>
          <w:bCs/>
          <w:color w:val="000000"/>
          <w:spacing w:val="0"/>
          <w:w w:val="100"/>
          <w:position w:val="0"/>
          <w:sz w:val="24"/>
          <w:szCs w:val="24"/>
        </w:rPr>
        <w:t>续</w:t>
      </w:r>
      <w:r>
        <w:rPr>
          <w:rFonts w:ascii="SimSun" w:eastAsia="SimSun" w:hAnsi="SimSun" w:cs="SimSun"/>
          <w:color w:val="000000"/>
          <w:spacing w:val="0"/>
          <w:w w:val="100"/>
          <w:position w:val="0"/>
          <w:sz w:val="24"/>
          <w:szCs w:val="24"/>
        </w:rPr>
        <w:t>）</w:t>
      </w:r>
    </w:p>
    <w:p>
      <w:pPr>
        <w:pStyle w:val="Style32"/>
        <w:keepNext w:val="0"/>
        <w:keepLines w:val="0"/>
        <w:widowControl w:val="0"/>
        <w:shd w:val="clear" w:color="auto" w:fill="auto"/>
        <w:tabs>
          <w:tab w:pos="682" w:val="left"/>
        </w:tabs>
        <w:bidi w:val="0"/>
        <w:spacing w:before="0" w:after="240" w:line="271" w:lineRule="auto"/>
        <w:ind w:left="0" w:right="0" w:firstLine="0"/>
        <w:jc w:val="left"/>
        <w:rPr>
          <w:sz w:val="24"/>
          <w:szCs w:val="24"/>
        </w:rPr>
      </w:pPr>
      <w:bookmarkStart w:id="1098" w:name="bookmark1098"/>
      <w:r>
        <w:rPr>
          <w:rFonts w:ascii="Times New Roman" w:eastAsia="Times New Roman" w:hAnsi="Times New Roman" w:cs="Times New Roman"/>
          <w:color w:val="000000"/>
          <w:spacing w:val="0"/>
          <w:w w:val="100"/>
          <w:position w:val="0"/>
          <w:sz w:val="24"/>
          <w:szCs w:val="24"/>
        </w:rPr>
        <w:t>（</w:t>
      </w:r>
      <w:bookmarkEnd w:id="1098"/>
      <w:r>
        <w:rPr>
          <w:rFonts w:ascii="Times New Roman" w:eastAsia="Times New Roman" w:hAnsi="Times New Roman" w:cs="Times New Roman"/>
          <w:color w:val="000000"/>
          <w:spacing w:val="0"/>
          <w:w w:val="100"/>
          <w:position w:val="0"/>
          <w:sz w:val="24"/>
          <w:szCs w:val="24"/>
        </w:rPr>
        <w:t>x）</w:t>
        <w:tab/>
      </w:r>
      <w:r>
        <w:rPr>
          <w:color w:val="000000"/>
          <w:spacing w:val="0"/>
          <w:w w:val="100"/>
          <w:position w:val="0"/>
          <w:sz w:val="24"/>
          <w:szCs w:val="24"/>
        </w:rPr>
        <w:t>商标使用许可协议</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续</w:t>
      </w:r>
      <w:r>
        <w:rPr>
          <w:color w:val="000000"/>
          <w:spacing w:val="0"/>
          <w:w w:val="100"/>
          <w:position w:val="0"/>
          <w:sz w:val="24"/>
          <w:szCs w:val="24"/>
        </w:rPr>
        <w:t>）</w:t>
      </w:r>
    </w:p>
    <w:p>
      <w:pPr>
        <w:pStyle w:val="Style32"/>
        <w:keepNext w:val="0"/>
        <w:keepLines w:val="0"/>
        <w:widowControl w:val="0"/>
        <w:shd w:val="clear" w:color="auto" w:fill="auto"/>
        <w:tabs>
          <w:tab w:pos="1179" w:val="left"/>
        </w:tabs>
        <w:bidi w:val="0"/>
        <w:spacing w:before="0" w:after="300" w:line="311" w:lineRule="exact"/>
        <w:ind w:left="720" w:right="0" w:firstLine="20"/>
        <w:jc w:val="both"/>
        <w:rPr>
          <w:sz w:val="24"/>
          <w:szCs w:val="24"/>
        </w:rPr>
      </w:pPr>
      <w:bookmarkStart w:id="1099" w:name="bookmark1099"/>
      <w:r>
        <w:rPr>
          <w:rFonts w:ascii="Times New Roman" w:eastAsia="Times New Roman" w:hAnsi="Times New Roman" w:cs="Times New Roman"/>
          <w:color w:val="000000"/>
          <w:spacing w:val="0"/>
          <w:w w:val="100"/>
          <w:position w:val="0"/>
          <w:sz w:val="24"/>
          <w:szCs w:val="24"/>
          <w:shd w:val="clear" w:color="auto" w:fill="FFFFFF"/>
        </w:rPr>
        <w:t>（</w:t>
      </w:r>
      <w:bookmarkEnd w:id="1099"/>
      <w:r>
        <w:rPr>
          <w:rFonts w:ascii="Times New Roman" w:eastAsia="Times New Roman" w:hAnsi="Times New Roman" w:cs="Times New Roman"/>
          <w:color w:val="000000"/>
          <w:spacing w:val="0"/>
          <w:w w:val="100"/>
          <w:position w:val="0"/>
          <w:sz w:val="24"/>
          <w:szCs w:val="24"/>
          <w:shd w:val="clear" w:color="auto" w:fill="FFFFFF"/>
        </w:rPr>
        <w:t>5）</w:t>
      </w:r>
      <w:r>
        <w:rPr>
          <w:rFonts w:ascii="Times New Roman" w:eastAsia="Times New Roman" w:hAnsi="Times New Roman" w:cs="Times New Roman"/>
          <w:color w:val="000000"/>
          <w:spacing w:val="0"/>
          <w:w w:val="100"/>
          <w:position w:val="0"/>
          <w:sz w:val="24"/>
          <w:szCs w:val="24"/>
        </w:rPr>
        <w:tab/>
        <w:t>2016</w:t>
      </w:r>
      <w:r>
        <w:rPr>
          <w:color w:val="000000"/>
          <w:spacing w:val="0"/>
          <w:w w:val="100"/>
          <w:position w:val="0"/>
          <w:sz w:val="24"/>
          <w:szCs w:val="24"/>
        </w:rPr>
        <w:t>年</w:t>
      </w:r>
      <w:r>
        <w:rPr>
          <w:i/>
          <w:iCs/>
          <w:color w:val="000000"/>
          <w:spacing w:val="0"/>
          <w:w w:val="100"/>
          <w:position w:val="0"/>
          <w:sz w:val="24"/>
          <w:szCs w:val="24"/>
        </w:rPr>
        <w:t>4</w:t>
      </w:r>
      <w:r>
        <w:rPr>
          <w:color w:val="000000"/>
          <w:spacing w:val="0"/>
          <w:w w:val="100"/>
          <w:position w:val="0"/>
          <w:sz w:val="24"/>
          <w:szCs w:val="24"/>
        </w:rPr>
        <w:t>月，本公司与苏宁置业集团签订《商标转让协议》，本公司将其 非主营业务范围内的部分注册商标专用权</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以下简称</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转让商标</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转让给苏宁置 业集团。本次转让价款人民币</w:t>
      </w:r>
      <w:r>
        <w:rPr>
          <w:rFonts w:ascii="Times New Roman" w:eastAsia="Times New Roman" w:hAnsi="Times New Roman" w:cs="Times New Roman"/>
          <w:color w:val="000000"/>
          <w:spacing w:val="0"/>
          <w:w w:val="100"/>
          <w:position w:val="0"/>
          <w:sz w:val="24"/>
          <w:szCs w:val="24"/>
        </w:rPr>
        <w:t>3,601.92</w:t>
      </w:r>
      <w:r>
        <w:rPr>
          <w:color w:val="000000"/>
          <w:spacing w:val="0"/>
          <w:w w:val="100"/>
          <w:position w:val="0"/>
          <w:sz w:val="24"/>
          <w:szCs w:val="24"/>
        </w:rPr>
        <w:t>万元，协议签订后的十五个工作日内， 本集团从苏宁置业集团处收取人民币</w:t>
      </w:r>
      <w:r>
        <w:rPr>
          <w:rFonts w:ascii="Times New Roman" w:eastAsia="Times New Roman" w:hAnsi="Times New Roman" w:cs="Times New Roman"/>
          <w:color w:val="000000"/>
          <w:spacing w:val="0"/>
          <w:w w:val="100"/>
          <w:position w:val="0"/>
          <w:sz w:val="24"/>
          <w:szCs w:val="24"/>
        </w:rPr>
        <w:t>1,000</w:t>
      </w:r>
      <w:r>
        <w:rPr>
          <w:color w:val="000000"/>
          <w:spacing w:val="0"/>
          <w:w w:val="100"/>
          <w:position w:val="0"/>
          <w:sz w:val="24"/>
          <w:szCs w:val="24"/>
        </w:rPr>
        <w:t>万元；在双方均收到商标局发出的 全部的商标转让核准通知书后的十五个工作日内，本集团从苏宁置业集团处收 取余款人民币</w:t>
      </w:r>
      <w:r>
        <w:rPr>
          <w:rFonts w:ascii="Times New Roman" w:eastAsia="Times New Roman" w:hAnsi="Times New Roman" w:cs="Times New Roman"/>
          <w:color w:val="000000"/>
          <w:spacing w:val="0"/>
          <w:w w:val="100"/>
          <w:position w:val="0"/>
          <w:sz w:val="24"/>
          <w:szCs w:val="24"/>
        </w:rPr>
        <w:t>2,601.92</w:t>
      </w:r>
      <w:r>
        <w:rPr>
          <w:color w:val="000000"/>
          <w:spacing w:val="0"/>
          <w:w w:val="100"/>
          <w:position w:val="0"/>
          <w:sz w:val="24"/>
          <w:szCs w:val="24"/>
        </w:rPr>
        <w:t>万元。</w:t>
      </w:r>
    </w:p>
    <w:p>
      <w:pPr>
        <w:pStyle w:val="Style32"/>
        <w:keepNext w:val="0"/>
        <w:keepLines w:val="0"/>
        <w:widowControl w:val="0"/>
        <w:shd w:val="clear" w:color="auto" w:fill="auto"/>
        <w:bidi w:val="0"/>
        <w:spacing w:before="0" w:after="240" w:line="293" w:lineRule="exact"/>
        <w:ind w:left="720" w:right="0" w:firstLine="20"/>
        <w:jc w:val="both"/>
        <w:rPr>
          <w:sz w:val="24"/>
          <w:szCs w:val="24"/>
        </w:rPr>
      </w:pPr>
      <w:r>
        <w:rPr>
          <w:color w:val="000000"/>
          <w:spacing w:val="0"/>
          <w:w w:val="100"/>
          <w:position w:val="0"/>
          <w:sz w:val="24"/>
          <w:szCs w:val="24"/>
        </w:rPr>
        <w:t>报告期内，双方正在进行商标转让相关程序，本集团收到转让商标首期款人民 币</w:t>
      </w:r>
      <w:r>
        <w:rPr>
          <w:rFonts w:ascii="Times New Roman" w:eastAsia="Times New Roman" w:hAnsi="Times New Roman" w:cs="Times New Roman"/>
          <w:color w:val="000000"/>
          <w:spacing w:val="0"/>
          <w:w w:val="100"/>
          <w:position w:val="0"/>
          <w:sz w:val="24"/>
          <w:szCs w:val="24"/>
        </w:rPr>
        <w:t>1,000</w:t>
      </w:r>
      <w:r>
        <w:rPr>
          <w:color w:val="000000"/>
          <w:spacing w:val="0"/>
          <w:w w:val="100"/>
          <w:position w:val="0"/>
          <w:sz w:val="24"/>
          <w:szCs w:val="24"/>
        </w:rPr>
        <w:t>万元。</w:t>
      </w:r>
    </w:p>
    <w:p>
      <w:pPr>
        <w:pStyle w:val="Style32"/>
        <w:keepNext w:val="0"/>
        <w:keepLines w:val="0"/>
        <w:widowControl w:val="0"/>
        <w:shd w:val="clear" w:color="auto" w:fill="auto"/>
        <w:tabs>
          <w:tab w:pos="682" w:val="left"/>
        </w:tabs>
        <w:bidi w:val="0"/>
        <w:spacing w:before="0" w:after="240" w:line="271" w:lineRule="auto"/>
        <w:ind w:left="0" w:right="0" w:firstLine="0"/>
        <w:jc w:val="left"/>
        <w:rPr>
          <w:sz w:val="24"/>
          <w:szCs w:val="24"/>
        </w:rPr>
      </w:pPr>
      <w:bookmarkStart w:id="1100" w:name="bookmark1100"/>
      <w:r>
        <w:rPr>
          <w:rFonts w:ascii="Times New Roman" w:eastAsia="Times New Roman" w:hAnsi="Times New Roman" w:cs="Times New Roman"/>
          <w:color w:val="000000"/>
          <w:spacing w:val="0"/>
          <w:w w:val="100"/>
          <w:position w:val="0"/>
          <w:sz w:val="24"/>
          <w:szCs w:val="24"/>
        </w:rPr>
        <w:t>（</w:t>
      </w:r>
      <w:bookmarkEnd w:id="1100"/>
      <w:r>
        <w:rPr>
          <w:rFonts w:ascii="Times New Roman" w:eastAsia="Times New Roman" w:hAnsi="Times New Roman" w:cs="Times New Roman"/>
          <w:color w:val="000000"/>
          <w:spacing w:val="0"/>
          <w:w w:val="100"/>
          <w:position w:val="0"/>
          <w:sz w:val="24"/>
          <w:szCs w:val="24"/>
        </w:rPr>
        <w:t>y）</w:t>
        <w:tab/>
      </w:r>
      <w:r>
        <w:rPr>
          <w:color w:val="000000"/>
          <w:spacing w:val="0"/>
          <w:w w:val="100"/>
          <w:position w:val="0"/>
          <w:sz w:val="24"/>
          <w:szCs w:val="24"/>
        </w:rPr>
        <w:t>关键管理人员薪酬</w:t>
      </w:r>
    </w:p>
    <w:p>
      <w:pPr>
        <w:pStyle w:val="Style53"/>
        <w:keepNext w:val="0"/>
        <w:keepLines w:val="0"/>
        <w:widowControl w:val="0"/>
        <w:shd w:val="clear" w:color="auto" w:fill="auto"/>
        <w:tabs>
          <w:tab w:pos="2544" w:val="left"/>
        </w:tabs>
        <w:bidi w:val="0"/>
        <w:spacing w:before="0" w:after="240" w:line="271" w:lineRule="auto"/>
        <w:ind w:left="0" w:right="0" w:firstLine="0"/>
        <w:jc w:val="right"/>
        <w:rPr>
          <w:sz w:val="24"/>
          <w:szCs w:val="24"/>
        </w:rPr>
      </w:pPr>
      <w:r>
        <w:rPr>
          <w:color w:val="000000"/>
          <w:spacing w:val="0"/>
          <w:w w:val="100"/>
          <w:position w:val="0"/>
          <w:sz w:val="24"/>
          <w:szCs w:val="24"/>
        </w:rPr>
        <w:t>2016</w:t>
      </w:r>
      <w:r>
        <w:rPr>
          <w:rFonts w:ascii="SimSun" w:eastAsia="SimSun" w:hAnsi="SimSun" w:cs="SimSun"/>
          <w:color w:val="000000"/>
          <w:spacing w:val="0"/>
          <w:w w:val="100"/>
          <w:position w:val="0"/>
          <w:sz w:val="24"/>
          <w:szCs w:val="24"/>
        </w:rPr>
        <w:t>年度</w:t>
        <w:tab/>
      </w:r>
      <w:r>
        <w:rPr>
          <w:color w:val="000000"/>
          <w:spacing w:val="0"/>
          <w:w w:val="100"/>
          <w:position w:val="0"/>
          <w:sz w:val="24"/>
          <w:szCs w:val="24"/>
        </w:rPr>
        <w:t>2015</w:t>
      </w:r>
      <w:r>
        <w:rPr>
          <w:rFonts w:ascii="SimSun" w:eastAsia="SimSun" w:hAnsi="SimSun" w:cs="SimSun"/>
          <w:color w:val="000000"/>
          <w:spacing w:val="0"/>
          <w:w w:val="100"/>
          <w:position w:val="0"/>
          <w:sz w:val="24"/>
          <w:szCs w:val="24"/>
        </w:rPr>
        <w:t>年度</w:t>
      </w:r>
    </w:p>
    <w:p>
      <w:pPr>
        <w:pStyle w:val="Style53"/>
        <w:keepNext w:val="0"/>
        <w:keepLines w:val="0"/>
        <w:widowControl w:val="0"/>
        <w:shd w:val="clear" w:color="auto" w:fill="auto"/>
        <w:tabs>
          <w:tab w:pos="4032" w:val="left"/>
          <w:tab w:leader="underscore" w:pos="5962" w:val="left"/>
          <w:tab w:leader="underscore" w:pos="8506" w:val="left"/>
        </w:tabs>
        <w:bidi w:val="0"/>
        <w:spacing w:before="0" w:after="240" w:line="311" w:lineRule="exact"/>
        <w:ind w:left="0" w:right="0" w:firstLine="720"/>
        <w:jc w:val="both"/>
        <w:rPr>
          <w:sz w:val="24"/>
          <w:szCs w:val="24"/>
        </w:rPr>
        <w:sectPr>
          <w:footnotePr>
            <w:pos w:val="pageBottom"/>
            <w:numFmt w:val="decimal"/>
            <w:numRestart w:val="continuous"/>
          </w:footnotePr>
          <w:pgSz w:w="11900" w:h="16840"/>
          <w:pgMar w:top="1326" w:right="1052" w:bottom="3476" w:left="1681" w:header="0" w:footer="3" w:gutter="0"/>
          <w:cols w:space="720"/>
          <w:noEndnote/>
          <w:rtlGutter w:val="0"/>
          <w:docGrid w:linePitch="360"/>
        </w:sectPr>
      </w:pPr>
      <w:r>
        <w:rPr>
          <w:rFonts w:ascii="SimSun" w:eastAsia="SimSun" w:hAnsi="SimSun" w:cs="SimSun"/>
          <w:color w:val="000000"/>
          <w:spacing w:val="0"/>
          <w:w w:val="100"/>
          <w:position w:val="0"/>
          <w:sz w:val="24"/>
          <w:szCs w:val="24"/>
        </w:rPr>
        <w:t>关键管理人员薪酬</w:t>
        <w:tab/>
        <w:tab/>
      </w:r>
      <w:r>
        <w:rPr>
          <w:color w:val="000000"/>
          <w:spacing w:val="0"/>
          <w:w w:val="100"/>
          <w:position w:val="0"/>
          <w:sz w:val="24"/>
          <w:szCs w:val="24"/>
          <w:u w:val="single"/>
        </w:rPr>
        <w:t>8,550</w:t>
      </w:r>
      <w:r>
        <w:rPr>
          <w:color w:val="000000"/>
          <w:spacing w:val="0"/>
          <w:w w:val="100"/>
          <w:position w:val="0"/>
          <w:sz w:val="24"/>
          <w:szCs w:val="24"/>
        </w:rPr>
        <w:t xml:space="preserve"> </w:t>
        <w:tab/>
      </w:r>
      <w:r>
        <w:rPr>
          <w:color w:val="000000"/>
          <w:spacing w:val="0"/>
          <w:w w:val="100"/>
          <w:position w:val="0"/>
          <w:sz w:val="24"/>
          <w:szCs w:val="24"/>
          <w:u w:val="single"/>
        </w:rPr>
        <w:t>8,550</w:t>
      </w:r>
    </w:p>
    <w:p>
      <w:pPr>
        <w:pStyle w:val="Style32"/>
        <w:keepNext w:val="0"/>
        <w:keepLines w:val="0"/>
        <w:widowControl w:val="0"/>
        <w:shd w:val="clear" w:color="auto" w:fill="auto"/>
        <w:bidi w:val="0"/>
        <w:spacing w:before="0" w:after="0" w:line="240" w:lineRule="auto"/>
        <w:ind w:left="0" w:right="0" w:firstLine="780"/>
        <w:jc w:val="left"/>
        <w:rPr>
          <w:sz w:val="24"/>
          <w:szCs w:val="24"/>
        </w:rPr>
      </w:pPr>
      <w:r>
        <w:rPr>
          <w:b/>
          <w:bCs/>
          <w:color w:val="000000"/>
          <w:spacing w:val="0"/>
          <w:w w:val="100"/>
          <w:position w:val="0"/>
          <w:sz w:val="24"/>
          <w:szCs w:val="24"/>
        </w:rPr>
        <w:t>财务报表附注</w:t>
      </w:r>
    </w:p>
    <w:p>
      <w:pPr>
        <w:pStyle w:val="Style88"/>
        <w:keepNext/>
        <w:keepLines/>
        <w:widowControl w:val="0"/>
        <w:shd w:val="clear" w:color="auto" w:fill="auto"/>
        <w:bidi w:val="0"/>
        <w:spacing w:before="0" w:after="0" w:line="240" w:lineRule="auto"/>
        <w:ind w:left="0" w:right="0" w:firstLine="780"/>
        <w:jc w:val="left"/>
      </w:pPr>
      <w:bookmarkStart w:id="1101" w:name="bookmark1101"/>
      <w:bookmarkStart w:id="1102" w:name="bookmark1102"/>
      <w:bookmarkStart w:id="1103" w:name="bookmark1103"/>
      <w:r>
        <w:rPr>
          <w:color w:val="000000"/>
          <w:spacing w:val="0"/>
          <w:w w:val="100"/>
          <w:position w:val="0"/>
          <w:sz w:val="24"/>
          <w:szCs w:val="24"/>
        </w:rPr>
        <w:t>2016</w:t>
      </w:r>
      <w:r>
        <w:rPr>
          <w:rFonts w:ascii="SimSun" w:eastAsia="SimSun" w:hAnsi="SimSun" w:cs="SimSun"/>
          <w:b/>
          <w:bCs/>
          <w:color w:val="000000"/>
          <w:spacing w:val="0"/>
          <w:w w:val="100"/>
          <w:position w:val="0"/>
          <w:sz w:val="24"/>
          <w:szCs w:val="24"/>
        </w:rPr>
        <w:t>年度</w:t>
      </w:r>
      <w:bookmarkEnd w:id="1101"/>
      <w:bookmarkEnd w:id="1102"/>
      <w:bookmarkEnd w:id="1103"/>
    </w:p>
    <w:p>
      <w:pPr>
        <w:pStyle w:val="Style32"/>
        <w:keepNext w:val="0"/>
        <w:keepLines w:val="0"/>
        <w:widowControl w:val="0"/>
        <w:shd w:val="clear" w:color="auto" w:fill="auto"/>
        <w:bidi w:val="0"/>
        <w:spacing w:before="0" w:after="0" w:line="240" w:lineRule="auto"/>
        <w:ind w:left="0" w:right="0" w:firstLine="780"/>
        <w:jc w:val="left"/>
        <w:rPr>
          <w:sz w:val="20"/>
          <w:szCs w:val="20"/>
        </w:rPr>
        <w:sectPr>
          <w:footnotePr>
            <w:pos w:val="pageBottom"/>
            <w:numFmt w:val="decimal"/>
            <w:numRestart w:val="continuous"/>
          </w:footnotePr>
          <w:pgSz w:w="11900" w:h="16840"/>
          <w:pgMar w:top="1354" w:right="665" w:bottom="1599" w:left="1645" w:header="0" w:footer="3" w:gutter="0"/>
          <w:cols w:space="720"/>
          <w:noEndnote/>
          <w:rtlGutter w:val="0"/>
          <w:docGrid w:linePitch="360"/>
        </w:sectPr>
      </w:pPr>
      <w:r>
        <w:rPr>
          <w:rFonts w:ascii="Arial" w:eastAsia="Arial" w:hAnsi="Arial" w:cs="Arial"/>
          <w:color w:val="000000"/>
          <w:spacing w:val="0"/>
          <w:w w:val="100"/>
          <w:position w:val="0"/>
          <w:sz w:val="20"/>
          <w:szCs w:val="20"/>
        </w:rPr>
        <w:t>（</w:t>
      </w:r>
      <w:r>
        <w:rPr>
          <w:color w:val="000000"/>
          <w:spacing w:val="0"/>
          <w:w w:val="100"/>
          <w:position w:val="0"/>
          <w:sz w:val="20"/>
          <w:szCs w:val="20"/>
        </w:rPr>
        <w:t>除特别注明外，金额单位为人民币千元</w:t>
      </w:r>
      <w:r>
        <w:rPr>
          <w:rFonts w:ascii="Arial" w:eastAsia="Arial" w:hAnsi="Arial" w:cs="Arial"/>
          <w:color w:val="000000"/>
          <w:spacing w:val="0"/>
          <w:w w:val="100"/>
          <w:position w:val="0"/>
          <w:sz w:val="20"/>
          <w:szCs w:val="20"/>
        </w:rPr>
        <w:t>）</w:t>
      </w:r>
    </w:p>
    <w:p>
      <w:pPr>
        <w:pStyle w:val="Style32"/>
        <w:keepNext w:val="0"/>
        <w:keepLines w:val="0"/>
        <w:widowControl w:val="0"/>
        <w:shd w:val="clear" w:color="auto" w:fill="auto"/>
        <w:bidi w:val="0"/>
        <w:spacing w:before="0" w:after="0" w:line="240" w:lineRule="auto"/>
        <w:ind w:left="0" w:right="0" w:firstLine="740"/>
        <w:jc w:val="left"/>
        <w:rPr>
          <w:sz w:val="24"/>
          <w:szCs w:val="24"/>
        </w:rPr>
      </w:pPr>
      <w:r>
        <w:rPr>
          <w:b/>
          <w:bCs/>
          <w:color w:val="000000"/>
          <w:spacing w:val="0"/>
          <w:w w:val="100"/>
          <w:position w:val="0"/>
          <w:sz w:val="24"/>
          <w:szCs w:val="24"/>
        </w:rPr>
        <w:t>财务报表附注</w:t>
      </w:r>
    </w:p>
    <w:p>
      <w:pPr>
        <w:pStyle w:val="Style88"/>
        <w:keepNext/>
        <w:keepLines/>
        <w:widowControl w:val="0"/>
        <w:shd w:val="clear" w:color="auto" w:fill="auto"/>
        <w:bidi w:val="0"/>
        <w:spacing w:before="0" w:after="0" w:line="240" w:lineRule="auto"/>
        <w:ind w:left="0" w:right="0" w:firstLine="740"/>
        <w:jc w:val="left"/>
      </w:pPr>
      <w:bookmarkStart w:id="1104" w:name="bookmark1104"/>
      <w:bookmarkStart w:id="1105" w:name="bookmark1105"/>
      <w:bookmarkStart w:id="1106" w:name="bookmark1106"/>
      <w:r>
        <w:rPr>
          <w:color w:val="000000"/>
          <w:spacing w:val="0"/>
          <w:w w:val="100"/>
          <w:position w:val="0"/>
          <w:sz w:val="24"/>
          <w:szCs w:val="24"/>
        </w:rPr>
        <w:t>2016</w:t>
      </w:r>
      <w:r>
        <w:rPr>
          <w:rFonts w:ascii="SimSun" w:eastAsia="SimSun" w:hAnsi="SimSun" w:cs="SimSun"/>
          <w:b/>
          <w:bCs/>
          <w:color w:val="000000"/>
          <w:spacing w:val="0"/>
          <w:w w:val="100"/>
          <w:position w:val="0"/>
          <w:sz w:val="24"/>
          <w:szCs w:val="24"/>
        </w:rPr>
        <w:t>年度</w:t>
      </w:r>
      <w:bookmarkEnd w:id="1104"/>
      <w:bookmarkEnd w:id="1105"/>
      <w:bookmarkEnd w:id="1106"/>
    </w:p>
    <w:p>
      <w:pPr>
        <w:pStyle w:val="Style32"/>
        <w:keepNext w:val="0"/>
        <w:keepLines w:val="0"/>
        <w:widowControl w:val="0"/>
        <w:shd w:val="clear" w:color="auto" w:fill="auto"/>
        <w:bidi w:val="0"/>
        <w:spacing w:before="0" w:after="220" w:line="240" w:lineRule="auto"/>
        <w:ind w:left="0" w:right="0" w:firstLine="740"/>
        <w:jc w:val="left"/>
        <w:rPr>
          <w:sz w:val="24"/>
          <w:szCs w:val="24"/>
        </w:rPr>
      </w:pPr>
      <w:r>
        <w:rPr>
          <w:rFonts w:ascii="Arial" w:eastAsia="Arial" w:hAnsi="Arial" w:cs="Arial"/>
          <w:color w:val="000000"/>
          <w:spacing w:val="0"/>
          <w:w w:val="100"/>
          <w:position w:val="0"/>
          <w:sz w:val="20"/>
          <w:szCs w:val="20"/>
        </w:rPr>
        <w:t>（</w:t>
      </w:r>
      <w:r>
        <w:rPr>
          <w:color w:val="000000"/>
          <w:spacing w:val="0"/>
          <w:w w:val="100"/>
          <w:position w:val="0"/>
          <w:sz w:val="20"/>
          <w:szCs w:val="20"/>
        </w:rPr>
        <w:t>除特别注明外，金额单位为人民币千元</w:t>
      </w:r>
      <w:r>
        <w:rPr>
          <w:color w:val="000000"/>
          <w:spacing w:val="0"/>
          <w:w w:val="100"/>
          <w:position w:val="0"/>
          <w:sz w:val="24"/>
          <w:szCs w:val="24"/>
        </w:rPr>
        <w:t>）</w:t>
      </w:r>
    </w:p>
    <w:p>
      <w:pPr>
        <w:pStyle w:val="Style32"/>
        <w:keepNext w:val="0"/>
        <w:keepLines w:val="0"/>
        <w:widowControl w:val="0"/>
        <w:shd w:val="clear" w:color="auto" w:fill="auto"/>
        <w:tabs>
          <w:tab w:pos="682" w:val="left"/>
        </w:tabs>
        <w:bidi w:val="0"/>
        <w:spacing w:before="0" w:after="220" w:line="240" w:lineRule="auto"/>
        <w:ind w:left="0" w:right="0" w:firstLine="0"/>
        <w:jc w:val="left"/>
        <w:rPr>
          <w:sz w:val="24"/>
          <w:szCs w:val="24"/>
        </w:rPr>
      </w:pPr>
      <w:r>
        <w:rPr>
          <w:b/>
          <w:bCs/>
          <w:color w:val="000000"/>
          <w:spacing w:val="0"/>
          <w:w w:val="100"/>
          <w:position w:val="0"/>
          <w:sz w:val="24"/>
          <w:szCs w:val="24"/>
        </w:rPr>
        <w:t>八</w:t>
        <w:tab/>
        <w:t>关联方关系及其交易</w:t>
      </w:r>
      <w:r>
        <w:rPr>
          <w:rFonts w:ascii="Times New Roman" w:eastAsia="Times New Roman" w:hAnsi="Times New Roman" w:cs="Times New Roman"/>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4"/>
          <w:szCs w:val="24"/>
        </w:rPr>
        <w:t>）</w:t>
      </w:r>
    </w:p>
    <w:p>
      <w:pPr>
        <w:pStyle w:val="Style32"/>
        <w:keepNext w:val="0"/>
        <w:keepLines w:val="0"/>
        <w:widowControl w:val="0"/>
        <w:shd w:val="clear" w:color="auto" w:fill="auto"/>
        <w:bidi w:val="0"/>
        <w:spacing w:before="0" w:after="22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 xml:space="preserve">（7） </w:t>
      </w:r>
      <w:r>
        <w:rPr>
          <w:b/>
          <w:bCs/>
          <w:color w:val="000000"/>
          <w:spacing w:val="0"/>
          <w:w w:val="100"/>
          <w:position w:val="0"/>
          <w:sz w:val="24"/>
          <w:szCs w:val="24"/>
        </w:rPr>
        <w:t>应收、应付关联方款项余额</w:t>
      </w:r>
    </w:p>
    <w:p>
      <w:pPr>
        <w:pStyle w:val="Style32"/>
        <w:keepNext w:val="0"/>
        <w:keepLines w:val="0"/>
        <w:widowControl w:val="0"/>
        <w:shd w:val="clear" w:color="auto" w:fill="auto"/>
        <w:bidi w:val="0"/>
        <w:spacing w:before="0" w:after="280" w:line="240" w:lineRule="auto"/>
        <w:ind w:left="0" w:right="0" w:firstLine="740"/>
        <w:jc w:val="left"/>
        <w:rPr>
          <w:sz w:val="24"/>
          <w:szCs w:val="24"/>
        </w:rPr>
      </w:pPr>
      <w:r>
        <w:rPr>
          <w:color w:val="000000"/>
          <w:spacing w:val="0"/>
          <w:w w:val="100"/>
          <w:position w:val="0"/>
          <w:sz w:val="24"/>
          <w:szCs w:val="24"/>
        </w:rPr>
        <w:t>应收关联方款项：</w:t>
      </w:r>
    </w:p>
    <w:p>
      <w:pPr>
        <w:pStyle w:val="Style53"/>
        <w:keepNext w:val="0"/>
        <w:keepLines w:val="0"/>
        <w:widowControl w:val="0"/>
        <w:shd w:val="clear" w:color="auto" w:fill="auto"/>
        <w:bidi w:val="0"/>
        <w:spacing w:before="0" w:after="280" w:line="240" w:lineRule="auto"/>
        <w:ind w:left="0" w:right="0" w:firstLine="0"/>
        <w:jc w:val="right"/>
        <w:rPr>
          <w:sz w:val="24"/>
          <w:szCs w:val="24"/>
        </w:rPr>
      </w:pPr>
      <w:r>
        <w:rPr>
          <w:color w:val="000000"/>
          <w:spacing w:val="0"/>
          <w:w w:val="100"/>
          <w:position w:val="0"/>
          <w:sz w:val="24"/>
          <w:szCs w:val="24"/>
        </w:rPr>
        <w:t>2016</w:t>
      </w:r>
      <w:r>
        <w:rPr>
          <w:rFonts w:ascii="SimSun" w:eastAsia="SimSun" w:hAnsi="SimSun" w:cs="SimSun"/>
          <w:color w:val="000000"/>
          <w:spacing w:val="0"/>
          <w:w w:val="100"/>
          <w:position w:val="0"/>
          <w:sz w:val="24"/>
          <w:szCs w:val="24"/>
        </w:rPr>
        <w:t>年</w:t>
      </w:r>
      <w:r>
        <w:rPr>
          <w:color w:val="000000"/>
          <w:spacing w:val="0"/>
          <w:w w:val="100"/>
          <w:position w:val="0"/>
          <w:sz w:val="24"/>
          <w:szCs w:val="24"/>
        </w:rPr>
        <w:t>12</w:t>
      </w:r>
      <w:r>
        <w:rPr>
          <w:rFonts w:ascii="SimSun" w:eastAsia="SimSun" w:hAnsi="SimSun" w:cs="SimSun"/>
          <w:color w:val="000000"/>
          <w:spacing w:val="0"/>
          <w:w w:val="100"/>
          <w:position w:val="0"/>
          <w:sz w:val="24"/>
          <w:szCs w:val="24"/>
        </w:rPr>
        <w:t>月</w:t>
      </w:r>
      <w:r>
        <w:rPr>
          <w:color w:val="000000"/>
          <w:spacing w:val="0"/>
          <w:w w:val="100"/>
          <w:position w:val="0"/>
          <w:sz w:val="24"/>
          <w:szCs w:val="24"/>
        </w:rPr>
        <w:t>31</w:t>
      </w:r>
      <w:r>
        <w:rPr>
          <w:rFonts w:ascii="SimSun" w:eastAsia="SimSun" w:hAnsi="SimSun" w:cs="SimSun"/>
          <w:color w:val="000000"/>
          <w:spacing w:val="0"/>
          <w:w w:val="100"/>
          <w:position w:val="0"/>
          <w:sz w:val="24"/>
          <w:szCs w:val="24"/>
        </w:rPr>
        <w:t xml:space="preserve">日 </w:t>
      </w:r>
      <w:r>
        <w:rPr>
          <w:color w:val="000000"/>
          <w:spacing w:val="0"/>
          <w:w w:val="100"/>
          <w:position w:val="0"/>
          <w:sz w:val="24"/>
          <w:szCs w:val="24"/>
        </w:rPr>
        <w:t>2015</w:t>
      </w:r>
      <w:r>
        <w:rPr>
          <w:rFonts w:ascii="SimSun" w:eastAsia="SimSun" w:hAnsi="SimSun" w:cs="SimSun"/>
          <w:color w:val="000000"/>
          <w:spacing w:val="0"/>
          <w:w w:val="100"/>
          <w:position w:val="0"/>
          <w:sz w:val="24"/>
          <w:szCs w:val="24"/>
        </w:rPr>
        <w:t>年</w:t>
      </w:r>
      <w:r>
        <w:rPr>
          <w:color w:val="000000"/>
          <w:spacing w:val="0"/>
          <w:w w:val="100"/>
          <w:position w:val="0"/>
          <w:sz w:val="24"/>
          <w:szCs w:val="24"/>
        </w:rPr>
        <w:t>12</w:t>
      </w:r>
      <w:r>
        <w:rPr>
          <w:rFonts w:ascii="SimSun" w:eastAsia="SimSun" w:hAnsi="SimSun" w:cs="SimSun"/>
          <w:color w:val="000000"/>
          <w:spacing w:val="0"/>
          <w:w w:val="100"/>
          <w:position w:val="0"/>
          <w:sz w:val="24"/>
          <w:szCs w:val="24"/>
        </w:rPr>
        <w:t>月</w:t>
      </w:r>
      <w:r>
        <w:rPr>
          <w:color w:val="000000"/>
          <w:spacing w:val="0"/>
          <w:w w:val="100"/>
          <w:position w:val="0"/>
          <w:sz w:val="24"/>
          <w:szCs w:val="24"/>
        </w:rPr>
        <w:t>31</w:t>
      </w:r>
      <w:r>
        <w:rPr>
          <w:rFonts w:ascii="SimSun" w:eastAsia="SimSun" w:hAnsi="SimSun" w:cs="SimSun"/>
          <w:color w:val="000000"/>
          <w:spacing w:val="0"/>
          <w:w w:val="100"/>
          <w:position w:val="0"/>
          <w:sz w:val="24"/>
          <w:szCs w:val="24"/>
        </w:rPr>
        <w:t>日</w:t>
      </w:r>
    </w:p>
    <w:tbl>
      <w:tblPr>
        <w:tblOverlap w:val="never"/>
        <w:jc w:val="right"/>
        <w:tblLayout w:type="fixed"/>
      </w:tblPr>
      <w:tblGrid>
        <w:gridCol w:w="1334"/>
        <w:gridCol w:w="3451"/>
        <w:gridCol w:w="2390"/>
        <w:gridCol w:w="1670"/>
      </w:tblGrid>
      <w:tr>
        <w:trPr>
          <w:trHeight w:val="298"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应收账款</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40"/>
              <w:jc w:val="both"/>
              <w:rPr>
                <w:sz w:val="24"/>
                <w:szCs w:val="24"/>
              </w:rPr>
            </w:pPr>
            <w:r>
              <w:rPr>
                <w:color w:val="000000"/>
                <w:spacing w:val="0"/>
                <w:w w:val="100"/>
                <w:position w:val="0"/>
                <w:sz w:val="24"/>
                <w:szCs w:val="24"/>
              </w:rPr>
              <w:t>江苏苏宁建材</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60"/>
              <w:jc w:val="left"/>
              <w:rPr>
                <w:sz w:val="24"/>
                <w:szCs w:val="24"/>
              </w:rPr>
            </w:pPr>
            <w:r>
              <w:rPr>
                <w:rFonts w:ascii="Times New Roman" w:eastAsia="Times New Roman" w:hAnsi="Times New Roman" w:cs="Times New Roman"/>
                <w:color w:val="000000"/>
                <w:spacing w:val="0"/>
                <w:w w:val="100"/>
                <w:position w:val="0"/>
                <w:sz w:val="24"/>
                <w:szCs w:val="24"/>
              </w:rPr>
              <w:t>48,778</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40"/>
              <w:jc w:val="both"/>
              <w:rPr>
                <w:sz w:val="24"/>
                <w:szCs w:val="24"/>
              </w:rPr>
            </w:pPr>
            <w:r>
              <w:rPr>
                <w:rFonts w:ascii="Times New Roman" w:eastAsia="Times New Roman" w:hAnsi="Times New Roman" w:cs="Times New Roman"/>
                <w:color w:val="000000"/>
                <w:spacing w:val="0"/>
                <w:w w:val="100"/>
                <w:position w:val="0"/>
                <w:sz w:val="24"/>
                <w:szCs w:val="24"/>
              </w:rPr>
              <w:t>11,771</w:t>
            </w:r>
          </w:p>
        </w:tc>
      </w:tr>
      <w:tr>
        <w:trPr>
          <w:trHeight w:val="312"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应收账款</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40"/>
              <w:jc w:val="both"/>
              <w:rPr>
                <w:sz w:val="24"/>
                <w:szCs w:val="24"/>
              </w:rPr>
            </w:pPr>
            <w:r>
              <w:rPr>
                <w:color w:val="000000"/>
                <w:spacing w:val="0"/>
                <w:w w:val="100"/>
                <w:position w:val="0"/>
                <w:sz w:val="24"/>
                <w:szCs w:val="24"/>
              </w:rPr>
              <w:t>上海聚力</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60"/>
              <w:jc w:val="left"/>
              <w:rPr>
                <w:sz w:val="24"/>
                <w:szCs w:val="24"/>
              </w:rPr>
            </w:pPr>
            <w:r>
              <w:rPr>
                <w:rFonts w:ascii="Times New Roman" w:eastAsia="Times New Roman" w:hAnsi="Times New Roman" w:cs="Times New Roman"/>
                <w:color w:val="000000"/>
                <w:spacing w:val="0"/>
                <w:w w:val="100"/>
                <w:position w:val="0"/>
                <w:sz w:val="24"/>
                <w:szCs w:val="24"/>
              </w:rPr>
              <w:t>20,981</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9,160</w:t>
            </w:r>
          </w:p>
        </w:tc>
      </w:tr>
      <w:tr>
        <w:trPr>
          <w:trHeight w:val="312"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应收账款</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both"/>
              <w:rPr>
                <w:sz w:val="24"/>
                <w:szCs w:val="24"/>
              </w:rPr>
            </w:pPr>
            <w:r>
              <w:rPr>
                <w:color w:val="000000"/>
                <w:spacing w:val="0"/>
                <w:w w:val="100"/>
                <w:position w:val="0"/>
                <w:sz w:val="24"/>
                <w:szCs w:val="24"/>
              </w:rPr>
              <w:t>阿里巴巴集团</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60"/>
              <w:jc w:val="left"/>
              <w:rPr>
                <w:sz w:val="24"/>
                <w:szCs w:val="24"/>
              </w:rPr>
            </w:pPr>
            <w:r>
              <w:rPr>
                <w:rFonts w:ascii="Times New Roman" w:eastAsia="Times New Roman" w:hAnsi="Times New Roman" w:cs="Times New Roman"/>
                <w:color w:val="000000"/>
                <w:spacing w:val="0"/>
                <w:w w:val="100"/>
                <w:position w:val="0"/>
                <w:sz w:val="24"/>
                <w:szCs w:val="24"/>
              </w:rPr>
              <w:t>15,318</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460" w:right="0" w:firstLine="0"/>
              <w:jc w:val="both"/>
              <w:rPr>
                <w:sz w:val="24"/>
                <w:szCs w:val="24"/>
              </w:rPr>
            </w:pPr>
            <w:r>
              <w:rPr>
                <w:rFonts w:ascii="Times New Roman" w:eastAsia="Times New Roman" w:hAnsi="Times New Roman" w:cs="Times New Roman"/>
                <w:color w:val="000000"/>
                <w:spacing w:val="0"/>
                <w:w w:val="100"/>
                <w:position w:val="0"/>
                <w:sz w:val="24"/>
                <w:szCs w:val="24"/>
              </w:rPr>
              <w:t>-</w:t>
            </w:r>
          </w:p>
        </w:tc>
      </w:tr>
      <w:tr>
        <w:trPr>
          <w:trHeight w:val="322"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应收账款</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40"/>
              <w:jc w:val="left"/>
              <w:rPr>
                <w:sz w:val="24"/>
                <w:szCs w:val="24"/>
              </w:rPr>
            </w:pPr>
            <w:r>
              <w:rPr>
                <w:color w:val="000000"/>
                <w:spacing w:val="0"/>
                <w:w w:val="100"/>
                <w:position w:val="0"/>
                <w:sz w:val="24"/>
                <w:szCs w:val="24"/>
              </w:rPr>
              <w:t>突触计算机系统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上海</w:t>
            </w:r>
            <w:r>
              <w:rPr>
                <w:color w:val="000000"/>
                <w:spacing w:val="0"/>
                <w:w w:val="100"/>
                <w:position w:val="0"/>
                <w:sz w:val="24"/>
                <w:szCs w:val="24"/>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80"/>
              <w:jc w:val="both"/>
              <w:rPr>
                <w:sz w:val="24"/>
                <w:szCs w:val="24"/>
              </w:rPr>
            </w:pPr>
            <w:r>
              <w:rPr>
                <w:rFonts w:ascii="Times New Roman" w:eastAsia="Times New Roman" w:hAnsi="Times New Roman" w:cs="Times New Roman"/>
                <w:color w:val="000000"/>
                <w:spacing w:val="0"/>
                <w:w w:val="100"/>
                <w:position w:val="0"/>
                <w:sz w:val="24"/>
                <w:szCs w:val="24"/>
              </w:rPr>
              <w:t>9,102</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40"/>
              <w:jc w:val="both"/>
              <w:rPr>
                <w:sz w:val="24"/>
                <w:szCs w:val="24"/>
              </w:rPr>
            </w:pPr>
            <w:r>
              <w:rPr>
                <w:rFonts w:ascii="Times New Roman" w:eastAsia="Times New Roman" w:hAnsi="Times New Roman" w:cs="Times New Roman"/>
                <w:color w:val="000000"/>
                <w:spacing w:val="0"/>
                <w:w w:val="100"/>
                <w:position w:val="0"/>
                <w:sz w:val="24"/>
                <w:szCs w:val="24"/>
              </w:rPr>
              <w:t>11,573</w:t>
            </w:r>
          </w:p>
        </w:tc>
      </w:tr>
      <w:tr>
        <w:trPr>
          <w:trHeight w:val="302"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应收账款</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left"/>
              <w:rPr>
                <w:sz w:val="24"/>
                <w:szCs w:val="24"/>
              </w:rPr>
            </w:pPr>
            <w:r>
              <w:rPr>
                <w:color w:val="000000"/>
                <w:spacing w:val="0"/>
                <w:w w:val="100"/>
                <w:position w:val="0"/>
                <w:sz w:val="24"/>
                <w:szCs w:val="24"/>
              </w:rPr>
              <w:t>日照苏宁影城</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80"/>
              <w:jc w:val="both"/>
              <w:rPr>
                <w:sz w:val="24"/>
                <w:szCs w:val="24"/>
              </w:rPr>
            </w:pPr>
            <w:r>
              <w:rPr>
                <w:rFonts w:ascii="Times New Roman" w:eastAsia="Times New Roman" w:hAnsi="Times New Roman" w:cs="Times New Roman"/>
                <w:color w:val="000000"/>
                <w:spacing w:val="0"/>
                <w:w w:val="100"/>
                <w:position w:val="0"/>
                <w:sz w:val="24"/>
                <w:szCs w:val="24"/>
              </w:rPr>
              <w:t>5,768</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460" w:right="0" w:firstLine="0"/>
              <w:jc w:val="both"/>
              <w:rPr>
                <w:sz w:val="24"/>
                <w:szCs w:val="24"/>
              </w:rPr>
            </w:pPr>
            <w:r>
              <w:rPr>
                <w:rFonts w:ascii="Times New Roman" w:eastAsia="Times New Roman" w:hAnsi="Times New Roman" w:cs="Times New Roman"/>
                <w:color w:val="000000"/>
                <w:spacing w:val="0"/>
                <w:w w:val="100"/>
                <w:position w:val="0"/>
                <w:sz w:val="24"/>
                <w:szCs w:val="24"/>
              </w:rPr>
              <w:t>-</w:t>
            </w:r>
          </w:p>
        </w:tc>
      </w:tr>
      <w:tr>
        <w:trPr>
          <w:trHeight w:val="307"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应收账款</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left"/>
              <w:rPr>
                <w:sz w:val="24"/>
                <w:szCs w:val="24"/>
              </w:rPr>
            </w:pPr>
            <w:r>
              <w:rPr>
                <w:color w:val="000000"/>
                <w:spacing w:val="0"/>
                <w:w w:val="100"/>
                <w:position w:val="0"/>
                <w:sz w:val="24"/>
                <w:szCs w:val="24"/>
              </w:rPr>
              <w:t>包头市苏宁影城</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80"/>
              <w:jc w:val="both"/>
              <w:rPr>
                <w:sz w:val="24"/>
                <w:szCs w:val="24"/>
              </w:rPr>
            </w:pPr>
            <w:r>
              <w:rPr>
                <w:rFonts w:ascii="Times New Roman" w:eastAsia="Times New Roman" w:hAnsi="Times New Roman" w:cs="Times New Roman"/>
                <w:color w:val="000000"/>
                <w:spacing w:val="0"/>
                <w:w w:val="100"/>
                <w:position w:val="0"/>
                <w:sz w:val="24"/>
                <w:szCs w:val="24"/>
              </w:rPr>
              <w:t>5,683</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460" w:right="0" w:firstLine="0"/>
              <w:jc w:val="both"/>
              <w:rPr>
                <w:sz w:val="24"/>
                <w:szCs w:val="24"/>
              </w:rPr>
            </w:pPr>
            <w:r>
              <w:rPr>
                <w:rFonts w:ascii="Times New Roman" w:eastAsia="Times New Roman" w:hAnsi="Times New Roman" w:cs="Times New Roman"/>
                <w:color w:val="000000"/>
                <w:spacing w:val="0"/>
                <w:w w:val="100"/>
                <w:position w:val="0"/>
                <w:sz w:val="24"/>
                <w:szCs w:val="24"/>
              </w:rPr>
              <w:t>-</w:t>
            </w:r>
          </w:p>
        </w:tc>
      </w:tr>
      <w:tr>
        <w:trPr>
          <w:trHeight w:val="312"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应收账款</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40"/>
              <w:jc w:val="left"/>
              <w:rPr>
                <w:sz w:val="24"/>
                <w:szCs w:val="24"/>
              </w:rPr>
            </w:pPr>
            <w:r>
              <w:rPr>
                <w:color w:val="000000"/>
                <w:spacing w:val="0"/>
                <w:w w:val="100"/>
                <w:position w:val="0"/>
                <w:sz w:val="24"/>
                <w:szCs w:val="24"/>
              </w:rPr>
              <w:t>钟山高尔夫置业</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060" w:right="0" w:firstLine="0"/>
              <w:jc w:val="both"/>
              <w:rPr>
                <w:sz w:val="24"/>
                <w:szCs w:val="24"/>
              </w:rPr>
            </w:pPr>
            <w:r>
              <w:rPr>
                <w:rFonts w:ascii="Times New Roman" w:eastAsia="Times New Roman" w:hAnsi="Times New Roman" w:cs="Times New Roman"/>
                <w:color w:val="000000"/>
                <w:spacing w:val="0"/>
                <w:w w:val="100"/>
                <w:position w:val="0"/>
                <w:sz w:val="24"/>
                <w:szCs w:val="24"/>
              </w:rPr>
              <w:t>995</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220" w:right="0" w:firstLine="0"/>
              <w:jc w:val="both"/>
              <w:rPr>
                <w:sz w:val="24"/>
                <w:szCs w:val="24"/>
              </w:rPr>
            </w:pPr>
            <w:r>
              <w:rPr>
                <w:rFonts w:ascii="Times New Roman" w:eastAsia="Times New Roman" w:hAnsi="Times New Roman" w:cs="Times New Roman"/>
                <w:color w:val="000000"/>
                <w:spacing w:val="0"/>
                <w:w w:val="100"/>
                <w:position w:val="0"/>
                <w:sz w:val="24"/>
                <w:szCs w:val="24"/>
              </w:rPr>
              <w:t>786</w:t>
            </w:r>
          </w:p>
        </w:tc>
      </w:tr>
      <w:tr>
        <w:trPr>
          <w:trHeight w:val="307"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应收账款</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left"/>
              <w:rPr>
                <w:sz w:val="24"/>
                <w:szCs w:val="24"/>
              </w:rPr>
            </w:pPr>
            <w:r>
              <w:rPr>
                <w:color w:val="000000"/>
                <w:spacing w:val="0"/>
                <w:w w:val="100"/>
                <w:position w:val="0"/>
                <w:sz w:val="24"/>
                <w:szCs w:val="24"/>
              </w:rPr>
              <w:t>宿迁苏宁置业</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1060" w:right="0" w:firstLine="0"/>
              <w:jc w:val="both"/>
              <w:rPr>
                <w:sz w:val="24"/>
                <w:szCs w:val="24"/>
              </w:rPr>
            </w:pPr>
            <w:r>
              <w:rPr>
                <w:rFonts w:ascii="Times New Roman" w:eastAsia="Times New Roman" w:hAnsi="Times New Roman" w:cs="Times New Roman"/>
                <w:color w:val="000000"/>
                <w:spacing w:val="0"/>
                <w:w w:val="100"/>
                <w:position w:val="0"/>
                <w:sz w:val="24"/>
                <w:szCs w:val="24"/>
              </w:rPr>
              <w:t>900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460" w:right="0" w:firstLine="0"/>
              <w:jc w:val="both"/>
              <w:rPr>
                <w:sz w:val="24"/>
                <w:szCs w:val="24"/>
              </w:rPr>
            </w:pPr>
            <w:r>
              <w:rPr>
                <w:rFonts w:ascii="Times New Roman" w:eastAsia="Times New Roman" w:hAnsi="Times New Roman" w:cs="Times New Roman"/>
                <w:color w:val="000000"/>
                <w:spacing w:val="0"/>
                <w:w w:val="100"/>
                <w:position w:val="0"/>
                <w:sz w:val="24"/>
                <w:szCs w:val="24"/>
              </w:rPr>
              <w:t>-</w:t>
            </w:r>
          </w:p>
        </w:tc>
      </w:tr>
      <w:tr>
        <w:trPr>
          <w:trHeight w:val="312"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应收账款</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40"/>
              <w:jc w:val="left"/>
              <w:rPr>
                <w:sz w:val="24"/>
                <w:szCs w:val="24"/>
              </w:rPr>
            </w:pPr>
            <w:r>
              <w:rPr>
                <w:color w:val="000000"/>
                <w:spacing w:val="0"/>
                <w:w w:val="100"/>
                <w:position w:val="0"/>
                <w:sz w:val="24"/>
                <w:szCs w:val="24"/>
              </w:rPr>
              <w:t>苏宁消费金融</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060" w:right="0" w:firstLine="0"/>
              <w:jc w:val="both"/>
              <w:rPr>
                <w:sz w:val="24"/>
                <w:szCs w:val="24"/>
              </w:rPr>
            </w:pPr>
            <w:r>
              <w:rPr>
                <w:rFonts w:ascii="Times New Roman" w:eastAsia="Times New Roman" w:hAnsi="Times New Roman" w:cs="Times New Roman"/>
                <w:color w:val="000000"/>
                <w:spacing w:val="0"/>
                <w:w w:val="100"/>
                <w:position w:val="0"/>
                <w:sz w:val="24"/>
                <w:szCs w:val="24"/>
              </w:rPr>
              <w:t>867</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220" w:right="0" w:firstLine="0"/>
              <w:jc w:val="both"/>
              <w:rPr>
                <w:sz w:val="24"/>
                <w:szCs w:val="24"/>
              </w:rPr>
            </w:pPr>
            <w:r>
              <w:rPr>
                <w:rFonts w:ascii="Times New Roman" w:eastAsia="Times New Roman" w:hAnsi="Times New Roman" w:cs="Times New Roman"/>
                <w:color w:val="000000"/>
                <w:spacing w:val="0"/>
                <w:w w:val="100"/>
                <w:position w:val="0"/>
                <w:sz w:val="24"/>
                <w:szCs w:val="24"/>
              </w:rPr>
              <w:t>118</w:t>
            </w:r>
          </w:p>
        </w:tc>
      </w:tr>
      <w:tr>
        <w:trPr>
          <w:trHeight w:val="317"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应收账款</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40"/>
              <w:jc w:val="left"/>
              <w:rPr>
                <w:sz w:val="24"/>
                <w:szCs w:val="24"/>
              </w:rPr>
            </w:pPr>
            <w:r>
              <w:rPr>
                <w:color w:val="000000"/>
                <w:spacing w:val="0"/>
                <w:w w:val="100"/>
                <w:position w:val="0"/>
                <w:sz w:val="24"/>
                <w:szCs w:val="24"/>
              </w:rPr>
              <w:t>鞍山苏宁影城</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060" w:right="0" w:firstLine="0"/>
              <w:jc w:val="both"/>
              <w:rPr>
                <w:sz w:val="24"/>
                <w:szCs w:val="24"/>
              </w:rPr>
            </w:pPr>
            <w:r>
              <w:rPr>
                <w:rFonts w:ascii="Times New Roman" w:eastAsia="Times New Roman" w:hAnsi="Times New Roman" w:cs="Times New Roman"/>
                <w:color w:val="000000"/>
                <w:spacing w:val="0"/>
                <w:w w:val="100"/>
                <w:position w:val="0"/>
                <w:sz w:val="24"/>
                <w:szCs w:val="24"/>
              </w:rPr>
              <w:t>732</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460" w:right="0" w:firstLine="0"/>
              <w:jc w:val="both"/>
              <w:rPr>
                <w:sz w:val="24"/>
                <w:szCs w:val="24"/>
              </w:rPr>
            </w:pPr>
            <w:r>
              <w:rPr>
                <w:rFonts w:ascii="Times New Roman" w:eastAsia="Times New Roman" w:hAnsi="Times New Roman" w:cs="Times New Roman"/>
                <w:color w:val="000000"/>
                <w:spacing w:val="0"/>
                <w:w w:val="100"/>
                <w:position w:val="0"/>
                <w:sz w:val="24"/>
                <w:szCs w:val="24"/>
              </w:rPr>
              <w:t>-</w:t>
            </w:r>
          </w:p>
        </w:tc>
      </w:tr>
      <w:tr>
        <w:trPr>
          <w:trHeight w:val="307"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应收账款</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40"/>
              <w:jc w:val="left"/>
              <w:rPr>
                <w:sz w:val="24"/>
                <w:szCs w:val="24"/>
              </w:rPr>
            </w:pPr>
            <w:r>
              <w:rPr>
                <w:color w:val="000000"/>
                <w:spacing w:val="0"/>
                <w:w w:val="100"/>
                <w:position w:val="0"/>
                <w:sz w:val="24"/>
                <w:szCs w:val="24"/>
              </w:rPr>
              <w:t>徐州苏宁影城</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060" w:right="0" w:firstLine="0"/>
              <w:jc w:val="both"/>
              <w:rPr>
                <w:sz w:val="24"/>
                <w:szCs w:val="24"/>
              </w:rPr>
            </w:pPr>
            <w:r>
              <w:rPr>
                <w:rFonts w:ascii="Times New Roman" w:eastAsia="Times New Roman" w:hAnsi="Times New Roman" w:cs="Times New Roman"/>
                <w:color w:val="000000"/>
                <w:spacing w:val="0"/>
                <w:w w:val="100"/>
                <w:position w:val="0"/>
                <w:sz w:val="24"/>
                <w:szCs w:val="24"/>
              </w:rPr>
              <w:t>729</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460" w:right="0" w:firstLine="0"/>
              <w:jc w:val="both"/>
              <w:rPr>
                <w:sz w:val="24"/>
                <w:szCs w:val="24"/>
              </w:rPr>
            </w:pPr>
            <w:r>
              <w:rPr>
                <w:rFonts w:ascii="Times New Roman" w:eastAsia="Times New Roman" w:hAnsi="Times New Roman" w:cs="Times New Roman"/>
                <w:color w:val="000000"/>
                <w:spacing w:val="0"/>
                <w:w w:val="100"/>
                <w:position w:val="0"/>
                <w:sz w:val="24"/>
                <w:szCs w:val="24"/>
              </w:rPr>
              <w:t>-</w:t>
            </w:r>
          </w:p>
        </w:tc>
      </w:tr>
      <w:tr>
        <w:trPr>
          <w:trHeight w:val="312"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应收账款</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left"/>
              <w:rPr>
                <w:sz w:val="24"/>
                <w:szCs w:val="24"/>
              </w:rPr>
            </w:pPr>
            <w:r>
              <w:rPr>
                <w:color w:val="000000"/>
                <w:spacing w:val="0"/>
                <w:w w:val="100"/>
                <w:position w:val="0"/>
                <w:sz w:val="24"/>
                <w:szCs w:val="24"/>
              </w:rPr>
              <w:t>钟山高尔夫酒店</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1060" w:right="0" w:firstLine="0"/>
              <w:jc w:val="both"/>
              <w:rPr>
                <w:sz w:val="24"/>
                <w:szCs w:val="24"/>
              </w:rPr>
            </w:pPr>
            <w:r>
              <w:rPr>
                <w:rFonts w:ascii="Times New Roman" w:eastAsia="Times New Roman" w:hAnsi="Times New Roman" w:cs="Times New Roman"/>
                <w:color w:val="000000"/>
                <w:spacing w:val="0"/>
                <w:w w:val="100"/>
                <w:position w:val="0"/>
                <w:sz w:val="24"/>
                <w:szCs w:val="24"/>
              </w:rPr>
              <w:t>446</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460" w:right="0" w:firstLine="0"/>
              <w:jc w:val="both"/>
              <w:rPr>
                <w:sz w:val="24"/>
                <w:szCs w:val="24"/>
              </w:rPr>
            </w:pPr>
            <w:r>
              <w:rPr>
                <w:rFonts w:ascii="Times New Roman" w:eastAsia="Times New Roman" w:hAnsi="Times New Roman" w:cs="Times New Roman"/>
                <w:color w:val="000000"/>
                <w:spacing w:val="0"/>
                <w:w w:val="100"/>
                <w:position w:val="0"/>
                <w:sz w:val="24"/>
                <w:szCs w:val="24"/>
              </w:rPr>
              <w:t>-</w:t>
            </w:r>
          </w:p>
        </w:tc>
      </w:tr>
      <w:tr>
        <w:trPr>
          <w:trHeight w:val="312"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应收账款</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40"/>
              <w:jc w:val="left"/>
              <w:rPr>
                <w:sz w:val="24"/>
                <w:szCs w:val="24"/>
              </w:rPr>
            </w:pPr>
            <w:r>
              <w:rPr>
                <w:color w:val="000000"/>
                <w:spacing w:val="0"/>
                <w:w w:val="100"/>
                <w:position w:val="0"/>
                <w:sz w:val="24"/>
                <w:szCs w:val="24"/>
              </w:rPr>
              <w:t>江苏银河物业</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060" w:right="0" w:firstLine="0"/>
              <w:jc w:val="both"/>
              <w:rPr>
                <w:sz w:val="24"/>
                <w:szCs w:val="24"/>
              </w:rPr>
            </w:pPr>
            <w:r>
              <w:rPr>
                <w:rFonts w:ascii="Times New Roman" w:eastAsia="Times New Roman" w:hAnsi="Times New Roman" w:cs="Times New Roman"/>
                <w:color w:val="000000"/>
                <w:spacing w:val="0"/>
                <w:w w:val="100"/>
                <w:position w:val="0"/>
                <w:sz w:val="24"/>
                <w:szCs w:val="24"/>
              </w:rPr>
              <w:t>381</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220" w:right="0" w:firstLine="0"/>
              <w:jc w:val="both"/>
              <w:rPr>
                <w:sz w:val="24"/>
                <w:szCs w:val="24"/>
              </w:rPr>
            </w:pPr>
            <w:r>
              <w:rPr>
                <w:rFonts w:ascii="Times New Roman" w:eastAsia="Times New Roman" w:hAnsi="Times New Roman" w:cs="Times New Roman"/>
                <w:color w:val="000000"/>
                <w:spacing w:val="0"/>
                <w:w w:val="100"/>
                <w:position w:val="0"/>
                <w:sz w:val="24"/>
                <w:szCs w:val="24"/>
              </w:rPr>
              <w:t>494</w:t>
            </w:r>
          </w:p>
        </w:tc>
      </w:tr>
      <w:tr>
        <w:trPr>
          <w:trHeight w:val="312"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应收账款</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40"/>
              <w:jc w:val="left"/>
              <w:rPr>
                <w:sz w:val="24"/>
                <w:szCs w:val="24"/>
              </w:rPr>
            </w:pPr>
            <w:r>
              <w:rPr>
                <w:color w:val="000000"/>
                <w:spacing w:val="0"/>
                <w:w w:val="100"/>
                <w:position w:val="0"/>
                <w:sz w:val="24"/>
                <w:szCs w:val="24"/>
              </w:rPr>
              <w:t>上海通视铭泰</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060" w:right="0" w:firstLine="0"/>
              <w:jc w:val="both"/>
              <w:rPr>
                <w:sz w:val="24"/>
                <w:szCs w:val="24"/>
              </w:rPr>
            </w:pPr>
            <w:r>
              <w:rPr>
                <w:rFonts w:ascii="Times New Roman" w:eastAsia="Times New Roman" w:hAnsi="Times New Roman" w:cs="Times New Roman"/>
                <w:color w:val="000000"/>
                <w:spacing w:val="0"/>
                <w:w w:val="100"/>
                <w:position w:val="0"/>
                <w:sz w:val="24"/>
                <w:szCs w:val="24"/>
              </w:rPr>
              <w:t>377</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3,154</w:t>
            </w:r>
          </w:p>
        </w:tc>
      </w:tr>
      <w:tr>
        <w:trPr>
          <w:trHeight w:val="312"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应收账款</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left"/>
              <w:rPr>
                <w:sz w:val="24"/>
                <w:szCs w:val="24"/>
              </w:rPr>
            </w:pPr>
            <w:r>
              <w:rPr>
                <w:color w:val="000000"/>
                <w:spacing w:val="0"/>
                <w:w w:val="100"/>
                <w:position w:val="0"/>
                <w:sz w:val="24"/>
                <w:szCs w:val="24"/>
              </w:rPr>
              <w:t>上海苏宁影城</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1060" w:right="0" w:firstLine="0"/>
              <w:jc w:val="both"/>
              <w:rPr>
                <w:sz w:val="24"/>
                <w:szCs w:val="24"/>
              </w:rPr>
            </w:pPr>
            <w:r>
              <w:rPr>
                <w:rFonts w:ascii="Times New Roman" w:eastAsia="Times New Roman" w:hAnsi="Times New Roman" w:cs="Times New Roman"/>
                <w:color w:val="000000"/>
                <w:spacing w:val="0"/>
                <w:w w:val="100"/>
                <w:position w:val="0"/>
                <w:sz w:val="24"/>
                <w:szCs w:val="24"/>
              </w:rPr>
              <w:t>307</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460" w:right="0" w:firstLine="0"/>
              <w:jc w:val="both"/>
              <w:rPr>
                <w:sz w:val="24"/>
                <w:szCs w:val="24"/>
              </w:rPr>
            </w:pPr>
            <w:r>
              <w:rPr>
                <w:rFonts w:ascii="Times New Roman" w:eastAsia="Times New Roman" w:hAnsi="Times New Roman" w:cs="Times New Roman"/>
                <w:color w:val="000000"/>
                <w:spacing w:val="0"/>
                <w:w w:val="100"/>
                <w:position w:val="0"/>
                <w:sz w:val="24"/>
                <w:szCs w:val="24"/>
              </w:rPr>
              <w:t>-</w:t>
            </w:r>
          </w:p>
        </w:tc>
      </w:tr>
      <w:tr>
        <w:trPr>
          <w:trHeight w:val="307"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应收账款</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40"/>
              <w:jc w:val="left"/>
              <w:rPr>
                <w:sz w:val="24"/>
                <w:szCs w:val="24"/>
              </w:rPr>
            </w:pPr>
            <w:r>
              <w:rPr>
                <w:color w:val="000000"/>
                <w:spacing w:val="0"/>
                <w:w w:val="100"/>
                <w:position w:val="0"/>
                <w:sz w:val="24"/>
                <w:szCs w:val="24"/>
              </w:rPr>
              <w:t>福州苏宁置业</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060" w:right="0" w:firstLine="0"/>
              <w:jc w:val="both"/>
              <w:rPr>
                <w:sz w:val="24"/>
                <w:szCs w:val="24"/>
              </w:rPr>
            </w:pPr>
            <w:r>
              <w:rPr>
                <w:rFonts w:ascii="Times New Roman" w:eastAsia="Times New Roman" w:hAnsi="Times New Roman" w:cs="Times New Roman"/>
                <w:color w:val="000000"/>
                <w:spacing w:val="0"/>
                <w:w w:val="100"/>
                <w:position w:val="0"/>
                <w:sz w:val="24"/>
                <w:szCs w:val="24"/>
              </w:rPr>
              <w:t>193</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340" w:right="0" w:firstLine="0"/>
              <w:jc w:val="both"/>
              <w:rPr>
                <w:sz w:val="24"/>
                <w:szCs w:val="24"/>
              </w:rPr>
            </w:pPr>
            <w:r>
              <w:rPr>
                <w:rFonts w:ascii="Times New Roman" w:eastAsia="Times New Roman" w:hAnsi="Times New Roman" w:cs="Times New Roman"/>
                <w:color w:val="000000"/>
                <w:spacing w:val="0"/>
                <w:w w:val="100"/>
                <w:position w:val="0"/>
                <w:sz w:val="24"/>
                <w:szCs w:val="24"/>
              </w:rPr>
              <w:t>77</w:t>
            </w:r>
          </w:p>
        </w:tc>
      </w:tr>
      <w:tr>
        <w:trPr>
          <w:trHeight w:val="312"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应收账款</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40"/>
              <w:jc w:val="left"/>
              <w:rPr>
                <w:sz w:val="24"/>
                <w:szCs w:val="24"/>
              </w:rPr>
            </w:pPr>
            <w:r>
              <w:rPr>
                <w:color w:val="000000"/>
                <w:spacing w:val="0"/>
                <w:w w:val="100"/>
                <w:position w:val="0"/>
                <w:sz w:val="24"/>
                <w:szCs w:val="24"/>
              </w:rPr>
              <w:t>无锡苏宁置业</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060" w:right="0" w:firstLine="0"/>
              <w:jc w:val="both"/>
              <w:rPr>
                <w:sz w:val="24"/>
                <w:szCs w:val="24"/>
              </w:rPr>
            </w:pPr>
            <w:r>
              <w:rPr>
                <w:rFonts w:ascii="Times New Roman" w:eastAsia="Times New Roman" w:hAnsi="Times New Roman" w:cs="Times New Roman"/>
                <w:color w:val="000000"/>
                <w:spacing w:val="0"/>
                <w:w w:val="100"/>
                <w:position w:val="0"/>
                <w:sz w:val="24"/>
                <w:szCs w:val="24"/>
              </w:rPr>
              <w:t>189</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220" w:right="0" w:firstLine="0"/>
              <w:jc w:val="both"/>
              <w:rPr>
                <w:sz w:val="24"/>
                <w:szCs w:val="24"/>
              </w:rPr>
            </w:pPr>
            <w:r>
              <w:rPr>
                <w:rFonts w:ascii="Times New Roman" w:eastAsia="Times New Roman" w:hAnsi="Times New Roman" w:cs="Times New Roman"/>
                <w:color w:val="000000"/>
                <w:spacing w:val="0"/>
                <w:w w:val="100"/>
                <w:position w:val="0"/>
                <w:sz w:val="24"/>
                <w:szCs w:val="24"/>
              </w:rPr>
              <w:t>149</w:t>
            </w:r>
          </w:p>
        </w:tc>
      </w:tr>
      <w:tr>
        <w:trPr>
          <w:trHeight w:val="312"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应收账款</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40"/>
              <w:jc w:val="left"/>
              <w:rPr>
                <w:sz w:val="24"/>
                <w:szCs w:val="24"/>
              </w:rPr>
            </w:pPr>
            <w:r>
              <w:rPr>
                <w:color w:val="000000"/>
                <w:spacing w:val="0"/>
                <w:w w:val="100"/>
                <w:position w:val="0"/>
                <w:sz w:val="24"/>
                <w:szCs w:val="24"/>
              </w:rPr>
              <w:t>济宁苏宁影城</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060" w:right="0" w:firstLine="0"/>
              <w:jc w:val="both"/>
              <w:rPr>
                <w:sz w:val="24"/>
                <w:szCs w:val="24"/>
              </w:rPr>
            </w:pPr>
            <w:r>
              <w:rPr>
                <w:rFonts w:ascii="Times New Roman" w:eastAsia="Times New Roman" w:hAnsi="Times New Roman" w:cs="Times New Roman"/>
                <w:color w:val="000000"/>
                <w:spacing w:val="0"/>
                <w:w w:val="100"/>
                <w:position w:val="0"/>
                <w:sz w:val="24"/>
                <w:szCs w:val="24"/>
              </w:rPr>
              <w:t>183</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460" w:right="0" w:firstLine="0"/>
              <w:jc w:val="both"/>
              <w:rPr>
                <w:sz w:val="24"/>
                <w:szCs w:val="24"/>
              </w:rPr>
            </w:pPr>
            <w:r>
              <w:rPr>
                <w:rFonts w:ascii="Times New Roman" w:eastAsia="Times New Roman" w:hAnsi="Times New Roman" w:cs="Times New Roman"/>
                <w:color w:val="000000"/>
                <w:spacing w:val="0"/>
                <w:w w:val="100"/>
                <w:position w:val="0"/>
                <w:sz w:val="24"/>
                <w:szCs w:val="24"/>
              </w:rPr>
              <w:t>-</w:t>
            </w:r>
          </w:p>
        </w:tc>
      </w:tr>
      <w:tr>
        <w:trPr>
          <w:trHeight w:val="312"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应收账款</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left"/>
              <w:rPr>
                <w:sz w:val="24"/>
                <w:szCs w:val="24"/>
              </w:rPr>
            </w:pPr>
            <w:r>
              <w:rPr>
                <w:color w:val="000000"/>
                <w:spacing w:val="0"/>
                <w:w w:val="100"/>
                <w:position w:val="0"/>
                <w:sz w:val="24"/>
                <w:szCs w:val="24"/>
              </w:rPr>
              <w:t>镇江苏宁影城</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1060" w:right="0" w:firstLine="0"/>
              <w:jc w:val="both"/>
              <w:rPr>
                <w:sz w:val="24"/>
                <w:szCs w:val="24"/>
              </w:rPr>
            </w:pPr>
            <w:r>
              <w:rPr>
                <w:rFonts w:ascii="Times New Roman" w:eastAsia="Times New Roman" w:hAnsi="Times New Roman" w:cs="Times New Roman"/>
                <w:color w:val="000000"/>
                <w:spacing w:val="0"/>
                <w:w w:val="100"/>
                <w:position w:val="0"/>
                <w:sz w:val="24"/>
                <w:szCs w:val="24"/>
              </w:rPr>
              <w:t>117</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460" w:right="0" w:firstLine="0"/>
              <w:jc w:val="both"/>
              <w:rPr>
                <w:sz w:val="24"/>
                <w:szCs w:val="24"/>
              </w:rPr>
            </w:pPr>
            <w:r>
              <w:rPr>
                <w:rFonts w:ascii="Times New Roman" w:eastAsia="Times New Roman" w:hAnsi="Times New Roman" w:cs="Times New Roman"/>
                <w:color w:val="000000"/>
                <w:spacing w:val="0"/>
                <w:w w:val="100"/>
                <w:position w:val="0"/>
                <w:sz w:val="24"/>
                <w:szCs w:val="24"/>
              </w:rPr>
              <w:t>-</w:t>
            </w:r>
          </w:p>
        </w:tc>
      </w:tr>
      <w:tr>
        <w:trPr>
          <w:trHeight w:val="624"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应收账款</w:t>
            </w:r>
          </w:p>
        </w:tc>
        <w:tc>
          <w:tcPr>
            <w:tcBorders/>
            <w:shd w:val="clear" w:color="auto" w:fill="FFFFFF"/>
            <w:vAlign w:val="bottom"/>
          </w:tcPr>
          <w:p>
            <w:pPr>
              <w:pStyle w:val="Style28"/>
              <w:keepNext w:val="0"/>
              <w:keepLines w:val="0"/>
              <w:widowControl w:val="0"/>
              <w:shd w:val="clear" w:color="auto" w:fill="auto"/>
              <w:bidi w:val="0"/>
              <w:spacing w:before="0" w:after="40" w:line="240" w:lineRule="auto"/>
              <w:ind w:left="0" w:right="0" w:firstLine="340"/>
              <w:jc w:val="left"/>
              <w:rPr>
                <w:sz w:val="24"/>
                <w:szCs w:val="24"/>
              </w:rPr>
            </w:pPr>
            <w:r>
              <w:rPr>
                <w:color w:val="000000"/>
                <w:spacing w:val="0"/>
                <w:w w:val="100"/>
                <w:position w:val="0"/>
                <w:sz w:val="24"/>
                <w:szCs w:val="24"/>
              </w:rPr>
              <w:t>徐州苏宁置业</w:t>
            </w:r>
          </w:p>
          <w:p>
            <w:pPr>
              <w:pStyle w:val="Style28"/>
              <w:keepNext w:val="0"/>
              <w:keepLines w:val="0"/>
              <w:widowControl w:val="0"/>
              <w:shd w:val="clear" w:color="auto" w:fill="auto"/>
              <w:bidi w:val="0"/>
              <w:spacing w:before="0" w:after="0" w:line="240" w:lineRule="auto"/>
              <w:ind w:left="0" w:right="0" w:firstLine="340"/>
              <w:jc w:val="left"/>
              <w:rPr>
                <w:sz w:val="24"/>
                <w:szCs w:val="24"/>
              </w:rPr>
            </w:pPr>
            <w:r>
              <w:rPr>
                <w:color w:val="000000"/>
                <w:spacing w:val="0"/>
                <w:w w:val="100"/>
                <w:position w:val="0"/>
                <w:sz w:val="24"/>
                <w:szCs w:val="24"/>
              </w:rPr>
              <w:t>无锡苏宁置业苏宁大酒</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940" w:firstLine="0"/>
              <w:jc w:val="right"/>
              <w:rPr>
                <w:sz w:val="24"/>
                <w:szCs w:val="24"/>
              </w:rPr>
            </w:pPr>
            <w:r>
              <w:rPr>
                <w:rFonts w:ascii="Times New Roman" w:eastAsia="Times New Roman" w:hAnsi="Times New Roman" w:cs="Times New Roman"/>
                <w:color w:val="000000"/>
                <w:spacing w:val="0"/>
                <w:w w:val="100"/>
                <w:position w:val="0"/>
                <w:sz w:val="24"/>
                <w:szCs w:val="24"/>
              </w:rPr>
              <w:t>78</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1340" w:right="0" w:firstLine="0"/>
              <w:jc w:val="both"/>
              <w:rPr>
                <w:sz w:val="24"/>
                <w:szCs w:val="24"/>
              </w:rPr>
            </w:pPr>
            <w:r>
              <w:rPr>
                <w:rFonts w:ascii="Times New Roman" w:eastAsia="Times New Roman" w:hAnsi="Times New Roman" w:cs="Times New Roman"/>
                <w:color w:val="000000"/>
                <w:spacing w:val="0"/>
                <w:w w:val="100"/>
                <w:position w:val="0"/>
                <w:sz w:val="24"/>
                <w:szCs w:val="24"/>
              </w:rPr>
              <w:t>34</w:t>
            </w:r>
          </w:p>
        </w:tc>
      </w:tr>
      <w:tr>
        <w:trPr>
          <w:trHeight w:val="307"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应收账款</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80"/>
              <w:jc w:val="left"/>
              <w:rPr>
                <w:sz w:val="24"/>
                <w:szCs w:val="24"/>
              </w:rPr>
            </w:pPr>
            <w:r>
              <w:rPr>
                <w:color w:val="000000"/>
                <w:spacing w:val="0"/>
                <w:w w:val="100"/>
                <w:position w:val="0"/>
                <w:sz w:val="24"/>
                <w:szCs w:val="24"/>
              </w:rPr>
              <w:t>店</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940" w:firstLine="0"/>
              <w:jc w:val="right"/>
              <w:rPr>
                <w:sz w:val="24"/>
                <w:szCs w:val="24"/>
              </w:rPr>
            </w:pPr>
            <w:r>
              <w:rPr>
                <w:rFonts w:ascii="Times New Roman" w:eastAsia="Times New Roman" w:hAnsi="Times New Roman" w:cs="Times New Roman"/>
                <w:color w:val="000000"/>
                <w:spacing w:val="0"/>
                <w:w w:val="100"/>
                <w:position w:val="0"/>
                <w:sz w:val="24"/>
                <w:szCs w:val="24"/>
              </w:rPr>
              <w:t>24</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460" w:right="0" w:firstLine="0"/>
              <w:jc w:val="both"/>
              <w:rPr>
                <w:sz w:val="24"/>
                <w:szCs w:val="24"/>
              </w:rPr>
            </w:pPr>
            <w:r>
              <w:rPr>
                <w:rFonts w:ascii="Times New Roman" w:eastAsia="Times New Roman" w:hAnsi="Times New Roman" w:cs="Times New Roman"/>
                <w:color w:val="000000"/>
                <w:spacing w:val="0"/>
                <w:w w:val="100"/>
                <w:position w:val="0"/>
                <w:sz w:val="24"/>
                <w:szCs w:val="24"/>
              </w:rPr>
              <w:t>-</w:t>
            </w:r>
          </w:p>
        </w:tc>
      </w:tr>
      <w:tr>
        <w:trPr>
          <w:trHeight w:val="312"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应收账款</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40"/>
              <w:jc w:val="left"/>
              <w:rPr>
                <w:sz w:val="24"/>
                <w:szCs w:val="24"/>
              </w:rPr>
            </w:pPr>
            <w:r>
              <w:rPr>
                <w:color w:val="000000"/>
                <w:spacing w:val="0"/>
                <w:w w:val="100"/>
                <w:position w:val="0"/>
                <w:sz w:val="24"/>
                <w:szCs w:val="24"/>
              </w:rPr>
              <w:t>无锡苏宁商业管理</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940" w:firstLine="0"/>
              <w:jc w:val="right"/>
              <w:rPr>
                <w:sz w:val="24"/>
                <w:szCs w:val="24"/>
              </w:rPr>
            </w:pPr>
            <w:r>
              <w:rPr>
                <w:rFonts w:ascii="Times New Roman" w:eastAsia="Times New Roman" w:hAnsi="Times New Roman" w:cs="Times New Roman"/>
                <w:color w:val="000000"/>
                <w:spacing w:val="0"/>
                <w:w w:val="100"/>
                <w:position w:val="0"/>
                <w:sz w:val="24"/>
                <w:szCs w:val="24"/>
              </w:rPr>
              <w:t>10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340" w:right="0" w:firstLine="0"/>
              <w:jc w:val="both"/>
              <w:rPr>
                <w:sz w:val="24"/>
                <w:szCs w:val="24"/>
              </w:rPr>
            </w:pPr>
            <w:r>
              <w:rPr>
                <w:rFonts w:ascii="Times New Roman" w:eastAsia="Times New Roman" w:hAnsi="Times New Roman" w:cs="Times New Roman"/>
                <w:color w:val="000000"/>
                <w:spacing w:val="0"/>
                <w:w w:val="100"/>
                <w:position w:val="0"/>
                <w:sz w:val="24"/>
                <w:szCs w:val="24"/>
              </w:rPr>
              <w:t>24</w:t>
            </w:r>
          </w:p>
        </w:tc>
      </w:tr>
      <w:tr>
        <w:trPr>
          <w:trHeight w:val="312"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应收账款</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left"/>
              <w:rPr>
                <w:sz w:val="24"/>
                <w:szCs w:val="24"/>
              </w:rPr>
            </w:pPr>
            <w:r>
              <w:rPr>
                <w:color w:val="000000"/>
                <w:spacing w:val="0"/>
                <w:w w:val="100"/>
                <w:position w:val="0"/>
                <w:sz w:val="24"/>
                <w:szCs w:val="24"/>
              </w:rPr>
              <w:t>成都鸿业置业</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940" w:firstLine="0"/>
              <w:jc w:val="right"/>
              <w:rPr>
                <w:sz w:val="24"/>
                <w:szCs w:val="24"/>
              </w:rPr>
            </w:pPr>
            <w:r>
              <w:rPr>
                <w:rFonts w:ascii="Times New Roman" w:eastAsia="Times New Roman" w:hAnsi="Times New Roman" w:cs="Times New Roman"/>
                <w:color w:val="000000"/>
                <w:spacing w:val="0"/>
                <w:w w:val="100"/>
                <w:position w:val="0"/>
                <w:sz w:val="24"/>
                <w:szCs w:val="24"/>
              </w:rPr>
              <w:t>2</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460" w:right="0" w:firstLine="0"/>
              <w:jc w:val="both"/>
              <w:rPr>
                <w:sz w:val="24"/>
                <w:szCs w:val="24"/>
              </w:rPr>
            </w:pPr>
            <w:r>
              <w:rPr>
                <w:rFonts w:ascii="Times New Roman" w:eastAsia="Times New Roman" w:hAnsi="Times New Roman" w:cs="Times New Roman"/>
                <w:color w:val="000000"/>
                <w:spacing w:val="0"/>
                <w:w w:val="100"/>
                <w:position w:val="0"/>
                <w:sz w:val="24"/>
                <w:szCs w:val="24"/>
              </w:rPr>
              <w:t>-</w:t>
            </w:r>
          </w:p>
        </w:tc>
      </w:tr>
      <w:tr>
        <w:trPr>
          <w:trHeight w:val="312"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应收账款</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left"/>
              <w:rPr>
                <w:sz w:val="24"/>
                <w:szCs w:val="24"/>
              </w:rPr>
            </w:pPr>
            <w:r>
              <w:rPr>
                <w:color w:val="000000"/>
                <w:spacing w:val="0"/>
                <w:w w:val="100"/>
                <w:position w:val="0"/>
                <w:sz w:val="24"/>
                <w:szCs w:val="24"/>
              </w:rPr>
              <w:t>苏宁置业</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940" w:firstLine="0"/>
              <w:jc w:val="right"/>
              <w:rPr>
                <w:sz w:val="24"/>
                <w:szCs w:val="24"/>
              </w:rPr>
            </w:pPr>
            <w:r>
              <w:rPr>
                <w:rFonts w:ascii="Times New Roman" w:eastAsia="Times New Roman" w:hAnsi="Times New Roman" w:cs="Times New Roman"/>
                <w:color w:val="000000"/>
                <w:spacing w:val="0"/>
                <w:w w:val="100"/>
                <w:position w:val="0"/>
                <w:sz w:val="24"/>
                <w:szCs w:val="24"/>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1220" w:right="0" w:firstLine="0"/>
              <w:jc w:val="both"/>
              <w:rPr>
                <w:sz w:val="24"/>
                <w:szCs w:val="24"/>
              </w:rPr>
            </w:pPr>
            <w:r>
              <w:rPr>
                <w:rFonts w:ascii="Times New Roman" w:eastAsia="Times New Roman" w:hAnsi="Times New Roman" w:cs="Times New Roman"/>
                <w:color w:val="000000"/>
                <w:spacing w:val="0"/>
                <w:w w:val="100"/>
                <w:position w:val="0"/>
                <w:sz w:val="24"/>
                <w:szCs w:val="24"/>
              </w:rPr>
              <w:t>732</w:t>
            </w:r>
          </w:p>
        </w:tc>
      </w:tr>
      <w:tr>
        <w:trPr>
          <w:trHeight w:val="312"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应收账款</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left"/>
              <w:rPr>
                <w:sz w:val="24"/>
                <w:szCs w:val="24"/>
              </w:rPr>
            </w:pPr>
            <w:r>
              <w:rPr>
                <w:color w:val="000000"/>
                <w:spacing w:val="0"/>
                <w:w w:val="100"/>
                <w:position w:val="0"/>
                <w:sz w:val="24"/>
                <w:szCs w:val="24"/>
              </w:rPr>
              <w:t>银河酒店管理公司</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940" w:firstLine="0"/>
              <w:jc w:val="right"/>
              <w:rPr>
                <w:sz w:val="24"/>
                <w:szCs w:val="24"/>
              </w:rPr>
            </w:pPr>
            <w:r>
              <w:rPr>
                <w:rFonts w:ascii="Times New Roman" w:eastAsia="Times New Roman" w:hAnsi="Times New Roman" w:cs="Times New Roman"/>
                <w:color w:val="000000"/>
                <w:spacing w:val="0"/>
                <w:w w:val="100"/>
                <w:position w:val="0"/>
                <w:sz w:val="24"/>
                <w:szCs w:val="24"/>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1220" w:right="0" w:firstLine="0"/>
              <w:jc w:val="both"/>
              <w:rPr>
                <w:sz w:val="24"/>
                <w:szCs w:val="24"/>
              </w:rPr>
            </w:pPr>
            <w:r>
              <w:rPr>
                <w:rFonts w:ascii="Times New Roman" w:eastAsia="Times New Roman" w:hAnsi="Times New Roman" w:cs="Times New Roman"/>
                <w:color w:val="000000"/>
                <w:spacing w:val="0"/>
                <w:w w:val="100"/>
                <w:position w:val="0"/>
                <w:sz w:val="24"/>
                <w:szCs w:val="24"/>
              </w:rPr>
              <w:t>188</w:t>
            </w:r>
          </w:p>
        </w:tc>
      </w:tr>
      <w:tr>
        <w:trPr>
          <w:trHeight w:val="307"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应收账款</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40"/>
              <w:jc w:val="left"/>
              <w:rPr>
                <w:sz w:val="24"/>
                <w:szCs w:val="24"/>
              </w:rPr>
            </w:pPr>
            <w:r>
              <w:rPr>
                <w:color w:val="000000"/>
                <w:spacing w:val="0"/>
                <w:w w:val="100"/>
                <w:position w:val="0"/>
                <w:sz w:val="24"/>
                <w:szCs w:val="24"/>
              </w:rPr>
              <w:t>沃德置业</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940" w:firstLine="0"/>
              <w:jc w:val="right"/>
              <w:rPr>
                <w:sz w:val="24"/>
                <w:szCs w:val="24"/>
              </w:rPr>
            </w:pPr>
            <w:r>
              <w:rPr>
                <w:rFonts w:ascii="Times New Roman" w:eastAsia="Times New Roman" w:hAnsi="Times New Roman" w:cs="Times New Roman"/>
                <w:color w:val="000000"/>
                <w:spacing w:val="0"/>
                <w:w w:val="100"/>
                <w:position w:val="0"/>
                <w:sz w:val="24"/>
                <w:szCs w:val="24"/>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340" w:right="0" w:firstLine="0"/>
              <w:jc w:val="both"/>
              <w:rPr>
                <w:sz w:val="24"/>
                <w:szCs w:val="24"/>
              </w:rPr>
            </w:pPr>
            <w:r>
              <w:rPr>
                <w:rFonts w:ascii="Times New Roman" w:eastAsia="Times New Roman" w:hAnsi="Times New Roman" w:cs="Times New Roman"/>
                <w:color w:val="000000"/>
                <w:spacing w:val="0"/>
                <w:w w:val="100"/>
                <w:position w:val="0"/>
                <w:sz w:val="24"/>
                <w:szCs w:val="24"/>
              </w:rPr>
              <w:t>50</w:t>
            </w:r>
          </w:p>
        </w:tc>
      </w:tr>
      <w:tr>
        <w:trPr>
          <w:trHeight w:val="312"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应收账款</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left"/>
              <w:rPr>
                <w:sz w:val="24"/>
                <w:szCs w:val="24"/>
              </w:rPr>
            </w:pPr>
            <w:r>
              <w:rPr>
                <w:color w:val="000000"/>
                <w:spacing w:val="0"/>
                <w:w w:val="100"/>
                <w:position w:val="0"/>
                <w:sz w:val="24"/>
                <w:szCs w:val="24"/>
              </w:rPr>
              <w:t>淮安苏宁置业</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940" w:firstLine="0"/>
              <w:jc w:val="right"/>
              <w:rPr>
                <w:sz w:val="24"/>
                <w:szCs w:val="24"/>
              </w:rPr>
            </w:pPr>
            <w:r>
              <w:rPr>
                <w:rFonts w:ascii="Times New Roman" w:eastAsia="Times New Roman" w:hAnsi="Times New Roman" w:cs="Times New Roman"/>
                <w:color w:val="000000"/>
                <w:spacing w:val="0"/>
                <w:w w:val="100"/>
                <w:position w:val="0"/>
                <w:sz w:val="24"/>
                <w:szCs w:val="24"/>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1340" w:right="0" w:firstLine="0"/>
              <w:jc w:val="both"/>
              <w:rPr>
                <w:sz w:val="24"/>
                <w:szCs w:val="24"/>
              </w:rPr>
            </w:pPr>
            <w:r>
              <w:rPr>
                <w:rFonts w:ascii="Times New Roman" w:eastAsia="Times New Roman" w:hAnsi="Times New Roman" w:cs="Times New Roman"/>
                <w:color w:val="000000"/>
                <w:spacing w:val="0"/>
                <w:w w:val="100"/>
                <w:position w:val="0"/>
                <w:sz w:val="24"/>
                <w:szCs w:val="24"/>
              </w:rPr>
              <w:t>32</w:t>
            </w:r>
          </w:p>
        </w:tc>
      </w:tr>
      <w:tr>
        <w:trPr>
          <w:trHeight w:val="312"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应收账款</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40"/>
              <w:jc w:val="left"/>
              <w:rPr>
                <w:sz w:val="24"/>
                <w:szCs w:val="24"/>
              </w:rPr>
            </w:pPr>
            <w:r>
              <w:rPr>
                <w:color w:val="000000"/>
                <w:spacing w:val="0"/>
                <w:w w:val="100"/>
                <w:position w:val="0"/>
                <w:sz w:val="24"/>
                <w:szCs w:val="24"/>
              </w:rPr>
              <w:t>石家庄苏宁房地产开发</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940" w:firstLine="0"/>
              <w:jc w:val="right"/>
              <w:rPr>
                <w:sz w:val="24"/>
                <w:szCs w:val="24"/>
              </w:rPr>
            </w:pPr>
            <w:r>
              <w:rPr>
                <w:rFonts w:ascii="Times New Roman" w:eastAsia="Times New Roman" w:hAnsi="Times New Roman" w:cs="Times New Roman"/>
                <w:color w:val="000000"/>
                <w:spacing w:val="0"/>
                <w:w w:val="100"/>
                <w:position w:val="0"/>
                <w:sz w:val="24"/>
                <w:szCs w:val="24"/>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340" w:right="0" w:firstLine="0"/>
              <w:jc w:val="both"/>
              <w:rPr>
                <w:sz w:val="24"/>
                <w:szCs w:val="24"/>
              </w:rPr>
            </w:pPr>
            <w:r>
              <w:rPr>
                <w:rFonts w:ascii="Times New Roman" w:eastAsia="Times New Roman" w:hAnsi="Times New Roman" w:cs="Times New Roman"/>
                <w:color w:val="000000"/>
                <w:spacing w:val="0"/>
                <w:w w:val="100"/>
                <w:position w:val="0"/>
                <w:sz w:val="24"/>
                <w:szCs w:val="24"/>
              </w:rPr>
              <w:t>17</w:t>
            </w:r>
          </w:p>
        </w:tc>
      </w:tr>
      <w:tr>
        <w:trPr>
          <w:trHeight w:val="317"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应收账款</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40"/>
              <w:jc w:val="left"/>
              <w:rPr>
                <w:sz w:val="24"/>
                <w:szCs w:val="24"/>
              </w:rPr>
            </w:pPr>
            <w:r>
              <w:rPr>
                <w:color w:val="000000"/>
                <w:spacing w:val="0"/>
                <w:w w:val="100"/>
                <w:position w:val="0"/>
                <w:sz w:val="24"/>
                <w:szCs w:val="24"/>
              </w:rPr>
              <w:t>索菲特银河大酒店</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940" w:firstLine="0"/>
              <w:jc w:val="right"/>
              <w:rPr>
                <w:sz w:val="24"/>
                <w:szCs w:val="24"/>
              </w:rPr>
            </w:pPr>
            <w:r>
              <w:rPr>
                <w:rFonts w:ascii="Times New Roman" w:eastAsia="Times New Roman" w:hAnsi="Times New Roman" w:cs="Times New Roman"/>
                <w:color w:val="000000"/>
                <w:spacing w:val="0"/>
                <w:w w:val="100"/>
                <w:position w:val="0"/>
                <w:sz w:val="24"/>
                <w:szCs w:val="24"/>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2</w:t>
            </w:r>
          </w:p>
        </w:tc>
      </w:tr>
      <w:tr>
        <w:trPr>
          <w:trHeight w:val="312" w:hRule="exact"/>
        </w:trPr>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40"/>
              <w:jc w:val="left"/>
              <w:rPr>
                <w:sz w:val="24"/>
                <w:szCs w:val="24"/>
              </w:rPr>
            </w:pPr>
            <w:r>
              <w:rPr>
                <w:rFonts w:ascii="Times New Roman" w:eastAsia="Times New Roman" w:hAnsi="Times New Roman" w:cs="Times New Roman"/>
                <w:color w:val="000000"/>
                <w:spacing w:val="0"/>
                <w:w w:val="100"/>
                <w:position w:val="0"/>
                <w:sz w:val="24"/>
                <w:szCs w:val="24"/>
              </w:rPr>
              <w:t>112,160</w:t>
            </w:r>
          </w:p>
        </w:tc>
        <w:tc>
          <w:tcPr>
            <w:tcBorders>
              <w:top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40"/>
              <w:jc w:val="both"/>
              <w:rPr>
                <w:sz w:val="24"/>
                <w:szCs w:val="24"/>
              </w:rPr>
            </w:pPr>
            <w:r>
              <w:rPr>
                <w:rFonts w:ascii="Times New Roman" w:eastAsia="Times New Roman" w:hAnsi="Times New Roman" w:cs="Times New Roman"/>
                <w:color w:val="000000"/>
                <w:spacing w:val="0"/>
                <w:w w:val="100"/>
                <w:position w:val="0"/>
                <w:sz w:val="24"/>
                <w:szCs w:val="24"/>
              </w:rPr>
              <w:t>38,361</w:t>
            </w:r>
          </w:p>
        </w:tc>
      </w:tr>
    </w:tbl>
    <w:p>
      <w:pPr>
        <w:spacing w:lineRule="exact" w:line="1"/>
        <w:rPr>
          <w:sz w:val="2"/>
          <w:szCs w:val="2"/>
        </w:rPr>
      </w:pPr>
      <w:r>
        <w:br w:type="page"/>
      </w:r>
    </w:p>
    <w:p>
      <w:pPr>
        <w:pStyle w:val="Style32"/>
        <w:keepNext w:val="0"/>
        <w:keepLines w:val="0"/>
        <w:widowControl w:val="0"/>
        <w:shd w:val="clear" w:color="auto" w:fill="auto"/>
        <w:bidi w:val="0"/>
        <w:spacing w:before="0" w:after="0" w:line="240" w:lineRule="auto"/>
        <w:ind w:left="0" w:right="0" w:firstLine="740"/>
        <w:jc w:val="left"/>
        <w:rPr>
          <w:sz w:val="24"/>
          <w:szCs w:val="24"/>
        </w:rPr>
      </w:pPr>
      <w:r>
        <w:rPr>
          <w:b/>
          <w:bCs/>
          <w:color w:val="000000"/>
          <w:spacing w:val="0"/>
          <w:w w:val="100"/>
          <w:position w:val="0"/>
          <w:sz w:val="24"/>
          <w:szCs w:val="24"/>
        </w:rPr>
        <w:t>财务报表附注</w:t>
      </w:r>
    </w:p>
    <w:p>
      <w:pPr>
        <w:pStyle w:val="Style88"/>
        <w:keepNext/>
        <w:keepLines/>
        <w:widowControl w:val="0"/>
        <w:shd w:val="clear" w:color="auto" w:fill="auto"/>
        <w:bidi w:val="0"/>
        <w:spacing w:before="0" w:after="0" w:line="240" w:lineRule="auto"/>
        <w:ind w:left="0" w:right="0" w:firstLine="740"/>
        <w:jc w:val="left"/>
      </w:pPr>
      <w:bookmarkStart w:id="1107" w:name="bookmark1107"/>
      <w:bookmarkStart w:id="1108" w:name="bookmark1108"/>
      <w:bookmarkStart w:id="1109" w:name="bookmark1109"/>
      <w:r>
        <w:rPr>
          <w:color w:val="000000"/>
          <w:spacing w:val="0"/>
          <w:w w:val="100"/>
          <w:position w:val="0"/>
          <w:sz w:val="24"/>
          <w:szCs w:val="24"/>
        </w:rPr>
        <w:t>2016</w:t>
      </w:r>
      <w:r>
        <w:rPr>
          <w:rFonts w:ascii="SimSun" w:eastAsia="SimSun" w:hAnsi="SimSun" w:cs="SimSun"/>
          <w:b/>
          <w:bCs/>
          <w:color w:val="000000"/>
          <w:spacing w:val="0"/>
          <w:w w:val="100"/>
          <w:position w:val="0"/>
          <w:sz w:val="24"/>
          <w:szCs w:val="24"/>
        </w:rPr>
        <w:t>年度</w:t>
      </w:r>
      <w:bookmarkEnd w:id="1107"/>
      <w:bookmarkEnd w:id="1108"/>
      <w:bookmarkEnd w:id="1109"/>
    </w:p>
    <w:p>
      <w:pPr>
        <w:pStyle w:val="Style32"/>
        <w:keepNext w:val="0"/>
        <w:keepLines w:val="0"/>
        <w:widowControl w:val="0"/>
        <w:shd w:val="clear" w:color="auto" w:fill="auto"/>
        <w:bidi w:val="0"/>
        <w:spacing w:before="0" w:after="220" w:line="240" w:lineRule="auto"/>
        <w:ind w:left="0" w:right="0" w:firstLine="740"/>
        <w:jc w:val="left"/>
        <w:rPr>
          <w:sz w:val="20"/>
          <w:szCs w:val="20"/>
        </w:rPr>
      </w:pPr>
      <w:r>
        <w:rPr>
          <w:rFonts w:ascii="Arial" w:eastAsia="Arial" w:hAnsi="Arial" w:cs="Arial"/>
          <w:color w:val="000000"/>
          <w:spacing w:val="0"/>
          <w:w w:val="100"/>
          <w:position w:val="0"/>
          <w:sz w:val="20"/>
          <w:szCs w:val="20"/>
        </w:rPr>
        <w:t>（</w:t>
      </w:r>
      <w:r>
        <w:rPr>
          <w:color w:val="000000"/>
          <w:spacing w:val="0"/>
          <w:w w:val="100"/>
          <w:position w:val="0"/>
          <w:sz w:val="20"/>
          <w:szCs w:val="20"/>
        </w:rPr>
        <w:t>除特别注明外，金额单位为人民币千元</w:t>
      </w:r>
      <w:r>
        <w:rPr>
          <w:rFonts w:ascii="Arial" w:eastAsia="Arial" w:hAnsi="Arial" w:cs="Arial"/>
          <w:color w:val="000000"/>
          <w:spacing w:val="0"/>
          <w:w w:val="100"/>
          <w:position w:val="0"/>
          <w:sz w:val="20"/>
          <w:szCs w:val="20"/>
        </w:rPr>
        <w:t>）</w:t>
      </w:r>
    </w:p>
    <w:p>
      <w:pPr>
        <w:pStyle w:val="Style32"/>
        <w:keepNext w:val="0"/>
        <w:keepLines w:val="0"/>
        <w:widowControl w:val="0"/>
        <w:shd w:val="clear" w:color="auto" w:fill="auto"/>
        <w:tabs>
          <w:tab w:pos="686" w:val="left"/>
        </w:tabs>
        <w:bidi w:val="0"/>
        <w:spacing w:before="0" w:after="180" w:line="240" w:lineRule="auto"/>
        <w:ind w:left="0" w:right="0" w:firstLine="0"/>
        <w:jc w:val="left"/>
        <w:rPr>
          <w:sz w:val="24"/>
          <w:szCs w:val="24"/>
        </w:rPr>
      </w:pPr>
      <w:r>
        <w:rPr>
          <w:b/>
          <w:bCs/>
          <w:color w:val="000000"/>
          <w:spacing w:val="0"/>
          <w:w w:val="100"/>
          <w:position w:val="0"/>
          <w:sz w:val="24"/>
          <w:szCs w:val="24"/>
        </w:rPr>
        <w:t>八</w:t>
        <w:tab/>
        <w:t>关联方关系及其交易</w:t>
      </w:r>
      <w:r>
        <w:rPr>
          <w:rFonts w:ascii="Times New Roman" w:eastAsia="Times New Roman" w:hAnsi="Times New Roman" w:cs="Times New Roman"/>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4"/>
          <w:szCs w:val="24"/>
        </w:rPr>
        <w:t>）</w:t>
      </w:r>
    </w:p>
    <w:p>
      <w:pPr>
        <w:pStyle w:val="Style32"/>
        <w:keepNext w:val="0"/>
        <w:keepLines w:val="0"/>
        <w:widowControl w:val="0"/>
        <w:shd w:val="clear" w:color="auto" w:fill="auto"/>
        <w:bidi w:val="0"/>
        <w:spacing w:before="0" w:after="22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 xml:space="preserve">（7） </w:t>
      </w:r>
      <w:r>
        <w:rPr>
          <w:b/>
          <w:bCs/>
          <w:color w:val="000000"/>
          <w:spacing w:val="0"/>
          <w:w w:val="100"/>
          <w:position w:val="0"/>
          <w:sz w:val="24"/>
          <w:szCs w:val="24"/>
        </w:rPr>
        <w:t>应收、应付关联方款项余额</w:t>
      </w:r>
      <w:r>
        <w:rPr>
          <w:rFonts w:ascii="Times New Roman" w:eastAsia="Times New Roman" w:hAnsi="Times New Roman" w:cs="Times New Roman"/>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4"/>
          <w:szCs w:val="24"/>
        </w:rPr>
        <w:t>）</w:t>
      </w:r>
    </w:p>
    <w:p>
      <w:pPr>
        <w:pStyle w:val="Style32"/>
        <w:keepNext w:val="0"/>
        <w:keepLines w:val="0"/>
        <w:widowControl w:val="0"/>
        <w:shd w:val="clear" w:color="auto" w:fill="auto"/>
        <w:bidi w:val="0"/>
        <w:spacing w:before="0" w:after="280" w:line="240" w:lineRule="auto"/>
        <w:ind w:left="0" w:right="0" w:firstLine="740"/>
        <w:jc w:val="left"/>
        <w:rPr>
          <w:sz w:val="24"/>
          <w:szCs w:val="24"/>
        </w:rPr>
      </w:pPr>
      <w:r>
        <w:rPr>
          <w:color w:val="000000"/>
          <w:spacing w:val="0"/>
          <w:w w:val="100"/>
          <w:position w:val="0"/>
          <w:sz w:val="24"/>
          <w:szCs w:val="24"/>
        </w:rPr>
        <w:t>应收关联方款项</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续</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w:t>
      </w:r>
    </w:p>
    <w:tbl>
      <w:tblPr>
        <w:tblOverlap w:val="never"/>
        <w:jc w:val="right"/>
        <w:tblLayout w:type="fixed"/>
      </w:tblPr>
      <w:tblGrid>
        <w:gridCol w:w="1565"/>
        <w:gridCol w:w="2678"/>
        <w:gridCol w:w="2333"/>
        <w:gridCol w:w="2270"/>
      </w:tblGrid>
      <w:tr>
        <w:trPr>
          <w:trHeight w:val="432"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left"/>
              <w:rPr>
                <w:sz w:val="24"/>
                <w:szCs w:val="24"/>
              </w:rPr>
            </w:pP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2015</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w:t>
            </w:r>
          </w:p>
        </w:tc>
      </w:tr>
      <w:tr>
        <w:trPr>
          <w:trHeight w:val="446"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预付款项</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锤子科技</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440" w:right="0" w:firstLine="0"/>
              <w:jc w:val="left"/>
              <w:rPr>
                <w:sz w:val="24"/>
                <w:szCs w:val="24"/>
              </w:rPr>
            </w:pPr>
            <w:r>
              <w:rPr>
                <w:rFonts w:ascii="Times New Roman" w:eastAsia="Times New Roman" w:hAnsi="Times New Roman" w:cs="Times New Roman"/>
                <w:color w:val="000000"/>
                <w:spacing w:val="0"/>
                <w:w w:val="100"/>
                <w:position w:val="0"/>
                <w:sz w:val="24"/>
                <w:szCs w:val="24"/>
              </w:rPr>
              <w:t>2,187</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500" w:right="0" w:firstLine="0"/>
              <w:jc w:val="both"/>
              <w:rPr>
                <w:sz w:val="24"/>
                <w:szCs w:val="24"/>
              </w:rPr>
            </w:pPr>
            <w:r>
              <w:rPr>
                <w:rFonts w:ascii="Times New Roman" w:eastAsia="Times New Roman" w:hAnsi="Times New Roman" w:cs="Times New Roman"/>
                <w:color w:val="000000"/>
                <w:spacing w:val="0"/>
                <w:w w:val="100"/>
                <w:position w:val="0"/>
                <w:sz w:val="24"/>
                <w:szCs w:val="24"/>
              </w:rPr>
              <w:t>10,573</w:t>
            </w:r>
          </w:p>
        </w:tc>
      </w:tr>
      <w:tr>
        <w:trPr>
          <w:trHeight w:val="317"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预付款项</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阿里巴巴集团</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620" w:right="0" w:firstLine="0"/>
              <w:jc w:val="left"/>
              <w:rPr>
                <w:sz w:val="24"/>
                <w:szCs w:val="24"/>
              </w:rPr>
            </w:pPr>
            <w:r>
              <w:rPr>
                <w:rFonts w:ascii="Times New Roman" w:eastAsia="Times New Roman" w:hAnsi="Times New Roman" w:cs="Times New Roman"/>
                <w:color w:val="000000"/>
                <w:spacing w:val="0"/>
                <w:w w:val="100"/>
                <w:position w:val="0"/>
                <w:sz w:val="24"/>
                <w:szCs w:val="24"/>
              </w:rPr>
              <w:t>157</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2080" w:right="0" w:firstLine="0"/>
              <w:jc w:val="both"/>
              <w:rPr>
                <w:sz w:val="24"/>
                <w:szCs w:val="24"/>
              </w:rPr>
            </w:pPr>
            <w:r>
              <w:rPr>
                <w:rFonts w:ascii="Times New Roman" w:eastAsia="Times New Roman" w:hAnsi="Times New Roman" w:cs="Times New Roman"/>
                <w:color w:val="000000"/>
                <w:spacing w:val="0"/>
                <w:w w:val="100"/>
                <w:position w:val="0"/>
                <w:sz w:val="24"/>
                <w:szCs w:val="24"/>
              </w:rPr>
              <w:t>-</w:t>
            </w:r>
          </w:p>
        </w:tc>
      </w:tr>
      <w:tr>
        <w:trPr>
          <w:trHeight w:val="307"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预付款项</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苏宁置业</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440" w:right="0" w:firstLine="0"/>
              <w:jc w:val="left"/>
              <w:rPr>
                <w:sz w:val="24"/>
                <w:szCs w:val="24"/>
              </w:rPr>
            </w:pPr>
            <w:r>
              <w:rPr>
                <w:rFonts w:ascii="Times New Roman" w:eastAsia="Times New Roman" w:hAnsi="Times New Roman" w:cs="Times New Roman"/>
                <w:color w:val="000000"/>
                <w:spacing w:val="0"/>
                <w:w w:val="100"/>
                <w:position w:val="0"/>
                <w:sz w:val="24"/>
                <w:szCs w:val="24"/>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1580" w:right="0" w:firstLine="0"/>
              <w:jc w:val="both"/>
              <w:rPr>
                <w:sz w:val="24"/>
                <w:szCs w:val="24"/>
              </w:rPr>
            </w:pPr>
            <w:r>
              <w:rPr>
                <w:rFonts w:ascii="Times New Roman" w:eastAsia="Times New Roman" w:hAnsi="Times New Roman" w:cs="Times New Roman"/>
                <w:color w:val="000000"/>
                <w:spacing w:val="0"/>
                <w:w w:val="100"/>
                <w:position w:val="0"/>
                <w:sz w:val="24"/>
                <w:szCs w:val="24"/>
              </w:rPr>
              <w:t>1,000</w:t>
            </w:r>
          </w:p>
        </w:tc>
      </w:tr>
      <w:tr>
        <w:trPr>
          <w:trHeight w:val="317"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预付款项</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上海聚力</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440" w:right="0" w:firstLine="0"/>
              <w:jc w:val="left"/>
              <w:rPr>
                <w:sz w:val="24"/>
                <w:szCs w:val="24"/>
              </w:rPr>
            </w:pPr>
            <w:r>
              <w:rPr>
                <w:rFonts w:ascii="Times New Roman" w:eastAsia="Times New Roman" w:hAnsi="Times New Roman" w:cs="Times New Roman"/>
                <w:color w:val="000000"/>
                <w:spacing w:val="0"/>
                <w:w w:val="100"/>
                <w:position w:val="0"/>
                <w:sz w:val="24"/>
                <w:szCs w:val="24"/>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102</w:t>
            </w:r>
          </w:p>
        </w:tc>
      </w:tr>
      <w:tr>
        <w:trPr>
          <w:trHeight w:val="298" w:hRule="exact"/>
        </w:trPr>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440" w:right="0" w:firstLine="0"/>
              <w:jc w:val="left"/>
              <w:rPr>
                <w:sz w:val="24"/>
                <w:szCs w:val="24"/>
              </w:rPr>
            </w:pPr>
            <w:r>
              <w:rPr>
                <w:rFonts w:ascii="Times New Roman" w:eastAsia="Times New Roman" w:hAnsi="Times New Roman" w:cs="Times New Roman"/>
                <w:color w:val="000000"/>
                <w:spacing w:val="0"/>
                <w:w w:val="100"/>
                <w:position w:val="0"/>
                <w:sz w:val="24"/>
                <w:szCs w:val="24"/>
              </w:rPr>
              <w:t>2,344</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500" w:right="0" w:firstLine="0"/>
              <w:jc w:val="both"/>
              <w:rPr>
                <w:sz w:val="24"/>
                <w:szCs w:val="24"/>
              </w:rPr>
            </w:pPr>
            <w:r>
              <w:rPr>
                <w:rFonts w:ascii="Times New Roman" w:eastAsia="Times New Roman" w:hAnsi="Times New Roman" w:cs="Times New Roman"/>
                <w:color w:val="000000"/>
                <w:spacing w:val="0"/>
                <w:w w:val="100"/>
                <w:position w:val="0"/>
                <w:sz w:val="24"/>
                <w:szCs w:val="24"/>
              </w:rPr>
              <w:t>11,675</w:t>
            </w:r>
          </w:p>
        </w:tc>
      </w:tr>
      <w:tr>
        <w:trPr>
          <w:trHeight w:val="610"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其他应收款</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苏宁电器集团</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17"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left"/>
              <w:rPr>
                <w:sz w:val="24"/>
                <w:szCs w:val="24"/>
              </w:rPr>
            </w:pP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附注四</w:t>
            </w:r>
            <w:r>
              <w:rPr>
                <w:rFonts w:ascii="Times New Roman" w:eastAsia="Times New Roman" w:hAnsi="Times New Roman" w:cs="Times New Roman"/>
                <w:color w:val="000000"/>
                <w:spacing w:val="0"/>
                <w:w w:val="100"/>
                <w:position w:val="0"/>
                <w:sz w:val="24"/>
                <w:szCs w:val="24"/>
              </w:rPr>
              <w:t>（51））</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280" w:firstLine="0"/>
              <w:jc w:val="right"/>
              <w:rPr>
                <w:sz w:val="24"/>
                <w:szCs w:val="24"/>
              </w:rPr>
            </w:pPr>
            <w:r>
              <w:rPr>
                <w:rFonts w:ascii="Times New Roman" w:eastAsia="Times New Roman" w:hAnsi="Times New Roman" w:cs="Times New Roman"/>
                <w:color w:val="000000"/>
                <w:spacing w:val="0"/>
                <w:w w:val="100"/>
                <w:position w:val="0"/>
                <w:sz w:val="24"/>
                <w:szCs w:val="24"/>
              </w:rPr>
              <w:t>502,500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w:t>
            </w:r>
          </w:p>
        </w:tc>
      </w:tr>
      <w:tr>
        <w:trPr>
          <w:trHeight w:val="619"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应收利息</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苏宁消费金融</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440" w:right="0" w:firstLine="0"/>
              <w:jc w:val="left"/>
              <w:rPr>
                <w:sz w:val="24"/>
                <w:szCs w:val="24"/>
              </w:rPr>
            </w:pPr>
            <w:r>
              <w:rPr>
                <w:rFonts w:ascii="Times New Roman" w:eastAsia="Times New Roman" w:hAnsi="Times New Roman" w:cs="Times New Roman"/>
                <w:color w:val="000000"/>
                <w:spacing w:val="0"/>
                <w:w w:val="100"/>
                <w:position w:val="0"/>
                <w:sz w:val="24"/>
                <w:szCs w:val="24"/>
              </w:rPr>
              <w:t>5,504</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5,635</w:t>
            </w:r>
          </w:p>
        </w:tc>
      </w:tr>
      <w:tr>
        <w:trPr>
          <w:trHeight w:val="605"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其他流动资产</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成都鸿业置业苏宁广场</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440" w:right="0" w:firstLine="0"/>
              <w:jc w:val="left"/>
              <w:rPr>
                <w:sz w:val="24"/>
                <w:szCs w:val="24"/>
              </w:rPr>
            </w:pPr>
            <w:r>
              <w:rPr>
                <w:rFonts w:ascii="Times New Roman" w:eastAsia="Times New Roman" w:hAnsi="Times New Roman" w:cs="Times New Roman"/>
                <w:color w:val="000000"/>
                <w:spacing w:val="0"/>
                <w:w w:val="100"/>
                <w:position w:val="0"/>
                <w:sz w:val="24"/>
                <w:szCs w:val="24"/>
              </w:rPr>
              <w:t>8,186</w:t>
            </w:r>
          </w:p>
        </w:tc>
        <w:tc>
          <w:tcPr>
            <w:tcBorders>
              <w:top w:val="single" w:sz="4"/>
            </w:tcBorders>
            <w:shd w:val="clear" w:color="auto" w:fill="FFFFFF"/>
            <w:vAlign w:val="top"/>
          </w:tcPr>
          <w:p>
            <w:pPr>
              <w:widowControl w:val="0"/>
              <w:rPr>
                <w:sz w:val="10"/>
                <w:szCs w:val="10"/>
              </w:rPr>
            </w:pPr>
          </w:p>
        </w:tc>
      </w:tr>
      <w:tr>
        <w:trPr>
          <w:trHeight w:val="312"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其他流动资产</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无锡苏宁商业管理</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440" w:right="0" w:firstLine="0"/>
              <w:jc w:val="left"/>
              <w:rPr>
                <w:sz w:val="24"/>
                <w:szCs w:val="24"/>
              </w:rPr>
            </w:pPr>
            <w:r>
              <w:rPr>
                <w:rFonts w:ascii="Times New Roman" w:eastAsia="Times New Roman" w:hAnsi="Times New Roman" w:cs="Times New Roman"/>
                <w:color w:val="000000"/>
                <w:spacing w:val="0"/>
                <w:w w:val="100"/>
                <w:position w:val="0"/>
                <w:sz w:val="24"/>
                <w:szCs w:val="24"/>
              </w:rPr>
              <w:t>6,841</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6,776</w:t>
            </w:r>
          </w:p>
        </w:tc>
      </w:tr>
      <w:tr>
        <w:trPr>
          <w:trHeight w:val="312"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其他流动资产</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苏宁电器集团</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440" w:right="0" w:firstLine="0"/>
              <w:jc w:val="left"/>
              <w:rPr>
                <w:sz w:val="24"/>
                <w:szCs w:val="24"/>
              </w:rPr>
            </w:pPr>
            <w:r>
              <w:rPr>
                <w:rFonts w:ascii="Times New Roman" w:eastAsia="Times New Roman" w:hAnsi="Times New Roman" w:cs="Times New Roman"/>
                <w:color w:val="000000"/>
                <w:spacing w:val="0"/>
                <w:w w:val="100"/>
                <w:position w:val="0"/>
                <w:sz w:val="24"/>
                <w:szCs w:val="24"/>
              </w:rPr>
              <w:t>6,435</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2,043</w:t>
            </w:r>
          </w:p>
        </w:tc>
      </w:tr>
      <w:tr>
        <w:trPr>
          <w:trHeight w:val="307"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其他流动资产</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青岛苏宁置业</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440" w:right="0" w:firstLine="0"/>
              <w:jc w:val="left"/>
              <w:rPr>
                <w:sz w:val="24"/>
                <w:szCs w:val="24"/>
              </w:rPr>
            </w:pPr>
            <w:r>
              <w:rPr>
                <w:rFonts w:ascii="Times New Roman" w:eastAsia="Times New Roman" w:hAnsi="Times New Roman" w:cs="Times New Roman"/>
                <w:color w:val="000000"/>
                <w:spacing w:val="0"/>
                <w:w w:val="100"/>
                <w:position w:val="0"/>
                <w:sz w:val="24"/>
                <w:szCs w:val="24"/>
              </w:rPr>
              <w:t>2,711</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w:t>
            </w:r>
          </w:p>
        </w:tc>
      </w:tr>
      <w:tr>
        <w:trPr>
          <w:trHeight w:val="312"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其他流动资产</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苏宁置业集团清凉门</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440" w:right="0" w:firstLine="0"/>
              <w:jc w:val="left"/>
              <w:rPr>
                <w:sz w:val="24"/>
                <w:szCs w:val="24"/>
              </w:rPr>
            </w:pPr>
            <w:r>
              <w:rPr>
                <w:rFonts w:ascii="Times New Roman" w:eastAsia="Times New Roman" w:hAnsi="Times New Roman" w:cs="Times New Roman"/>
                <w:color w:val="000000"/>
                <w:spacing w:val="0"/>
                <w:w w:val="100"/>
                <w:position w:val="0"/>
                <w:sz w:val="24"/>
                <w:szCs w:val="24"/>
              </w:rPr>
              <w:t>2,663</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w:t>
            </w:r>
          </w:p>
        </w:tc>
      </w:tr>
      <w:tr>
        <w:trPr>
          <w:trHeight w:val="307"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其他流动资产</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苏宁置业</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1440" w:right="0" w:firstLine="0"/>
              <w:jc w:val="left"/>
              <w:rPr>
                <w:sz w:val="24"/>
                <w:szCs w:val="24"/>
              </w:rPr>
            </w:pPr>
            <w:r>
              <w:rPr>
                <w:rFonts w:ascii="Times New Roman" w:eastAsia="Times New Roman" w:hAnsi="Times New Roman" w:cs="Times New Roman"/>
                <w:color w:val="000000"/>
                <w:spacing w:val="0"/>
                <w:w w:val="100"/>
                <w:position w:val="0"/>
                <w:sz w:val="24"/>
                <w:szCs w:val="24"/>
              </w:rPr>
              <w:t>2,127</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w:t>
            </w:r>
          </w:p>
        </w:tc>
      </w:tr>
      <w:tr>
        <w:trPr>
          <w:trHeight w:val="317"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其他流动资产</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福州苏宁置业台江</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440" w:right="0" w:firstLine="0"/>
              <w:jc w:val="left"/>
              <w:rPr>
                <w:sz w:val="24"/>
                <w:szCs w:val="24"/>
              </w:rPr>
            </w:pPr>
            <w:r>
              <w:rPr>
                <w:rFonts w:ascii="Times New Roman" w:eastAsia="Times New Roman" w:hAnsi="Times New Roman" w:cs="Times New Roman"/>
                <w:color w:val="000000"/>
                <w:spacing w:val="0"/>
                <w:w w:val="100"/>
                <w:position w:val="0"/>
                <w:sz w:val="24"/>
                <w:szCs w:val="24"/>
              </w:rPr>
              <w:t>1,725</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1,798</w:t>
            </w:r>
          </w:p>
        </w:tc>
      </w:tr>
      <w:tr>
        <w:trPr>
          <w:trHeight w:val="307"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其他流动资产</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宿迁苏宁置业</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620" w:right="0" w:firstLine="0"/>
              <w:jc w:val="left"/>
              <w:rPr>
                <w:sz w:val="24"/>
                <w:szCs w:val="24"/>
              </w:rPr>
            </w:pPr>
            <w:r>
              <w:rPr>
                <w:rFonts w:ascii="Times New Roman" w:eastAsia="Times New Roman" w:hAnsi="Times New Roman" w:cs="Times New Roman"/>
                <w:color w:val="000000"/>
                <w:spacing w:val="0"/>
                <w:w w:val="100"/>
                <w:position w:val="0"/>
                <w:sz w:val="24"/>
                <w:szCs w:val="24"/>
              </w:rPr>
              <w:t>496</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919</w:t>
            </w:r>
          </w:p>
        </w:tc>
      </w:tr>
      <w:tr>
        <w:trPr>
          <w:trHeight w:val="312"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其他流动资产</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苏宁消费金融</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620" w:right="0" w:firstLine="0"/>
              <w:jc w:val="left"/>
              <w:rPr>
                <w:sz w:val="24"/>
                <w:szCs w:val="24"/>
              </w:rPr>
            </w:pPr>
            <w:r>
              <w:rPr>
                <w:rFonts w:ascii="Times New Roman" w:eastAsia="Times New Roman" w:hAnsi="Times New Roman" w:cs="Times New Roman"/>
                <w:color w:val="000000"/>
                <w:spacing w:val="0"/>
                <w:w w:val="100"/>
                <w:position w:val="0"/>
                <w:sz w:val="24"/>
                <w:szCs w:val="24"/>
              </w:rPr>
              <w:t>253</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w:t>
            </w:r>
          </w:p>
        </w:tc>
      </w:tr>
      <w:tr>
        <w:trPr>
          <w:trHeight w:val="307"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其他流动资产</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银河国际购物广场</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280" w:firstLine="0"/>
              <w:jc w:val="right"/>
              <w:rPr>
                <w:sz w:val="24"/>
                <w:szCs w:val="24"/>
              </w:rPr>
            </w:pPr>
            <w:r>
              <w:rPr>
                <w:rFonts w:ascii="Times New Roman" w:eastAsia="Times New Roman" w:hAnsi="Times New Roman" w:cs="Times New Roman"/>
                <w:color w:val="000000"/>
                <w:spacing w:val="0"/>
                <w:w w:val="100"/>
                <w:position w:val="0"/>
                <w:sz w:val="24"/>
                <w:szCs w:val="24"/>
              </w:rPr>
              <w:t>2</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w:t>
            </w:r>
          </w:p>
        </w:tc>
      </w:tr>
      <w:tr>
        <w:trPr>
          <w:trHeight w:val="317"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其他流动资产</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淮安苏宁置业</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280" w:firstLine="0"/>
              <w:jc w:val="right"/>
              <w:rPr>
                <w:sz w:val="24"/>
                <w:szCs w:val="24"/>
              </w:rPr>
            </w:pPr>
            <w:r>
              <w:rPr>
                <w:rFonts w:ascii="Times New Roman" w:eastAsia="Times New Roman" w:hAnsi="Times New Roman" w:cs="Times New Roman"/>
                <w:color w:val="000000"/>
                <w:spacing w:val="0"/>
                <w:w w:val="100"/>
                <w:position w:val="0"/>
                <w:sz w:val="24"/>
                <w:szCs w:val="24"/>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10</w:t>
            </w:r>
          </w:p>
        </w:tc>
      </w:tr>
      <w:tr>
        <w:trPr>
          <w:trHeight w:val="317"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其他流动资产</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江苏银河物业</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280" w:firstLine="0"/>
              <w:jc w:val="right"/>
              <w:rPr>
                <w:sz w:val="24"/>
                <w:szCs w:val="24"/>
              </w:rPr>
            </w:pPr>
            <w:r>
              <w:rPr>
                <w:rFonts w:ascii="Times New Roman" w:eastAsia="Times New Roman" w:hAnsi="Times New Roman" w:cs="Times New Roman"/>
                <w:color w:val="000000"/>
                <w:spacing w:val="0"/>
                <w:w w:val="100"/>
                <w:position w:val="0"/>
                <w:sz w:val="24"/>
                <w:szCs w:val="24"/>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7,857</w:t>
            </w:r>
          </w:p>
        </w:tc>
      </w:tr>
      <w:tr>
        <w:trPr>
          <w:trHeight w:val="307" w:hRule="exact"/>
        </w:trPr>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280" w:firstLine="0"/>
              <w:jc w:val="right"/>
              <w:rPr>
                <w:sz w:val="24"/>
                <w:szCs w:val="24"/>
              </w:rPr>
            </w:pPr>
            <w:r>
              <w:rPr>
                <w:rFonts w:ascii="Times New Roman" w:eastAsia="Times New Roman" w:hAnsi="Times New Roman" w:cs="Times New Roman"/>
                <w:color w:val="000000"/>
                <w:spacing w:val="0"/>
                <w:w w:val="100"/>
                <w:position w:val="0"/>
                <w:sz w:val="24"/>
                <w:szCs w:val="24"/>
              </w:rPr>
              <w:t>31,439</w:t>
            </w:r>
          </w:p>
        </w:tc>
        <w:tc>
          <w:tcPr>
            <w:tcBorders>
              <w:top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19,403</w:t>
            </w:r>
          </w:p>
        </w:tc>
      </w:tr>
    </w:tbl>
    <w:p>
      <w:pPr>
        <w:pStyle w:val="Style32"/>
        <w:keepNext w:val="0"/>
        <w:keepLines w:val="0"/>
        <w:widowControl w:val="0"/>
        <w:shd w:val="clear" w:color="auto" w:fill="auto"/>
        <w:bidi w:val="0"/>
        <w:spacing w:before="0" w:after="0" w:line="288" w:lineRule="exact"/>
        <w:ind w:left="740" w:right="0" w:firstLine="40"/>
        <w:jc w:val="left"/>
        <w:rPr>
          <w:sz w:val="24"/>
          <w:szCs w:val="24"/>
        </w:rPr>
      </w:pPr>
      <w:r>
        <w:rPr>
          <w:b/>
          <w:bCs/>
          <w:color w:val="000000"/>
          <w:spacing w:val="0"/>
          <w:w w:val="100"/>
          <w:position w:val="0"/>
          <w:sz w:val="24"/>
          <w:szCs w:val="24"/>
        </w:rPr>
        <w:t xml:space="preserve">财务报表附注 </w:t>
      </w:r>
      <w:r>
        <w:rPr>
          <w:rFonts w:ascii="Arial" w:eastAsia="Arial" w:hAnsi="Arial" w:cs="Arial"/>
          <w:color w:val="000000"/>
          <w:spacing w:val="0"/>
          <w:w w:val="100"/>
          <w:position w:val="0"/>
          <w:sz w:val="24"/>
          <w:szCs w:val="24"/>
        </w:rPr>
        <w:t>2016</w:t>
      </w:r>
      <w:r>
        <w:rPr>
          <w:b/>
          <w:bCs/>
          <w:color w:val="000000"/>
          <w:spacing w:val="0"/>
          <w:w w:val="100"/>
          <w:position w:val="0"/>
          <w:sz w:val="24"/>
          <w:szCs w:val="24"/>
        </w:rPr>
        <w:t>年度</w:t>
      </w:r>
    </w:p>
    <w:p>
      <w:pPr>
        <w:pStyle w:val="Style32"/>
        <w:keepNext w:val="0"/>
        <w:keepLines w:val="0"/>
        <w:widowControl w:val="0"/>
        <w:shd w:val="clear" w:color="auto" w:fill="auto"/>
        <w:bidi w:val="0"/>
        <w:spacing w:before="0" w:after="220" w:line="240" w:lineRule="auto"/>
        <w:ind w:left="0" w:right="0" w:firstLine="740"/>
        <w:jc w:val="left"/>
        <w:rPr>
          <w:sz w:val="20"/>
          <w:szCs w:val="20"/>
        </w:rPr>
      </w:pPr>
      <w:r>
        <w:rPr>
          <w:rFonts w:ascii="Arial" w:eastAsia="Arial" w:hAnsi="Arial" w:cs="Arial"/>
          <w:color w:val="000000"/>
          <w:spacing w:val="0"/>
          <w:w w:val="100"/>
          <w:position w:val="0"/>
          <w:sz w:val="20"/>
          <w:szCs w:val="20"/>
        </w:rPr>
        <w:t>（</w:t>
      </w:r>
      <w:r>
        <w:rPr>
          <w:color w:val="000000"/>
          <w:spacing w:val="0"/>
          <w:w w:val="100"/>
          <w:position w:val="0"/>
          <w:sz w:val="20"/>
          <w:szCs w:val="20"/>
        </w:rPr>
        <w:t>除特别注明外，金额单位为人民币千元</w:t>
      </w:r>
      <w:r>
        <w:rPr>
          <w:rFonts w:ascii="Arial" w:eastAsia="Arial" w:hAnsi="Arial" w:cs="Arial"/>
          <w:color w:val="000000"/>
          <w:spacing w:val="0"/>
          <w:w w:val="100"/>
          <w:position w:val="0"/>
          <w:sz w:val="20"/>
          <w:szCs w:val="20"/>
        </w:rPr>
        <w:t>）</w:t>
      </w:r>
    </w:p>
    <w:p>
      <w:pPr>
        <w:pStyle w:val="Style32"/>
        <w:keepNext w:val="0"/>
        <w:keepLines w:val="0"/>
        <w:widowControl w:val="0"/>
        <w:shd w:val="clear" w:color="auto" w:fill="auto"/>
        <w:tabs>
          <w:tab w:pos="686" w:val="left"/>
        </w:tabs>
        <w:bidi w:val="0"/>
        <w:spacing w:before="0" w:after="220" w:line="240" w:lineRule="auto"/>
        <w:ind w:left="0" w:right="0" w:firstLine="0"/>
        <w:jc w:val="left"/>
        <w:rPr>
          <w:sz w:val="24"/>
          <w:szCs w:val="24"/>
        </w:rPr>
      </w:pPr>
      <w:r>
        <w:rPr>
          <w:b/>
          <w:bCs/>
          <w:color w:val="000000"/>
          <w:spacing w:val="0"/>
          <w:w w:val="100"/>
          <w:position w:val="0"/>
          <w:sz w:val="24"/>
          <w:szCs w:val="24"/>
        </w:rPr>
        <w:t>八</w:t>
        <w:tab/>
        <w:t>关联方关系及其交易</w:t>
      </w:r>
      <w:r>
        <w:rPr>
          <w:rFonts w:ascii="Times New Roman" w:eastAsia="Times New Roman" w:hAnsi="Times New Roman" w:cs="Times New Roman"/>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4"/>
          <w:szCs w:val="24"/>
        </w:rPr>
        <w:t>）</w:t>
      </w:r>
    </w:p>
    <w:p>
      <w:pPr>
        <w:pStyle w:val="Style32"/>
        <w:keepNext w:val="0"/>
        <w:keepLines w:val="0"/>
        <w:widowControl w:val="0"/>
        <w:shd w:val="clear" w:color="auto" w:fill="auto"/>
        <w:bidi w:val="0"/>
        <w:spacing w:before="0" w:after="22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 xml:space="preserve">（7） </w:t>
      </w:r>
      <w:r>
        <w:rPr>
          <w:b/>
          <w:bCs/>
          <w:color w:val="000000"/>
          <w:spacing w:val="0"/>
          <w:w w:val="100"/>
          <w:position w:val="0"/>
          <w:sz w:val="24"/>
          <w:szCs w:val="24"/>
        </w:rPr>
        <w:t>应收、应付关联方款项余额</w:t>
      </w:r>
      <w:r>
        <w:rPr>
          <w:rFonts w:ascii="Times New Roman" w:eastAsia="Times New Roman" w:hAnsi="Times New Roman" w:cs="Times New Roman"/>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4"/>
          <w:szCs w:val="24"/>
        </w:rPr>
        <w:t>）</w:t>
      </w:r>
    </w:p>
    <w:p>
      <w:pPr>
        <w:pStyle w:val="Style32"/>
        <w:keepNext w:val="0"/>
        <w:keepLines w:val="0"/>
        <w:widowControl w:val="0"/>
        <w:shd w:val="clear" w:color="auto" w:fill="auto"/>
        <w:bidi w:val="0"/>
        <w:spacing w:before="0" w:after="340" w:line="240" w:lineRule="auto"/>
        <w:ind w:left="0" w:right="0" w:firstLine="740"/>
        <w:jc w:val="left"/>
        <w:rPr>
          <w:sz w:val="24"/>
          <w:szCs w:val="24"/>
        </w:rPr>
      </w:pPr>
      <w:r>
        <w:rPr>
          <w:color w:val="000000"/>
          <w:spacing w:val="0"/>
          <w:w w:val="100"/>
          <w:position w:val="0"/>
          <w:sz w:val="24"/>
          <w:szCs w:val="24"/>
        </w:rPr>
        <w:t>应付关联方款项：</w:t>
      </w:r>
    </w:p>
    <w:p>
      <w:pPr>
        <w:pStyle w:val="Style25"/>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 xml:space="preserve">日 </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w:t>
      </w:r>
    </w:p>
    <w:tbl>
      <w:tblPr>
        <w:tblOverlap w:val="never"/>
        <w:jc w:val="right"/>
        <w:tblLayout w:type="fixed"/>
      </w:tblPr>
      <w:tblGrid>
        <w:gridCol w:w="1330"/>
        <w:gridCol w:w="3250"/>
        <w:gridCol w:w="2640"/>
        <w:gridCol w:w="1642"/>
      </w:tblGrid>
      <w:tr>
        <w:trPr>
          <w:trHeight w:val="298"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应付账款</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left"/>
              <w:rPr>
                <w:sz w:val="24"/>
                <w:szCs w:val="24"/>
              </w:rPr>
            </w:pPr>
            <w:r>
              <w:rPr>
                <w:color w:val="000000"/>
                <w:spacing w:val="0"/>
                <w:w w:val="100"/>
                <w:position w:val="0"/>
                <w:sz w:val="24"/>
                <w:szCs w:val="24"/>
              </w:rPr>
              <w:t>上海通视铭泰</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080" w:right="0" w:firstLine="0"/>
              <w:jc w:val="both"/>
              <w:rPr>
                <w:sz w:val="24"/>
                <w:szCs w:val="24"/>
              </w:rPr>
            </w:pPr>
            <w:r>
              <w:rPr>
                <w:rFonts w:ascii="Times New Roman" w:eastAsia="Times New Roman" w:hAnsi="Times New Roman" w:cs="Times New Roman"/>
                <w:color w:val="000000"/>
                <w:spacing w:val="0"/>
                <w:w w:val="100"/>
                <w:position w:val="0"/>
                <w:sz w:val="24"/>
                <w:szCs w:val="24"/>
              </w:rPr>
              <w:t>88,888</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00"/>
              <w:jc w:val="left"/>
              <w:rPr>
                <w:sz w:val="24"/>
                <w:szCs w:val="24"/>
              </w:rPr>
            </w:pPr>
            <w:r>
              <w:rPr>
                <w:rFonts w:ascii="Times New Roman" w:eastAsia="Times New Roman" w:hAnsi="Times New Roman" w:cs="Times New Roman"/>
                <w:color w:val="000000"/>
                <w:spacing w:val="0"/>
                <w:w w:val="100"/>
                <w:position w:val="0"/>
                <w:sz w:val="24"/>
                <w:szCs w:val="24"/>
              </w:rPr>
              <w:t>44,565</w:t>
            </w:r>
          </w:p>
        </w:tc>
      </w:tr>
      <w:tr>
        <w:trPr>
          <w:trHeight w:val="312"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应付账款</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left"/>
              <w:rPr>
                <w:sz w:val="24"/>
                <w:szCs w:val="24"/>
              </w:rPr>
            </w:pPr>
            <w:r>
              <w:rPr>
                <w:color w:val="000000"/>
                <w:spacing w:val="0"/>
                <w:w w:val="100"/>
                <w:position w:val="0"/>
                <w:sz w:val="24"/>
                <w:szCs w:val="24"/>
              </w:rPr>
              <w:t>上海骋娱</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080" w:right="0" w:firstLine="0"/>
              <w:jc w:val="both"/>
              <w:rPr>
                <w:sz w:val="24"/>
                <w:szCs w:val="24"/>
              </w:rPr>
            </w:pPr>
            <w:r>
              <w:rPr>
                <w:rFonts w:ascii="Times New Roman" w:eastAsia="Times New Roman" w:hAnsi="Times New Roman" w:cs="Times New Roman"/>
                <w:color w:val="000000"/>
                <w:spacing w:val="0"/>
                <w:w w:val="100"/>
                <w:position w:val="0"/>
                <w:sz w:val="24"/>
                <w:szCs w:val="24"/>
              </w:rPr>
              <w:t>29,068</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00"/>
              <w:jc w:val="left"/>
              <w:rPr>
                <w:sz w:val="24"/>
                <w:szCs w:val="24"/>
              </w:rPr>
            </w:pPr>
            <w:r>
              <w:rPr>
                <w:rFonts w:ascii="Times New Roman" w:eastAsia="Times New Roman" w:hAnsi="Times New Roman" w:cs="Times New Roman"/>
                <w:color w:val="000000"/>
                <w:spacing w:val="0"/>
                <w:w w:val="100"/>
                <w:position w:val="0"/>
                <w:sz w:val="24"/>
                <w:szCs w:val="24"/>
              </w:rPr>
              <w:t>45,291</w:t>
            </w:r>
          </w:p>
        </w:tc>
      </w:tr>
      <w:tr>
        <w:trPr>
          <w:trHeight w:val="298" w:hRule="exact"/>
        </w:trPr>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117,956</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00"/>
              <w:jc w:val="left"/>
              <w:rPr>
                <w:sz w:val="24"/>
                <w:szCs w:val="24"/>
              </w:rPr>
            </w:pPr>
            <w:r>
              <w:rPr>
                <w:rFonts w:ascii="Times New Roman" w:eastAsia="Times New Roman" w:hAnsi="Times New Roman" w:cs="Times New Roman"/>
                <w:color w:val="000000"/>
                <w:spacing w:val="0"/>
                <w:w w:val="100"/>
                <w:position w:val="0"/>
                <w:sz w:val="24"/>
                <w:szCs w:val="24"/>
              </w:rPr>
              <w:t>89,856</w:t>
            </w:r>
          </w:p>
        </w:tc>
      </w:tr>
      <w:tr>
        <w:trPr>
          <w:trHeight w:val="605"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预收款项</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left"/>
              <w:rPr>
                <w:sz w:val="24"/>
                <w:szCs w:val="24"/>
              </w:rPr>
            </w:pPr>
            <w:r>
              <w:rPr>
                <w:color w:val="000000"/>
                <w:spacing w:val="0"/>
                <w:w w:val="100"/>
                <w:position w:val="0"/>
                <w:sz w:val="24"/>
                <w:szCs w:val="24"/>
              </w:rPr>
              <w:t>苏宁置业</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200" w:right="0" w:firstLine="0"/>
              <w:jc w:val="both"/>
              <w:rPr>
                <w:sz w:val="24"/>
                <w:szCs w:val="24"/>
              </w:rPr>
            </w:pPr>
            <w:r>
              <w:rPr>
                <w:rFonts w:ascii="Times New Roman" w:eastAsia="Times New Roman" w:hAnsi="Times New Roman" w:cs="Times New Roman"/>
                <w:color w:val="000000"/>
                <w:spacing w:val="0"/>
                <w:w w:val="100"/>
                <w:position w:val="0"/>
                <w:sz w:val="24"/>
                <w:szCs w:val="24"/>
              </w:rPr>
              <w:t>1,334</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1,568</w:t>
            </w:r>
          </w:p>
        </w:tc>
      </w:tr>
      <w:tr>
        <w:trPr>
          <w:trHeight w:val="312"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预收款项</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left"/>
              <w:rPr>
                <w:sz w:val="24"/>
                <w:szCs w:val="24"/>
              </w:rPr>
            </w:pPr>
            <w:r>
              <w:rPr>
                <w:color w:val="000000"/>
                <w:spacing w:val="0"/>
                <w:w w:val="100"/>
                <w:position w:val="0"/>
                <w:sz w:val="24"/>
                <w:szCs w:val="24"/>
              </w:rPr>
              <w:t>银河酒店管理公司</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1360" w:right="0" w:firstLine="0"/>
              <w:jc w:val="both"/>
              <w:rPr>
                <w:sz w:val="24"/>
                <w:szCs w:val="24"/>
              </w:rPr>
            </w:pPr>
            <w:r>
              <w:rPr>
                <w:rFonts w:ascii="Times New Roman" w:eastAsia="Times New Roman" w:hAnsi="Times New Roman" w:cs="Times New Roman"/>
                <w:color w:val="000000"/>
                <w:spacing w:val="0"/>
                <w:w w:val="100"/>
                <w:position w:val="0"/>
                <w:sz w:val="24"/>
                <w:szCs w:val="24"/>
              </w:rPr>
              <w:t>112</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w:t>
            </w:r>
          </w:p>
        </w:tc>
      </w:tr>
      <w:tr>
        <w:trPr>
          <w:trHeight w:val="307"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预收款项</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left"/>
              <w:rPr>
                <w:sz w:val="24"/>
                <w:szCs w:val="24"/>
              </w:rPr>
            </w:pPr>
            <w:r>
              <w:rPr>
                <w:color w:val="000000"/>
                <w:spacing w:val="0"/>
                <w:w w:val="100"/>
                <w:position w:val="0"/>
                <w:sz w:val="24"/>
                <w:szCs w:val="24"/>
              </w:rPr>
              <w:t>银河国际购物广场</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900" w:firstLine="0"/>
              <w:jc w:val="right"/>
              <w:rPr>
                <w:sz w:val="24"/>
                <w:szCs w:val="24"/>
              </w:rPr>
            </w:pPr>
            <w:r>
              <w:rPr>
                <w:rFonts w:ascii="Times New Roman" w:eastAsia="Times New Roman" w:hAnsi="Times New Roman" w:cs="Times New Roman"/>
                <w:color w:val="000000"/>
                <w:spacing w:val="0"/>
                <w:w w:val="100"/>
                <w:position w:val="0"/>
                <w:sz w:val="24"/>
                <w:szCs w:val="24"/>
              </w:rPr>
              <w:t>5</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26</w:t>
            </w:r>
          </w:p>
        </w:tc>
      </w:tr>
      <w:tr>
        <w:trPr>
          <w:trHeight w:val="312"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预收款项</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left"/>
              <w:rPr>
                <w:sz w:val="24"/>
                <w:szCs w:val="24"/>
              </w:rPr>
            </w:pPr>
            <w:r>
              <w:rPr>
                <w:color w:val="000000"/>
                <w:spacing w:val="0"/>
                <w:w w:val="100"/>
                <w:position w:val="0"/>
                <w:sz w:val="24"/>
                <w:szCs w:val="24"/>
              </w:rPr>
              <w:t>宿迁苏宁置业</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600" w:right="0" w:firstLine="0"/>
              <w:jc w:val="both"/>
              <w:rPr>
                <w:sz w:val="24"/>
                <w:szCs w:val="24"/>
              </w:rPr>
            </w:pPr>
            <w:r>
              <w:rPr>
                <w:rFonts w:ascii="Times New Roman" w:eastAsia="Times New Roman" w:hAnsi="Times New Roman" w:cs="Times New Roman"/>
                <w:color w:val="000000"/>
                <w:spacing w:val="0"/>
                <w:w w:val="100"/>
                <w:position w:val="0"/>
                <w:sz w:val="24"/>
                <w:szCs w:val="24"/>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1200" w:right="0" w:firstLine="0"/>
              <w:jc w:val="left"/>
              <w:rPr>
                <w:sz w:val="24"/>
                <w:szCs w:val="24"/>
              </w:rPr>
            </w:pPr>
            <w:r>
              <w:rPr>
                <w:rFonts w:ascii="Times New Roman" w:eastAsia="Times New Roman" w:hAnsi="Times New Roman" w:cs="Times New Roman"/>
                <w:color w:val="000000"/>
                <w:spacing w:val="0"/>
                <w:w w:val="100"/>
                <w:position w:val="0"/>
                <w:sz w:val="24"/>
                <w:szCs w:val="24"/>
              </w:rPr>
              <w:t>612</w:t>
            </w:r>
          </w:p>
        </w:tc>
      </w:tr>
      <w:tr>
        <w:trPr>
          <w:trHeight w:val="312"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预收款项</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left"/>
              <w:rPr>
                <w:sz w:val="24"/>
                <w:szCs w:val="24"/>
              </w:rPr>
            </w:pPr>
            <w:r>
              <w:rPr>
                <w:color w:val="000000"/>
                <w:spacing w:val="0"/>
                <w:w w:val="100"/>
                <w:position w:val="0"/>
                <w:sz w:val="24"/>
                <w:szCs w:val="24"/>
              </w:rPr>
              <w:t>江苏银河物业</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600" w:right="0" w:firstLine="0"/>
              <w:jc w:val="both"/>
              <w:rPr>
                <w:sz w:val="24"/>
                <w:szCs w:val="24"/>
              </w:rPr>
            </w:pPr>
            <w:r>
              <w:rPr>
                <w:rFonts w:ascii="Times New Roman" w:eastAsia="Times New Roman" w:hAnsi="Times New Roman" w:cs="Times New Roman"/>
                <w:color w:val="000000"/>
                <w:spacing w:val="0"/>
                <w:w w:val="100"/>
                <w:position w:val="0"/>
                <w:sz w:val="24"/>
                <w:szCs w:val="24"/>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1200" w:right="0" w:firstLine="0"/>
              <w:jc w:val="left"/>
              <w:rPr>
                <w:sz w:val="24"/>
                <w:szCs w:val="24"/>
              </w:rPr>
            </w:pPr>
            <w:r>
              <w:rPr>
                <w:rFonts w:ascii="Times New Roman" w:eastAsia="Times New Roman" w:hAnsi="Times New Roman" w:cs="Times New Roman"/>
                <w:color w:val="000000"/>
                <w:spacing w:val="0"/>
                <w:w w:val="100"/>
                <w:position w:val="0"/>
                <w:sz w:val="24"/>
                <w:szCs w:val="24"/>
              </w:rPr>
              <w:t>224</w:t>
            </w:r>
          </w:p>
        </w:tc>
      </w:tr>
      <w:tr>
        <w:trPr>
          <w:trHeight w:val="317"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预收款项</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left"/>
              <w:rPr>
                <w:sz w:val="24"/>
                <w:szCs w:val="24"/>
              </w:rPr>
            </w:pPr>
            <w:r>
              <w:rPr>
                <w:color w:val="000000"/>
                <w:spacing w:val="0"/>
                <w:w w:val="100"/>
                <w:position w:val="0"/>
                <w:sz w:val="24"/>
                <w:szCs w:val="24"/>
              </w:rPr>
              <w:t>苏宁消费金融</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600" w:right="0" w:firstLine="0"/>
              <w:jc w:val="both"/>
              <w:rPr>
                <w:sz w:val="24"/>
                <w:szCs w:val="24"/>
              </w:rPr>
            </w:pPr>
            <w:r>
              <w:rPr>
                <w:rFonts w:ascii="Times New Roman" w:eastAsia="Times New Roman" w:hAnsi="Times New Roman" w:cs="Times New Roman"/>
                <w:color w:val="000000"/>
                <w:spacing w:val="0"/>
                <w:w w:val="100"/>
                <w:position w:val="0"/>
                <w:sz w:val="24"/>
                <w:szCs w:val="24"/>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1200" w:right="0" w:firstLine="0"/>
              <w:jc w:val="left"/>
              <w:rPr>
                <w:sz w:val="24"/>
                <w:szCs w:val="24"/>
              </w:rPr>
            </w:pPr>
            <w:r>
              <w:rPr>
                <w:rFonts w:ascii="Times New Roman" w:eastAsia="Times New Roman" w:hAnsi="Times New Roman" w:cs="Times New Roman"/>
                <w:color w:val="000000"/>
                <w:spacing w:val="0"/>
                <w:w w:val="100"/>
                <w:position w:val="0"/>
                <w:sz w:val="24"/>
                <w:szCs w:val="24"/>
              </w:rPr>
              <w:t>104</w:t>
            </w:r>
          </w:p>
        </w:tc>
      </w:tr>
      <w:tr>
        <w:trPr>
          <w:trHeight w:val="293" w:hRule="exact"/>
        </w:trPr>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200" w:right="0" w:firstLine="0"/>
              <w:jc w:val="both"/>
              <w:rPr>
                <w:sz w:val="24"/>
                <w:szCs w:val="24"/>
              </w:rPr>
            </w:pPr>
            <w:r>
              <w:rPr>
                <w:rFonts w:ascii="Times New Roman" w:eastAsia="Times New Roman" w:hAnsi="Times New Roman" w:cs="Times New Roman"/>
                <w:color w:val="000000"/>
                <w:spacing w:val="0"/>
                <w:w w:val="100"/>
                <w:position w:val="0"/>
                <w:sz w:val="24"/>
                <w:szCs w:val="24"/>
              </w:rPr>
              <w:t>1,451</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2,534</w:t>
            </w:r>
          </w:p>
        </w:tc>
      </w:tr>
      <w:tr>
        <w:trPr>
          <w:trHeight w:val="634"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应付利息</w:t>
            </w:r>
          </w:p>
        </w:tc>
        <w:tc>
          <w:tcPr>
            <w:tcBorders>
              <w:top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left"/>
              <w:rPr>
                <w:sz w:val="24"/>
                <w:szCs w:val="24"/>
              </w:rPr>
            </w:pPr>
            <w:r>
              <w:rPr>
                <w:color w:val="000000"/>
                <w:spacing w:val="0"/>
                <w:w w:val="100"/>
                <w:position w:val="0"/>
                <w:sz w:val="24"/>
                <w:szCs w:val="24"/>
              </w:rPr>
              <w:t>苏宁金控投资</w:t>
            </w:r>
          </w:p>
        </w:tc>
        <w:tc>
          <w:tcPr>
            <w:tcBorders>
              <w:top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360" w:right="0" w:firstLine="0"/>
              <w:jc w:val="both"/>
              <w:rPr>
                <w:sz w:val="24"/>
                <w:szCs w:val="24"/>
              </w:rPr>
            </w:pPr>
            <w:r>
              <w:rPr>
                <w:rFonts w:ascii="Times New Roman" w:eastAsia="Times New Roman" w:hAnsi="Times New Roman" w:cs="Times New Roman"/>
                <w:color w:val="000000"/>
                <w:spacing w:val="0"/>
                <w:w w:val="100"/>
                <w:position w:val="0"/>
                <w:sz w:val="24"/>
                <w:szCs w:val="24"/>
              </w:rPr>
              <w:t>375</w:t>
            </w:r>
          </w:p>
        </w:tc>
        <w:tc>
          <w:tcPr>
            <w:tcBorders>
              <w:top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w:t>
            </w:r>
          </w:p>
        </w:tc>
      </w:tr>
    </w:tbl>
    <w:p>
      <w:pPr>
        <w:spacing w:lineRule="exact" w:line="1"/>
        <w:rPr>
          <w:sz w:val="2"/>
          <w:szCs w:val="2"/>
        </w:rPr>
      </w:pPr>
      <w:r>
        <w:br w:type="page"/>
      </w:r>
    </w:p>
    <w:p>
      <w:pPr>
        <w:pStyle w:val="Style32"/>
        <w:keepNext w:val="0"/>
        <w:keepLines w:val="0"/>
        <w:widowControl w:val="0"/>
        <w:shd w:val="clear" w:color="auto" w:fill="auto"/>
        <w:bidi w:val="0"/>
        <w:spacing w:before="0" w:after="0" w:line="240" w:lineRule="auto"/>
        <w:ind w:left="0" w:right="0" w:firstLine="720"/>
        <w:jc w:val="left"/>
        <w:rPr>
          <w:sz w:val="24"/>
          <w:szCs w:val="24"/>
        </w:rPr>
      </w:pPr>
      <w:r>
        <w:rPr>
          <w:b/>
          <w:bCs/>
          <w:color w:val="000000"/>
          <w:spacing w:val="0"/>
          <w:w w:val="100"/>
          <w:position w:val="0"/>
          <w:sz w:val="24"/>
          <w:szCs w:val="24"/>
        </w:rPr>
        <w:t>财务报表附注</w:t>
      </w:r>
    </w:p>
    <w:p>
      <w:pPr>
        <w:pStyle w:val="Style88"/>
        <w:keepNext/>
        <w:keepLines/>
        <w:widowControl w:val="0"/>
        <w:shd w:val="clear" w:color="auto" w:fill="auto"/>
        <w:bidi w:val="0"/>
        <w:spacing w:before="0" w:after="0" w:line="240" w:lineRule="auto"/>
        <w:ind w:left="0" w:right="0" w:firstLine="720"/>
        <w:jc w:val="left"/>
      </w:pPr>
      <w:bookmarkStart w:id="1110" w:name="bookmark1110"/>
      <w:bookmarkStart w:id="1111" w:name="bookmark1111"/>
      <w:bookmarkStart w:id="1112" w:name="bookmark1112"/>
      <w:r>
        <w:rPr>
          <w:color w:val="000000"/>
          <w:spacing w:val="0"/>
          <w:w w:val="100"/>
          <w:position w:val="0"/>
          <w:sz w:val="24"/>
          <w:szCs w:val="24"/>
        </w:rPr>
        <w:t>2016</w:t>
      </w:r>
      <w:r>
        <w:rPr>
          <w:rFonts w:ascii="SimSun" w:eastAsia="SimSun" w:hAnsi="SimSun" w:cs="SimSun"/>
          <w:b/>
          <w:bCs/>
          <w:color w:val="000000"/>
          <w:spacing w:val="0"/>
          <w:w w:val="100"/>
          <w:position w:val="0"/>
          <w:sz w:val="24"/>
          <w:szCs w:val="24"/>
        </w:rPr>
        <w:t>年度</w:t>
      </w:r>
      <w:bookmarkEnd w:id="1110"/>
      <w:bookmarkEnd w:id="1111"/>
      <w:bookmarkEnd w:id="1112"/>
    </w:p>
    <w:p>
      <w:pPr>
        <w:pStyle w:val="Style32"/>
        <w:keepNext w:val="0"/>
        <w:keepLines w:val="0"/>
        <w:widowControl w:val="0"/>
        <w:shd w:val="clear" w:color="auto" w:fill="auto"/>
        <w:bidi w:val="0"/>
        <w:spacing w:before="0" w:after="260" w:line="240" w:lineRule="auto"/>
        <w:ind w:left="0" w:right="0" w:firstLine="720"/>
        <w:jc w:val="left"/>
        <w:rPr>
          <w:sz w:val="20"/>
          <w:szCs w:val="20"/>
        </w:rPr>
      </w:pPr>
      <w:r>
        <w:rPr>
          <w:rFonts w:ascii="Arial" w:eastAsia="Arial" w:hAnsi="Arial" w:cs="Arial"/>
          <w:color w:val="000000"/>
          <w:spacing w:val="0"/>
          <w:w w:val="100"/>
          <w:position w:val="0"/>
          <w:sz w:val="20"/>
          <w:szCs w:val="20"/>
        </w:rPr>
        <w:t>（</w:t>
      </w:r>
      <w:r>
        <w:rPr>
          <w:color w:val="000000"/>
          <w:spacing w:val="0"/>
          <w:w w:val="100"/>
          <w:position w:val="0"/>
          <w:sz w:val="20"/>
          <w:szCs w:val="20"/>
        </w:rPr>
        <w:t>除特别注明外，金额单位为人民币千元</w:t>
      </w:r>
      <w:r>
        <w:rPr>
          <w:rFonts w:ascii="Arial" w:eastAsia="Arial" w:hAnsi="Arial" w:cs="Arial"/>
          <w:color w:val="000000"/>
          <w:spacing w:val="0"/>
          <w:w w:val="100"/>
          <w:position w:val="0"/>
          <w:sz w:val="20"/>
          <w:szCs w:val="20"/>
        </w:rPr>
        <w:t>）</w:t>
      </w:r>
    </w:p>
    <w:p>
      <w:pPr>
        <w:pStyle w:val="Style32"/>
        <w:keepNext w:val="0"/>
        <w:keepLines w:val="0"/>
        <w:widowControl w:val="0"/>
        <w:shd w:val="clear" w:color="auto" w:fill="auto"/>
        <w:tabs>
          <w:tab w:pos="672" w:val="left"/>
        </w:tabs>
        <w:bidi w:val="0"/>
        <w:spacing w:before="0" w:after="260" w:line="240" w:lineRule="auto"/>
        <w:ind w:left="0" w:right="0" w:firstLine="0"/>
        <w:jc w:val="left"/>
        <w:rPr>
          <w:sz w:val="24"/>
          <w:szCs w:val="24"/>
        </w:rPr>
      </w:pPr>
      <w:r>
        <w:rPr>
          <w:b/>
          <w:bCs/>
          <w:color w:val="000000"/>
          <w:spacing w:val="0"/>
          <w:w w:val="100"/>
          <w:position w:val="0"/>
          <w:sz w:val="24"/>
          <w:szCs w:val="24"/>
        </w:rPr>
        <w:t>八</w:t>
        <w:tab/>
        <w:t>关联方关系及其交易</w:t>
      </w:r>
      <w:r>
        <w:rPr>
          <w:rFonts w:ascii="Times New Roman" w:eastAsia="Times New Roman" w:hAnsi="Times New Roman" w:cs="Times New Roman"/>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4"/>
          <w:szCs w:val="24"/>
        </w:rPr>
        <w:t>）</w:t>
      </w:r>
    </w:p>
    <w:p>
      <w:pPr>
        <w:pStyle w:val="Style32"/>
        <w:keepNext w:val="0"/>
        <w:keepLines w:val="0"/>
        <w:widowControl w:val="0"/>
        <w:shd w:val="clear" w:color="auto" w:fill="auto"/>
        <w:bidi w:val="0"/>
        <w:spacing w:before="0" w:after="26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 xml:space="preserve">（7） </w:t>
      </w:r>
      <w:r>
        <w:rPr>
          <w:b/>
          <w:bCs/>
          <w:color w:val="000000"/>
          <w:spacing w:val="0"/>
          <w:w w:val="100"/>
          <w:position w:val="0"/>
          <w:sz w:val="24"/>
          <w:szCs w:val="24"/>
        </w:rPr>
        <w:t>应收、应付关联方款项余额</w:t>
      </w:r>
      <w:r>
        <w:rPr>
          <w:rFonts w:ascii="Times New Roman" w:eastAsia="Times New Roman" w:hAnsi="Times New Roman" w:cs="Times New Roman"/>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4"/>
          <w:szCs w:val="24"/>
        </w:rPr>
        <w:t>）</w:t>
      </w:r>
    </w:p>
    <w:p>
      <w:pPr>
        <w:pStyle w:val="Style32"/>
        <w:keepNext w:val="0"/>
        <w:keepLines w:val="0"/>
        <w:widowControl w:val="0"/>
        <w:shd w:val="clear" w:color="auto" w:fill="auto"/>
        <w:bidi w:val="0"/>
        <w:spacing w:before="0" w:after="260" w:line="240" w:lineRule="auto"/>
        <w:ind w:left="0" w:right="0" w:firstLine="720"/>
        <w:jc w:val="left"/>
        <w:rPr>
          <w:sz w:val="24"/>
          <w:szCs w:val="24"/>
        </w:rPr>
      </w:pPr>
      <w:r>
        <w:rPr>
          <w:color w:val="000000"/>
          <w:spacing w:val="0"/>
          <w:w w:val="100"/>
          <w:position w:val="0"/>
          <w:sz w:val="24"/>
          <w:szCs w:val="24"/>
        </w:rPr>
        <w:t>应付关联方款项</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续</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w:t>
      </w:r>
    </w:p>
    <w:tbl>
      <w:tblPr>
        <w:tblOverlap w:val="never"/>
        <w:jc w:val="right"/>
        <w:tblLayout w:type="fixed"/>
      </w:tblPr>
      <w:tblGrid>
        <w:gridCol w:w="1450"/>
        <w:gridCol w:w="2798"/>
        <w:gridCol w:w="2347"/>
        <w:gridCol w:w="2266"/>
      </w:tblGrid>
      <w:tr>
        <w:trPr>
          <w:trHeight w:val="437"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80" w:right="0" w:firstLine="0"/>
              <w:jc w:val="center"/>
              <w:rPr>
                <w:sz w:val="24"/>
                <w:szCs w:val="24"/>
              </w:rPr>
            </w:pP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2015</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w:t>
            </w:r>
          </w:p>
        </w:tc>
      </w:tr>
      <w:tr>
        <w:trPr>
          <w:trHeight w:val="451"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其他应付款</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both"/>
              <w:rPr>
                <w:sz w:val="24"/>
                <w:szCs w:val="24"/>
              </w:rPr>
            </w:pPr>
            <w:r>
              <w:rPr>
                <w:color w:val="000000"/>
                <w:spacing w:val="0"/>
                <w:w w:val="100"/>
                <w:position w:val="0"/>
                <w:sz w:val="24"/>
                <w:szCs w:val="24"/>
              </w:rPr>
              <w:t>苏宁置业</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320" w:firstLine="0"/>
              <w:jc w:val="right"/>
              <w:rPr>
                <w:sz w:val="24"/>
                <w:szCs w:val="24"/>
              </w:rPr>
            </w:pPr>
            <w:r>
              <w:rPr>
                <w:rFonts w:ascii="Times New Roman" w:eastAsia="Times New Roman" w:hAnsi="Times New Roman" w:cs="Times New Roman"/>
                <w:color w:val="000000"/>
                <w:spacing w:val="0"/>
                <w:w w:val="100"/>
                <w:position w:val="0"/>
                <w:sz w:val="24"/>
                <w:szCs w:val="24"/>
              </w:rPr>
              <w:t>82,082</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460" w:right="0" w:firstLine="0"/>
              <w:jc w:val="both"/>
              <w:rPr>
                <w:sz w:val="24"/>
                <w:szCs w:val="24"/>
              </w:rPr>
            </w:pPr>
            <w:r>
              <w:rPr>
                <w:rFonts w:ascii="Times New Roman" w:eastAsia="Times New Roman" w:hAnsi="Times New Roman" w:cs="Times New Roman"/>
                <w:color w:val="000000"/>
                <w:spacing w:val="0"/>
                <w:w w:val="100"/>
                <w:position w:val="0"/>
                <w:sz w:val="24"/>
                <w:szCs w:val="24"/>
              </w:rPr>
              <w:t>70,980</w:t>
            </w:r>
          </w:p>
        </w:tc>
      </w:tr>
      <w:tr>
        <w:trPr>
          <w:trHeight w:val="312"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其他应付款</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both"/>
              <w:rPr>
                <w:sz w:val="24"/>
                <w:szCs w:val="24"/>
              </w:rPr>
            </w:pPr>
            <w:r>
              <w:rPr>
                <w:color w:val="000000"/>
                <w:spacing w:val="0"/>
                <w:w w:val="100"/>
                <w:position w:val="0"/>
                <w:sz w:val="24"/>
                <w:szCs w:val="24"/>
              </w:rPr>
              <w:t>上海苏宁房地产开发</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320" w:firstLine="0"/>
              <w:jc w:val="right"/>
              <w:rPr>
                <w:sz w:val="24"/>
                <w:szCs w:val="24"/>
              </w:rPr>
            </w:pPr>
            <w:r>
              <w:rPr>
                <w:rFonts w:ascii="Times New Roman" w:eastAsia="Times New Roman" w:hAnsi="Times New Roman" w:cs="Times New Roman"/>
                <w:color w:val="000000"/>
                <w:spacing w:val="0"/>
                <w:w w:val="100"/>
                <w:position w:val="0"/>
                <w:sz w:val="24"/>
                <w:szCs w:val="24"/>
              </w:rPr>
              <w:t>10,403</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460" w:right="0" w:firstLine="0"/>
              <w:jc w:val="both"/>
              <w:rPr>
                <w:sz w:val="24"/>
                <w:szCs w:val="24"/>
              </w:rPr>
            </w:pPr>
            <w:r>
              <w:rPr>
                <w:rFonts w:ascii="Times New Roman" w:eastAsia="Times New Roman" w:hAnsi="Times New Roman" w:cs="Times New Roman"/>
                <w:color w:val="000000"/>
                <w:spacing w:val="0"/>
                <w:w w:val="100"/>
                <w:position w:val="0"/>
                <w:sz w:val="24"/>
                <w:szCs w:val="24"/>
              </w:rPr>
              <w:t>22,803</w:t>
            </w:r>
          </w:p>
        </w:tc>
      </w:tr>
      <w:tr>
        <w:trPr>
          <w:trHeight w:val="307"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其他应付款</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20"/>
              <w:jc w:val="both"/>
              <w:rPr>
                <w:sz w:val="24"/>
                <w:szCs w:val="24"/>
              </w:rPr>
            </w:pPr>
            <w:r>
              <w:rPr>
                <w:color w:val="000000"/>
                <w:spacing w:val="0"/>
                <w:w w:val="100"/>
                <w:position w:val="0"/>
                <w:sz w:val="24"/>
                <w:szCs w:val="24"/>
              </w:rPr>
              <w:t>苏宁消费金融</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460" w:right="0" w:firstLine="0"/>
              <w:jc w:val="both"/>
              <w:rPr>
                <w:sz w:val="24"/>
                <w:szCs w:val="24"/>
              </w:rPr>
            </w:pPr>
            <w:r>
              <w:rPr>
                <w:rFonts w:ascii="Times New Roman" w:eastAsia="Times New Roman" w:hAnsi="Times New Roman" w:cs="Times New Roman"/>
                <w:color w:val="000000"/>
                <w:spacing w:val="0"/>
                <w:w w:val="100"/>
                <w:position w:val="0"/>
                <w:sz w:val="24"/>
                <w:szCs w:val="24"/>
              </w:rPr>
              <w:t>9,055</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w:t>
            </w:r>
          </w:p>
        </w:tc>
      </w:tr>
      <w:tr>
        <w:trPr>
          <w:trHeight w:val="312"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其他应付款</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20"/>
              <w:jc w:val="both"/>
              <w:rPr>
                <w:sz w:val="24"/>
                <w:szCs w:val="24"/>
              </w:rPr>
            </w:pPr>
            <w:r>
              <w:rPr>
                <w:color w:val="000000"/>
                <w:spacing w:val="0"/>
                <w:w w:val="100"/>
                <w:position w:val="0"/>
                <w:sz w:val="24"/>
                <w:szCs w:val="24"/>
              </w:rPr>
              <w:t>江苏苏宁广场商业管理</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460" w:right="0" w:firstLine="0"/>
              <w:jc w:val="both"/>
              <w:rPr>
                <w:sz w:val="24"/>
                <w:szCs w:val="24"/>
              </w:rPr>
            </w:pPr>
            <w:r>
              <w:rPr>
                <w:rFonts w:ascii="Times New Roman" w:eastAsia="Times New Roman" w:hAnsi="Times New Roman" w:cs="Times New Roman"/>
                <w:color w:val="000000"/>
                <w:spacing w:val="0"/>
                <w:w w:val="100"/>
                <w:position w:val="0"/>
                <w:sz w:val="24"/>
                <w:szCs w:val="24"/>
              </w:rPr>
              <w:t>8,834</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w:t>
            </w:r>
          </w:p>
        </w:tc>
      </w:tr>
      <w:tr>
        <w:trPr>
          <w:trHeight w:val="307"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其他应付款</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both"/>
              <w:rPr>
                <w:sz w:val="24"/>
                <w:szCs w:val="24"/>
              </w:rPr>
            </w:pPr>
            <w:r>
              <w:rPr>
                <w:color w:val="000000"/>
                <w:spacing w:val="0"/>
                <w:w w:val="100"/>
                <w:position w:val="0"/>
                <w:sz w:val="24"/>
                <w:szCs w:val="24"/>
              </w:rPr>
              <w:t>北京苏宁置业</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460" w:right="0" w:firstLine="0"/>
              <w:jc w:val="both"/>
              <w:rPr>
                <w:sz w:val="24"/>
                <w:szCs w:val="24"/>
              </w:rPr>
            </w:pPr>
            <w:r>
              <w:rPr>
                <w:rFonts w:ascii="Times New Roman" w:eastAsia="Times New Roman" w:hAnsi="Times New Roman" w:cs="Times New Roman"/>
                <w:color w:val="000000"/>
                <w:spacing w:val="0"/>
                <w:w w:val="100"/>
                <w:position w:val="0"/>
                <w:sz w:val="24"/>
                <w:szCs w:val="24"/>
              </w:rPr>
              <w:t>6,386</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460" w:right="0" w:firstLine="0"/>
              <w:jc w:val="both"/>
              <w:rPr>
                <w:sz w:val="24"/>
                <w:szCs w:val="24"/>
              </w:rPr>
            </w:pPr>
            <w:r>
              <w:rPr>
                <w:rFonts w:ascii="Times New Roman" w:eastAsia="Times New Roman" w:hAnsi="Times New Roman" w:cs="Times New Roman"/>
                <w:color w:val="000000"/>
                <w:spacing w:val="0"/>
                <w:w w:val="100"/>
                <w:position w:val="0"/>
                <w:sz w:val="24"/>
                <w:szCs w:val="24"/>
              </w:rPr>
              <w:t>12,067</w:t>
            </w:r>
          </w:p>
        </w:tc>
      </w:tr>
      <w:tr>
        <w:trPr>
          <w:trHeight w:val="317"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其他应付款</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both"/>
              <w:rPr>
                <w:sz w:val="24"/>
                <w:szCs w:val="24"/>
              </w:rPr>
            </w:pPr>
            <w:r>
              <w:rPr>
                <w:color w:val="000000"/>
                <w:spacing w:val="0"/>
                <w:w w:val="100"/>
                <w:position w:val="0"/>
                <w:sz w:val="24"/>
                <w:szCs w:val="24"/>
              </w:rPr>
              <w:t>青岛苏宁置业</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460" w:right="0" w:firstLine="0"/>
              <w:jc w:val="both"/>
              <w:rPr>
                <w:sz w:val="24"/>
                <w:szCs w:val="24"/>
              </w:rPr>
            </w:pPr>
            <w:r>
              <w:rPr>
                <w:rFonts w:ascii="Times New Roman" w:eastAsia="Times New Roman" w:hAnsi="Times New Roman" w:cs="Times New Roman"/>
                <w:color w:val="000000"/>
                <w:spacing w:val="0"/>
                <w:w w:val="100"/>
                <w:position w:val="0"/>
                <w:sz w:val="24"/>
                <w:szCs w:val="24"/>
              </w:rPr>
              <w:t>5,401</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580" w:right="0" w:firstLine="0"/>
              <w:jc w:val="both"/>
              <w:rPr>
                <w:sz w:val="24"/>
                <w:szCs w:val="24"/>
              </w:rPr>
            </w:pPr>
            <w:r>
              <w:rPr>
                <w:rFonts w:ascii="Times New Roman" w:eastAsia="Times New Roman" w:hAnsi="Times New Roman" w:cs="Times New Roman"/>
                <w:color w:val="000000"/>
                <w:spacing w:val="0"/>
                <w:w w:val="100"/>
                <w:position w:val="0"/>
                <w:sz w:val="24"/>
                <w:szCs w:val="24"/>
              </w:rPr>
              <w:t>5,401</w:t>
            </w:r>
          </w:p>
        </w:tc>
      </w:tr>
      <w:tr>
        <w:trPr>
          <w:trHeight w:val="312"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其他应付款</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20"/>
              <w:jc w:val="both"/>
              <w:rPr>
                <w:sz w:val="24"/>
                <w:szCs w:val="24"/>
              </w:rPr>
            </w:pPr>
            <w:r>
              <w:rPr>
                <w:color w:val="000000"/>
                <w:spacing w:val="0"/>
                <w:w w:val="100"/>
                <w:position w:val="0"/>
                <w:sz w:val="24"/>
                <w:szCs w:val="24"/>
              </w:rPr>
              <w:t>江苏苏宁足球俱乐部</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460" w:right="0" w:firstLine="0"/>
              <w:jc w:val="both"/>
              <w:rPr>
                <w:sz w:val="24"/>
                <w:szCs w:val="24"/>
              </w:rPr>
            </w:pPr>
            <w:r>
              <w:rPr>
                <w:rFonts w:ascii="Times New Roman" w:eastAsia="Times New Roman" w:hAnsi="Times New Roman" w:cs="Times New Roman"/>
                <w:color w:val="000000"/>
                <w:spacing w:val="0"/>
                <w:w w:val="100"/>
                <w:position w:val="0"/>
                <w:sz w:val="24"/>
                <w:szCs w:val="24"/>
              </w:rPr>
              <w:t>4,200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w:t>
            </w:r>
          </w:p>
        </w:tc>
      </w:tr>
      <w:tr>
        <w:trPr>
          <w:trHeight w:val="307"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其他应付款</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both"/>
              <w:rPr>
                <w:sz w:val="24"/>
                <w:szCs w:val="24"/>
              </w:rPr>
            </w:pPr>
            <w:r>
              <w:rPr>
                <w:color w:val="000000"/>
                <w:spacing w:val="0"/>
                <w:w w:val="100"/>
                <w:position w:val="0"/>
                <w:sz w:val="24"/>
                <w:szCs w:val="24"/>
              </w:rPr>
              <w:t>成都鸿业置业</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460" w:right="0" w:firstLine="0"/>
              <w:jc w:val="both"/>
              <w:rPr>
                <w:sz w:val="24"/>
                <w:szCs w:val="24"/>
              </w:rPr>
            </w:pPr>
            <w:r>
              <w:rPr>
                <w:rFonts w:ascii="Times New Roman" w:eastAsia="Times New Roman" w:hAnsi="Times New Roman" w:cs="Times New Roman"/>
                <w:color w:val="000000"/>
                <w:spacing w:val="0"/>
                <w:w w:val="100"/>
                <w:position w:val="0"/>
                <w:sz w:val="24"/>
                <w:szCs w:val="24"/>
              </w:rPr>
              <w:t>3,427</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780" w:right="0" w:firstLine="0"/>
              <w:jc w:val="both"/>
              <w:rPr>
                <w:sz w:val="24"/>
                <w:szCs w:val="24"/>
              </w:rPr>
            </w:pPr>
            <w:r>
              <w:rPr>
                <w:rFonts w:ascii="Times New Roman" w:eastAsia="Times New Roman" w:hAnsi="Times New Roman" w:cs="Times New Roman"/>
                <w:color w:val="000000"/>
                <w:spacing w:val="0"/>
                <w:w w:val="100"/>
                <w:position w:val="0"/>
                <w:sz w:val="24"/>
                <w:szCs w:val="24"/>
              </w:rPr>
              <w:t>787</w:t>
            </w:r>
          </w:p>
        </w:tc>
      </w:tr>
      <w:tr>
        <w:trPr>
          <w:trHeight w:val="312"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其他应付款</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both"/>
              <w:rPr>
                <w:sz w:val="24"/>
                <w:szCs w:val="24"/>
              </w:rPr>
            </w:pPr>
            <w:r>
              <w:rPr>
                <w:color w:val="000000"/>
                <w:spacing w:val="0"/>
                <w:w w:val="100"/>
                <w:position w:val="0"/>
                <w:sz w:val="24"/>
                <w:szCs w:val="24"/>
              </w:rPr>
              <w:t>无锡苏宁置业</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460" w:right="0" w:firstLine="0"/>
              <w:jc w:val="both"/>
              <w:rPr>
                <w:sz w:val="24"/>
                <w:szCs w:val="24"/>
              </w:rPr>
            </w:pPr>
            <w:r>
              <w:rPr>
                <w:rFonts w:ascii="Times New Roman" w:eastAsia="Times New Roman" w:hAnsi="Times New Roman" w:cs="Times New Roman"/>
                <w:color w:val="000000"/>
                <w:spacing w:val="0"/>
                <w:w w:val="100"/>
                <w:position w:val="0"/>
                <w:sz w:val="24"/>
                <w:szCs w:val="24"/>
              </w:rPr>
              <w:t>3,077</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580" w:right="0" w:firstLine="0"/>
              <w:jc w:val="both"/>
              <w:rPr>
                <w:sz w:val="24"/>
                <w:szCs w:val="24"/>
              </w:rPr>
            </w:pPr>
            <w:r>
              <w:rPr>
                <w:rFonts w:ascii="Times New Roman" w:eastAsia="Times New Roman" w:hAnsi="Times New Roman" w:cs="Times New Roman"/>
                <w:color w:val="000000"/>
                <w:spacing w:val="0"/>
                <w:w w:val="100"/>
                <w:position w:val="0"/>
                <w:sz w:val="24"/>
                <w:szCs w:val="24"/>
              </w:rPr>
              <w:t>1,970</w:t>
            </w:r>
          </w:p>
        </w:tc>
      </w:tr>
      <w:tr>
        <w:trPr>
          <w:trHeight w:val="312"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其他应付款</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both"/>
              <w:rPr>
                <w:sz w:val="24"/>
                <w:szCs w:val="24"/>
              </w:rPr>
            </w:pPr>
            <w:r>
              <w:rPr>
                <w:color w:val="000000"/>
                <w:spacing w:val="0"/>
                <w:w w:val="100"/>
                <w:position w:val="0"/>
                <w:sz w:val="24"/>
                <w:szCs w:val="24"/>
              </w:rPr>
              <w:t>天津聚力</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460" w:right="0" w:firstLine="0"/>
              <w:jc w:val="both"/>
              <w:rPr>
                <w:sz w:val="24"/>
                <w:szCs w:val="24"/>
              </w:rPr>
            </w:pPr>
            <w:r>
              <w:rPr>
                <w:rFonts w:ascii="Times New Roman" w:eastAsia="Times New Roman" w:hAnsi="Times New Roman" w:cs="Times New Roman"/>
                <w:color w:val="000000"/>
                <w:spacing w:val="0"/>
                <w:w w:val="100"/>
                <w:position w:val="0"/>
                <w:sz w:val="24"/>
                <w:szCs w:val="24"/>
              </w:rPr>
              <w:t>2,324</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580" w:right="0" w:firstLine="0"/>
              <w:jc w:val="both"/>
              <w:rPr>
                <w:sz w:val="24"/>
                <w:szCs w:val="24"/>
              </w:rPr>
            </w:pPr>
            <w:r>
              <w:rPr>
                <w:rFonts w:ascii="Times New Roman" w:eastAsia="Times New Roman" w:hAnsi="Times New Roman" w:cs="Times New Roman"/>
                <w:color w:val="000000"/>
                <w:spacing w:val="0"/>
                <w:w w:val="100"/>
                <w:position w:val="0"/>
                <w:sz w:val="24"/>
                <w:szCs w:val="24"/>
              </w:rPr>
              <w:t>9,595</w:t>
            </w:r>
          </w:p>
        </w:tc>
      </w:tr>
      <w:tr>
        <w:trPr>
          <w:trHeight w:val="312"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其他应付款</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both"/>
              <w:rPr>
                <w:sz w:val="24"/>
                <w:szCs w:val="24"/>
              </w:rPr>
            </w:pPr>
            <w:r>
              <w:rPr>
                <w:color w:val="000000"/>
                <w:spacing w:val="0"/>
                <w:w w:val="100"/>
                <w:position w:val="0"/>
                <w:sz w:val="24"/>
                <w:szCs w:val="24"/>
              </w:rPr>
              <w:t>淮安苏宁置业</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460" w:right="0" w:firstLine="0"/>
              <w:jc w:val="both"/>
              <w:rPr>
                <w:sz w:val="24"/>
                <w:szCs w:val="24"/>
              </w:rPr>
            </w:pPr>
            <w:r>
              <w:rPr>
                <w:rFonts w:ascii="Times New Roman" w:eastAsia="Times New Roman" w:hAnsi="Times New Roman" w:cs="Times New Roman"/>
                <w:color w:val="000000"/>
                <w:spacing w:val="0"/>
                <w:w w:val="100"/>
                <w:position w:val="0"/>
                <w:sz w:val="24"/>
                <w:szCs w:val="24"/>
              </w:rPr>
              <w:t>2,211</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580" w:right="0" w:firstLine="0"/>
              <w:jc w:val="both"/>
              <w:rPr>
                <w:sz w:val="24"/>
                <w:szCs w:val="24"/>
              </w:rPr>
            </w:pPr>
            <w:r>
              <w:rPr>
                <w:rFonts w:ascii="Times New Roman" w:eastAsia="Times New Roman" w:hAnsi="Times New Roman" w:cs="Times New Roman"/>
                <w:color w:val="000000"/>
                <w:spacing w:val="0"/>
                <w:w w:val="100"/>
                <w:position w:val="0"/>
                <w:sz w:val="24"/>
                <w:szCs w:val="24"/>
              </w:rPr>
              <w:t>2,079</w:t>
            </w:r>
          </w:p>
        </w:tc>
      </w:tr>
      <w:tr>
        <w:trPr>
          <w:trHeight w:val="312"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其他应付款</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20"/>
              <w:jc w:val="both"/>
              <w:rPr>
                <w:sz w:val="24"/>
                <w:szCs w:val="24"/>
              </w:rPr>
            </w:pPr>
            <w:r>
              <w:rPr>
                <w:color w:val="000000"/>
                <w:spacing w:val="0"/>
                <w:w w:val="100"/>
                <w:position w:val="0"/>
                <w:sz w:val="24"/>
                <w:szCs w:val="24"/>
              </w:rPr>
              <w:t>南京鼎辰建筑设计</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460" w:right="0" w:firstLine="0"/>
              <w:jc w:val="both"/>
              <w:rPr>
                <w:sz w:val="24"/>
                <w:szCs w:val="24"/>
              </w:rPr>
            </w:pPr>
            <w:r>
              <w:rPr>
                <w:rFonts w:ascii="Times New Roman" w:eastAsia="Times New Roman" w:hAnsi="Times New Roman" w:cs="Times New Roman"/>
                <w:color w:val="000000"/>
                <w:spacing w:val="0"/>
                <w:w w:val="100"/>
                <w:position w:val="0"/>
                <w:sz w:val="24"/>
                <w:szCs w:val="24"/>
              </w:rPr>
              <w:t>1,246</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w:t>
            </w:r>
          </w:p>
        </w:tc>
      </w:tr>
      <w:tr>
        <w:trPr>
          <w:trHeight w:val="307"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其他应付款</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both"/>
              <w:rPr>
                <w:sz w:val="24"/>
                <w:szCs w:val="24"/>
              </w:rPr>
            </w:pPr>
            <w:r>
              <w:rPr>
                <w:color w:val="000000"/>
                <w:spacing w:val="0"/>
                <w:w w:val="100"/>
                <w:position w:val="0"/>
                <w:sz w:val="24"/>
                <w:szCs w:val="24"/>
              </w:rPr>
              <w:t>福州苏宁置业</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760" w:right="0" w:firstLine="0"/>
              <w:jc w:val="both"/>
              <w:rPr>
                <w:sz w:val="24"/>
                <w:szCs w:val="24"/>
              </w:rPr>
            </w:pPr>
            <w:r>
              <w:rPr>
                <w:rFonts w:ascii="Times New Roman" w:eastAsia="Times New Roman" w:hAnsi="Times New Roman" w:cs="Times New Roman"/>
                <w:color w:val="000000"/>
                <w:spacing w:val="0"/>
                <w:w w:val="100"/>
                <w:position w:val="0"/>
                <w:sz w:val="24"/>
                <w:szCs w:val="24"/>
              </w:rPr>
              <w:t>841</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780" w:right="0" w:firstLine="0"/>
              <w:jc w:val="both"/>
              <w:rPr>
                <w:sz w:val="24"/>
                <w:szCs w:val="24"/>
              </w:rPr>
            </w:pPr>
            <w:r>
              <w:rPr>
                <w:rFonts w:ascii="Times New Roman" w:eastAsia="Times New Roman" w:hAnsi="Times New Roman" w:cs="Times New Roman"/>
                <w:color w:val="000000"/>
                <w:spacing w:val="0"/>
                <w:w w:val="100"/>
                <w:position w:val="0"/>
                <w:sz w:val="24"/>
                <w:szCs w:val="24"/>
              </w:rPr>
              <w:t>420</w:t>
            </w:r>
          </w:p>
        </w:tc>
      </w:tr>
      <w:tr>
        <w:trPr>
          <w:trHeight w:val="312"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其他应付款</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both"/>
              <w:rPr>
                <w:sz w:val="24"/>
                <w:szCs w:val="24"/>
              </w:rPr>
            </w:pPr>
            <w:r>
              <w:rPr>
                <w:color w:val="000000"/>
                <w:spacing w:val="0"/>
                <w:w w:val="100"/>
                <w:position w:val="0"/>
                <w:sz w:val="24"/>
                <w:szCs w:val="24"/>
              </w:rPr>
              <w:t>石家庄苏宁房地产开发</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760" w:right="0" w:firstLine="0"/>
              <w:jc w:val="both"/>
              <w:rPr>
                <w:sz w:val="24"/>
                <w:szCs w:val="24"/>
              </w:rPr>
            </w:pPr>
            <w:r>
              <w:rPr>
                <w:rFonts w:ascii="Times New Roman" w:eastAsia="Times New Roman" w:hAnsi="Times New Roman" w:cs="Times New Roman"/>
                <w:color w:val="000000"/>
                <w:spacing w:val="0"/>
                <w:w w:val="100"/>
                <w:position w:val="0"/>
                <w:sz w:val="24"/>
                <w:szCs w:val="24"/>
              </w:rPr>
              <w:t>679</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2020" w:right="0" w:firstLine="0"/>
              <w:jc w:val="both"/>
              <w:rPr>
                <w:sz w:val="24"/>
                <w:szCs w:val="24"/>
              </w:rPr>
            </w:pPr>
            <w:r>
              <w:rPr>
                <w:rFonts w:ascii="Times New Roman" w:eastAsia="Times New Roman" w:hAnsi="Times New Roman" w:cs="Times New Roman"/>
                <w:color w:val="000000"/>
                <w:spacing w:val="0"/>
                <w:w w:val="100"/>
                <w:position w:val="0"/>
                <w:sz w:val="24"/>
                <w:szCs w:val="24"/>
              </w:rPr>
              <w:t>4</w:t>
            </w:r>
          </w:p>
        </w:tc>
      </w:tr>
      <w:tr>
        <w:trPr>
          <w:trHeight w:val="312"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其他应付款</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both"/>
              <w:rPr>
                <w:sz w:val="24"/>
                <w:szCs w:val="24"/>
              </w:rPr>
            </w:pPr>
            <w:r>
              <w:rPr>
                <w:color w:val="000000"/>
                <w:spacing w:val="0"/>
                <w:w w:val="100"/>
                <w:position w:val="0"/>
                <w:sz w:val="24"/>
                <w:szCs w:val="24"/>
              </w:rPr>
              <w:t>长春苏宁置业</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760" w:right="0" w:firstLine="0"/>
              <w:jc w:val="both"/>
              <w:rPr>
                <w:sz w:val="24"/>
                <w:szCs w:val="24"/>
              </w:rPr>
            </w:pPr>
            <w:r>
              <w:rPr>
                <w:rFonts w:ascii="Times New Roman" w:eastAsia="Times New Roman" w:hAnsi="Times New Roman" w:cs="Times New Roman"/>
                <w:color w:val="000000"/>
                <w:spacing w:val="0"/>
                <w:w w:val="100"/>
                <w:position w:val="0"/>
                <w:sz w:val="24"/>
                <w:szCs w:val="24"/>
              </w:rPr>
              <w:t>602</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780" w:right="0" w:firstLine="0"/>
              <w:jc w:val="both"/>
              <w:rPr>
                <w:sz w:val="24"/>
                <w:szCs w:val="24"/>
              </w:rPr>
            </w:pPr>
            <w:r>
              <w:rPr>
                <w:rFonts w:ascii="Times New Roman" w:eastAsia="Times New Roman" w:hAnsi="Times New Roman" w:cs="Times New Roman"/>
                <w:color w:val="000000"/>
                <w:spacing w:val="0"/>
                <w:w w:val="100"/>
                <w:position w:val="0"/>
                <w:sz w:val="24"/>
                <w:szCs w:val="24"/>
              </w:rPr>
              <w:t>602</w:t>
            </w:r>
          </w:p>
        </w:tc>
      </w:tr>
      <w:tr>
        <w:trPr>
          <w:trHeight w:val="312"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其他应付款</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both"/>
              <w:rPr>
                <w:sz w:val="24"/>
                <w:szCs w:val="24"/>
              </w:rPr>
            </w:pPr>
            <w:r>
              <w:rPr>
                <w:color w:val="000000"/>
                <w:spacing w:val="0"/>
                <w:w w:val="100"/>
                <w:position w:val="0"/>
                <w:sz w:val="24"/>
                <w:szCs w:val="24"/>
              </w:rPr>
              <w:t>玄武苏宁置业诺富特</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760" w:right="0" w:firstLine="0"/>
              <w:jc w:val="both"/>
              <w:rPr>
                <w:sz w:val="24"/>
                <w:szCs w:val="24"/>
              </w:rPr>
            </w:pPr>
            <w:r>
              <w:rPr>
                <w:rFonts w:ascii="Times New Roman" w:eastAsia="Times New Roman" w:hAnsi="Times New Roman" w:cs="Times New Roman"/>
                <w:color w:val="000000"/>
                <w:spacing w:val="0"/>
                <w:w w:val="100"/>
                <w:position w:val="0"/>
                <w:sz w:val="24"/>
                <w:szCs w:val="24"/>
              </w:rPr>
              <w:t>211</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780" w:right="0" w:firstLine="0"/>
              <w:jc w:val="both"/>
              <w:rPr>
                <w:sz w:val="24"/>
                <w:szCs w:val="24"/>
              </w:rPr>
            </w:pPr>
            <w:r>
              <w:rPr>
                <w:rFonts w:ascii="Times New Roman" w:eastAsia="Times New Roman" w:hAnsi="Times New Roman" w:cs="Times New Roman"/>
                <w:color w:val="000000"/>
                <w:spacing w:val="0"/>
                <w:w w:val="100"/>
                <w:position w:val="0"/>
                <w:sz w:val="24"/>
                <w:szCs w:val="24"/>
              </w:rPr>
              <w:t>138</w:t>
            </w:r>
          </w:p>
        </w:tc>
      </w:tr>
      <w:tr>
        <w:trPr>
          <w:trHeight w:val="307"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其他应付款</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20"/>
              <w:jc w:val="both"/>
              <w:rPr>
                <w:sz w:val="24"/>
                <w:szCs w:val="24"/>
              </w:rPr>
            </w:pPr>
            <w:r>
              <w:rPr>
                <w:color w:val="000000"/>
                <w:spacing w:val="0"/>
                <w:w w:val="100"/>
                <w:position w:val="0"/>
                <w:sz w:val="24"/>
                <w:szCs w:val="24"/>
              </w:rPr>
              <w:t>钟山高尔夫酒店</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1760" w:right="0" w:firstLine="0"/>
              <w:jc w:val="both"/>
              <w:rPr>
                <w:sz w:val="24"/>
                <w:szCs w:val="24"/>
              </w:rPr>
            </w:pPr>
            <w:r>
              <w:rPr>
                <w:rFonts w:ascii="Times New Roman" w:eastAsia="Times New Roman" w:hAnsi="Times New Roman" w:cs="Times New Roman"/>
                <w:color w:val="000000"/>
                <w:spacing w:val="0"/>
                <w:w w:val="100"/>
                <w:position w:val="0"/>
                <w:sz w:val="24"/>
                <w:szCs w:val="24"/>
              </w:rPr>
              <w:t>87</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w:t>
            </w:r>
          </w:p>
        </w:tc>
      </w:tr>
      <w:tr>
        <w:trPr>
          <w:trHeight w:val="322"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其他应付款</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both"/>
              <w:rPr>
                <w:sz w:val="24"/>
                <w:szCs w:val="24"/>
              </w:rPr>
            </w:pPr>
            <w:r>
              <w:rPr>
                <w:color w:val="000000"/>
                <w:spacing w:val="0"/>
                <w:w w:val="100"/>
                <w:position w:val="0"/>
                <w:sz w:val="24"/>
                <w:szCs w:val="24"/>
              </w:rPr>
              <w:t>淘宝</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中国</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软件</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760" w:right="0" w:firstLine="0"/>
              <w:jc w:val="both"/>
              <w:rPr>
                <w:sz w:val="24"/>
                <w:szCs w:val="24"/>
              </w:rPr>
            </w:pPr>
            <w:r>
              <w:rPr>
                <w:rFonts w:ascii="Times New Roman" w:eastAsia="Times New Roman" w:hAnsi="Times New Roman" w:cs="Times New Roman"/>
                <w:color w:val="000000"/>
                <w:spacing w:val="0"/>
                <w:w w:val="100"/>
                <w:position w:val="0"/>
                <w:sz w:val="24"/>
                <w:szCs w:val="24"/>
              </w:rPr>
              <w:t>66</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w:t>
            </w:r>
          </w:p>
        </w:tc>
      </w:tr>
      <w:tr>
        <w:trPr>
          <w:trHeight w:val="307"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其他应付款</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both"/>
              <w:rPr>
                <w:sz w:val="24"/>
                <w:szCs w:val="24"/>
              </w:rPr>
            </w:pPr>
            <w:r>
              <w:rPr>
                <w:color w:val="000000"/>
                <w:spacing w:val="0"/>
                <w:w w:val="100"/>
                <w:position w:val="0"/>
                <w:sz w:val="24"/>
                <w:szCs w:val="24"/>
              </w:rPr>
              <w:t>新街口诺富特酒店</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760" w:right="0" w:firstLine="0"/>
              <w:jc w:val="both"/>
              <w:rPr>
                <w:sz w:val="24"/>
                <w:szCs w:val="24"/>
              </w:rPr>
            </w:pPr>
            <w:r>
              <w:rPr>
                <w:rFonts w:ascii="Times New Roman" w:eastAsia="Times New Roman" w:hAnsi="Times New Roman" w:cs="Times New Roman"/>
                <w:color w:val="000000"/>
                <w:spacing w:val="0"/>
                <w:w w:val="100"/>
                <w:position w:val="0"/>
                <w:sz w:val="24"/>
                <w:szCs w:val="24"/>
              </w:rPr>
              <w:t>35</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2020" w:right="0" w:firstLine="0"/>
              <w:jc w:val="both"/>
              <w:rPr>
                <w:sz w:val="24"/>
                <w:szCs w:val="24"/>
              </w:rPr>
            </w:pPr>
            <w:r>
              <w:rPr>
                <w:rFonts w:ascii="Times New Roman" w:eastAsia="Times New Roman" w:hAnsi="Times New Roman" w:cs="Times New Roman"/>
                <w:color w:val="000000"/>
                <w:spacing w:val="0"/>
                <w:w w:val="100"/>
                <w:position w:val="0"/>
                <w:sz w:val="24"/>
                <w:szCs w:val="24"/>
              </w:rPr>
              <w:t>4</w:t>
            </w:r>
          </w:p>
        </w:tc>
      </w:tr>
      <w:tr>
        <w:trPr>
          <w:trHeight w:val="307"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其他应付款</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both"/>
              <w:rPr>
                <w:sz w:val="24"/>
                <w:szCs w:val="24"/>
              </w:rPr>
            </w:pPr>
            <w:r>
              <w:rPr>
                <w:color w:val="000000"/>
                <w:spacing w:val="0"/>
                <w:w w:val="100"/>
                <w:position w:val="0"/>
                <w:sz w:val="24"/>
                <w:szCs w:val="24"/>
              </w:rPr>
              <w:t>索菲特银河大酒店</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760" w:right="0" w:firstLine="0"/>
              <w:jc w:val="both"/>
              <w:rPr>
                <w:sz w:val="24"/>
                <w:szCs w:val="24"/>
              </w:rPr>
            </w:pPr>
            <w:r>
              <w:rPr>
                <w:rFonts w:ascii="Times New Roman" w:eastAsia="Times New Roman" w:hAnsi="Times New Roman" w:cs="Times New Roman"/>
                <w:color w:val="000000"/>
                <w:spacing w:val="0"/>
                <w:w w:val="100"/>
                <w:position w:val="0"/>
                <w:sz w:val="24"/>
                <w:szCs w:val="24"/>
              </w:rPr>
              <w:t>33</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2020" w:right="0" w:firstLine="0"/>
              <w:jc w:val="both"/>
              <w:rPr>
                <w:sz w:val="24"/>
                <w:szCs w:val="24"/>
              </w:rPr>
            </w:pPr>
            <w:r>
              <w:rPr>
                <w:rFonts w:ascii="Times New Roman" w:eastAsia="Times New Roman" w:hAnsi="Times New Roman" w:cs="Times New Roman"/>
                <w:color w:val="000000"/>
                <w:spacing w:val="0"/>
                <w:w w:val="100"/>
                <w:position w:val="0"/>
                <w:sz w:val="24"/>
                <w:szCs w:val="24"/>
              </w:rPr>
              <w:t>2</w:t>
            </w:r>
          </w:p>
        </w:tc>
      </w:tr>
      <w:tr>
        <w:trPr>
          <w:trHeight w:val="307"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其他应付款</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20"/>
              <w:jc w:val="both"/>
              <w:rPr>
                <w:sz w:val="24"/>
                <w:szCs w:val="24"/>
              </w:rPr>
            </w:pPr>
            <w:r>
              <w:rPr>
                <w:color w:val="000000"/>
                <w:spacing w:val="0"/>
                <w:w w:val="100"/>
                <w:position w:val="0"/>
                <w:sz w:val="24"/>
                <w:szCs w:val="24"/>
              </w:rPr>
              <w:t>华商会议中心</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1880" w:right="0" w:firstLine="0"/>
              <w:jc w:val="left"/>
              <w:rPr>
                <w:sz w:val="24"/>
                <w:szCs w:val="24"/>
              </w:rPr>
            </w:pPr>
            <w:r>
              <w:rPr>
                <w:rFonts w:ascii="Times New Roman" w:eastAsia="Times New Roman" w:hAnsi="Times New Roman" w:cs="Times New Roman"/>
                <w:color w:val="000000"/>
                <w:spacing w:val="0"/>
                <w:w w:val="100"/>
                <w:position w:val="0"/>
                <w:sz w:val="24"/>
                <w:szCs w:val="24"/>
              </w:rPr>
              <w:t>5</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w:t>
            </w:r>
          </w:p>
        </w:tc>
      </w:tr>
      <w:tr>
        <w:trPr>
          <w:trHeight w:val="317"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其他应付款</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both"/>
              <w:rPr>
                <w:sz w:val="24"/>
                <w:szCs w:val="24"/>
              </w:rPr>
            </w:pPr>
            <w:r>
              <w:rPr>
                <w:color w:val="000000"/>
                <w:spacing w:val="0"/>
                <w:w w:val="100"/>
                <w:position w:val="0"/>
                <w:sz w:val="24"/>
                <w:szCs w:val="24"/>
              </w:rPr>
              <w:t>银河酒店管理公司</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880" w:right="0" w:firstLine="0"/>
              <w:jc w:val="left"/>
              <w:rPr>
                <w:sz w:val="24"/>
                <w:szCs w:val="24"/>
              </w:rPr>
            </w:pPr>
            <w:r>
              <w:rPr>
                <w:rFonts w:ascii="Times New Roman" w:eastAsia="Times New Roman" w:hAnsi="Times New Roman" w:cs="Times New Roman"/>
                <w:color w:val="000000"/>
                <w:spacing w:val="0"/>
                <w:w w:val="100"/>
                <w:position w:val="0"/>
                <w:sz w:val="24"/>
                <w:szCs w:val="24"/>
              </w:rPr>
              <w:t>3</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2020" w:right="0" w:firstLine="0"/>
              <w:jc w:val="both"/>
              <w:rPr>
                <w:sz w:val="24"/>
                <w:szCs w:val="24"/>
              </w:rPr>
            </w:pPr>
            <w:r>
              <w:rPr>
                <w:rFonts w:ascii="Times New Roman" w:eastAsia="Times New Roman" w:hAnsi="Times New Roman" w:cs="Times New Roman"/>
                <w:color w:val="000000"/>
                <w:spacing w:val="0"/>
                <w:w w:val="100"/>
                <w:position w:val="0"/>
                <w:sz w:val="24"/>
                <w:szCs w:val="24"/>
              </w:rPr>
              <w:t>1</w:t>
            </w:r>
          </w:p>
        </w:tc>
      </w:tr>
      <w:tr>
        <w:trPr>
          <w:trHeight w:val="312"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其他应付款</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20"/>
              <w:jc w:val="both"/>
              <w:rPr>
                <w:sz w:val="24"/>
                <w:szCs w:val="24"/>
              </w:rPr>
            </w:pPr>
            <w:r>
              <w:rPr>
                <w:color w:val="000000"/>
                <w:spacing w:val="0"/>
                <w:w w:val="100"/>
                <w:position w:val="0"/>
                <w:sz w:val="24"/>
                <w:szCs w:val="24"/>
              </w:rPr>
              <w:t>苏宁消费金融</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880" w:right="0" w:firstLine="0"/>
              <w:jc w:val="left"/>
              <w:rPr>
                <w:sz w:val="24"/>
                <w:szCs w:val="24"/>
              </w:rPr>
            </w:pPr>
            <w:r>
              <w:rPr>
                <w:rFonts w:ascii="Times New Roman" w:eastAsia="Times New Roman" w:hAnsi="Times New Roman" w:cs="Times New Roman"/>
                <w:color w:val="000000"/>
                <w:spacing w:val="0"/>
                <w:w w:val="100"/>
                <w:position w:val="0"/>
                <w:sz w:val="24"/>
                <w:szCs w:val="24"/>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580" w:right="0" w:firstLine="0"/>
              <w:jc w:val="both"/>
              <w:rPr>
                <w:sz w:val="24"/>
                <w:szCs w:val="24"/>
              </w:rPr>
            </w:pPr>
            <w:r>
              <w:rPr>
                <w:rFonts w:ascii="Times New Roman" w:eastAsia="Times New Roman" w:hAnsi="Times New Roman" w:cs="Times New Roman"/>
                <w:color w:val="000000"/>
                <w:spacing w:val="0"/>
                <w:w w:val="100"/>
                <w:position w:val="0"/>
                <w:sz w:val="24"/>
                <w:szCs w:val="24"/>
              </w:rPr>
              <w:t>3,482</w:t>
            </w:r>
          </w:p>
        </w:tc>
      </w:tr>
      <w:tr>
        <w:trPr>
          <w:trHeight w:val="312"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其他应付款</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20"/>
              <w:jc w:val="both"/>
              <w:rPr>
                <w:sz w:val="24"/>
                <w:szCs w:val="24"/>
              </w:rPr>
            </w:pPr>
            <w:r>
              <w:rPr>
                <w:color w:val="000000"/>
                <w:spacing w:val="0"/>
                <w:w w:val="100"/>
                <w:position w:val="0"/>
                <w:sz w:val="24"/>
                <w:szCs w:val="24"/>
              </w:rPr>
              <w:t>上海通视铭泰</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880" w:right="0" w:firstLine="0"/>
              <w:jc w:val="left"/>
              <w:rPr>
                <w:sz w:val="24"/>
                <w:szCs w:val="24"/>
              </w:rPr>
            </w:pPr>
            <w:r>
              <w:rPr>
                <w:rFonts w:ascii="Times New Roman" w:eastAsia="Times New Roman" w:hAnsi="Times New Roman" w:cs="Times New Roman"/>
                <w:color w:val="000000"/>
                <w:spacing w:val="0"/>
                <w:w w:val="100"/>
                <w:position w:val="0"/>
                <w:sz w:val="24"/>
                <w:szCs w:val="24"/>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1780" w:right="0" w:firstLine="0"/>
              <w:jc w:val="both"/>
              <w:rPr>
                <w:sz w:val="24"/>
                <w:szCs w:val="24"/>
              </w:rPr>
            </w:pPr>
            <w:r>
              <w:rPr>
                <w:rFonts w:ascii="Times New Roman" w:eastAsia="Times New Roman" w:hAnsi="Times New Roman" w:cs="Times New Roman"/>
                <w:color w:val="000000"/>
                <w:spacing w:val="0"/>
                <w:w w:val="100"/>
                <w:position w:val="0"/>
                <w:sz w:val="24"/>
                <w:szCs w:val="24"/>
              </w:rPr>
              <w:t>773</w:t>
            </w:r>
          </w:p>
        </w:tc>
      </w:tr>
      <w:tr>
        <w:trPr>
          <w:trHeight w:val="312"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其他应付款</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20"/>
              <w:jc w:val="both"/>
              <w:rPr>
                <w:sz w:val="24"/>
                <w:szCs w:val="24"/>
              </w:rPr>
            </w:pPr>
            <w:r>
              <w:rPr>
                <w:color w:val="000000"/>
                <w:spacing w:val="0"/>
                <w:w w:val="100"/>
                <w:position w:val="0"/>
                <w:sz w:val="24"/>
                <w:szCs w:val="24"/>
              </w:rPr>
              <w:t>上海聚力</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880" w:right="0" w:firstLine="0"/>
              <w:jc w:val="left"/>
              <w:rPr>
                <w:sz w:val="24"/>
                <w:szCs w:val="24"/>
              </w:rPr>
            </w:pPr>
            <w:r>
              <w:rPr>
                <w:rFonts w:ascii="Times New Roman" w:eastAsia="Times New Roman" w:hAnsi="Times New Roman" w:cs="Times New Roman"/>
                <w:color w:val="000000"/>
                <w:spacing w:val="0"/>
                <w:w w:val="100"/>
                <w:position w:val="0"/>
                <w:sz w:val="24"/>
                <w:szCs w:val="24"/>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1780" w:right="0" w:firstLine="0"/>
              <w:jc w:val="both"/>
              <w:rPr>
                <w:sz w:val="24"/>
                <w:szCs w:val="24"/>
              </w:rPr>
            </w:pPr>
            <w:r>
              <w:rPr>
                <w:rFonts w:ascii="Times New Roman" w:eastAsia="Times New Roman" w:hAnsi="Times New Roman" w:cs="Times New Roman"/>
                <w:color w:val="000000"/>
                <w:spacing w:val="0"/>
                <w:w w:val="100"/>
                <w:position w:val="0"/>
                <w:sz w:val="24"/>
                <w:szCs w:val="24"/>
              </w:rPr>
              <w:t>160</w:t>
            </w:r>
          </w:p>
        </w:tc>
      </w:tr>
      <w:tr>
        <w:trPr>
          <w:trHeight w:val="312"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其他应付款</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left"/>
              <w:rPr>
                <w:sz w:val="24"/>
                <w:szCs w:val="24"/>
              </w:rPr>
            </w:pPr>
            <w:r>
              <w:rPr>
                <w:color w:val="000000"/>
                <w:spacing w:val="0"/>
                <w:w w:val="100"/>
                <w:position w:val="0"/>
                <w:sz w:val="24"/>
                <w:szCs w:val="24"/>
              </w:rPr>
              <w:t>突触计算机系统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上海</w:t>
            </w:r>
            <w:r>
              <w:rPr>
                <w:color w:val="000000"/>
                <w:spacing w:val="0"/>
                <w:w w:val="100"/>
                <w:position w:val="0"/>
                <w:sz w:val="24"/>
                <w:szCs w:val="24"/>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880" w:right="0" w:firstLine="0"/>
              <w:jc w:val="left"/>
              <w:rPr>
                <w:sz w:val="24"/>
                <w:szCs w:val="24"/>
              </w:rPr>
            </w:pPr>
            <w:r>
              <w:rPr>
                <w:rFonts w:ascii="Times New Roman" w:eastAsia="Times New Roman" w:hAnsi="Times New Roman" w:cs="Times New Roman"/>
                <w:color w:val="000000"/>
                <w:spacing w:val="0"/>
                <w:w w:val="100"/>
                <w:position w:val="0"/>
                <w:sz w:val="24"/>
                <w:szCs w:val="24"/>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780" w:right="0" w:firstLine="0"/>
              <w:jc w:val="both"/>
              <w:rPr>
                <w:sz w:val="24"/>
                <w:szCs w:val="24"/>
              </w:rPr>
            </w:pPr>
            <w:r>
              <w:rPr>
                <w:rFonts w:ascii="Times New Roman" w:eastAsia="Times New Roman" w:hAnsi="Times New Roman" w:cs="Times New Roman"/>
                <w:color w:val="000000"/>
                <w:spacing w:val="0"/>
                <w:w w:val="100"/>
                <w:position w:val="0"/>
                <w:sz w:val="24"/>
                <w:szCs w:val="24"/>
              </w:rPr>
              <w:t>105</w:t>
            </w:r>
          </w:p>
        </w:tc>
      </w:tr>
      <w:tr>
        <w:trPr>
          <w:trHeight w:val="312"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320" w:firstLine="0"/>
              <w:jc w:val="right"/>
              <w:rPr>
                <w:sz w:val="24"/>
                <w:szCs w:val="24"/>
              </w:rPr>
            </w:pPr>
            <w:r>
              <w:rPr>
                <w:rFonts w:ascii="Times New Roman" w:eastAsia="Times New Roman" w:hAnsi="Times New Roman" w:cs="Times New Roman"/>
                <w:color w:val="000000"/>
                <w:spacing w:val="0"/>
                <w:w w:val="100"/>
                <w:position w:val="0"/>
                <w:sz w:val="24"/>
                <w:szCs w:val="24"/>
              </w:rPr>
              <w:t>141,208</w:t>
            </w:r>
          </w:p>
        </w:tc>
        <w:tc>
          <w:tcPr>
            <w:tcBorders>
              <w:top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131,373</w:t>
            </w:r>
          </w:p>
        </w:tc>
      </w:tr>
    </w:tbl>
    <w:p>
      <w:pPr>
        <w:pStyle w:val="Style32"/>
        <w:keepNext w:val="0"/>
        <w:keepLines w:val="0"/>
        <w:widowControl w:val="0"/>
        <w:shd w:val="clear" w:color="auto" w:fill="auto"/>
        <w:bidi w:val="0"/>
        <w:spacing w:before="0" w:after="0" w:line="288" w:lineRule="exact"/>
        <w:ind w:left="780" w:right="0" w:firstLine="0"/>
        <w:jc w:val="left"/>
        <w:rPr>
          <w:sz w:val="24"/>
          <w:szCs w:val="24"/>
        </w:rPr>
      </w:pPr>
      <w:r>
        <w:rPr>
          <w:b/>
          <w:bCs/>
          <w:color w:val="000000"/>
          <w:spacing w:val="0"/>
          <w:w w:val="100"/>
          <w:position w:val="0"/>
          <w:sz w:val="24"/>
          <w:szCs w:val="24"/>
        </w:rPr>
        <w:t xml:space="preserve">财务报表附注 </w:t>
      </w:r>
      <w:r>
        <w:rPr>
          <w:rFonts w:ascii="Arial" w:eastAsia="Arial" w:hAnsi="Arial" w:cs="Arial"/>
          <w:color w:val="000000"/>
          <w:spacing w:val="0"/>
          <w:w w:val="100"/>
          <w:position w:val="0"/>
          <w:sz w:val="24"/>
          <w:szCs w:val="24"/>
        </w:rPr>
        <w:t>2016</w:t>
      </w:r>
      <w:r>
        <w:rPr>
          <w:b/>
          <w:bCs/>
          <w:color w:val="000000"/>
          <w:spacing w:val="0"/>
          <w:w w:val="100"/>
          <w:position w:val="0"/>
          <w:sz w:val="24"/>
          <w:szCs w:val="24"/>
        </w:rPr>
        <w:t>年度</w:t>
      </w:r>
    </w:p>
    <w:p>
      <w:pPr>
        <w:pStyle w:val="Style32"/>
        <w:keepNext w:val="0"/>
        <w:keepLines w:val="0"/>
        <w:widowControl w:val="0"/>
        <w:shd w:val="clear" w:color="auto" w:fill="auto"/>
        <w:bidi w:val="0"/>
        <w:spacing w:before="0" w:after="220" w:line="240" w:lineRule="auto"/>
        <w:ind w:left="0" w:right="0" w:firstLine="780"/>
        <w:jc w:val="left"/>
        <w:rPr>
          <w:sz w:val="20"/>
          <w:szCs w:val="20"/>
        </w:rPr>
      </w:pPr>
      <w:r>
        <w:rPr>
          <w:rFonts w:ascii="Arial" w:eastAsia="Arial" w:hAnsi="Arial" w:cs="Arial"/>
          <w:color w:val="000000"/>
          <w:spacing w:val="0"/>
          <w:w w:val="100"/>
          <w:position w:val="0"/>
          <w:sz w:val="20"/>
          <w:szCs w:val="20"/>
        </w:rPr>
        <w:t>（</w:t>
      </w:r>
      <w:r>
        <w:rPr>
          <w:color w:val="000000"/>
          <w:spacing w:val="0"/>
          <w:w w:val="100"/>
          <w:position w:val="0"/>
          <w:sz w:val="20"/>
          <w:szCs w:val="20"/>
        </w:rPr>
        <w:t>除特别注明外，金额单位为人民币千元</w:t>
      </w:r>
      <w:r>
        <w:rPr>
          <w:rFonts w:ascii="Arial" w:eastAsia="Arial" w:hAnsi="Arial" w:cs="Arial"/>
          <w:color w:val="000000"/>
          <w:spacing w:val="0"/>
          <w:w w:val="100"/>
          <w:position w:val="0"/>
          <w:sz w:val="20"/>
          <w:szCs w:val="20"/>
        </w:rPr>
        <w:t>）</w:t>
      </w:r>
    </w:p>
    <w:p>
      <w:pPr>
        <w:pStyle w:val="Style32"/>
        <w:keepNext w:val="0"/>
        <w:keepLines w:val="0"/>
        <w:widowControl w:val="0"/>
        <w:shd w:val="clear" w:color="auto" w:fill="auto"/>
        <w:bidi w:val="0"/>
        <w:spacing w:before="0" w:after="220" w:line="240" w:lineRule="auto"/>
        <w:ind w:left="0" w:right="0" w:firstLine="0"/>
        <w:jc w:val="left"/>
        <w:rPr>
          <w:sz w:val="24"/>
          <w:szCs w:val="24"/>
        </w:rPr>
      </w:pPr>
      <w:r>
        <w:rPr>
          <w:b/>
          <w:bCs/>
          <w:color w:val="000000"/>
          <w:spacing w:val="0"/>
          <w:w w:val="100"/>
          <w:position w:val="0"/>
          <w:sz w:val="24"/>
          <w:szCs w:val="24"/>
        </w:rPr>
        <w:t>八关联方关系及其交易</w:t>
      </w:r>
      <w:r>
        <w:rPr>
          <w:rFonts w:ascii="Times New Roman" w:eastAsia="Times New Roman" w:hAnsi="Times New Roman" w:cs="Times New Roman"/>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4"/>
          <w:szCs w:val="24"/>
        </w:rPr>
        <w:t>）</w:t>
      </w:r>
    </w:p>
    <w:p>
      <w:pPr>
        <w:pStyle w:val="Style32"/>
        <w:keepNext w:val="0"/>
        <w:keepLines w:val="0"/>
        <w:widowControl w:val="0"/>
        <w:shd w:val="clear" w:color="auto" w:fill="auto"/>
        <w:bidi w:val="0"/>
        <w:spacing w:before="0" w:after="22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（7）</w:t>
      </w:r>
      <w:r>
        <w:rPr>
          <w:b/>
          <w:bCs/>
          <w:color w:val="000000"/>
          <w:spacing w:val="0"/>
          <w:w w:val="100"/>
          <w:position w:val="0"/>
          <w:sz w:val="24"/>
          <w:szCs w:val="24"/>
        </w:rPr>
        <w:t>应收、应付关联方款项余额</w:t>
      </w:r>
      <w:r>
        <w:rPr>
          <w:rFonts w:ascii="Times New Roman" w:eastAsia="Times New Roman" w:hAnsi="Times New Roman" w:cs="Times New Roman"/>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4"/>
          <w:szCs w:val="24"/>
        </w:rPr>
        <w:t>）</w:t>
      </w:r>
    </w:p>
    <w:tbl>
      <w:tblPr>
        <w:tblOverlap w:val="never"/>
        <w:jc w:val="right"/>
        <w:tblLayout w:type="fixed"/>
      </w:tblPr>
      <w:tblGrid>
        <w:gridCol w:w="1598"/>
        <w:gridCol w:w="2736"/>
        <w:gridCol w:w="2342"/>
        <w:gridCol w:w="2184"/>
      </w:tblGrid>
      <w:tr>
        <w:trPr>
          <w:trHeight w:val="432" w:hRule="exact"/>
        </w:trPr>
        <w:tc>
          <w:tcPr>
            <w:tcBorders/>
            <w:shd w:val="clear" w:color="auto" w:fill="FFFFFF"/>
            <w:vAlign w:val="top"/>
          </w:tcPr>
          <w:p>
            <w:pPr>
              <w:widowControl w:val="0"/>
              <w:rPr>
                <w:sz w:val="10"/>
                <w:szCs w:val="10"/>
              </w:rPr>
            </w:pPr>
          </w:p>
        </w:tc>
        <w:tc>
          <w:tcPr>
            <w:gridSpan w:val="2"/>
            <w:tcBorders/>
            <w:shd w:val="clear" w:color="auto" w:fill="FFFFFF"/>
            <w:vAlign w:val="top"/>
          </w:tcPr>
          <w:p>
            <w:pPr>
              <w:pStyle w:val="Style28"/>
              <w:keepNext w:val="0"/>
              <w:keepLines w:val="0"/>
              <w:widowControl w:val="0"/>
              <w:shd w:val="clear" w:color="auto" w:fill="auto"/>
              <w:bidi w:val="0"/>
              <w:spacing w:before="0" w:after="0" w:line="240" w:lineRule="auto"/>
              <w:ind w:left="0" w:right="200" w:firstLine="0"/>
              <w:jc w:val="right"/>
              <w:rPr>
                <w:sz w:val="24"/>
                <w:szCs w:val="24"/>
              </w:rPr>
            </w:pP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2015</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w:t>
            </w:r>
          </w:p>
        </w:tc>
      </w:tr>
      <w:tr>
        <w:trPr>
          <w:trHeight w:val="451"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其他流动负债</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left"/>
              <w:rPr>
                <w:sz w:val="24"/>
                <w:szCs w:val="24"/>
              </w:rPr>
            </w:pPr>
            <w:r>
              <w:rPr>
                <w:color w:val="000000"/>
                <w:spacing w:val="0"/>
                <w:w w:val="100"/>
                <w:position w:val="0"/>
                <w:sz w:val="24"/>
                <w:szCs w:val="24"/>
              </w:rPr>
              <w:t>江苏银河物业</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500" w:right="0" w:firstLine="0"/>
              <w:jc w:val="left"/>
              <w:rPr>
                <w:sz w:val="24"/>
                <w:szCs w:val="24"/>
              </w:rPr>
            </w:pPr>
            <w:r>
              <w:rPr>
                <w:rFonts w:ascii="Times New Roman" w:eastAsia="Times New Roman" w:hAnsi="Times New Roman" w:cs="Times New Roman"/>
                <w:color w:val="000000"/>
                <w:spacing w:val="0"/>
                <w:w w:val="100"/>
                <w:position w:val="0"/>
                <w:sz w:val="24"/>
                <w:szCs w:val="24"/>
              </w:rPr>
              <w:t>8,152</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w:t>
            </w:r>
          </w:p>
        </w:tc>
      </w:tr>
      <w:tr>
        <w:trPr>
          <w:trHeight w:val="312"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其他流动负债</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left"/>
              <w:rPr>
                <w:sz w:val="24"/>
                <w:szCs w:val="24"/>
              </w:rPr>
            </w:pPr>
            <w:r>
              <w:rPr>
                <w:color w:val="000000"/>
                <w:spacing w:val="0"/>
                <w:w w:val="100"/>
                <w:position w:val="0"/>
                <w:sz w:val="24"/>
                <w:szCs w:val="24"/>
              </w:rPr>
              <w:t>石家庄苏宁房地产开发</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500" w:right="0" w:firstLine="0"/>
              <w:jc w:val="left"/>
              <w:rPr>
                <w:sz w:val="24"/>
                <w:szCs w:val="24"/>
              </w:rPr>
            </w:pPr>
            <w:r>
              <w:rPr>
                <w:rFonts w:ascii="Times New Roman" w:eastAsia="Times New Roman" w:hAnsi="Times New Roman" w:cs="Times New Roman"/>
                <w:color w:val="000000"/>
                <w:spacing w:val="0"/>
                <w:w w:val="100"/>
                <w:position w:val="0"/>
                <w:sz w:val="24"/>
                <w:szCs w:val="24"/>
              </w:rPr>
              <w:t>1,756</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807</w:t>
            </w:r>
          </w:p>
        </w:tc>
      </w:tr>
      <w:tr>
        <w:trPr>
          <w:trHeight w:val="312"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其他流动负债</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40"/>
              <w:jc w:val="left"/>
              <w:rPr>
                <w:sz w:val="24"/>
                <w:szCs w:val="24"/>
              </w:rPr>
            </w:pPr>
            <w:r>
              <w:rPr>
                <w:color w:val="000000"/>
                <w:spacing w:val="0"/>
                <w:w w:val="100"/>
                <w:position w:val="0"/>
                <w:sz w:val="24"/>
                <w:szCs w:val="24"/>
              </w:rPr>
              <w:t>淮安苏宁置业</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500" w:right="0" w:firstLine="0"/>
              <w:jc w:val="left"/>
              <w:rPr>
                <w:sz w:val="24"/>
                <w:szCs w:val="24"/>
              </w:rPr>
            </w:pPr>
            <w:r>
              <w:rPr>
                <w:rFonts w:ascii="Times New Roman" w:eastAsia="Times New Roman" w:hAnsi="Times New Roman" w:cs="Times New Roman"/>
                <w:color w:val="000000"/>
                <w:spacing w:val="0"/>
                <w:w w:val="100"/>
                <w:position w:val="0"/>
                <w:sz w:val="24"/>
                <w:szCs w:val="24"/>
              </w:rPr>
              <w:t>1,418</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w:t>
            </w:r>
          </w:p>
        </w:tc>
      </w:tr>
      <w:tr>
        <w:trPr>
          <w:trHeight w:val="307"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其他流动负债</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40"/>
              <w:jc w:val="left"/>
              <w:rPr>
                <w:sz w:val="24"/>
                <w:szCs w:val="24"/>
              </w:rPr>
            </w:pPr>
            <w:r>
              <w:rPr>
                <w:color w:val="000000"/>
                <w:spacing w:val="0"/>
                <w:w w:val="100"/>
                <w:position w:val="0"/>
                <w:sz w:val="24"/>
                <w:szCs w:val="24"/>
              </w:rPr>
              <w:t>江苏苏宁广场商业管理</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500" w:right="0" w:firstLine="0"/>
              <w:jc w:val="left"/>
              <w:rPr>
                <w:sz w:val="24"/>
                <w:szCs w:val="24"/>
              </w:rPr>
            </w:pPr>
            <w:r>
              <w:rPr>
                <w:rFonts w:ascii="Times New Roman" w:eastAsia="Times New Roman" w:hAnsi="Times New Roman" w:cs="Times New Roman"/>
                <w:color w:val="000000"/>
                <w:spacing w:val="0"/>
                <w:w w:val="100"/>
                <w:position w:val="0"/>
                <w:sz w:val="24"/>
                <w:szCs w:val="24"/>
              </w:rPr>
              <w:t>1,095</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w:t>
            </w:r>
          </w:p>
        </w:tc>
      </w:tr>
      <w:tr>
        <w:trPr>
          <w:trHeight w:val="312"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其他流动负债</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40"/>
              <w:jc w:val="left"/>
              <w:rPr>
                <w:sz w:val="24"/>
                <w:szCs w:val="24"/>
              </w:rPr>
            </w:pPr>
            <w:r>
              <w:rPr>
                <w:color w:val="000000"/>
                <w:spacing w:val="0"/>
                <w:w w:val="100"/>
                <w:position w:val="0"/>
                <w:sz w:val="24"/>
                <w:szCs w:val="24"/>
              </w:rPr>
              <w:t>玄武苏宁置业诺富特</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280" w:firstLine="0"/>
              <w:jc w:val="right"/>
              <w:rPr>
                <w:sz w:val="24"/>
                <w:szCs w:val="24"/>
              </w:rPr>
            </w:pPr>
            <w:r>
              <w:rPr>
                <w:rFonts w:ascii="Times New Roman" w:eastAsia="Times New Roman" w:hAnsi="Times New Roman" w:cs="Times New Roman"/>
                <w:color w:val="000000"/>
                <w:spacing w:val="0"/>
                <w:w w:val="100"/>
                <w:position w:val="0"/>
                <w:sz w:val="24"/>
                <w:szCs w:val="24"/>
              </w:rPr>
              <w:t>609</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w:t>
            </w:r>
          </w:p>
        </w:tc>
      </w:tr>
      <w:tr>
        <w:trPr>
          <w:trHeight w:val="307"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其他流动负债</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left"/>
              <w:rPr>
                <w:sz w:val="24"/>
                <w:szCs w:val="24"/>
              </w:rPr>
            </w:pPr>
            <w:r>
              <w:rPr>
                <w:color w:val="000000"/>
                <w:spacing w:val="0"/>
                <w:w w:val="100"/>
                <w:position w:val="0"/>
                <w:sz w:val="24"/>
                <w:szCs w:val="24"/>
              </w:rPr>
              <w:t>南京鼎辰建筑设计</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280" w:firstLine="0"/>
              <w:jc w:val="right"/>
              <w:rPr>
                <w:sz w:val="24"/>
                <w:szCs w:val="24"/>
              </w:rPr>
            </w:pPr>
            <w:r>
              <w:rPr>
                <w:rFonts w:ascii="Times New Roman" w:eastAsia="Times New Roman" w:hAnsi="Times New Roman" w:cs="Times New Roman"/>
                <w:color w:val="000000"/>
                <w:spacing w:val="0"/>
                <w:w w:val="100"/>
                <w:position w:val="0"/>
                <w:sz w:val="24"/>
                <w:szCs w:val="24"/>
              </w:rPr>
              <w:t>208</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w:t>
            </w:r>
          </w:p>
        </w:tc>
      </w:tr>
      <w:tr>
        <w:trPr>
          <w:trHeight w:val="312"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其他流动负债</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left"/>
              <w:rPr>
                <w:sz w:val="24"/>
                <w:szCs w:val="24"/>
              </w:rPr>
            </w:pPr>
            <w:r>
              <w:rPr>
                <w:color w:val="000000"/>
                <w:spacing w:val="0"/>
                <w:w w:val="100"/>
                <w:position w:val="0"/>
                <w:sz w:val="24"/>
                <w:szCs w:val="24"/>
              </w:rPr>
              <w:t>银河酒店管理公司</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280" w:firstLine="0"/>
              <w:jc w:val="right"/>
              <w:rPr>
                <w:sz w:val="24"/>
                <w:szCs w:val="24"/>
              </w:rPr>
            </w:pPr>
            <w:r>
              <w:rPr>
                <w:rFonts w:ascii="Times New Roman" w:eastAsia="Times New Roman" w:hAnsi="Times New Roman" w:cs="Times New Roman"/>
                <w:color w:val="000000"/>
                <w:spacing w:val="0"/>
                <w:w w:val="100"/>
                <w:position w:val="0"/>
                <w:sz w:val="24"/>
                <w:szCs w:val="24"/>
              </w:rPr>
              <w:t>80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w:t>
            </w:r>
          </w:p>
        </w:tc>
      </w:tr>
      <w:tr>
        <w:trPr>
          <w:trHeight w:val="317"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其他流动负债</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left"/>
              <w:rPr>
                <w:sz w:val="24"/>
                <w:szCs w:val="24"/>
              </w:rPr>
            </w:pPr>
            <w:r>
              <w:rPr>
                <w:color w:val="000000"/>
                <w:spacing w:val="0"/>
                <w:w w:val="100"/>
                <w:position w:val="0"/>
                <w:sz w:val="24"/>
                <w:szCs w:val="24"/>
              </w:rPr>
              <w:t>苏宁控股集团</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280" w:firstLine="0"/>
              <w:jc w:val="right"/>
              <w:rPr>
                <w:sz w:val="24"/>
                <w:szCs w:val="24"/>
              </w:rPr>
            </w:pPr>
            <w:r>
              <w:rPr>
                <w:rFonts w:ascii="Times New Roman" w:eastAsia="Times New Roman" w:hAnsi="Times New Roman" w:cs="Times New Roman"/>
                <w:color w:val="000000"/>
                <w:spacing w:val="0"/>
                <w:w w:val="100"/>
                <w:position w:val="0"/>
                <w:sz w:val="24"/>
                <w:szCs w:val="24"/>
              </w:rPr>
              <w:t>38</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w:t>
            </w:r>
          </w:p>
        </w:tc>
      </w:tr>
      <w:tr>
        <w:trPr>
          <w:trHeight w:val="307"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其他流动负债</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40"/>
              <w:jc w:val="left"/>
              <w:rPr>
                <w:sz w:val="24"/>
                <w:szCs w:val="24"/>
              </w:rPr>
            </w:pPr>
            <w:r>
              <w:rPr>
                <w:color w:val="000000"/>
                <w:spacing w:val="0"/>
                <w:w w:val="100"/>
                <w:position w:val="0"/>
                <w:sz w:val="24"/>
                <w:szCs w:val="24"/>
              </w:rPr>
              <w:t>苏宁置业</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280" w:firstLine="0"/>
              <w:jc w:val="right"/>
              <w:rPr>
                <w:sz w:val="24"/>
                <w:szCs w:val="24"/>
              </w:rPr>
            </w:pPr>
            <w:r>
              <w:rPr>
                <w:rFonts w:ascii="Times New Roman" w:eastAsia="Times New Roman" w:hAnsi="Times New Roman" w:cs="Times New Roman"/>
                <w:color w:val="000000"/>
                <w:spacing w:val="0"/>
                <w:w w:val="100"/>
                <w:position w:val="0"/>
                <w:sz w:val="24"/>
                <w:szCs w:val="24"/>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5,562</w:t>
            </w:r>
          </w:p>
        </w:tc>
      </w:tr>
      <w:tr>
        <w:trPr>
          <w:trHeight w:val="317"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其他流动负债</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40"/>
              <w:jc w:val="left"/>
              <w:rPr>
                <w:sz w:val="24"/>
                <w:szCs w:val="24"/>
              </w:rPr>
            </w:pPr>
            <w:r>
              <w:rPr>
                <w:color w:val="000000"/>
                <w:spacing w:val="0"/>
                <w:w w:val="100"/>
                <w:position w:val="0"/>
                <w:sz w:val="24"/>
                <w:szCs w:val="24"/>
              </w:rPr>
              <w:t>成都鸿业置业苏宁广场</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280" w:firstLine="0"/>
              <w:jc w:val="right"/>
              <w:rPr>
                <w:sz w:val="24"/>
                <w:szCs w:val="24"/>
              </w:rPr>
            </w:pPr>
            <w:r>
              <w:rPr>
                <w:rFonts w:ascii="Times New Roman" w:eastAsia="Times New Roman" w:hAnsi="Times New Roman" w:cs="Times New Roman"/>
                <w:color w:val="000000"/>
                <w:spacing w:val="0"/>
                <w:w w:val="100"/>
                <w:position w:val="0"/>
                <w:sz w:val="24"/>
                <w:szCs w:val="24"/>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1,026</w:t>
            </w:r>
          </w:p>
        </w:tc>
      </w:tr>
      <w:tr>
        <w:trPr>
          <w:trHeight w:val="312"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280" w:firstLine="0"/>
              <w:jc w:val="right"/>
              <w:rPr>
                <w:sz w:val="24"/>
                <w:szCs w:val="24"/>
              </w:rPr>
            </w:pPr>
            <w:r>
              <w:rPr>
                <w:rFonts w:ascii="Times New Roman" w:eastAsia="Times New Roman" w:hAnsi="Times New Roman" w:cs="Times New Roman"/>
                <w:color w:val="000000"/>
                <w:spacing w:val="0"/>
                <w:w w:val="100"/>
                <w:position w:val="0"/>
                <w:sz w:val="24"/>
                <w:szCs w:val="24"/>
              </w:rPr>
              <w:t>13,356</w:t>
            </w:r>
          </w:p>
        </w:tc>
        <w:tc>
          <w:tcPr>
            <w:tcBorders>
              <w:top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7,395</w:t>
            </w:r>
          </w:p>
        </w:tc>
      </w:tr>
    </w:tbl>
    <w:p>
      <w:pPr>
        <w:sectPr>
          <w:footnotePr>
            <w:pos w:val="pageBottom"/>
            <w:numFmt w:val="decimal"/>
            <w:numRestart w:val="continuous"/>
          </w:footnotePr>
          <w:pgSz w:w="11900" w:h="16840"/>
          <w:pgMar w:top="1326" w:right="668" w:bottom="2540" w:left="1628" w:header="0" w:footer="3" w:gutter="0"/>
          <w:cols w:space="720"/>
          <w:noEndnote/>
          <w:rtlGutter w:val="0"/>
          <w:docGrid w:linePitch="360"/>
        </w:sectPr>
      </w:pPr>
    </w:p>
    <w:p>
      <w:pPr>
        <w:pStyle w:val="Style32"/>
        <w:keepNext w:val="0"/>
        <w:keepLines w:val="0"/>
        <w:widowControl w:val="0"/>
        <w:shd w:val="clear" w:color="auto" w:fill="auto"/>
        <w:bidi w:val="0"/>
        <w:spacing w:before="0" w:after="0" w:line="240" w:lineRule="auto"/>
        <w:ind w:left="0" w:right="0" w:firstLine="780"/>
        <w:jc w:val="left"/>
        <w:rPr>
          <w:sz w:val="24"/>
          <w:szCs w:val="24"/>
        </w:rPr>
      </w:pPr>
      <w:r>
        <w:rPr>
          <w:b/>
          <w:bCs/>
          <w:color w:val="000000"/>
          <w:spacing w:val="0"/>
          <w:w w:val="100"/>
          <w:position w:val="0"/>
          <w:sz w:val="24"/>
          <w:szCs w:val="24"/>
        </w:rPr>
        <w:t>财务报表附注</w:t>
      </w:r>
    </w:p>
    <w:p>
      <w:pPr>
        <w:pStyle w:val="Style88"/>
        <w:keepNext/>
        <w:keepLines/>
        <w:widowControl w:val="0"/>
        <w:shd w:val="clear" w:color="auto" w:fill="auto"/>
        <w:bidi w:val="0"/>
        <w:spacing w:before="0" w:after="0" w:line="240" w:lineRule="auto"/>
        <w:ind w:left="0" w:right="0" w:firstLine="780"/>
        <w:jc w:val="left"/>
      </w:pPr>
      <w:bookmarkStart w:id="1113" w:name="bookmark1113"/>
      <w:bookmarkStart w:id="1114" w:name="bookmark1114"/>
      <w:bookmarkStart w:id="1115" w:name="bookmark1115"/>
      <w:r>
        <w:rPr>
          <w:color w:val="000000"/>
          <w:spacing w:val="0"/>
          <w:w w:val="100"/>
          <w:position w:val="0"/>
          <w:sz w:val="24"/>
          <w:szCs w:val="24"/>
        </w:rPr>
        <w:t>2016</w:t>
      </w:r>
      <w:r>
        <w:rPr>
          <w:rFonts w:ascii="SimSun" w:eastAsia="SimSun" w:hAnsi="SimSun" w:cs="SimSun"/>
          <w:b/>
          <w:bCs/>
          <w:color w:val="000000"/>
          <w:spacing w:val="0"/>
          <w:w w:val="100"/>
          <w:position w:val="0"/>
          <w:sz w:val="24"/>
          <w:szCs w:val="24"/>
        </w:rPr>
        <w:t>年度</w:t>
      </w:r>
      <w:bookmarkEnd w:id="1113"/>
      <w:bookmarkEnd w:id="1114"/>
      <w:bookmarkEnd w:id="1115"/>
    </w:p>
    <w:p>
      <w:pPr>
        <w:pStyle w:val="Style32"/>
        <w:keepNext w:val="0"/>
        <w:keepLines w:val="0"/>
        <w:widowControl w:val="0"/>
        <w:shd w:val="clear" w:color="auto" w:fill="auto"/>
        <w:bidi w:val="0"/>
        <w:spacing w:before="0" w:after="220" w:line="240" w:lineRule="auto"/>
        <w:ind w:left="0" w:right="0" w:firstLine="780"/>
        <w:jc w:val="left"/>
        <w:rPr>
          <w:sz w:val="24"/>
          <w:szCs w:val="24"/>
        </w:rPr>
      </w:pPr>
      <w:r>
        <w:rPr>
          <w:rFonts w:ascii="Arial" w:eastAsia="Arial" w:hAnsi="Arial" w:cs="Arial"/>
          <w:color w:val="000000"/>
          <w:spacing w:val="0"/>
          <w:w w:val="100"/>
          <w:position w:val="0"/>
          <w:sz w:val="20"/>
          <w:szCs w:val="20"/>
        </w:rPr>
        <w:t>(</w:t>
      </w:r>
      <w:r>
        <w:rPr>
          <w:color w:val="000000"/>
          <w:spacing w:val="0"/>
          <w:w w:val="100"/>
          <w:position w:val="0"/>
          <w:sz w:val="20"/>
          <w:szCs w:val="20"/>
        </w:rPr>
        <w:t>除特别注明外，金额单位为人民币千元</w:t>
      </w:r>
      <w:r>
        <w:rPr>
          <w:color w:val="000000"/>
          <w:spacing w:val="0"/>
          <w:w w:val="100"/>
          <w:position w:val="0"/>
          <w:sz w:val="24"/>
          <w:szCs w:val="24"/>
        </w:rPr>
        <w:t>)</w:t>
      </w:r>
    </w:p>
    <w:p>
      <w:pPr>
        <w:pStyle w:val="Style32"/>
        <w:keepNext w:val="0"/>
        <w:keepLines w:val="0"/>
        <w:widowControl w:val="0"/>
        <w:shd w:val="clear" w:color="auto" w:fill="auto"/>
        <w:tabs>
          <w:tab w:pos="670" w:val="left"/>
        </w:tabs>
        <w:bidi w:val="0"/>
        <w:spacing w:before="0" w:after="220" w:line="240" w:lineRule="auto"/>
        <w:ind w:left="0" w:right="0" w:firstLine="0"/>
        <w:jc w:val="left"/>
        <w:rPr>
          <w:sz w:val="24"/>
          <w:szCs w:val="24"/>
        </w:rPr>
      </w:pPr>
      <w:r>
        <w:rPr>
          <w:b/>
          <w:bCs/>
          <w:color w:val="000000"/>
          <w:spacing w:val="0"/>
          <w:w w:val="100"/>
          <w:position w:val="0"/>
          <w:sz w:val="24"/>
          <w:szCs w:val="24"/>
        </w:rPr>
        <w:t>八</w:t>
        <w:tab/>
        <w:t>关联方关系及其交易</w:t>
      </w:r>
      <w:r>
        <w:rPr>
          <w:rFonts w:ascii="Times New Roman" w:eastAsia="Times New Roman" w:hAnsi="Times New Roman" w:cs="Times New Roman"/>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4"/>
          <w:szCs w:val="24"/>
        </w:rPr>
        <w:t>)</w:t>
      </w:r>
    </w:p>
    <w:p>
      <w:pPr>
        <w:pStyle w:val="Style32"/>
        <w:keepNext w:val="0"/>
        <w:keepLines w:val="0"/>
        <w:widowControl w:val="0"/>
        <w:shd w:val="clear" w:color="auto" w:fill="auto"/>
        <w:tabs>
          <w:tab w:pos="670" w:val="left"/>
        </w:tabs>
        <w:bidi w:val="0"/>
        <w:spacing w:before="0" w:after="28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(8)</w:t>
        <w:tab/>
      </w:r>
      <w:r>
        <w:rPr>
          <w:b/>
          <w:bCs/>
          <w:color w:val="000000"/>
          <w:spacing w:val="0"/>
          <w:w w:val="100"/>
          <w:position w:val="0"/>
          <w:sz w:val="24"/>
          <w:szCs w:val="24"/>
        </w:rPr>
        <w:t>存放于关联方的货币资金</w:t>
      </w:r>
    </w:p>
    <w:p>
      <w:pPr>
        <w:pStyle w:val="Style53"/>
        <w:keepNext w:val="0"/>
        <w:keepLines w:val="0"/>
        <w:widowControl w:val="0"/>
        <w:shd w:val="clear" w:color="auto" w:fill="auto"/>
        <w:bidi w:val="0"/>
        <w:spacing w:before="0" w:after="280" w:line="240" w:lineRule="auto"/>
        <w:ind w:left="0" w:right="0" w:firstLine="0"/>
        <w:jc w:val="right"/>
        <w:rPr>
          <w:sz w:val="24"/>
          <w:szCs w:val="24"/>
        </w:rPr>
      </w:pPr>
      <w:r>
        <w:rPr>
          <w:color w:val="000000"/>
          <w:spacing w:val="0"/>
          <w:w w:val="100"/>
          <w:position w:val="0"/>
          <w:sz w:val="24"/>
          <w:szCs w:val="24"/>
        </w:rPr>
        <w:t>2016</w:t>
      </w:r>
      <w:r>
        <w:rPr>
          <w:rFonts w:ascii="SimSun" w:eastAsia="SimSun" w:hAnsi="SimSun" w:cs="SimSun"/>
          <w:color w:val="000000"/>
          <w:spacing w:val="0"/>
          <w:w w:val="100"/>
          <w:position w:val="0"/>
          <w:sz w:val="24"/>
          <w:szCs w:val="24"/>
        </w:rPr>
        <w:t>年</w:t>
      </w:r>
      <w:r>
        <w:rPr>
          <w:color w:val="000000"/>
          <w:spacing w:val="0"/>
          <w:w w:val="100"/>
          <w:position w:val="0"/>
          <w:sz w:val="24"/>
          <w:szCs w:val="24"/>
        </w:rPr>
        <w:t>12</w:t>
      </w:r>
      <w:r>
        <w:rPr>
          <w:rFonts w:ascii="SimSun" w:eastAsia="SimSun" w:hAnsi="SimSun" w:cs="SimSun"/>
          <w:color w:val="000000"/>
          <w:spacing w:val="0"/>
          <w:w w:val="100"/>
          <w:position w:val="0"/>
          <w:sz w:val="24"/>
          <w:szCs w:val="24"/>
        </w:rPr>
        <w:t>月</w:t>
      </w:r>
      <w:r>
        <w:rPr>
          <w:color w:val="000000"/>
          <w:spacing w:val="0"/>
          <w:w w:val="100"/>
          <w:position w:val="0"/>
          <w:sz w:val="24"/>
          <w:szCs w:val="24"/>
        </w:rPr>
        <w:t>31</w:t>
      </w:r>
      <w:r>
        <w:rPr>
          <w:rFonts w:ascii="SimSun" w:eastAsia="SimSun" w:hAnsi="SimSun" w:cs="SimSun"/>
          <w:color w:val="000000"/>
          <w:spacing w:val="0"/>
          <w:w w:val="100"/>
          <w:position w:val="0"/>
          <w:sz w:val="24"/>
          <w:szCs w:val="24"/>
        </w:rPr>
        <w:t xml:space="preserve">日 </w:t>
      </w:r>
      <w:r>
        <w:rPr>
          <w:color w:val="000000"/>
          <w:spacing w:val="0"/>
          <w:w w:val="100"/>
          <w:position w:val="0"/>
          <w:sz w:val="24"/>
          <w:szCs w:val="24"/>
        </w:rPr>
        <w:t>2015</w:t>
      </w:r>
      <w:r>
        <w:rPr>
          <w:rFonts w:ascii="SimSun" w:eastAsia="SimSun" w:hAnsi="SimSun" w:cs="SimSun"/>
          <w:color w:val="000000"/>
          <w:spacing w:val="0"/>
          <w:w w:val="100"/>
          <w:position w:val="0"/>
          <w:sz w:val="24"/>
          <w:szCs w:val="24"/>
        </w:rPr>
        <w:t>年</w:t>
      </w:r>
      <w:r>
        <w:rPr>
          <w:color w:val="000000"/>
          <w:spacing w:val="0"/>
          <w:w w:val="100"/>
          <w:position w:val="0"/>
          <w:sz w:val="24"/>
          <w:szCs w:val="24"/>
        </w:rPr>
        <w:t>12</w:t>
      </w:r>
      <w:r>
        <w:rPr>
          <w:rFonts w:ascii="SimSun" w:eastAsia="SimSun" w:hAnsi="SimSun" w:cs="SimSun"/>
          <w:color w:val="000000"/>
          <w:spacing w:val="0"/>
          <w:w w:val="100"/>
          <w:position w:val="0"/>
          <w:sz w:val="24"/>
          <w:szCs w:val="24"/>
        </w:rPr>
        <w:t>月</w:t>
      </w:r>
      <w:r>
        <w:rPr>
          <w:color w:val="000000"/>
          <w:spacing w:val="0"/>
          <w:w w:val="100"/>
          <w:position w:val="0"/>
          <w:sz w:val="24"/>
          <w:szCs w:val="24"/>
        </w:rPr>
        <w:t>31</w:t>
      </w:r>
      <w:r>
        <w:rPr>
          <w:rFonts w:ascii="SimSun" w:eastAsia="SimSun" w:hAnsi="SimSun" w:cs="SimSun"/>
          <w:color w:val="000000"/>
          <w:spacing w:val="0"/>
          <w:w w:val="100"/>
          <w:position w:val="0"/>
          <w:sz w:val="24"/>
          <w:szCs w:val="24"/>
        </w:rPr>
        <w:t>日</w:t>
      </w:r>
    </w:p>
    <w:p>
      <w:pPr>
        <w:pStyle w:val="Style53"/>
        <w:keepNext w:val="0"/>
        <w:keepLines w:val="0"/>
        <w:widowControl w:val="0"/>
        <w:shd w:val="clear" w:color="auto" w:fill="auto"/>
        <w:tabs>
          <w:tab w:leader="underscore" w:pos="5352" w:val="left"/>
          <w:tab w:pos="6466" w:val="left"/>
          <w:tab w:leader="underscore" w:pos="7704" w:val="left"/>
        </w:tabs>
        <w:bidi w:val="0"/>
        <w:spacing w:before="0" w:after="220" w:line="240" w:lineRule="auto"/>
        <w:ind w:left="0" w:right="0" w:firstLine="780"/>
        <w:jc w:val="left"/>
        <w:rPr>
          <w:sz w:val="24"/>
          <w:szCs w:val="24"/>
        </w:rPr>
      </w:pPr>
      <w:r>
        <w:rPr>
          <w:rFonts w:ascii="SimSun" w:eastAsia="SimSun" w:hAnsi="SimSun" w:cs="SimSun"/>
          <w:color w:val="000000"/>
          <w:spacing w:val="0"/>
          <w:w w:val="100"/>
          <w:position w:val="0"/>
          <w:sz w:val="24"/>
          <w:szCs w:val="24"/>
        </w:rPr>
        <w:t xml:space="preserve">其他货币资金 苏宁消费金融 </w:t>
        <w:tab/>
      </w:r>
      <w:r>
        <w:rPr>
          <w:color w:val="000000"/>
          <w:spacing w:val="0"/>
          <w:w w:val="100"/>
          <w:position w:val="0"/>
          <w:sz w:val="24"/>
          <w:szCs w:val="24"/>
          <w:u w:val="single"/>
        </w:rPr>
        <w:t>890,000</w:t>
      </w:r>
      <w:r>
        <w:rPr>
          <w:color w:val="000000"/>
          <w:spacing w:val="0"/>
          <w:w w:val="100"/>
          <w:position w:val="0"/>
          <w:sz w:val="24"/>
          <w:szCs w:val="24"/>
        </w:rPr>
        <w:tab/>
        <w:tab/>
      </w:r>
      <w:r>
        <w:rPr>
          <w:color w:val="000000"/>
          <w:spacing w:val="0"/>
          <w:w w:val="100"/>
          <w:position w:val="0"/>
          <w:sz w:val="24"/>
          <w:szCs w:val="24"/>
          <w:u w:val="single"/>
        </w:rPr>
        <w:t xml:space="preserve">1,170,000 </w:t>
      </w:r>
      <w:r>
        <w:rPr>
          <w:rStyle w:val="CharStyle33"/>
          <w:rFonts w:ascii="Times New Roman" w:eastAsia="Times New Roman" w:hAnsi="Times New Roman" w:cs="Times New Roman"/>
          <w:sz w:val="24"/>
          <w:szCs w:val="24"/>
        </w:rPr>
        <w:t xml:space="preserve">(9) </w:t>
      </w:r>
      <w:r>
        <w:rPr>
          <w:rStyle w:val="CharStyle33"/>
          <w:b/>
          <w:bCs/>
          <w:sz w:val="24"/>
          <w:szCs w:val="24"/>
        </w:rPr>
        <w:t>关联方承诺</w:t>
      </w:r>
    </w:p>
    <w:p>
      <w:pPr>
        <w:pStyle w:val="Style32"/>
        <w:keepNext w:val="0"/>
        <w:keepLines w:val="0"/>
        <w:widowControl w:val="0"/>
        <w:shd w:val="clear" w:color="auto" w:fill="auto"/>
        <w:bidi w:val="0"/>
        <w:spacing w:before="0" w:after="220" w:line="317" w:lineRule="exact"/>
        <w:ind w:left="780" w:right="0" w:firstLine="20"/>
        <w:jc w:val="left"/>
        <w:rPr>
          <w:sz w:val="24"/>
          <w:szCs w:val="24"/>
        </w:rPr>
      </w:pPr>
      <w:r>
        <w:rPr>
          <w:color w:val="000000"/>
          <w:spacing w:val="0"/>
          <w:w w:val="100"/>
          <w:position w:val="0"/>
          <w:sz w:val="24"/>
          <w:szCs w:val="24"/>
        </w:rPr>
        <w:t>以下为本集团于资产负债表日，已签约而尚不必在资产负债表上列示的与关联方有 关的承诺事项：</w:t>
      </w:r>
    </w:p>
    <w:p>
      <w:pPr>
        <w:pStyle w:val="Style32"/>
        <w:keepNext w:val="0"/>
        <w:keepLines w:val="0"/>
        <w:widowControl w:val="0"/>
        <w:shd w:val="clear" w:color="auto" w:fill="auto"/>
        <w:bidi w:val="0"/>
        <w:spacing w:before="0" w:after="280" w:line="317" w:lineRule="exact"/>
        <w:ind w:left="780" w:right="0" w:firstLine="20"/>
        <w:jc w:val="left"/>
        <w:rPr>
          <w:sz w:val="24"/>
          <w:szCs w:val="24"/>
        </w:rPr>
      </w:pPr>
      <w:r>
        <w:rPr>
          <w:color w:val="000000"/>
          <w:spacing w:val="0"/>
          <w:w w:val="100"/>
          <w:position w:val="0"/>
          <w:sz w:val="24"/>
          <w:szCs w:val="24"/>
        </w:rPr>
        <w:t>接受劳务</w:t>
      </w:r>
    </w:p>
    <w:tbl>
      <w:tblPr>
        <w:tblOverlap w:val="never"/>
        <w:jc w:val="right"/>
        <w:tblLayout w:type="fixed"/>
      </w:tblPr>
      <w:tblGrid>
        <w:gridCol w:w="3720"/>
        <w:gridCol w:w="2582"/>
        <w:gridCol w:w="2376"/>
      </w:tblGrid>
      <w:tr>
        <w:trPr>
          <w:trHeight w:val="432"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240" w:firstLine="0"/>
              <w:jc w:val="right"/>
              <w:rPr>
                <w:sz w:val="24"/>
                <w:szCs w:val="24"/>
              </w:rPr>
            </w:pP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2015</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w:t>
            </w:r>
          </w:p>
        </w:tc>
      </w:tr>
      <w:tr>
        <w:trPr>
          <w:trHeight w:val="451"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项目管理服务</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07"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40"/>
              <w:jc w:val="left"/>
              <w:rPr>
                <w:sz w:val="24"/>
                <w:szCs w:val="24"/>
              </w:rPr>
            </w:pPr>
            <w:r>
              <w:rPr>
                <w:color w:val="000000"/>
                <w:spacing w:val="0"/>
                <w:w w:val="100"/>
                <w:position w:val="0"/>
                <w:sz w:val="24"/>
                <w:szCs w:val="24"/>
              </w:rPr>
              <w:t>苏宁置业</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240" w:firstLine="0"/>
              <w:jc w:val="right"/>
              <w:rPr>
                <w:sz w:val="24"/>
                <w:szCs w:val="24"/>
              </w:rPr>
            </w:pPr>
            <w:r>
              <w:rPr>
                <w:rFonts w:ascii="Times New Roman" w:eastAsia="Times New Roman" w:hAnsi="Times New Roman" w:cs="Times New Roman"/>
                <w:color w:val="000000"/>
                <w:spacing w:val="0"/>
                <w:w w:val="100"/>
                <w:position w:val="0"/>
                <w:sz w:val="24"/>
                <w:szCs w:val="24"/>
              </w:rPr>
              <w:t>17,177</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560" w:right="0" w:firstLine="0"/>
              <w:jc w:val="both"/>
              <w:rPr>
                <w:sz w:val="24"/>
                <w:szCs w:val="24"/>
              </w:rPr>
            </w:pPr>
            <w:r>
              <w:rPr>
                <w:rFonts w:ascii="Times New Roman" w:eastAsia="Times New Roman" w:hAnsi="Times New Roman" w:cs="Times New Roman"/>
                <w:color w:val="000000"/>
                <w:spacing w:val="0"/>
                <w:w w:val="100"/>
                <w:position w:val="0"/>
                <w:sz w:val="24"/>
                <w:szCs w:val="24"/>
              </w:rPr>
              <w:t>32,542</w:t>
            </w:r>
          </w:p>
        </w:tc>
      </w:tr>
      <w:tr>
        <w:trPr>
          <w:trHeight w:val="312"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40"/>
              <w:jc w:val="left"/>
              <w:rPr>
                <w:sz w:val="24"/>
                <w:szCs w:val="24"/>
              </w:rPr>
            </w:pPr>
            <w:r>
              <w:rPr>
                <w:color w:val="000000"/>
                <w:spacing w:val="0"/>
                <w:w w:val="100"/>
                <w:position w:val="0"/>
                <w:sz w:val="24"/>
                <w:szCs w:val="24"/>
              </w:rPr>
              <w:t>青岛苏宁置业</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240" w:firstLine="0"/>
              <w:jc w:val="right"/>
              <w:rPr>
                <w:sz w:val="24"/>
                <w:szCs w:val="24"/>
              </w:rPr>
            </w:pPr>
            <w:r>
              <w:rPr>
                <w:rFonts w:ascii="Times New Roman" w:eastAsia="Times New Roman" w:hAnsi="Times New Roman" w:cs="Times New Roman"/>
                <w:color w:val="000000"/>
                <w:spacing w:val="0"/>
                <w:w w:val="100"/>
                <w:position w:val="0"/>
                <w:sz w:val="24"/>
                <w:szCs w:val="24"/>
              </w:rPr>
              <w:t>7,893</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680" w:right="0" w:firstLine="0"/>
              <w:jc w:val="both"/>
              <w:rPr>
                <w:sz w:val="24"/>
                <w:szCs w:val="24"/>
              </w:rPr>
            </w:pPr>
            <w:r>
              <w:rPr>
                <w:rFonts w:ascii="Times New Roman" w:eastAsia="Times New Roman" w:hAnsi="Times New Roman" w:cs="Times New Roman"/>
                <w:color w:val="000000"/>
                <w:spacing w:val="0"/>
                <w:w w:val="100"/>
                <w:position w:val="0"/>
                <w:sz w:val="24"/>
                <w:szCs w:val="24"/>
              </w:rPr>
              <w:t>7,893</w:t>
            </w:r>
          </w:p>
        </w:tc>
      </w:tr>
      <w:tr>
        <w:trPr>
          <w:trHeight w:val="312"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40"/>
              <w:jc w:val="left"/>
              <w:rPr>
                <w:sz w:val="24"/>
                <w:szCs w:val="24"/>
              </w:rPr>
            </w:pPr>
            <w:r>
              <w:rPr>
                <w:color w:val="000000"/>
                <w:spacing w:val="0"/>
                <w:w w:val="100"/>
                <w:position w:val="0"/>
                <w:sz w:val="24"/>
                <w:szCs w:val="24"/>
              </w:rPr>
              <w:t>上海苏宁房地产开发</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240" w:firstLine="0"/>
              <w:jc w:val="right"/>
              <w:rPr>
                <w:sz w:val="24"/>
                <w:szCs w:val="24"/>
              </w:rPr>
            </w:pPr>
            <w:r>
              <w:rPr>
                <w:rFonts w:ascii="Times New Roman" w:eastAsia="Times New Roman" w:hAnsi="Times New Roman" w:cs="Times New Roman"/>
                <w:color w:val="000000"/>
                <w:spacing w:val="0"/>
                <w:w w:val="100"/>
                <w:position w:val="0"/>
                <w:sz w:val="24"/>
                <w:szCs w:val="24"/>
              </w:rPr>
              <w:t>1,501</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680" w:right="0" w:firstLine="0"/>
              <w:jc w:val="both"/>
              <w:rPr>
                <w:sz w:val="24"/>
                <w:szCs w:val="24"/>
              </w:rPr>
            </w:pPr>
            <w:r>
              <w:rPr>
                <w:rFonts w:ascii="Times New Roman" w:eastAsia="Times New Roman" w:hAnsi="Times New Roman" w:cs="Times New Roman"/>
                <w:color w:val="000000"/>
                <w:spacing w:val="0"/>
                <w:w w:val="100"/>
                <w:position w:val="0"/>
                <w:sz w:val="24"/>
                <w:szCs w:val="24"/>
              </w:rPr>
              <w:t>1,501</w:t>
            </w:r>
          </w:p>
        </w:tc>
      </w:tr>
      <w:tr>
        <w:trPr>
          <w:trHeight w:val="312"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40"/>
              <w:jc w:val="left"/>
              <w:rPr>
                <w:sz w:val="24"/>
                <w:szCs w:val="24"/>
              </w:rPr>
            </w:pPr>
            <w:r>
              <w:rPr>
                <w:color w:val="000000"/>
                <w:spacing w:val="0"/>
                <w:w w:val="100"/>
                <w:position w:val="0"/>
                <w:sz w:val="24"/>
                <w:szCs w:val="24"/>
              </w:rPr>
              <w:t>北京苏宁置业</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240" w:firstLine="0"/>
              <w:jc w:val="right"/>
              <w:rPr>
                <w:sz w:val="24"/>
                <w:szCs w:val="24"/>
              </w:rPr>
            </w:pPr>
            <w:r>
              <w:rPr>
                <w:rFonts w:ascii="Times New Roman" w:eastAsia="Times New Roman" w:hAnsi="Times New Roman" w:cs="Times New Roman"/>
                <w:color w:val="000000"/>
                <w:spacing w:val="0"/>
                <w:w w:val="100"/>
                <w:position w:val="0"/>
                <w:sz w:val="24"/>
                <w:szCs w:val="24"/>
              </w:rPr>
              <w:t>1,445</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680" w:right="0" w:firstLine="0"/>
              <w:jc w:val="both"/>
              <w:rPr>
                <w:sz w:val="24"/>
                <w:szCs w:val="24"/>
              </w:rPr>
            </w:pPr>
            <w:r>
              <w:rPr>
                <w:rFonts w:ascii="Times New Roman" w:eastAsia="Times New Roman" w:hAnsi="Times New Roman" w:cs="Times New Roman"/>
                <w:color w:val="000000"/>
                <w:spacing w:val="0"/>
                <w:w w:val="100"/>
                <w:position w:val="0"/>
                <w:sz w:val="24"/>
                <w:szCs w:val="24"/>
              </w:rPr>
              <w:t>1,534</w:t>
            </w:r>
          </w:p>
        </w:tc>
      </w:tr>
      <w:tr>
        <w:trPr>
          <w:trHeight w:val="312"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40"/>
              <w:jc w:val="left"/>
              <w:rPr>
                <w:sz w:val="24"/>
                <w:szCs w:val="24"/>
              </w:rPr>
            </w:pPr>
            <w:r>
              <w:rPr>
                <w:color w:val="000000"/>
                <w:spacing w:val="0"/>
                <w:w w:val="100"/>
                <w:position w:val="0"/>
                <w:sz w:val="24"/>
                <w:szCs w:val="24"/>
              </w:rPr>
              <w:t>无锡苏宁置业</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240" w:firstLine="0"/>
              <w:jc w:val="right"/>
              <w:rPr>
                <w:sz w:val="24"/>
                <w:szCs w:val="24"/>
              </w:rPr>
            </w:pPr>
            <w:r>
              <w:rPr>
                <w:rFonts w:ascii="Times New Roman" w:eastAsia="Times New Roman" w:hAnsi="Times New Roman" w:cs="Times New Roman"/>
                <w:color w:val="000000"/>
                <w:spacing w:val="0"/>
                <w:w w:val="100"/>
                <w:position w:val="0"/>
                <w:sz w:val="24"/>
                <w:szCs w:val="24"/>
              </w:rPr>
              <w:t>322</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680" w:right="0" w:firstLine="0"/>
              <w:jc w:val="both"/>
              <w:rPr>
                <w:sz w:val="24"/>
                <w:szCs w:val="24"/>
              </w:rPr>
            </w:pPr>
            <w:r>
              <w:rPr>
                <w:rFonts w:ascii="Times New Roman" w:eastAsia="Times New Roman" w:hAnsi="Times New Roman" w:cs="Times New Roman"/>
                <w:color w:val="000000"/>
                <w:spacing w:val="0"/>
                <w:w w:val="100"/>
                <w:position w:val="0"/>
                <w:sz w:val="24"/>
                <w:szCs w:val="24"/>
              </w:rPr>
              <w:t>2,056</w:t>
            </w:r>
          </w:p>
        </w:tc>
      </w:tr>
      <w:tr>
        <w:trPr>
          <w:trHeight w:val="312"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40"/>
              <w:jc w:val="left"/>
              <w:rPr>
                <w:sz w:val="24"/>
                <w:szCs w:val="24"/>
              </w:rPr>
            </w:pPr>
            <w:r>
              <w:rPr>
                <w:color w:val="000000"/>
                <w:spacing w:val="0"/>
                <w:w w:val="100"/>
                <w:position w:val="0"/>
                <w:sz w:val="24"/>
                <w:szCs w:val="24"/>
              </w:rPr>
              <w:t>长春苏宁置业</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240" w:firstLine="0"/>
              <w:jc w:val="right"/>
              <w:rPr>
                <w:sz w:val="24"/>
                <w:szCs w:val="24"/>
              </w:rPr>
            </w:pPr>
            <w:r>
              <w:rPr>
                <w:rFonts w:ascii="Times New Roman" w:eastAsia="Times New Roman" w:hAnsi="Times New Roman" w:cs="Times New Roman"/>
                <w:color w:val="000000"/>
                <w:spacing w:val="0"/>
                <w:w w:val="100"/>
                <w:position w:val="0"/>
                <w:sz w:val="24"/>
                <w:szCs w:val="24"/>
              </w:rPr>
              <w:t>308</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860" w:right="0" w:firstLine="0"/>
              <w:jc w:val="both"/>
              <w:rPr>
                <w:sz w:val="24"/>
                <w:szCs w:val="24"/>
              </w:rPr>
            </w:pPr>
            <w:r>
              <w:rPr>
                <w:rFonts w:ascii="Times New Roman" w:eastAsia="Times New Roman" w:hAnsi="Times New Roman" w:cs="Times New Roman"/>
                <w:color w:val="000000"/>
                <w:spacing w:val="0"/>
                <w:w w:val="100"/>
                <w:position w:val="0"/>
                <w:sz w:val="24"/>
                <w:szCs w:val="24"/>
              </w:rPr>
              <w:t>308</w:t>
            </w:r>
          </w:p>
        </w:tc>
      </w:tr>
      <w:tr>
        <w:trPr>
          <w:trHeight w:val="307"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40"/>
              <w:jc w:val="left"/>
              <w:rPr>
                <w:sz w:val="24"/>
                <w:szCs w:val="24"/>
              </w:rPr>
            </w:pPr>
            <w:r>
              <w:rPr>
                <w:color w:val="000000"/>
                <w:spacing w:val="0"/>
                <w:w w:val="100"/>
                <w:position w:val="0"/>
                <w:sz w:val="24"/>
                <w:szCs w:val="24"/>
              </w:rPr>
              <w:t>福州苏宁置业</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240" w:firstLine="0"/>
              <w:jc w:val="right"/>
              <w:rPr>
                <w:sz w:val="24"/>
                <w:szCs w:val="24"/>
              </w:rPr>
            </w:pPr>
            <w:r>
              <w:rPr>
                <w:rFonts w:ascii="Times New Roman" w:eastAsia="Times New Roman" w:hAnsi="Times New Roman" w:cs="Times New Roman"/>
                <w:color w:val="000000"/>
                <w:spacing w:val="0"/>
                <w:w w:val="100"/>
                <w:position w:val="0"/>
                <w:sz w:val="24"/>
                <w:szCs w:val="24"/>
              </w:rPr>
              <w:t>259</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860" w:right="0" w:firstLine="0"/>
              <w:jc w:val="both"/>
              <w:rPr>
                <w:sz w:val="24"/>
                <w:szCs w:val="24"/>
              </w:rPr>
            </w:pPr>
            <w:r>
              <w:rPr>
                <w:rFonts w:ascii="Times New Roman" w:eastAsia="Times New Roman" w:hAnsi="Times New Roman" w:cs="Times New Roman"/>
                <w:color w:val="000000"/>
                <w:spacing w:val="0"/>
                <w:w w:val="100"/>
                <w:position w:val="0"/>
                <w:sz w:val="24"/>
                <w:szCs w:val="24"/>
              </w:rPr>
              <w:t>680</w:t>
            </w:r>
          </w:p>
        </w:tc>
      </w:tr>
      <w:tr>
        <w:trPr>
          <w:trHeight w:val="312"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40"/>
              <w:jc w:val="left"/>
              <w:rPr>
                <w:sz w:val="24"/>
                <w:szCs w:val="24"/>
              </w:rPr>
            </w:pPr>
            <w:r>
              <w:rPr>
                <w:color w:val="000000"/>
                <w:spacing w:val="0"/>
                <w:w w:val="100"/>
                <w:position w:val="0"/>
                <w:sz w:val="24"/>
                <w:szCs w:val="24"/>
              </w:rPr>
              <w:t>淮安苏宁置业</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240" w:firstLine="0"/>
              <w:jc w:val="right"/>
              <w:rPr>
                <w:sz w:val="24"/>
                <w:szCs w:val="24"/>
              </w:rPr>
            </w:pPr>
            <w:r>
              <w:rPr>
                <w:rFonts w:ascii="Times New Roman" w:eastAsia="Times New Roman" w:hAnsi="Times New Roman" w:cs="Times New Roman"/>
                <w:color w:val="000000"/>
                <w:spacing w:val="0"/>
                <w:w w:val="100"/>
                <w:position w:val="0"/>
                <w:sz w:val="24"/>
                <w:szCs w:val="24"/>
              </w:rPr>
              <w:t>29</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860" w:right="0" w:firstLine="0"/>
              <w:jc w:val="both"/>
              <w:rPr>
                <w:sz w:val="24"/>
                <w:szCs w:val="24"/>
              </w:rPr>
            </w:pPr>
            <w:r>
              <w:rPr>
                <w:rFonts w:ascii="Times New Roman" w:eastAsia="Times New Roman" w:hAnsi="Times New Roman" w:cs="Times New Roman"/>
                <w:color w:val="000000"/>
                <w:spacing w:val="0"/>
                <w:w w:val="100"/>
                <w:position w:val="0"/>
                <w:sz w:val="24"/>
                <w:szCs w:val="24"/>
              </w:rPr>
              <w:t>161</w:t>
            </w:r>
          </w:p>
        </w:tc>
      </w:tr>
      <w:tr>
        <w:trPr>
          <w:trHeight w:val="312"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40"/>
              <w:jc w:val="left"/>
              <w:rPr>
                <w:sz w:val="24"/>
                <w:szCs w:val="24"/>
              </w:rPr>
            </w:pPr>
            <w:r>
              <w:rPr>
                <w:color w:val="000000"/>
                <w:spacing w:val="0"/>
                <w:w w:val="100"/>
                <w:position w:val="0"/>
                <w:sz w:val="24"/>
                <w:szCs w:val="24"/>
              </w:rPr>
              <w:t>成都鸿业置业</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240" w:firstLine="0"/>
              <w:jc w:val="right"/>
              <w:rPr>
                <w:sz w:val="24"/>
                <w:szCs w:val="24"/>
              </w:rPr>
            </w:pPr>
            <w:r>
              <w:rPr>
                <w:rFonts w:ascii="Times New Roman" w:eastAsia="Times New Roman" w:hAnsi="Times New Roman" w:cs="Times New Roman"/>
                <w:color w:val="000000"/>
                <w:spacing w:val="0"/>
                <w:w w:val="100"/>
                <w:position w:val="0"/>
                <w:sz w:val="24"/>
                <w:szCs w:val="24"/>
              </w:rPr>
              <w:t>4</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680" w:right="0" w:firstLine="0"/>
              <w:jc w:val="both"/>
              <w:rPr>
                <w:sz w:val="24"/>
                <w:szCs w:val="24"/>
              </w:rPr>
            </w:pPr>
            <w:r>
              <w:rPr>
                <w:rFonts w:ascii="Times New Roman" w:eastAsia="Times New Roman" w:hAnsi="Times New Roman" w:cs="Times New Roman"/>
                <w:color w:val="000000"/>
                <w:spacing w:val="0"/>
                <w:w w:val="100"/>
                <w:position w:val="0"/>
                <w:sz w:val="24"/>
                <w:szCs w:val="24"/>
              </w:rPr>
              <w:t>2,644</w:t>
            </w:r>
          </w:p>
        </w:tc>
      </w:tr>
      <w:tr>
        <w:trPr>
          <w:trHeight w:val="317"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40"/>
              <w:jc w:val="left"/>
              <w:rPr>
                <w:sz w:val="24"/>
                <w:szCs w:val="24"/>
              </w:rPr>
            </w:pPr>
            <w:r>
              <w:rPr>
                <w:color w:val="000000"/>
                <w:spacing w:val="0"/>
                <w:w w:val="100"/>
                <w:position w:val="0"/>
                <w:sz w:val="24"/>
                <w:szCs w:val="24"/>
              </w:rPr>
              <w:t>石家庄苏宁房地产开发</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240" w:firstLine="0"/>
              <w:jc w:val="right"/>
              <w:rPr>
                <w:sz w:val="24"/>
                <w:szCs w:val="24"/>
              </w:rPr>
            </w:pPr>
            <w:r>
              <w:rPr>
                <w:color w:val="000000"/>
                <w:spacing w:val="0"/>
                <w:w w:val="100"/>
                <w:position w:val="0"/>
                <w:sz w:val="24"/>
                <w:szCs w:val="24"/>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1860" w:right="0" w:firstLine="0"/>
              <w:jc w:val="both"/>
              <w:rPr>
                <w:sz w:val="24"/>
                <w:szCs w:val="24"/>
              </w:rPr>
            </w:pPr>
            <w:r>
              <w:rPr>
                <w:rFonts w:ascii="Times New Roman" w:eastAsia="Times New Roman" w:hAnsi="Times New Roman" w:cs="Times New Roman"/>
                <w:color w:val="000000"/>
                <w:spacing w:val="0"/>
                <w:w w:val="100"/>
                <w:position w:val="0"/>
                <w:sz w:val="24"/>
                <w:szCs w:val="24"/>
              </w:rPr>
              <w:t>678</w:t>
            </w:r>
          </w:p>
        </w:tc>
      </w:tr>
      <w:tr>
        <w:trPr>
          <w:trHeight w:val="293"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240" w:firstLine="0"/>
              <w:jc w:val="right"/>
              <w:rPr>
                <w:sz w:val="24"/>
                <w:szCs w:val="24"/>
              </w:rPr>
            </w:pPr>
            <w:r>
              <w:rPr>
                <w:rFonts w:ascii="Times New Roman" w:eastAsia="Times New Roman" w:hAnsi="Times New Roman" w:cs="Times New Roman"/>
                <w:color w:val="000000"/>
                <w:spacing w:val="0"/>
                <w:w w:val="100"/>
                <w:position w:val="0"/>
                <w:sz w:val="24"/>
                <w:szCs w:val="24"/>
              </w:rPr>
              <w:t>28,938</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560" w:right="0" w:firstLine="0"/>
              <w:jc w:val="both"/>
              <w:rPr>
                <w:sz w:val="24"/>
                <w:szCs w:val="24"/>
              </w:rPr>
            </w:pPr>
            <w:r>
              <w:rPr>
                <w:rFonts w:ascii="Times New Roman" w:eastAsia="Times New Roman" w:hAnsi="Times New Roman" w:cs="Times New Roman"/>
                <w:color w:val="000000"/>
                <w:spacing w:val="0"/>
                <w:w w:val="100"/>
                <w:position w:val="0"/>
                <w:sz w:val="24"/>
                <w:szCs w:val="24"/>
              </w:rPr>
              <w:t>49,997</w:t>
            </w:r>
          </w:p>
        </w:tc>
      </w:tr>
      <w:tr>
        <w:trPr>
          <w:trHeight w:val="739"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240" w:firstLine="0"/>
              <w:jc w:val="right"/>
              <w:rPr>
                <w:sz w:val="24"/>
                <w:szCs w:val="24"/>
              </w:rPr>
            </w:pP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w:t>
            </w:r>
          </w:p>
        </w:tc>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2015</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w:t>
            </w:r>
          </w:p>
        </w:tc>
      </w:tr>
      <w:tr>
        <w:trPr>
          <w:trHeight w:val="595"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代售自建店配套物业服务</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46"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40"/>
              <w:jc w:val="left"/>
              <w:rPr>
                <w:sz w:val="24"/>
                <w:szCs w:val="24"/>
              </w:rPr>
            </w:pPr>
            <w:r>
              <w:rPr>
                <w:color w:val="000000"/>
                <w:spacing w:val="0"/>
                <w:w w:val="100"/>
                <w:position w:val="0"/>
                <w:sz w:val="24"/>
                <w:szCs w:val="24"/>
              </w:rPr>
              <w:t>苏宁置业</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240" w:firstLine="0"/>
              <w:jc w:val="right"/>
              <w:rPr>
                <w:sz w:val="24"/>
                <w:szCs w:val="24"/>
              </w:rPr>
            </w:pPr>
            <w:r>
              <w:rPr>
                <w:rFonts w:ascii="Times New Roman" w:eastAsia="Times New Roman" w:hAnsi="Times New Roman" w:cs="Times New Roman"/>
                <w:color w:val="000000"/>
                <w:spacing w:val="0"/>
                <w:w w:val="100"/>
                <w:position w:val="0"/>
                <w:sz w:val="24"/>
                <w:szCs w:val="24"/>
              </w:rPr>
              <w:t>6,372</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11,191</w:t>
            </w:r>
          </w:p>
        </w:tc>
      </w:tr>
      <w:tr>
        <w:trPr>
          <w:trHeight w:val="317"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40"/>
              <w:jc w:val="left"/>
              <w:rPr>
                <w:sz w:val="24"/>
                <w:szCs w:val="24"/>
              </w:rPr>
            </w:pPr>
            <w:r>
              <w:rPr>
                <w:color w:val="000000"/>
                <w:spacing w:val="0"/>
                <w:w w:val="100"/>
                <w:position w:val="0"/>
                <w:sz w:val="24"/>
                <w:szCs w:val="24"/>
              </w:rPr>
              <w:t>上海苏宁房地产开发</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240" w:firstLine="0"/>
              <w:jc w:val="right"/>
              <w:rPr>
                <w:sz w:val="24"/>
                <w:szCs w:val="24"/>
              </w:rPr>
            </w:pPr>
            <w:r>
              <w:rPr>
                <w:color w:val="000000"/>
                <w:spacing w:val="0"/>
                <w:w w:val="100"/>
                <w:position w:val="0"/>
                <w:sz w:val="24"/>
                <w:szCs w:val="24"/>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680" w:right="0" w:firstLine="0"/>
              <w:jc w:val="both"/>
              <w:rPr>
                <w:sz w:val="24"/>
                <w:szCs w:val="24"/>
              </w:rPr>
            </w:pPr>
            <w:r>
              <w:rPr>
                <w:rFonts w:ascii="Times New Roman" w:eastAsia="Times New Roman" w:hAnsi="Times New Roman" w:cs="Times New Roman"/>
                <w:color w:val="000000"/>
                <w:spacing w:val="0"/>
                <w:w w:val="100"/>
                <w:position w:val="0"/>
                <w:sz w:val="24"/>
                <w:szCs w:val="24"/>
              </w:rPr>
              <w:t>1,080</w:t>
            </w:r>
          </w:p>
        </w:tc>
      </w:tr>
      <w:tr>
        <w:trPr>
          <w:trHeight w:val="307" w:hRule="exact"/>
        </w:trPr>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240" w:firstLine="0"/>
              <w:jc w:val="right"/>
              <w:rPr>
                <w:sz w:val="24"/>
                <w:szCs w:val="24"/>
              </w:rPr>
            </w:pPr>
            <w:r>
              <w:rPr>
                <w:rFonts w:ascii="Times New Roman" w:eastAsia="Times New Roman" w:hAnsi="Times New Roman" w:cs="Times New Roman"/>
                <w:color w:val="000000"/>
                <w:spacing w:val="0"/>
                <w:w w:val="100"/>
                <w:position w:val="0"/>
                <w:sz w:val="24"/>
                <w:szCs w:val="24"/>
              </w:rPr>
              <w:t>6,372</w:t>
            </w:r>
          </w:p>
        </w:tc>
        <w:tc>
          <w:tcPr>
            <w:tcBorders>
              <w:top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560" w:right="0" w:firstLine="0"/>
              <w:jc w:val="both"/>
              <w:rPr>
                <w:sz w:val="24"/>
                <w:szCs w:val="24"/>
              </w:rPr>
            </w:pPr>
            <w:r>
              <w:rPr>
                <w:rFonts w:ascii="Times New Roman" w:eastAsia="Times New Roman" w:hAnsi="Times New Roman" w:cs="Times New Roman"/>
                <w:color w:val="000000"/>
                <w:spacing w:val="0"/>
                <w:w w:val="100"/>
                <w:position w:val="0"/>
                <w:sz w:val="24"/>
                <w:szCs w:val="24"/>
              </w:rPr>
              <w:t>12,271</w:t>
            </w:r>
          </w:p>
        </w:tc>
      </w:tr>
    </w:tbl>
    <w:p>
      <w:pPr>
        <w:spacing w:lineRule="exact" w:line="1"/>
        <w:rPr>
          <w:sz w:val="2"/>
          <w:szCs w:val="2"/>
        </w:rPr>
      </w:pPr>
      <w:r>
        <w:br w:type="page"/>
      </w:r>
    </w:p>
    <w:p>
      <w:pPr>
        <w:pStyle w:val="Style32"/>
        <w:keepNext w:val="0"/>
        <w:keepLines w:val="0"/>
        <w:widowControl w:val="0"/>
        <w:shd w:val="clear" w:color="auto" w:fill="auto"/>
        <w:bidi w:val="0"/>
        <w:spacing w:before="0" w:after="0" w:line="240" w:lineRule="auto"/>
        <w:ind w:left="0" w:right="0" w:firstLine="780"/>
        <w:jc w:val="left"/>
        <w:rPr>
          <w:sz w:val="24"/>
          <w:szCs w:val="24"/>
        </w:rPr>
      </w:pPr>
      <w:r>
        <w:rPr>
          <w:b/>
          <w:bCs/>
          <w:color w:val="000000"/>
          <w:spacing w:val="0"/>
          <w:w w:val="100"/>
          <w:position w:val="0"/>
          <w:sz w:val="24"/>
          <w:szCs w:val="24"/>
        </w:rPr>
        <w:t>财务报表附注</w:t>
      </w:r>
    </w:p>
    <w:p>
      <w:pPr>
        <w:pStyle w:val="Style88"/>
        <w:keepNext/>
        <w:keepLines/>
        <w:widowControl w:val="0"/>
        <w:shd w:val="clear" w:color="auto" w:fill="auto"/>
        <w:bidi w:val="0"/>
        <w:spacing w:before="0" w:after="0" w:line="240" w:lineRule="auto"/>
        <w:ind w:left="0" w:right="0" w:firstLine="780"/>
        <w:jc w:val="left"/>
      </w:pPr>
      <w:bookmarkStart w:id="1116" w:name="bookmark1116"/>
      <w:bookmarkStart w:id="1117" w:name="bookmark1117"/>
      <w:bookmarkStart w:id="1118" w:name="bookmark1118"/>
      <w:r>
        <w:rPr>
          <w:color w:val="000000"/>
          <w:spacing w:val="0"/>
          <w:w w:val="100"/>
          <w:position w:val="0"/>
          <w:sz w:val="24"/>
          <w:szCs w:val="24"/>
        </w:rPr>
        <w:t>2016</w:t>
      </w:r>
      <w:r>
        <w:rPr>
          <w:rFonts w:ascii="SimSun" w:eastAsia="SimSun" w:hAnsi="SimSun" w:cs="SimSun"/>
          <w:b/>
          <w:bCs/>
          <w:color w:val="000000"/>
          <w:spacing w:val="0"/>
          <w:w w:val="100"/>
          <w:position w:val="0"/>
          <w:sz w:val="24"/>
          <w:szCs w:val="24"/>
        </w:rPr>
        <w:t>年度</w:t>
      </w:r>
      <w:bookmarkEnd w:id="1116"/>
      <w:bookmarkEnd w:id="1117"/>
      <w:bookmarkEnd w:id="1118"/>
    </w:p>
    <w:p>
      <w:pPr>
        <w:pStyle w:val="Style32"/>
        <w:keepNext w:val="0"/>
        <w:keepLines w:val="0"/>
        <w:widowControl w:val="0"/>
        <w:shd w:val="clear" w:color="auto" w:fill="auto"/>
        <w:bidi w:val="0"/>
        <w:spacing w:before="0" w:after="200" w:line="240" w:lineRule="auto"/>
        <w:ind w:left="0" w:right="0" w:firstLine="780"/>
        <w:jc w:val="left"/>
        <w:rPr>
          <w:sz w:val="20"/>
          <w:szCs w:val="20"/>
        </w:rPr>
      </w:pPr>
      <w:r>
        <w:rPr>
          <w:rFonts w:ascii="Arial" w:eastAsia="Arial" w:hAnsi="Arial" w:cs="Arial"/>
          <w:color w:val="000000"/>
          <w:spacing w:val="0"/>
          <w:w w:val="100"/>
          <w:position w:val="0"/>
          <w:sz w:val="20"/>
          <w:szCs w:val="20"/>
        </w:rPr>
        <w:t>（</w:t>
      </w:r>
      <w:r>
        <w:rPr>
          <w:color w:val="000000"/>
          <w:spacing w:val="0"/>
          <w:w w:val="100"/>
          <w:position w:val="0"/>
          <w:sz w:val="20"/>
          <w:szCs w:val="20"/>
        </w:rPr>
        <w:t>除特别注明外，金额单位为人民币千元</w:t>
      </w:r>
      <w:r>
        <w:rPr>
          <w:rFonts w:ascii="Arial" w:eastAsia="Arial" w:hAnsi="Arial" w:cs="Arial"/>
          <w:color w:val="000000"/>
          <w:spacing w:val="0"/>
          <w:w w:val="100"/>
          <w:position w:val="0"/>
          <w:sz w:val="20"/>
          <w:szCs w:val="20"/>
        </w:rPr>
        <w:t>）</w:t>
      </w:r>
    </w:p>
    <w:p>
      <w:pPr>
        <w:pStyle w:val="Style32"/>
        <w:keepNext w:val="0"/>
        <w:keepLines w:val="0"/>
        <w:widowControl w:val="0"/>
        <w:shd w:val="clear" w:color="auto" w:fill="auto"/>
        <w:tabs>
          <w:tab w:pos="636" w:val="left"/>
        </w:tabs>
        <w:bidi w:val="0"/>
        <w:spacing w:before="0" w:after="200" w:line="240" w:lineRule="auto"/>
        <w:ind w:left="0" w:right="0" w:firstLine="0"/>
        <w:jc w:val="left"/>
        <w:rPr>
          <w:sz w:val="24"/>
          <w:szCs w:val="24"/>
        </w:rPr>
      </w:pPr>
      <w:r>
        <w:rPr>
          <w:b/>
          <w:bCs/>
          <w:color w:val="000000"/>
          <w:spacing w:val="0"/>
          <w:w w:val="100"/>
          <w:position w:val="0"/>
          <w:sz w:val="24"/>
          <w:szCs w:val="24"/>
        </w:rPr>
        <w:t>八</w:t>
        <w:tab/>
        <w:t>关联方关系及其交易</w:t>
      </w:r>
      <w:r>
        <w:rPr>
          <w:rFonts w:ascii="Times New Roman" w:eastAsia="Times New Roman" w:hAnsi="Times New Roman" w:cs="Times New Roman"/>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4"/>
          <w:szCs w:val="24"/>
        </w:rPr>
        <w:t>）</w:t>
      </w:r>
    </w:p>
    <w:p>
      <w:pPr>
        <w:pStyle w:val="Style53"/>
        <w:keepNext w:val="0"/>
        <w:keepLines w:val="0"/>
        <w:widowControl w:val="0"/>
        <w:shd w:val="clear" w:color="auto" w:fill="auto"/>
        <w:tabs>
          <w:tab w:pos="636" w:val="left"/>
        </w:tabs>
        <w:bidi w:val="0"/>
        <w:spacing w:before="0" w:after="300" w:line="240" w:lineRule="auto"/>
        <w:ind w:left="0" w:right="0" w:firstLine="0"/>
        <w:jc w:val="left"/>
        <w:rPr>
          <w:sz w:val="24"/>
          <w:szCs w:val="24"/>
        </w:rPr>
      </w:pPr>
      <w:r>
        <w:rPr>
          <w:color w:val="000000"/>
          <w:spacing w:val="0"/>
          <w:w w:val="100"/>
          <w:position w:val="0"/>
          <w:sz w:val="24"/>
          <w:szCs w:val="24"/>
        </w:rPr>
        <w:t>（9）</w:t>
        <w:tab/>
      </w:r>
      <w:r>
        <w:rPr>
          <w:rFonts w:ascii="SimSun" w:eastAsia="SimSun" w:hAnsi="SimSun" w:cs="SimSun"/>
          <w:b/>
          <w:bCs/>
          <w:color w:val="000000"/>
          <w:spacing w:val="0"/>
          <w:w w:val="100"/>
          <w:position w:val="0"/>
          <w:sz w:val="24"/>
          <w:szCs w:val="24"/>
        </w:rPr>
        <w:t>关联方承诺</w:t>
      </w:r>
      <w:r>
        <w:rPr>
          <w:color w:val="000000"/>
          <w:spacing w:val="0"/>
          <w:w w:val="100"/>
          <w:position w:val="0"/>
          <w:sz w:val="24"/>
          <w:szCs w:val="24"/>
        </w:rPr>
        <w:t>（</w:t>
      </w:r>
      <w:r>
        <w:rPr>
          <w:rFonts w:ascii="SimSun" w:eastAsia="SimSun" w:hAnsi="SimSun" w:cs="SimSun"/>
          <w:b/>
          <w:bCs/>
          <w:color w:val="000000"/>
          <w:spacing w:val="0"/>
          <w:w w:val="100"/>
          <w:position w:val="0"/>
          <w:sz w:val="24"/>
          <w:szCs w:val="24"/>
        </w:rPr>
        <w:t>续</w:t>
      </w:r>
      <w:r>
        <w:rPr>
          <w:rFonts w:ascii="SimSun" w:eastAsia="SimSun" w:hAnsi="SimSun" w:cs="SimSun"/>
          <w:color w:val="000000"/>
          <w:spacing w:val="0"/>
          <w:w w:val="100"/>
          <w:position w:val="0"/>
          <w:sz w:val="24"/>
          <w:szCs w:val="24"/>
        </w:rPr>
        <w:t>）</w:t>
      </w:r>
    </w:p>
    <w:p>
      <w:pPr>
        <w:pStyle w:val="Style32"/>
        <w:keepNext w:val="0"/>
        <w:keepLines w:val="0"/>
        <w:widowControl w:val="0"/>
        <w:shd w:val="clear" w:color="auto" w:fill="auto"/>
        <w:bidi w:val="0"/>
        <w:spacing w:before="0" w:after="0" w:line="240" w:lineRule="auto"/>
        <w:ind w:left="0" w:right="0" w:firstLine="780"/>
        <w:jc w:val="left"/>
        <w:rPr>
          <w:sz w:val="24"/>
          <w:szCs w:val="24"/>
        </w:rPr>
      </w:pPr>
      <w:r>
        <w:rPr>
          <w:color w:val="000000"/>
          <w:spacing w:val="0"/>
          <w:w w:val="100"/>
          <w:position w:val="0"/>
          <w:sz w:val="24"/>
          <w:szCs w:val="24"/>
        </w:rPr>
        <w:t>租赁</w:t>
      </w:r>
    </w:p>
    <w:p>
      <w:pPr>
        <w:widowControl w:val="0"/>
        <w:spacing w:line="1" w:lineRule="exact"/>
        <w:sectPr>
          <w:footnotePr>
            <w:pos w:val="pageBottom"/>
            <w:numFmt w:val="decimal"/>
            <w:numRestart w:val="continuous"/>
          </w:footnotePr>
          <w:pgSz w:w="11900" w:h="16840"/>
          <w:pgMar w:top="1326" w:right="641" w:bottom="3347" w:left="1645" w:header="0" w:footer="3" w:gutter="0"/>
          <w:cols w:space="720"/>
          <w:noEndnote/>
          <w:rtlGutter w:val="0"/>
          <w:docGrid w:linePitch="360"/>
        </w:sectPr>
      </w:pPr>
      <w:r>
        <mc:AlternateContent>
          <mc:Choice Requires="wps">
            <w:drawing>
              <wp:anchor distT="63500" distB="0" distL="0" distR="0" simplePos="0" relativeHeight="125829470" behindDoc="0" locked="0" layoutInCell="1" allowOverlap="1">
                <wp:simplePos x="0" y="0"/>
                <wp:positionH relativeFrom="page">
                  <wp:posOffset>4144010</wp:posOffset>
                </wp:positionH>
                <wp:positionV relativeFrom="paragraph">
                  <wp:posOffset>63500</wp:posOffset>
                </wp:positionV>
                <wp:extent cx="1261745" cy="213360"/>
                <wp:wrapTopAndBottom/>
                <wp:docPr id="502" name="Shape 502"/>
                <a:graphic xmlns:a="http://schemas.openxmlformats.org/drawingml/2006/main">
                  <a:graphicData uri="http://schemas.microsoft.com/office/word/2010/wordprocessingShape">
                    <wps:wsp>
                      <wps:cNvSpPr txBox="1"/>
                      <wps:spPr>
                        <a:xfrm>
                          <a:ext cx="1261745" cy="21336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2016</w:t>
                            </w:r>
                            <w:r>
                              <w:rPr>
                                <w:rFonts w:ascii="SimSun" w:eastAsia="SimSun" w:hAnsi="SimSun" w:cs="SimSun"/>
                                <w:color w:val="000000"/>
                                <w:spacing w:val="0"/>
                                <w:w w:val="100"/>
                                <w:position w:val="0"/>
                                <w:sz w:val="24"/>
                                <w:szCs w:val="24"/>
                              </w:rPr>
                              <w:t>年</w:t>
                            </w:r>
                            <w:r>
                              <w:rPr>
                                <w:color w:val="000000"/>
                                <w:spacing w:val="0"/>
                                <w:w w:val="100"/>
                                <w:position w:val="0"/>
                                <w:sz w:val="24"/>
                                <w:szCs w:val="24"/>
                              </w:rPr>
                              <w:t>12</w:t>
                            </w:r>
                            <w:r>
                              <w:rPr>
                                <w:rFonts w:ascii="SimSun" w:eastAsia="SimSun" w:hAnsi="SimSun" w:cs="SimSun"/>
                                <w:color w:val="000000"/>
                                <w:spacing w:val="0"/>
                                <w:w w:val="100"/>
                                <w:position w:val="0"/>
                                <w:sz w:val="24"/>
                                <w:szCs w:val="24"/>
                              </w:rPr>
                              <w:t>月</w:t>
                            </w:r>
                            <w:r>
                              <w:rPr>
                                <w:color w:val="000000"/>
                                <w:spacing w:val="0"/>
                                <w:w w:val="100"/>
                                <w:position w:val="0"/>
                                <w:sz w:val="24"/>
                                <w:szCs w:val="24"/>
                              </w:rPr>
                              <w:t>31</w:t>
                            </w:r>
                            <w:r>
                              <w:rPr>
                                <w:rFonts w:ascii="SimSun" w:eastAsia="SimSun" w:hAnsi="SimSun" w:cs="SimSun"/>
                                <w:color w:val="000000"/>
                                <w:spacing w:val="0"/>
                                <w:w w:val="100"/>
                                <w:position w:val="0"/>
                                <w:sz w:val="24"/>
                                <w:szCs w:val="24"/>
                              </w:rPr>
                              <w:t>日</w:t>
                            </w:r>
                          </w:p>
                        </w:txbxContent>
                      </wps:txbx>
                      <wps:bodyPr wrap="none" lIns="0" tIns="0" rIns="0" bIns="0">
                        <a:noAutoFit/>
                      </wps:bodyPr>
                    </wps:wsp>
                  </a:graphicData>
                </a:graphic>
              </wp:anchor>
            </w:drawing>
          </mc:Choice>
          <mc:Fallback>
            <w:pict>
              <v:shape id="_x0000_s1528" type="#_x0000_t202" style="position:absolute;margin-left:326.30000000000001pt;margin-top:5.pt;width:99.350000000000009pt;height:16.800000000000001pt;z-index:-125829283;mso-wrap-distance-left:0;mso-wrap-distance-top:5.pt;mso-wrap-distance-right:0;mso-position-horizontal-relative:page" filled="f" stroked="f">
                <v:textbox inset="0,0,0,0">
                  <w:txbxContent>
                    <w:p>
                      <w:pPr>
                        <w:pStyle w:val="Style5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2016</w:t>
                      </w:r>
                      <w:r>
                        <w:rPr>
                          <w:rFonts w:ascii="SimSun" w:eastAsia="SimSun" w:hAnsi="SimSun" w:cs="SimSun"/>
                          <w:color w:val="000000"/>
                          <w:spacing w:val="0"/>
                          <w:w w:val="100"/>
                          <w:position w:val="0"/>
                          <w:sz w:val="24"/>
                          <w:szCs w:val="24"/>
                        </w:rPr>
                        <w:t>年</w:t>
                      </w:r>
                      <w:r>
                        <w:rPr>
                          <w:color w:val="000000"/>
                          <w:spacing w:val="0"/>
                          <w:w w:val="100"/>
                          <w:position w:val="0"/>
                          <w:sz w:val="24"/>
                          <w:szCs w:val="24"/>
                        </w:rPr>
                        <w:t>12</w:t>
                      </w:r>
                      <w:r>
                        <w:rPr>
                          <w:rFonts w:ascii="SimSun" w:eastAsia="SimSun" w:hAnsi="SimSun" w:cs="SimSun"/>
                          <w:color w:val="000000"/>
                          <w:spacing w:val="0"/>
                          <w:w w:val="100"/>
                          <w:position w:val="0"/>
                          <w:sz w:val="24"/>
                          <w:szCs w:val="24"/>
                        </w:rPr>
                        <w:t>月</w:t>
                      </w:r>
                      <w:r>
                        <w:rPr>
                          <w:color w:val="000000"/>
                          <w:spacing w:val="0"/>
                          <w:w w:val="100"/>
                          <w:position w:val="0"/>
                          <w:sz w:val="24"/>
                          <w:szCs w:val="24"/>
                        </w:rPr>
                        <w:t>31</w:t>
                      </w:r>
                      <w:r>
                        <w:rPr>
                          <w:rFonts w:ascii="SimSun" w:eastAsia="SimSun" w:hAnsi="SimSun" w:cs="SimSun"/>
                          <w:color w:val="000000"/>
                          <w:spacing w:val="0"/>
                          <w:w w:val="100"/>
                          <w:position w:val="0"/>
                          <w:sz w:val="24"/>
                          <w:szCs w:val="24"/>
                        </w:rPr>
                        <w:t>日</w:t>
                      </w:r>
                    </w:p>
                  </w:txbxContent>
                </v:textbox>
                <w10:wrap type="topAndBottom" anchorx="page"/>
              </v:shape>
            </w:pict>
          </mc:Fallback>
        </mc:AlternateContent>
      </w:r>
      <w:r>
        <mc:AlternateContent>
          <mc:Choice Requires="wps">
            <w:drawing>
              <wp:anchor distT="63500" distB="0" distL="0" distR="0" simplePos="0" relativeHeight="125829472" behindDoc="0" locked="0" layoutInCell="1" allowOverlap="1">
                <wp:simplePos x="0" y="0"/>
                <wp:positionH relativeFrom="page">
                  <wp:posOffset>5817235</wp:posOffset>
                </wp:positionH>
                <wp:positionV relativeFrom="paragraph">
                  <wp:posOffset>63500</wp:posOffset>
                </wp:positionV>
                <wp:extent cx="1261745" cy="213360"/>
                <wp:wrapTopAndBottom/>
                <wp:docPr id="504" name="Shape 504"/>
                <a:graphic xmlns:a="http://schemas.openxmlformats.org/drawingml/2006/main">
                  <a:graphicData uri="http://schemas.microsoft.com/office/word/2010/wordprocessingShape">
                    <wps:wsp>
                      <wps:cNvSpPr txBox="1"/>
                      <wps:spPr>
                        <a:xfrm>
                          <a:ext cx="1261745" cy="21336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2015</w:t>
                            </w:r>
                            <w:r>
                              <w:rPr>
                                <w:rFonts w:ascii="SimSun" w:eastAsia="SimSun" w:hAnsi="SimSun" w:cs="SimSun"/>
                                <w:color w:val="000000"/>
                                <w:spacing w:val="0"/>
                                <w:w w:val="100"/>
                                <w:position w:val="0"/>
                                <w:sz w:val="24"/>
                                <w:szCs w:val="24"/>
                              </w:rPr>
                              <w:t>年</w:t>
                            </w:r>
                            <w:r>
                              <w:rPr>
                                <w:color w:val="000000"/>
                                <w:spacing w:val="0"/>
                                <w:w w:val="100"/>
                                <w:position w:val="0"/>
                                <w:sz w:val="24"/>
                                <w:szCs w:val="24"/>
                              </w:rPr>
                              <w:t>12</w:t>
                            </w:r>
                            <w:r>
                              <w:rPr>
                                <w:rFonts w:ascii="SimSun" w:eastAsia="SimSun" w:hAnsi="SimSun" w:cs="SimSun"/>
                                <w:color w:val="000000"/>
                                <w:spacing w:val="0"/>
                                <w:w w:val="100"/>
                                <w:position w:val="0"/>
                                <w:sz w:val="24"/>
                                <w:szCs w:val="24"/>
                              </w:rPr>
                              <w:t>月</w:t>
                            </w:r>
                            <w:r>
                              <w:rPr>
                                <w:color w:val="000000"/>
                                <w:spacing w:val="0"/>
                                <w:w w:val="100"/>
                                <w:position w:val="0"/>
                                <w:sz w:val="24"/>
                                <w:szCs w:val="24"/>
                              </w:rPr>
                              <w:t>31</w:t>
                            </w:r>
                            <w:r>
                              <w:rPr>
                                <w:rFonts w:ascii="SimSun" w:eastAsia="SimSun" w:hAnsi="SimSun" w:cs="SimSun"/>
                                <w:color w:val="000000"/>
                                <w:spacing w:val="0"/>
                                <w:w w:val="100"/>
                                <w:position w:val="0"/>
                                <w:sz w:val="24"/>
                                <w:szCs w:val="24"/>
                              </w:rPr>
                              <w:t>日</w:t>
                            </w:r>
                          </w:p>
                        </w:txbxContent>
                      </wps:txbx>
                      <wps:bodyPr wrap="none" lIns="0" tIns="0" rIns="0" bIns="0">
                        <a:noAutoFit/>
                      </wps:bodyPr>
                    </wps:wsp>
                  </a:graphicData>
                </a:graphic>
              </wp:anchor>
            </w:drawing>
          </mc:Choice>
          <mc:Fallback>
            <w:pict>
              <v:shape id="_x0000_s1530" type="#_x0000_t202" style="position:absolute;margin-left:458.05000000000001pt;margin-top:5.pt;width:99.350000000000009pt;height:16.800000000000001pt;z-index:-125829281;mso-wrap-distance-left:0;mso-wrap-distance-top:5.pt;mso-wrap-distance-right:0;mso-position-horizontal-relative:page" filled="f" stroked="f">
                <v:textbox inset="0,0,0,0">
                  <w:txbxContent>
                    <w:p>
                      <w:pPr>
                        <w:pStyle w:val="Style5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2015</w:t>
                      </w:r>
                      <w:r>
                        <w:rPr>
                          <w:rFonts w:ascii="SimSun" w:eastAsia="SimSun" w:hAnsi="SimSun" w:cs="SimSun"/>
                          <w:color w:val="000000"/>
                          <w:spacing w:val="0"/>
                          <w:w w:val="100"/>
                          <w:position w:val="0"/>
                          <w:sz w:val="24"/>
                          <w:szCs w:val="24"/>
                        </w:rPr>
                        <w:t>年</w:t>
                      </w:r>
                      <w:r>
                        <w:rPr>
                          <w:color w:val="000000"/>
                          <w:spacing w:val="0"/>
                          <w:w w:val="100"/>
                          <w:position w:val="0"/>
                          <w:sz w:val="24"/>
                          <w:szCs w:val="24"/>
                        </w:rPr>
                        <w:t>12</w:t>
                      </w:r>
                      <w:r>
                        <w:rPr>
                          <w:rFonts w:ascii="SimSun" w:eastAsia="SimSun" w:hAnsi="SimSun" w:cs="SimSun"/>
                          <w:color w:val="000000"/>
                          <w:spacing w:val="0"/>
                          <w:w w:val="100"/>
                          <w:position w:val="0"/>
                          <w:sz w:val="24"/>
                          <w:szCs w:val="24"/>
                        </w:rPr>
                        <w:t>月</w:t>
                      </w:r>
                      <w:r>
                        <w:rPr>
                          <w:color w:val="000000"/>
                          <w:spacing w:val="0"/>
                          <w:w w:val="100"/>
                          <w:position w:val="0"/>
                          <w:sz w:val="24"/>
                          <w:szCs w:val="24"/>
                        </w:rPr>
                        <w:t>31</w:t>
                      </w:r>
                      <w:r>
                        <w:rPr>
                          <w:rFonts w:ascii="SimSun" w:eastAsia="SimSun" w:hAnsi="SimSun" w:cs="SimSun"/>
                          <w:color w:val="000000"/>
                          <w:spacing w:val="0"/>
                          <w:w w:val="100"/>
                          <w:position w:val="0"/>
                          <w:sz w:val="24"/>
                          <w:szCs w:val="24"/>
                        </w:rPr>
                        <w:t>日</w:t>
                      </w:r>
                    </w:p>
                  </w:txbxContent>
                </v:textbox>
                <w10:wrap type="topAndBottom" anchorx="page"/>
              </v:shape>
            </w:pict>
          </mc:Fallback>
        </mc:AlternateContent>
      </w:r>
    </w:p>
    <w:p>
      <w:pPr>
        <w:widowControl w:val="0"/>
        <w:spacing w:line="96" w:lineRule="exact"/>
        <w:rPr>
          <w:sz w:val="8"/>
          <w:szCs w:val="8"/>
        </w:rPr>
      </w:pPr>
    </w:p>
    <w:p>
      <w:pPr>
        <w:widowControl w:val="0"/>
        <w:spacing w:line="1" w:lineRule="exact"/>
        <w:sectPr>
          <w:footnotePr>
            <w:pos w:val="pageBottom"/>
            <w:numFmt w:val="decimal"/>
            <w:numRestart w:val="continuous"/>
          </w:footnotePr>
          <w:type w:val="continuous"/>
          <w:pgSz w:w="11900" w:h="16840"/>
          <w:pgMar w:top="1326" w:right="0" w:bottom="2675" w:left="0" w:header="0" w:footer="3" w:gutter="0"/>
          <w:cols w:space="720"/>
          <w:noEndnote/>
          <w:rtlGutter w:val="0"/>
          <w:docGrid w:linePitch="360"/>
        </w:sectPr>
      </w:pPr>
    </w:p>
    <w:p>
      <w:pPr>
        <w:widowControl w:val="0"/>
        <w:spacing w:line="1" w:lineRule="exact"/>
      </w:pPr>
      <w:r>
        <mc:AlternateContent>
          <mc:Choice Requires="wps">
            <w:drawing>
              <wp:anchor distT="0" distB="2691765" distL="114300" distR="114300" simplePos="0" relativeHeight="125829474" behindDoc="0" locked="0" layoutInCell="1" allowOverlap="1">
                <wp:simplePos x="0" y="0"/>
                <wp:positionH relativeFrom="page">
                  <wp:posOffset>3955415</wp:posOffset>
                </wp:positionH>
                <wp:positionV relativeFrom="paragraph">
                  <wp:posOffset>247015</wp:posOffset>
                </wp:positionV>
                <wp:extent cx="3188335" cy="1932305"/>
                <wp:wrapSquare wrapText="bothSides"/>
                <wp:docPr id="506" name="Shape 506"/>
                <a:graphic xmlns:a="http://schemas.openxmlformats.org/drawingml/2006/main">
                  <a:graphicData uri="http://schemas.microsoft.com/office/word/2010/wordprocessingShape">
                    <wps:wsp>
                      <wps:cNvSpPr txBox="1"/>
                      <wps:spPr>
                        <a:xfrm>
                          <a:ext cx="3188335" cy="1932305"/>
                        </a:xfrm>
                        <a:prstGeom prst="rect"/>
                        <a:noFill/>
                      </wps:spPr>
                      <wps:txbx>
                        <w:txbxContent>
                          <w:tbl>
                            <w:tblPr>
                              <w:tblOverlap w:val="never"/>
                              <w:jc w:val="left"/>
                              <w:tblLayout w:type="fixed"/>
                            </w:tblPr>
                            <w:tblGrid>
                              <w:gridCol w:w="3077"/>
                              <w:gridCol w:w="1944"/>
                            </w:tblGrid>
                            <w:tr>
                              <w:trPr>
                                <w:tblHeader/>
                                <w:trHeight w:val="259"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1440" w:right="0" w:firstLine="0"/>
                                    <w:jc w:val="both"/>
                                    <w:rPr>
                                      <w:sz w:val="24"/>
                                      <w:szCs w:val="24"/>
                                    </w:rPr>
                                  </w:pPr>
                                  <w:r>
                                    <w:rPr>
                                      <w:rFonts w:ascii="Times New Roman" w:eastAsia="Times New Roman" w:hAnsi="Times New Roman" w:cs="Times New Roman"/>
                                      <w:color w:val="000000"/>
                                      <w:spacing w:val="0"/>
                                      <w:w w:val="100"/>
                                      <w:position w:val="0"/>
                                      <w:sz w:val="24"/>
                                      <w:szCs w:val="24"/>
                                    </w:rPr>
                                    <w:t>363,363</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80"/>
                                    <w:jc w:val="both"/>
                                    <w:rPr>
                                      <w:sz w:val="24"/>
                                      <w:szCs w:val="24"/>
                                    </w:rPr>
                                  </w:pPr>
                                  <w:r>
                                    <w:rPr>
                                      <w:rFonts w:ascii="Times New Roman" w:eastAsia="Times New Roman" w:hAnsi="Times New Roman" w:cs="Times New Roman"/>
                                      <w:color w:val="000000"/>
                                      <w:spacing w:val="0"/>
                                      <w:w w:val="100"/>
                                      <w:position w:val="0"/>
                                      <w:sz w:val="24"/>
                                      <w:szCs w:val="24"/>
                                    </w:rPr>
                                    <w:t>390,501</w:t>
                                  </w:r>
                                </w:p>
                              </w:tc>
                            </w:tr>
                            <w:tr>
                              <w:trPr>
                                <w:trHeight w:val="331"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1440" w:right="0" w:firstLine="0"/>
                                    <w:jc w:val="both"/>
                                    <w:rPr>
                                      <w:sz w:val="24"/>
                                      <w:szCs w:val="24"/>
                                    </w:rPr>
                                  </w:pPr>
                                  <w:r>
                                    <w:rPr>
                                      <w:rFonts w:ascii="Times New Roman" w:eastAsia="Times New Roman" w:hAnsi="Times New Roman" w:cs="Times New Roman"/>
                                      <w:color w:val="000000"/>
                                      <w:spacing w:val="0"/>
                                      <w:w w:val="100"/>
                                      <w:position w:val="0"/>
                                      <w:sz w:val="24"/>
                                      <w:szCs w:val="24"/>
                                    </w:rPr>
                                    <w:t>246,916</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80"/>
                                    <w:jc w:val="both"/>
                                    <w:rPr>
                                      <w:sz w:val="24"/>
                                      <w:szCs w:val="24"/>
                                    </w:rPr>
                                  </w:pPr>
                                  <w:r>
                                    <w:rPr>
                                      <w:rFonts w:ascii="Times New Roman" w:eastAsia="Times New Roman" w:hAnsi="Times New Roman" w:cs="Times New Roman"/>
                                      <w:color w:val="000000"/>
                                      <w:spacing w:val="0"/>
                                      <w:w w:val="100"/>
                                      <w:position w:val="0"/>
                                      <w:sz w:val="24"/>
                                      <w:szCs w:val="24"/>
                                    </w:rPr>
                                    <w:t>363,878</w:t>
                                  </w:r>
                                </w:p>
                              </w:tc>
                            </w:tr>
                            <w:tr>
                              <w:trPr>
                                <w:trHeight w:val="312"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1440" w:right="0" w:firstLine="0"/>
                                    <w:jc w:val="both"/>
                                    <w:rPr>
                                      <w:sz w:val="24"/>
                                      <w:szCs w:val="24"/>
                                    </w:rPr>
                                  </w:pPr>
                                  <w:r>
                                    <w:rPr>
                                      <w:rFonts w:ascii="Times New Roman" w:eastAsia="Times New Roman" w:hAnsi="Times New Roman" w:cs="Times New Roman"/>
                                      <w:color w:val="000000"/>
                                      <w:spacing w:val="0"/>
                                      <w:w w:val="100"/>
                                      <w:position w:val="0"/>
                                      <w:sz w:val="24"/>
                                      <w:szCs w:val="24"/>
                                    </w:rPr>
                                    <w:t>181,962</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80"/>
                                    <w:jc w:val="both"/>
                                    <w:rPr>
                                      <w:sz w:val="24"/>
                                      <w:szCs w:val="24"/>
                                    </w:rPr>
                                  </w:pPr>
                                  <w:r>
                                    <w:rPr>
                                      <w:rFonts w:ascii="Times New Roman" w:eastAsia="Times New Roman" w:hAnsi="Times New Roman" w:cs="Times New Roman"/>
                                      <w:color w:val="000000"/>
                                      <w:spacing w:val="0"/>
                                      <w:w w:val="100"/>
                                      <w:position w:val="0"/>
                                      <w:sz w:val="24"/>
                                      <w:szCs w:val="24"/>
                                    </w:rPr>
                                    <w:t>185,608</w:t>
                                  </w:r>
                                </w:p>
                              </w:tc>
                            </w:tr>
                            <w:tr>
                              <w:trPr>
                                <w:trHeight w:val="312"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1440" w:right="0" w:firstLine="0"/>
                                    <w:jc w:val="both"/>
                                    <w:rPr>
                                      <w:sz w:val="24"/>
                                      <w:szCs w:val="24"/>
                                    </w:rPr>
                                  </w:pPr>
                                  <w:r>
                                    <w:rPr>
                                      <w:rFonts w:ascii="Times New Roman" w:eastAsia="Times New Roman" w:hAnsi="Times New Roman" w:cs="Times New Roman"/>
                                      <w:color w:val="000000"/>
                                      <w:spacing w:val="0"/>
                                      <w:w w:val="100"/>
                                      <w:position w:val="0"/>
                                      <w:sz w:val="24"/>
                                      <w:szCs w:val="24"/>
                                    </w:rPr>
                                    <w:t>162,763</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80"/>
                                    <w:jc w:val="both"/>
                                    <w:rPr>
                                      <w:sz w:val="24"/>
                                      <w:szCs w:val="24"/>
                                    </w:rPr>
                                  </w:pPr>
                                  <w:r>
                                    <w:rPr>
                                      <w:rFonts w:ascii="Times New Roman" w:eastAsia="Times New Roman" w:hAnsi="Times New Roman" w:cs="Times New Roman"/>
                                      <w:color w:val="000000"/>
                                      <w:spacing w:val="0"/>
                                      <w:w w:val="100"/>
                                      <w:position w:val="0"/>
                                      <w:sz w:val="24"/>
                                      <w:szCs w:val="24"/>
                                    </w:rPr>
                                    <w:t>173,329</w:t>
                                  </w:r>
                                </w:p>
                              </w:tc>
                            </w:tr>
                            <w:tr>
                              <w:trPr>
                                <w:trHeight w:val="293"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1440" w:right="0" w:firstLine="0"/>
                                    <w:jc w:val="both"/>
                                    <w:rPr>
                                      <w:sz w:val="24"/>
                                      <w:szCs w:val="24"/>
                                    </w:rPr>
                                  </w:pPr>
                                  <w:r>
                                    <w:rPr>
                                      <w:rFonts w:ascii="Times New Roman" w:eastAsia="Times New Roman" w:hAnsi="Times New Roman" w:cs="Times New Roman"/>
                                      <w:color w:val="000000"/>
                                      <w:spacing w:val="0"/>
                                      <w:w w:val="100"/>
                                      <w:position w:val="0"/>
                                      <w:sz w:val="24"/>
                                      <w:szCs w:val="24"/>
                                    </w:rPr>
                                    <w:t>139,870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80"/>
                                    <w:jc w:val="both"/>
                                    <w:rPr>
                                      <w:sz w:val="24"/>
                                      <w:szCs w:val="24"/>
                                    </w:rPr>
                                  </w:pPr>
                                  <w:r>
                                    <w:rPr>
                                      <w:rFonts w:ascii="Times New Roman" w:eastAsia="Times New Roman" w:hAnsi="Times New Roman" w:cs="Times New Roman"/>
                                      <w:color w:val="000000"/>
                                      <w:spacing w:val="0"/>
                                      <w:w w:val="100"/>
                                      <w:position w:val="0"/>
                                      <w:sz w:val="24"/>
                                      <w:szCs w:val="24"/>
                                    </w:rPr>
                                    <w:t>153,932</w:t>
                                  </w:r>
                                </w:p>
                              </w:tc>
                            </w:tr>
                            <w:tr>
                              <w:trPr>
                                <w:trHeight w:val="312"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1560" w:right="0" w:firstLine="0"/>
                                    <w:jc w:val="both"/>
                                    <w:rPr>
                                      <w:sz w:val="24"/>
                                      <w:szCs w:val="24"/>
                                    </w:rPr>
                                  </w:pPr>
                                  <w:r>
                                    <w:rPr>
                                      <w:rFonts w:ascii="Times New Roman" w:eastAsia="Times New Roman" w:hAnsi="Times New Roman" w:cs="Times New Roman"/>
                                      <w:color w:val="000000"/>
                                      <w:spacing w:val="0"/>
                                      <w:w w:val="100"/>
                                      <w:position w:val="0"/>
                                      <w:sz w:val="24"/>
                                      <w:szCs w:val="24"/>
                                    </w:rPr>
                                    <w:t>77,189</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80"/>
                                    <w:jc w:val="both"/>
                                    <w:rPr>
                                      <w:sz w:val="24"/>
                                      <w:szCs w:val="24"/>
                                    </w:rPr>
                                  </w:pPr>
                                  <w:r>
                                    <w:rPr>
                                      <w:rFonts w:ascii="Times New Roman" w:eastAsia="Times New Roman" w:hAnsi="Times New Roman" w:cs="Times New Roman"/>
                                      <w:color w:val="000000"/>
                                      <w:spacing w:val="0"/>
                                      <w:w w:val="100"/>
                                      <w:position w:val="0"/>
                                      <w:sz w:val="24"/>
                                      <w:szCs w:val="24"/>
                                    </w:rPr>
                                    <w:t>103,695</w:t>
                                  </w:r>
                                </w:p>
                              </w:tc>
                            </w:tr>
                            <w:tr>
                              <w:trPr>
                                <w:trHeight w:val="312"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1560" w:right="0" w:firstLine="0"/>
                                    <w:jc w:val="both"/>
                                    <w:rPr>
                                      <w:sz w:val="24"/>
                                      <w:szCs w:val="24"/>
                                    </w:rPr>
                                  </w:pPr>
                                  <w:r>
                                    <w:rPr>
                                      <w:rFonts w:ascii="Times New Roman" w:eastAsia="Times New Roman" w:hAnsi="Times New Roman" w:cs="Times New Roman"/>
                                      <w:color w:val="000000"/>
                                      <w:spacing w:val="0"/>
                                      <w:w w:val="100"/>
                                      <w:position w:val="0"/>
                                      <w:sz w:val="24"/>
                                      <w:szCs w:val="24"/>
                                    </w:rPr>
                                    <w:t>59,840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100" w:right="0" w:firstLine="0"/>
                                    <w:jc w:val="both"/>
                                    <w:rPr>
                                      <w:sz w:val="24"/>
                                      <w:szCs w:val="24"/>
                                    </w:rPr>
                                  </w:pPr>
                                  <w:r>
                                    <w:rPr>
                                      <w:rFonts w:ascii="Times New Roman" w:eastAsia="Times New Roman" w:hAnsi="Times New Roman" w:cs="Times New Roman"/>
                                      <w:color w:val="000000"/>
                                      <w:spacing w:val="0"/>
                                      <w:w w:val="100"/>
                                      <w:position w:val="0"/>
                                      <w:sz w:val="24"/>
                                      <w:szCs w:val="24"/>
                                    </w:rPr>
                                    <w:t>72,886</w:t>
                                  </w:r>
                                </w:p>
                              </w:tc>
                            </w:tr>
                            <w:tr>
                              <w:trPr>
                                <w:trHeight w:val="326"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1560" w:right="0" w:firstLine="0"/>
                                    <w:jc w:val="both"/>
                                    <w:rPr>
                                      <w:sz w:val="24"/>
                                      <w:szCs w:val="24"/>
                                    </w:rPr>
                                  </w:pPr>
                                  <w:r>
                                    <w:rPr>
                                      <w:rFonts w:ascii="Times New Roman" w:eastAsia="Times New Roman" w:hAnsi="Times New Roman" w:cs="Times New Roman"/>
                                      <w:color w:val="000000"/>
                                      <w:spacing w:val="0"/>
                                      <w:w w:val="100"/>
                                      <w:position w:val="0"/>
                                      <w:sz w:val="24"/>
                                      <w:szCs w:val="24"/>
                                    </w:rPr>
                                    <w:t>46,620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100" w:right="0" w:firstLine="0"/>
                                    <w:jc w:val="both"/>
                                    <w:rPr>
                                      <w:sz w:val="24"/>
                                      <w:szCs w:val="24"/>
                                    </w:rPr>
                                  </w:pPr>
                                  <w:r>
                                    <w:rPr>
                                      <w:rFonts w:ascii="Times New Roman" w:eastAsia="Times New Roman" w:hAnsi="Times New Roman" w:cs="Times New Roman"/>
                                      <w:color w:val="000000"/>
                                      <w:spacing w:val="0"/>
                                      <w:w w:val="100"/>
                                      <w:position w:val="0"/>
                                      <w:sz w:val="24"/>
                                      <w:szCs w:val="24"/>
                                    </w:rPr>
                                    <w:t>52,263</w:t>
                                  </w:r>
                                </w:p>
                              </w:tc>
                            </w:tr>
                            <w:tr>
                              <w:trPr>
                                <w:trHeight w:val="274"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1680" w:right="0" w:firstLine="0"/>
                                    <w:jc w:val="both"/>
                                    <w:rPr>
                                      <w:sz w:val="24"/>
                                      <w:szCs w:val="24"/>
                                    </w:rPr>
                                  </w:pPr>
                                  <w:r>
                                    <w:rPr>
                                      <w:rFonts w:ascii="Times New Roman" w:eastAsia="Times New Roman" w:hAnsi="Times New Roman" w:cs="Times New Roman"/>
                                      <w:color w:val="000000"/>
                                      <w:spacing w:val="0"/>
                                      <w:w w:val="100"/>
                                      <w:position w:val="0"/>
                                      <w:sz w:val="24"/>
                                      <w:szCs w:val="24"/>
                                    </w:rPr>
                                    <w:t>7,924</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100" w:right="0" w:firstLine="0"/>
                                    <w:jc w:val="both"/>
                                    <w:rPr>
                                      <w:sz w:val="24"/>
                                      <w:szCs w:val="24"/>
                                    </w:rPr>
                                  </w:pPr>
                                  <w:r>
                                    <w:rPr>
                                      <w:rFonts w:ascii="Times New Roman" w:eastAsia="Times New Roman" w:hAnsi="Times New Roman" w:cs="Times New Roman"/>
                                      <w:color w:val="000000"/>
                                      <w:spacing w:val="0"/>
                                      <w:w w:val="100"/>
                                      <w:position w:val="0"/>
                                      <w:sz w:val="24"/>
                                      <w:szCs w:val="24"/>
                                    </w:rPr>
                                    <w:t>87,803</w:t>
                                  </w:r>
                                </w:p>
                              </w:tc>
                            </w:tr>
                            <w:tr>
                              <w:trPr>
                                <w:trHeight w:val="312" w:hRule="exact"/>
                              </w:trPr>
                              <w:tc>
                                <w:tcPr>
                                  <w:tcBorders>
                                    <w:top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280" w:right="0" w:firstLine="0"/>
                                    <w:jc w:val="both"/>
                                    <w:rPr>
                                      <w:sz w:val="24"/>
                                      <w:szCs w:val="24"/>
                                    </w:rPr>
                                  </w:pPr>
                                  <w:r>
                                    <w:rPr>
                                      <w:rFonts w:ascii="Times New Roman" w:eastAsia="Times New Roman" w:hAnsi="Times New Roman" w:cs="Times New Roman"/>
                                      <w:color w:val="000000"/>
                                      <w:spacing w:val="0"/>
                                      <w:w w:val="100"/>
                                      <w:position w:val="0"/>
                                      <w:sz w:val="24"/>
                                      <w:szCs w:val="24"/>
                                    </w:rPr>
                                    <w:t>1,286,447</w:t>
                                  </w:r>
                                </w:p>
                              </w:tc>
                              <w:tc>
                                <w:tcPr>
                                  <w:tcBorders>
                                    <w:top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160" w:firstLine="0"/>
                                    <w:jc w:val="right"/>
                                    <w:rPr>
                                      <w:sz w:val="24"/>
                                      <w:szCs w:val="24"/>
                                    </w:rPr>
                                  </w:pPr>
                                  <w:r>
                                    <w:rPr>
                                      <w:rFonts w:ascii="Times New Roman" w:eastAsia="Times New Roman" w:hAnsi="Times New Roman" w:cs="Times New Roman"/>
                                      <w:color w:val="000000"/>
                                      <w:spacing w:val="0"/>
                                      <w:w w:val="100"/>
                                      <w:position w:val="0"/>
                                      <w:sz w:val="24"/>
                                      <w:szCs w:val="24"/>
                                    </w:rPr>
                                    <w:t>1,583,895</w:t>
                                  </w:r>
                                </w:p>
                              </w:tc>
                            </w:tr>
                          </w:tbl>
                          <w:p>
                            <w:pPr>
                              <w:widowControl w:val="0"/>
                              <w:spacing w:line="1" w:lineRule="exact"/>
                            </w:pPr>
                          </w:p>
                        </w:txbxContent>
                      </wps:txbx>
                      <wps:bodyPr lIns="0" tIns="0" rIns="0" bIns="0">
                        <a:noAutoFit/>
                      </wps:bodyPr>
                    </wps:wsp>
                  </a:graphicData>
                </a:graphic>
              </wp:anchor>
            </w:drawing>
          </mc:Choice>
          <mc:Fallback>
            <w:pict>
              <v:shape id="_x0000_s1532" type="#_x0000_t202" style="position:absolute;margin-left:311.44999999999999pt;margin-top:19.449999999999999pt;width:251.05000000000001pt;height:152.15000000000001pt;z-index:-125829279;mso-wrap-distance-left:9.pt;mso-wrap-distance-right:9.pt;mso-wrap-distance-bottom:211.95000000000002pt;mso-position-horizontal-relative:page" filled="f" stroked="f">
                <v:textbox inset="0,0,0,0">
                  <w:txbxContent>
                    <w:tbl>
                      <w:tblPr>
                        <w:tblOverlap w:val="never"/>
                        <w:jc w:val="left"/>
                        <w:tblLayout w:type="fixed"/>
                      </w:tblPr>
                      <w:tblGrid>
                        <w:gridCol w:w="3077"/>
                        <w:gridCol w:w="1944"/>
                      </w:tblGrid>
                      <w:tr>
                        <w:trPr>
                          <w:tblHeader/>
                          <w:trHeight w:val="259"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1440" w:right="0" w:firstLine="0"/>
                              <w:jc w:val="both"/>
                              <w:rPr>
                                <w:sz w:val="24"/>
                                <w:szCs w:val="24"/>
                              </w:rPr>
                            </w:pPr>
                            <w:r>
                              <w:rPr>
                                <w:rFonts w:ascii="Times New Roman" w:eastAsia="Times New Roman" w:hAnsi="Times New Roman" w:cs="Times New Roman"/>
                                <w:color w:val="000000"/>
                                <w:spacing w:val="0"/>
                                <w:w w:val="100"/>
                                <w:position w:val="0"/>
                                <w:sz w:val="24"/>
                                <w:szCs w:val="24"/>
                              </w:rPr>
                              <w:t>363,363</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80"/>
                              <w:jc w:val="both"/>
                              <w:rPr>
                                <w:sz w:val="24"/>
                                <w:szCs w:val="24"/>
                              </w:rPr>
                            </w:pPr>
                            <w:r>
                              <w:rPr>
                                <w:rFonts w:ascii="Times New Roman" w:eastAsia="Times New Roman" w:hAnsi="Times New Roman" w:cs="Times New Roman"/>
                                <w:color w:val="000000"/>
                                <w:spacing w:val="0"/>
                                <w:w w:val="100"/>
                                <w:position w:val="0"/>
                                <w:sz w:val="24"/>
                                <w:szCs w:val="24"/>
                              </w:rPr>
                              <w:t>390,501</w:t>
                            </w:r>
                          </w:p>
                        </w:tc>
                      </w:tr>
                      <w:tr>
                        <w:trPr>
                          <w:trHeight w:val="331"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1440" w:right="0" w:firstLine="0"/>
                              <w:jc w:val="both"/>
                              <w:rPr>
                                <w:sz w:val="24"/>
                                <w:szCs w:val="24"/>
                              </w:rPr>
                            </w:pPr>
                            <w:r>
                              <w:rPr>
                                <w:rFonts w:ascii="Times New Roman" w:eastAsia="Times New Roman" w:hAnsi="Times New Roman" w:cs="Times New Roman"/>
                                <w:color w:val="000000"/>
                                <w:spacing w:val="0"/>
                                <w:w w:val="100"/>
                                <w:position w:val="0"/>
                                <w:sz w:val="24"/>
                                <w:szCs w:val="24"/>
                              </w:rPr>
                              <w:t>246,916</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80"/>
                              <w:jc w:val="both"/>
                              <w:rPr>
                                <w:sz w:val="24"/>
                                <w:szCs w:val="24"/>
                              </w:rPr>
                            </w:pPr>
                            <w:r>
                              <w:rPr>
                                <w:rFonts w:ascii="Times New Roman" w:eastAsia="Times New Roman" w:hAnsi="Times New Roman" w:cs="Times New Roman"/>
                                <w:color w:val="000000"/>
                                <w:spacing w:val="0"/>
                                <w:w w:val="100"/>
                                <w:position w:val="0"/>
                                <w:sz w:val="24"/>
                                <w:szCs w:val="24"/>
                              </w:rPr>
                              <w:t>363,878</w:t>
                            </w:r>
                          </w:p>
                        </w:tc>
                      </w:tr>
                      <w:tr>
                        <w:trPr>
                          <w:trHeight w:val="312"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1440" w:right="0" w:firstLine="0"/>
                              <w:jc w:val="both"/>
                              <w:rPr>
                                <w:sz w:val="24"/>
                                <w:szCs w:val="24"/>
                              </w:rPr>
                            </w:pPr>
                            <w:r>
                              <w:rPr>
                                <w:rFonts w:ascii="Times New Roman" w:eastAsia="Times New Roman" w:hAnsi="Times New Roman" w:cs="Times New Roman"/>
                                <w:color w:val="000000"/>
                                <w:spacing w:val="0"/>
                                <w:w w:val="100"/>
                                <w:position w:val="0"/>
                                <w:sz w:val="24"/>
                                <w:szCs w:val="24"/>
                              </w:rPr>
                              <w:t>181,962</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80"/>
                              <w:jc w:val="both"/>
                              <w:rPr>
                                <w:sz w:val="24"/>
                                <w:szCs w:val="24"/>
                              </w:rPr>
                            </w:pPr>
                            <w:r>
                              <w:rPr>
                                <w:rFonts w:ascii="Times New Roman" w:eastAsia="Times New Roman" w:hAnsi="Times New Roman" w:cs="Times New Roman"/>
                                <w:color w:val="000000"/>
                                <w:spacing w:val="0"/>
                                <w:w w:val="100"/>
                                <w:position w:val="0"/>
                                <w:sz w:val="24"/>
                                <w:szCs w:val="24"/>
                              </w:rPr>
                              <w:t>185,608</w:t>
                            </w:r>
                          </w:p>
                        </w:tc>
                      </w:tr>
                      <w:tr>
                        <w:trPr>
                          <w:trHeight w:val="312"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1440" w:right="0" w:firstLine="0"/>
                              <w:jc w:val="both"/>
                              <w:rPr>
                                <w:sz w:val="24"/>
                                <w:szCs w:val="24"/>
                              </w:rPr>
                            </w:pPr>
                            <w:r>
                              <w:rPr>
                                <w:rFonts w:ascii="Times New Roman" w:eastAsia="Times New Roman" w:hAnsi="Times New Roman" w:cs="Times New Roman"/>
                                <w:color w:val="000000"/>
                                <w:spacing w:val="0"/>
                                <w:w w:val="100"/>
                                <w:position w:val="0"/>
                                <w:sz w:val="24"/>
                                <w:szCs w:val="24"/>
                              </w:rPr>
                              <w:t>162,763</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80"/>
                              <w:jc w:val="both"/>
                              <w:rPr>
                                <w:sz w:val="24"/>
                                <w:szCs w:val="24"/>
                              </w:rPr>
                            </w:pPr>
                            <w:r>
                              <w:rPr>
                                <w:rFonts w:ascii="Times New Roman" w:eastAsia="Times New Roman" w:hAnsi="Times New Roman" w:cs="Times New Roman"/>
                                <w:color w:val="000000"/>
                                <w:spacing w:val="0"/>
                                <w:w w:val="100"/>
                                <w:position w:val="0"/>
                                <w:sz w:val="24"/>
                                <w:szCs w:val="24"/>
                              </w:rPr>
                              <w:t>173,329</w:t>
                            </w:r>
                          </w:p>
                        </w:tc>
                      </w:tr>
                      <w:tr>
                        <w:trPr>
                          <w:trHeight w:val="293"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1440" w:right="0" w:firstLine="0"/>
                              <w:jc w:val="both"/>
                              <w:rPr>
                                <w:sz w:val="24"/>
                                <w:szCs w:val="24"/>
                              </w:rPr>
                            </w:pPr>
                            <w:r>
                              <w:rPr>
                                <w:rFonts w:ascii="Times New Roman" w:eastAsia="Times New Roman" w:hAnsi="Times New Roman" w:cs="Times New Roman"/>
                                <w:color w:val="000000"/>
                                <w:spacing w:val="0"/>
                                <w:w w:val="100"/>
                                <w:position w:val="0"/>
                                <w:sz w:val="24"/>
                                <w:szCs w:val="24"/>
                              </w:rPr>
                              <w:t>139,870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80"/>
                              <w:jc w:val="both"/>
                              <w:rPr>
                                <w:sz w:val="24"/>
                                <w:szCs w:val="24"/>
                              </w:rPr>
                            </w:pPr>
                            <w:r>
                              <w:rPr>
                                <w:rFonts w:ascii="Times New Roman" w:eastAsia="Times New Roman" w:hAnsi="Times New Roman" w:cs="Times New Roman"/>
                                <w:color w:val="000000"/>
                                <w:spacing w:val="0"/>
                                <w:w w:val="100"/>
                                <w:position w:val="0"/>
                                <w:sz w:val="24"/>
                                <w:szCs w:val="24"/>
                              </w:rPr>
                              <w:t>153,932</w:t>
                            </w:r>
                          </w:p>
                        </w:tc>
                      </w:tr>
                      <w:tr>
                        <w:trPr>
                          <w:trHeight w:val="312"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1560" w:right="0" w:firstLine="0"/>
                              <w:jc w:val="both"/>
                              <w:rPr>
                                <w:sz w:val="24"/>
                                <w:szCs w:val="24"/>
                              </w:rPr>
                            </w:pPr>
                            <w:r>
                              <w:rPr>
                                <w:rFonts w:ascii="Times New Roman" w:eastAsia="Times New Roman" w:hAnsi="Times New Roman" w:cs="Times New Roman"/>
                                <w:color w:val="000000"/>
                                <w:spacing w:val="0"/>
                                <w:w w:val="100"/>
                                <w:position w:val="0"/>
                                <w:sz w:val="24"/>
                                <w:szCs w:val="24"/>
                              </w:rPr>
                              <w:t>77,189</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80"/>
                              <w:jc w:val="both"/>
                              <w:rPr>
                                <w:sz w:val="24"/>
                                <w:szCs w:val="24"/>
                              </w:rPr>
                            </w:pPr>
                            <w:r>
                              <w:rPr>
                                <w:rFonts w:ascii="Times New Roman" w:eastAsia="Times New Roman" w:hAnsi="Times New Roman" w:cs="Times New Roman"/>
                                <w:color w:val="000000"/>
                                <w:spacing w:val="0"/>
                                <w:w w:val="100"/>
                                <w:position w:val="0"/>
                                <w:sz w:val="24"/>
                                <w:szCs w:val="24"/>
                              </w:rPr>
                              <w:t>103,695</w:t>
                            </w:r>
                          </w:p>
                        </w:tc>
                      </w:tr>
                      <w:tr>
                        <w:trPr>
                          <w:trHeight w:val="312"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1560" w:right="0" w:firstLine="0"/>
                              <w:jc w:val="both"/>
                              <w:rPr>
                                <w:sz w:val="24"/>
                                <w:szCs w:val="24"/>
                              </w:rPr>
                            </w:pPr>
                            <w:r>
                              <w:rPr>
                                <w:rFonts w:ascii="Times New Roman" w:eastAsia="Times New Roman" w:hAnsi="Times New Roman" w:cs="Times New Roman"/>
                                <w:color w:val="000000"/>
                                <w:spacing w:val="0"/>
                                <w:w w:val="100"/>
                                <w:position w:val="0"/>
                                <w:sz w:val="24"/>
                                <w:szCs w:val="24"/>
                              </w:rPr>
                              <w:t>59,840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100" w:right="0" w:firstLine="0"/>
                              <w:jc w:val="both"/>
                              <w:rPr>
                                <w:sz w:val="24"/>
                                <w:szCs w:val="24"/>
                              </w:rPr>
                            </w:pPr>
                            <w:r>
                              <w:rPr>
                                <w:rFonts w:ascii="Times New Roman" w:eastAsia="Times New Roman" w:hAnsi="Times New Roman" w:cs="Times New Roman"/>
                                <w:color w:val="000000"/>
                                <w:spacing w:val="0"/>
                                <w:w w:val="100"/>
                                <w:position w:val="0"/>
                                <w:sz w:val="24"/>
                                <w:szCs w:val="24"/>
                              </w:rPr>
                              <w:t>72,886</w:t>
                            </w:r>
                          </w:p>
                        </w:tc>
                      </w:tr>
                      <w:tr>
                        <w:trPr>
                          <w:trHeight w:val="326"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1560" w:right="0" w:firstLine="0"/>
                              <w:jc w:val="both"/>
                              <w:rPr>
                                <w:sz w:val="24"/>
                                <w:szCs w:val="24"/>
                              </w:rPr>
                            </w:pPr>
                            <w:r>
                              <w:rPr>
                                <w:rFonts w:ascii="Times New Roman" w:eastAsia="Times New Roman" w:hAnsi="Times New Roman" w:cs="Times New Roman"/>
                                <w:color w:val="000000"/>
                                <w:spacing w:val="0"/>
                                <w:w w:val="100"/>
                                <w:position w:val="0"/>
                                <w:sz w:val="24"/>
                                <w:szCs w:val="24"/>
                              </w:rPr>
                              <w:t>46,620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100" w:right="0" w:firstLine="0"/>
                              <w:jc w:val="both"/>
                              <w:rPr>
                                <w:sz w:val="24"/>
                                <w:szCs w:val="24"/>
                              </w:rPr>
                            </w:pPr>
                            <w:r>
                              <w:rPr>
                                <w:rFonts w:ascii="Times New Roman" w:eastAsia="Times New Roman" w:hAnsi="Times New Roman" w:cs="Times New Roman"/>
                                <w:color w:val="000000"/>
                                <w:spacing w:val="0"/>
                                <w:w w:val="100"/>
                                <w:position w:val="0"/>
                                <w:sz w:val="24"/>
                                <w:szCs w:val="24"/>
                              </w:rPr>
                              <w:t>52,263</w:t>
                            </w:r>
                          </w:p>
                        </w:tc>
                      </w:tr>
                      <w:tr>
                        <w:trPr>
                          <w:trHeight w:val="274"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1680" w:right="0" w:firstLine="0"/>
                              <w:jc w:val="both"/>
                              <w:rPr>
                                <w:sz w:val="24"/>
                                <w:szCs w:val="24"/>
                              </w:rPr>
                            </w:pPr>
                            <w:r>
                              <w:rPr>
                                <w:rFonts w:ascii="Times New Roman" w:eastAsia="Times New Roman" w:hAnsi="Times New Roman" w:cs="Times New Roman"/>
                                <w:color w:val="000000"/>
                                <w:spacing w:val="0"/>
                                <w:w w:val="100"/>
                                <w:position w:val="0"/>
                                <w:sz w:val="24"/>
                                <w:szCs w:val="24"/>
                              </w:rPr>
                              <w:t>7,924</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100" w:right="0" w:firstLine="0"/>
                              <w:jc w:val="both"/>
                              <w:rPr>
                                <w:sz w:val="24"/>
                                <w:szCs w:val="24"/>
                              </w:rPr>
                            </w:pPr>
                            <w:r>
                              <w:rPr>
                                <w:rFonts w:ascii="Times New Roman" w:eastAsia="Times New Roman" w:hAnsi="Times New Roman" w:cs="Times New Roman"/>
                                <w:color w:val="000000"/>
                                <w:spacing w:val="0"/>
                                <w:w w:val="100"/>
                                <w:position w:val="0"/>
                                <w:sz w:val="24"/>
                                <w:szCs w:val="24"/>
                              </w:rPr>
                              <w:t>87,803</w:t>
                            </w:r>
                          </w:p>
                        </w:tc>
                      </w:tr>
                      <w:tr>
                        <w:trPr>
                          <w:trHeight w:val="312" w:hRule="exact"/>
                        </w:trPr>
                        <w:tc>
                          <w:tcPr>
                            <w:tcBorders>
                              <w:top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280" w:right="0" w:firstLine="0"/>
                              <w:jc w:val="both"/>
                              <w:rPr>
                                <w:sz w:val="24"/>
                                <w:szCs w:val="24"/>
                              </w:rPr>
                            </w:pPr>
                            <w:r>
                              <w:rPr>
                                <w:rFonts w:ascii="Times New Roman" w:eastAsia="Times New Roman" w:hAnsi="Times New Roman" w:cs="Times New Roman"/>
                                <w:color w:val="000000"/>
                                <w:spacing w:val="0"/>
                                <w:w w:val="100"/>
                                <w:position w:val="0"/>
                                <w:sz w:val="24"/>
                                <w:szCs w:val="24"/>
                              </w:rPr>
                              <w:t>1,286,447</w:t>
                            </w:r>
                          </w:p>
                        </w:tc>
                        <w:tc>
                          <w:tcPr>
                            <w:tcBorders>
                              <w:top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160" w:firstLine="0"/>
                              <w:jc w:val="right"/>
                              <w:rPr>
                                <w:sz w:val="24"/>
                                <w:szCs w:val="24"/>
                              </w:rPr>
                            </w:pPr>
                            <w:r>
                              <w:rPr>
                                <w:rFonts w:ascii="Times New Roman" w:eastAsia="Times New Roman" w:hAnsi="Times New Roman" w:cs="Times New Roman"/>
                                <w:color w:val="000000"/>
                                <w:spacing w:val="0"/>
                                <w:w w:val="100"/>
                                <w:position w:val="0"/>
                                <w:sz w:val="24"/>
                                <w:szCs w:val="24"/>
                              </w:rPr>
                              <w:t>1,583,895</w:t>
                            </w:r>
                          </w:p>
                        </w:tc>
                      </w:tr>
                    </w:tbl>
                    <w:p>
                      <w:pPr>
                        <w:widowControl w:val="0"/>
                        <w:spacing w:line="1" w:lineRule="exact"/>
                      </w:pPr>
                    </w:p>
                  </w:txbxContent>
                </v:textbox>
                <w10:wrap type="square" anchorx="page"/>
              </v:shape>
            </w:pict>
          </mc:Fallback>
        </mc:AlternateContent>
      </w:r>
      <w:r>
        <mc:AlternateContent>
          <mc:Choice Requires="wps">
            <w:drawing>
              <wp:anchor distT="2368550" distB="0" distL="114300" distR="114300" simplePos="0" relativeHeight="125829476" behindDoc="0" locked="0" layoutInCell="1" allowOverlap="1">
                <wp:simplePos x="0" y="0"/>
                <wp:positionH relativeFrom="page">
                  <wp:posOffset>3955415</wp:posOffset>
                </wp:positionH>
                <wp:positionV relativeFrom="paragraph">
                  <wp:posOffset>2615565</wp:posOffset>
                </wp:positionV>
                <wp:extent cx="3188335" cy="2255520"/>
                <wp:wrapSquare wrapText="bothSides"/>
                <wp:docPr id="508" name="Shape 508"/>
                <a:graphic xmlns:a="http://schemas.openxmlformats.org/drawingml/2006/main">
                  <a:graphicData uri="http://schemas.microsoft.com/office/word/2010/wordprocessingShape">
                    <wps:wsp>
                      <wps:cNvSpPr txBox="1"/>
                      <wps:spPr>
                        <a:xfrm>
                          <a:ext cx="3188335" cy="2255520"/>
                        </a:xfrm>
                        <a:prstGeom prst="rect"/>
                        <a:noFill/>
                      </wps:spPr>
                      <wps:txbx>
                        <w:txbxContent>
                          <w:tbl>
                            <w:tblPr>
                              <w:tblOverlap w:val="never"/>
                              <w:jc w:val="left"/>
                              <w:tblLayout w:type="fixed"/>
                            </w:tblPr>
                            <w:tblGrid>
                              <w:gridCol w:w="2429"/>
                              <w:gridCol w:w="1526"/>
                              <w:gridCol w:w="1066"/>
                            </w:tblGrid>
                            <w:tr>
                              <w:trPr>
                                <w:tblHeader/>
                                <w:trHeight w:val="278"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1440" w:right="0" w:firstLine="0"/>
                                    <w:jc w:val="left"/>
                                    <w:rPr>
                                      <w:sz w:val="24"/>
                                      <w:szCs w:val="24"/>
                                    </w:rPr>
                                  </w:pPr>
                                  <w:r>
                                    <w:rPr>
                                      <w:rFonts w:ascii="Times New Roman" w:eastAsia="Times New Roman" w:hAnsi="Times New Roman" w:cs="Times New Roman"/>
                                      <w:color w:val="000000"/>
                                      <w:spacing w:val="0"/>
                                      <w:w w:val="100"/>
                                      <w:position w:val="0"/>
                                      <w:sz w:val="24"/>
                                      <w:szCs w:val="24"/>
                                    </w:rPr>
                                    <w:t>213,142</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00"/>
                                    <w:jc w:val="left"/>
                                    <w:rPr>
                                      <w:sz w:val="24"/>
                                      <w:szCs w:val="24"/>
                                    </w:rPr>
                                  </w:pPr>
                                  <w:r>
                                    <w:rPr>
                                      <w:rFonts w:ascii="Times New Roman" w:eastAsia="Times New Roman" w:hAnsi="Times New Roman" w:cs="Times New Roman"/>
                                      <w:color w:val="000000"/>
                                      <w:spacing w:val="0"/>
                                      <w:w w:val="100"/>
                                      <w:position w:val="0"/>
                                      <w:sz w:val="24"/>
                                      <w:szCs w:val="24"/>
                                    </w:rPr>
                                    <w:t>232,982</w:t>
                                  </w:r>
                                </w:p>
                              </w:tc>
                              <w:tc>
                                <w:tcPr>
                                  <w:tcBorders/>
                                  <w:shd w:val="clear" w:color="auto" w:fill="FFFFFF"/>
                                  <w:vAlign w:val="top"/>
                                </w:tcPr>
                                <w:p>
                                  <w:pPr>
                                    <w:widowControl w:val="0"/>
                                    <w:rPr>
                                      <w:sz w:val="10"/>
                                      <w:szCs w:val="10"/>
                                    </w:rPr>
                                  </w:pPr>
                                </w:p>
                              </w:tc>
                            </w:tr>
                            <w:tr>
                              <w:trPr>
                                <w:trHeight w:val="336"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1680" w:right="0" w:firstLine="0"/>
                                    <w:jc w:val="left"/>
                                    <w:rPr>
                                      <w:sz w:val="24"/>
                                      <w:szCs w:val="24"/>
                                    </w:rPr>
                                  </w:pPr>
                                  <w:r>
                                    <w:rPr>
                                      <w:rFonts w:ascii="Times New Roman" w:eastAsia="Times New Roman" w:hAnsi="Times New Roman" w:cs="Times New Roman"/>
                                      <w:color w:val="000000"/>
                                      <w:spacing w:val="0"/>
                                      <w:w w:val="100"/>
                                      <w:position w:val="0"/>
                                      <w:sz w:val="24"/>
                                      <w:szCs w:val="24"/>
                                    </w:rPr>
                                    <w:t>1,486</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left"/>
                                    <w:rPr>
                                      <w:sz w:val="24"/>
                                      <w:szCs w:val="24"/>
                                    </w:rPr>
                                  </w:pPr>
                                  <w:r>
                                    <w:rPr>
                                      <w:rFonts w:ascii="Times New Roman" w:eastAsia="Times New Roman" w:hAnsi="Times New Roman" w:cs="Times New Roman"/>
                                      <w:color w:val="000000"/>
                                      <w:spacing w:val="0"/>
                                      <w:w w:val="100"/>
                                      <w:position w:val="0"/>
                                      <w:sz w:val="24"/>
                                      <w:szCs w:val="24"/>
                                    </w:rPr>
                                    <w:t>118</w:t>
                                  </w:r>
                                </w:p>
                              </w:tc>
                              <w:tc>
                                <w:tcPr>
                                  <w:tcBorders/>
                                  <w:shd w:val="clear" w:color="auto" w:fill="FFFFFF"/>
                                  <w:vAlign w:val="top"/>
                                </w:tcPr>
                                <w:p>
                                  <w:pPr>
                                    <w:widowControl w:val="0"/>
                                    <w:rPr>
                                      <w:sz w:val="10"/>
                                      <w:szCs w:val="10"/>
                                    </w:rPr>
                                  </w:pPr>
                                </w:p>
                              </w:tc>
                            </w:tr>
                            <w:tr>
                              <w:trPr>
                                <w:trHeight w:val="341"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1680" w:right="0" w:firstLine="0"/>
                                    <w:jc w:val="left"/>
                                    <w:rPr>
                                      <w:sz w:val="24"/>
                                      <w:szCs w:val="24"/>
                                    </w:rPr>
                                  </w:pPr>
                                  <w:r>
                                    <w:rPr>
                                      <w:rFonts w:ascii="Times New Roman" w:eastAsia="Times New Roman" w:hAnsi="Times New Roman" w:cs="Times New Roman"/>
                                      <w:color w:val="000000"/>
                                      <w:spacing w:val="0"/>
                                      <w:w w:val="100"/>
                                      <w:position w:val="0"/>
                                      <w:sz w:val="24"/>
                                      <w:szCs w:val="24"/>
                                    </w:rPr>
                                    <w:t>1,449</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left"/>
                                    <w:rPr>
                                      <w:sz w:val="24"/>
                                      <w:szCs w:val="24"/>
                                    </w:rPr>
                                  </w:pPr>
                                  <w:r>
                                    <w:rPr>
                                      <w:rFonts w:ascii="Times New Roman" w:eastAsia="Times New Roman" w:hAnsi="Times New Roman" w:cs="Times New Roman"/>
                                      <w:color w:val="000000"/>
                                      <w:spacing w:val="0"/>
                                      <w:w w:val="100"/>
                                      <w:position w:val="0"/>
                                      <w:sz w:val="24"/>
                                      <w:szCs w:val="24"/>
                                    </w:rPr>
                                    <w:t>6,325</w:t>
                                  </w:r>
                                </w:p>
                              </w:tc>
                              <w:tc>
                                <w:tcPr>
                                  <w:tcBorders/>
                                  <w:shd w:val="clear" w:color="auto" w:fill="FFFFFF"/>
                                  <w:vAlign w:val="top"/>
                                </w:tcPr>
                                <w:p>
                                  <w:pPr>
                                    <w:widowControl w:val="0"/>
                                    <w:rPr>
                                      <w:sz w:val="10"/>
                                      <w:szCs w:val="10"/>
                                    </w:rPr>
                                  </w:pPr>
                                </w:p>
                              </w:tc>
                            </w:tr>
                            <w:tr>
                              <w:trPr>
                                <w:trHeight w:val="341"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1860" w:right="0" w:firstLine="0"/>
                                    <w:jc w:val="both"/>
                                    <w:rPr>
                                      <w:sz w:val="24"/>
                                      <w:szCs w:val="24"/>
                                    </w:rPr>
                                  </w:pPr>
                                  <w:r>
                                    <w:rPr>
                                      <w:rFonts w:ascii="Times New Roman" w:eastAsia="Times New Roman" w:hAnsi="Times New Roman" w:cs="Times New Roman"/>
                                      <w:color w:val="000000"/>
                                      <w:spacing w:val="0"/>
                                      <w:w w:val="100"/>
                                      <w:position w:val="0"/>
                                      <w:sz w:val="24"/>
                                      <w:szCs w:val="24"/>
                                    </w:rPr>
                                    <w:t>764</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24"/>
                                      <w:szCs w:val="24"/>
                                    </w:rPr>
                                  </w:pPr>
                                  <w:r>
                                    <w:rPr>
                                      <w:rFonts w:ascii="Times New Roman" w:eastAsia="Times New Roman" w:hAnsi="Times New Roman" w:cs="Times New Roman"/>
                                      <w:color w:val="000000"/>
                                      <w:spacing w:val="0"/>
                                      <w:w w:val="100"/>
                                      <w:position w:val="0"/>
                                      <w:sz w:val="24"/>
                                      <w:szCs w:val="24"/>
                                    </w:rPr>
                                    <w:t>-</w:t>
                                  </w:r>
                                </w:p>
                              </w:tc>
                              <w:tc>
                                <w:tcPr>
                                  <w:tcBorders/>
                                  <w:shd w:val="clear" w:color="auto" w:fill="FFFFFF"/>
                                  <w:vAlign w:val="top"/>
                                </w:tcPr>
                                <w:p>
                                  <w:pPr>
                                    <w:widowControl w:val="0"/>
                                    <w:rPr>
                                      <w:sz w:val="10"/>
                                      <w:szCs w:val="10"/>
                                    </w:rPr>
                                  </w:pPr>
                                </w:p>
                              </w:tc>
                            </w:tr>
                            <w:tr>
                              <w:trPr>
                                <w:trHeight w:val="336"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1860" w:right="0" w:firstLine="0"/>
                                    <w:jc w:val="both"/>
                                    <w:rPr>
                                      <w:sz w:val="24"/>
                                      <w:szCs w:val="24"/>
                                    </w:rPr>
                                  </w:pPr>
                                  <w:r>
                                    <w:rPr>
                                      <w:rFonts w:ascii="Times New Roman" w:eastAsia="Times New Roman" w:hAnsi="Times New Roman" w:cs="Times New Roman"/>
                                      <w:color w:val="000000"/>
                                      <w:spacing w:val="0"/>
                                      <w:w w:val="100"/>
                                      <w:position w:val="0"/>
                                      <w:sz w:val="24"/>
                                      <w:szCs w:val="24"/>
                                    </w:rPr>
                                    <w:t>628</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24"/>
                                      <w:szCs w:val="24"/>
                                    </w:rPr>
                                  </w:pPr>
                                  <w:r>
                                    <w:rPr>
                                      <w:rFonts w:ascii="Times New Roman" w:eastAsia="Times New Roman" w:hAnsi="Times New Roman" w:cs="Times New Roman"/>
                                      <w:color w:val="000000"/>
                                      <w:spacing w:val="0"/>
                                      <w:w w:val="100"/>
                                      <w:position w:val="0"/>
                                      <w:sz w:val="24"/>
                                      <w:szCs w:val="24"/>
                                    </w:rPr>
                                    <w:t>-</w:t>
                                  </w:r>
                                </w:p>
                              </w:tc>
                              <w:tc>
                                <w:tcPr>
                                  <w:tcBorders/>
                                  <w:shd w:val="clear" w:color="auto" w:fill="FFFFFF"/>
                                  <w:vAlign w:val="top"/>
                                </w:tcPr>
                                <w:p>
                                  <w:pPr>
                                    <w:widowControl w:val="0"/>
                                    <w:rPr>
                                      <w:sz w:val="10"/>
                                      <w:szCs w:val="10"/>
                                    </w:rPr>
                                  </w:pPr>
                                </w:p>
                              </w:tc>
                            </w:tr>
                            <w:tr>
                              <w:trPr>
                                <w:trHeight w:val="341"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1860" w:right="0" w:firstLine="0"/>
                                    <w:jc w:val="both"/>
                                    <w:rPr>
                                      <w:sz w:val="24"/>
                                      <w:szCs w:val="24"/>
                                    </w:rPr>
                                  </w:pPr>
                                  <w:r>
                                    <w:rPr>
                                      <w:rFonts w:ascii="Times New Roman" w:eastAsia="Times New Roman" w:hAnsi="Times New Roman" w:cs="Times New Roman"/>
                                      <w:color w:val="000000"/>
                                      <w:spacing w:val="0"/>
                                      <w:w w:val="100"/>
                                      <w:position w:val="0"/>
                                      <w:sz w:val="24"/>
                                      <w:szCs w:val="24"/>
                                    </w:rPr>
                                    <w:t>208</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24"/>
                                      <w:szCs w:val="24"/>
                                    </w:rPr>
                                  </w:pPr>
                                  <w:r>
                                    <w:rPr>
                                      <w:rFonts w:ascii="Times New Roman" w:eastAsia="Times New Roman" w:hAnsi="Times New Roman" w:cs="Times New Roman"/>
                                      <w:color w:val="000000"/>
                                      <w:spacing w:val="0"/>
                                      <w:w w:val="100"/>
                                      <w:position w:val="0"/>
                                      <w:sz w:val="24"/>
                                      <w:szCs w:val="24"/>
                                    </w:rPr>
                                    <w:t>-</w:t>
                                  </w:r>
                                </w:p>
                              </w:tc>
                              <w:tc>
                                <w:tcPr>
                                  <w:tcBorders/>
                                  <w:shd w:val="clear" w:color="auto" w:fill="FFFFFF"/>
                                  <w:vAlign w:val="top"/>
                                </w:tcPr>
                                <w:p>
                                  <w:pPr>
                                    <w:widowControl w:val="0"/>
                                    <w:rPr>
                                      <w:sz w:val="10"/>
                                      <w:szCs w:val="10"/>
                                    </w:rPr>
                                  </w:pPr>
                                </w:p>
                              </w:tc>
                            </w:tr>
                            <w:tr>
                              <w:trPr>
                                <w:trHeight w:val="341"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1860" w:right="0" w:firstLine="0"/>
                                    <w:jc w:val="both"/>
                                    <w:rPr>
                                      <w:sz w:val="24"/>
                                      <w:szCs w:val="24"/>
                                    </w:rPr>
                                  </w:pPr>
                                  <w:r>
                                    <w:rPr>
                                      <w:rFonts w:ascii="Times New Roman" w:eastAsia="Times New Roman" w:hAnsi="Times New Roman" w:cs="Times New Roman"/>
                                      <w:color w:val="000000"/>
                                      <w:spacing w:val="0"/>
                                      <w:w w:val="100"/>
                                      <w:position w:val="0"/>
                                      <w:sz w:val="24"/>
                                      <w:szCs w:val="24"/>
                                    </w:rPr>
                                    <w:t>207</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00"/>
                                    <w:jc w:val="left"/>
                                    <w:rPr>
                                      <w:sz w:val="24"/>
                                      <w:szCs w:val="24"/>
                                    </w:rPr>
                                  </w:pPr>
                                  <w:r>
                                    <w:rPr>
                                      <w:rFonts w:ascii="Times New Roman" w:eastAsia="Times New Roman" w:hAnsi="Times New Roman" w:cs="Times New Roman"/>
                                      <w:color w:val="000000"/>
                                      <w:spacing w:val="0"/>
                                      <w:w w:val="100"/>
                                      <w:position w:val="0"/>
                                      <w:sz w:val="24"/>
                                      <w:szCs w:val="24"/>
                                    </w:rPr>
                                    <w:t>902</w:t>
                                  </w:r>
                                </w:p>
                              </w:tc>
                              <w:tc>
                                <w:tcPr>
                                  <w:tcBorders/>
                                  <w:shd w:val="clear" w:color="auto" w:fill="FFFFFF"/>
                                  <w:vAlign w:val="top"/>
                                </w:tcPr>
                                <w:p>
                                  <w:pPr>
                                    <w:widowControl w:val="0"/>
                                    <w:rPr>
                                      <w:sz w:val="10"/>
                                      <w:szCs w:val="10"/>
                                    </w:rPr>
                                  </w:pPr>
                                </w:p>
                              </w:tc>
                            </w:tr>
                            <w:tr>
                              <w:trPr>
                                <w:trHeight w:val="322"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1860" w:right="0" w:firstLine="0"/>
                                    <w:jc w:val="both"/>
                                    <w:rPr>
                                      <w:sz w:val="24"/>
                                      <w:szCs w:val="24"/>
                                    </w:rPr>
                                  </w:pPr>
                                  <w:r>
                                    <w:rPr>
                                      <w:rFonts w:ascii="Times New Roman" w:eastAsia="Times New Roman" w:hAnsi="Times New Roman" w:cs="Times New Roman"/>
                                      <w:color w:val="000000"/>
                                      <w:spacing w:val="0"/>
                                      <w:w w:val="100"/>
                                      <w:position w:val="0"/>
                                      <w:sz w:val="24"/>
                                      <w:szCs w:val="24"/>
                                    </w:rPr>
                                    <w:t>119</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left"/>
                                    <w:rPr>
                                      <w:sz w:val="24"/>
                                      <w:szCs w:val="24"/>
                                    </w:rPr>
                                  </w:pPr>
                                  <w:r>
                                    <w:rPr>
                                      <w:rFonts w:ascii="Times New Roman" w:eastAsia="Times New Roman" w:hAnsi="Times New Roman" w:cs="Times New Roman"/>
                                      <w:color w:val="000000"/>
                                      <w:spacing w:val="0"/>
                                      <w:w w:val="100"/>
                                      <w:position w:val="0"/>
                                      <w:sz w:val="24"/>
                                      <w:szCs w:val="24"/>
                                    </w:rPr>
                                    <w:t>-</w:t>
                                  </w:r>
                                </w:p>
                              </w:tc>
                              <w:tc>
                                <w:tcPr>
                                  <w:tcBorders/>
                                  <w:shd w:val="clear" w:color="auto" w:fill="FFFFFF"/>
                                  <w:vAlign w:val="top"/>
                                </w:tcPr>
                                <w:p>
                                  <w:pPr>
                                    <w:widowControl w:val="0"/>
                                    <w:rPr>
                                      <w:sz w:val="10"/>
                                      <w:szCs w:val="10"/>
                                    </w:rPr>
                                  </w:pPr>
                                </w:p>
                              </w:tc>
                            </w:tr>
                            <w:tr>
                              <w:trPr>
                                <w:trHeight w:val="312"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180" w:firstLine="0"/>
                                    <w:jc w:val="right"/>
                                    <w:rPr>
                                      <w:sz w:val="24"/>
                                      <w:szCs w:val="24"/>
                                    </w:rPr>
                                  </w:pPr>
                                  <w:r>
                                    <w:rPr>
                                      <w:rFonts w:ascii="Times New Roman" w:eastAsia="Times New Roman" w:hAnsi="Times New Roman" w:cs="Times New Roman"/>
                                      <w:color w:val="000000"/>
                                      <w:spacing w:val="0"/>
                                      <w:w w:val="100"/>
                                      <w:position w:val="0"/>
                                      <w:sz w:val="24"/>
                                      <w:szCs w:val="24"/>
                                    </w:rPr>
                                    <w:t>80</w:t>
                                  </w:r>
                                </w:p>
                              </w:tc>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160" w:firstLine="0"/>
                                    <w:jc w:val="right"/>
                                    <w:rPr>
                                      <w:sz w:val="24"/>
                                      <w:szCs w:val="24"/>
                                    </w:rPr>
                                  </w:pPr>
                                  <w:r>
                                    <w:rPr>
                                      <w:rFonts w:ascii="Times New Roman" w:eastAsia="Times New Roman" w:hAnsi="Times New Roman" w:cs="Times New Roman"/>
                                      <w:color w:val="000000"/>
                                      <w:spacing w:val="0"/>
                                      <w:w w:val="100"/>
                                      <w:position w:val="0"/>
                                      <w:sz w:val="24"/>
                                      <w:szCs w:val="24"/>
                                    </w:rPr>
                                    <w:t>982</w:t>
                                  </w:r>
                                </w:p>
                              </w:tc>
                            </w:tr>
                            <w:tr>
                              <w:trPr>
                                <w:trHeight w:val="293"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180" w:firstLine="0"/>
                                    <w:jc w:val="right"/>
                                    <w:rPr>
                                      <w:sz w:val="24"/>
                                      <w:szCs w:val="24"/>
                                    </w:rPr>
                                  </w:pPr>
                                  <w:r>
                                    <w:rPr>
                                      <w:rFonts w:ascii="Times New Roman" w:eastAsia="Times New Roman" w:hAnsi="Times New Roman" w:cs="Times New Roman"/>
                                      <w:color w:val="000000"/>
                                      <w:spacing w:val="0"/>
                                      <w:w w:val="100"/>
                                      <w:position w:val="0"/>
                                      <w:sz w:val="24"/>
                                      <w:szCs w:val="24"/>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24"/>
                                      <w:szCs w:val="24"/>
                                    </w:rPr>
                                  </w:pPr>
                                  <w:r>
                                    <w:rPr>
                                      <w:rFonts w:ascii="Times New Roman" w:eastAsia="Times New Roman" w:hAnsi="Times New Roman" w:cs="Times New Roman"/>
                                      <w:color w:val="000000"/>
                                      <w:spacing w:val="0"/>
                                      <w:w w:val="100"/>
                                      <w:position w:val="0"/>
                                      <w:sz w:val="24"/>
                                      <w:szCs w:val="24"/>
                                    </w:rPr>
                                    <w:t>26</w:t>
                                  </w:r>
                                </w:p>
                              </w:tc>
                              <w:tc>
                                <w:tcPr>
                                  <w:tcBorders/>
                                  <w:shd w:val="clear" w:color="auto" w:fill="FFFFFF"/>
                                  <w:vAlign w:val="top"/>
                                </w:tcPr>
                                <w:p>
                                  <w:pPr>
                                    <w:widowControl w:val="0"/>
                                    <w:rPr>
                                      <w:sz w:val="10"/>
                                      <w:szCs w:val="10"/>
                                    </w:rPr>
                                  </w:pPr>
                                </w:p>
                              </w:tc>
                            </w:tr>
                            <w:tr>
                              <w:trPr>
                                <w:trHeight w:val="312" w:hRule="exact"/>
                              </w:trPr>
                              <w:tc>
                                <w:tcPr>
                                  <w:tcBorders>
                                    <w:top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180" w:firstLine="0"/>
                                    <w:jc w:val="right"/>
                                    <w:rPr>
                                      <w:sz w:val="24"/>
                                      <w:szCs w:val="24"/>
                                    </w:rPr>
                                  </w:pPr>
                                  <w:r>
                                    <w:rPr>
                                      <w:rFonts w:ascii="Times New Roman" w:eastAsia="Times New Roman" w:hAnsi="Times New Roman" w:cs="Times New Roman"/>
                                      <w:color w:val="000000"/>
                                      <w:spacing w:val="0"/>
                                      <w:w w:val="100"/>
                                      <w:position w:val="0"/>
                                      <w:sz w:val="24"/>
                                      <w:szCs w:val="24"/>
                                    </w:rPr>
                                    <w:t>218,083</w:t>
                                  </w:r>
                                </w:p>
                              </w:tc>
                              <w:tc>
                                <w:tcPr>
                                  <w:tcBorders>
                                    <w:top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left"/>
                                    <w:rPr>
                                      <w:sz w:val="24"/>
                                      <w:szCs w:val="24"/>
                                    </w:rPr>
                                  </w:pPr>
                                  <w:r>
                                    <w:rPr>
                                      <w:rFonts w:ascii="Times New Roman" w:eastAsia="Times New Roman" w:hAnsi="Times New Roman" w:cs="Times New Roman"/>
                                      <w:color w:val="000000"/>
                                      <w:spacing w:val="0"/>
                                      <w:w w:val="100"/>
                                      <w:position w:val="0"/>
                                      <w:sz w:val="24"/>
                                      <w:szCs w:val="24"/>
                                    </w:rPr>
                                    <w:t>241,335</w:t>
                                  </w:r>
                                </w:p>
                              </w:tc>
                              <w:tc>
                                <w:tcPr>
                                  <w:tcBorders>
                                    <w:top w:val="single" w:sz="4"/>
                                    <w:bottom w:val="single" w:sz="4"/>
                                  </w:tcBorders>
                                  <w:shd w:val="clear" w:color="auto" w:fill="FFFFFF"/>
                                  <w:vAlign w:val="top"/>
                                </w:tcPr>
                                <w:p>
                                  <w:pPr>
                                    <w:widowControl w:val="0"/>
                                    <w:rPr>
                                      <w:sz w:val="10"/>
                                      <w:szCs w:val="10"/>
                                    </w:rPr>
                                  </w:pPr>
                                </w:p>
                              </w:tc>
                            </w:tr>
                          </w:tbl>
                          <w:p>
                            <w:pPr>
                              <w:widowControl w:val="0"/>
                              <w:spacing w:line="1" w:lineRule="exact"/>
                            </w:pPr>
                          </w:p>
                        </w:txbxContent>
                      </wps:txbx>
                      <wps:bodyPr lIns="0" tIns="0" rIns="0" bIns="0">
                        <a:noAutoFit/>
                      </wps:bodyPr>
                    </wps:wsp>
                  </a:graphicData>
                </a:graphic>
              </wp:anchor>
            </w:drawing>
          </mc:Choice>
          <mc:Fallback>
            <w:pict>
              <v:shape id="_x0000_s1534" type="#_x0000_t202" style="position:absolute;margin-left:311.44999999999999pt;margin-top:205.95000000000002pt;width:251.05000000000001pt;height:177.59999999999999pt;z-index:-125829277;mso-wrap-distance-left:9.pt;mso-wrap-distance-top:186.5pt;mso-wrap-distance-right:9.pt;mso-position-horizontal-relative:page" filled="f" stroked="f">
                <v:textbox inset="0,0,0,0">
                  <w:txbxContent>
                    <w:tbl>
                      <w:tblPr>
                        <w:tblOverlap w:val="never"/>
                        <w:jc w:val="left"/>
                        <w:tblLayout w:type="fixed"/>
                      </w:tblPr>
                      <w:tblGrid>
                        <w:gridCol w:w="2429"/>
                        <w:gridCol w:w="1526"/>
                        <w:gridCol w:w="1066"/>
                      </w:tblGrid>
                      <w:tr>
                        <w:trPr>
                          <w:tblHeader/>
                          <w:trHeight w:val="278"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1440" w:right="0" w:firstLine="0"/>
                              <w:jc w:val="left"/>
                              <w:rPr>
                                <w:sz w:val="24"/>
                                <w:szCs w:val="24"/>
                              </w:rPr>
                            </w:pPr>
                            <w:r>
                              <w:rPr>
                                <w:rFonts w:ascii="Times New Roman" w:eastAsia="Times New Roman" w:hAnsi="Times New Roman" w:cs="Times New Roman"/>
                                <w:color w:val="000000"/>
                                <w:spacing w:val="0"/>
                                <w:w w:val="100"/>
                                <w:position w:val="0"/>
                                <w:sz w:val="24"/>
                                <w:szCs w:val="24"/>
                              </w:rPr>
                              <w:t>213,142</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00"/>
                              <w:jc w:val="left"/>
                              <w:rPr>
                                <w:sz w:val="24"/>
                                <w:szCs w:val="24"/>
                              </w:rPr>
                            </w:pPr>
                            <w:r>
                              <w:rPr>
                                <w:rFonts w:ascii="Times New Roman" w:eastAsia="Times New Roman" w:hAnsi="Times New Roman" w:cs="Times New Roman"/>
                                <w:color w:val="000000"/>
                                <w:spacing w:val="0"/>
                                <w:w w:val="100"/>
                                <w:position w:val="0"/>
                                <w:sz w:val="24"/>
                                <w:szCs w:val="24"/>
                              </w:rPr>
                              <w:t>232,982</w:t>
                            </w:r>
                          </w:p>
                        </w:tc>
                        <w:tc>
                          <w:tcPr>
                            <w:tcBorders/>
                            <w:shd w:val="clear" w:color="auto" w:fill="FFFFFF"/>
                            <w:vAlign w:val="top"/>
                          </w:tcPr>
                          <w:p>
                            <w:pPr>
                              <w:widowControl w:val="0"/>
                              <w:rPr>
                                <w:sz w:val="10"/>
                                <w:szCs w:val="10"/>
                              </w:rPr>
                            </w:pPr>
                          </w:p>
                        </w:tc>
                      </w:tr>
                      <w:tr>
                        <w:trPr>
                          <w:trHeight w:val="336"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1680" w:right="0" w:firstLine="0"/>
                              <w:jc w:val="left"/>
                              <w:rPr>
                                <w:sz w:val="24"/>
                                <w:szCs w:val="24"/>
                              </w:rPr>
                            </w:pPr>
                            <w:r>
                              <w:rPr>
                                <w:rFonts w:ascii="Times New Roman" w:eastAsia="Times New Roman" w:hAnsi="Times New Roman" w:cs="Times New Roman"/>
                                <w:color w:val="000000"/>
                                <w:spacing w:val="0"/>
                                <w:w w:val="100"/>
                                <w:position w:val="0"/>
                                <w:sz w:val="24"/>
                                <w:szCs w:val="24"/>
                              </w:rPr>
                              <w:t>1,486</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left"/>
                              <w:rPr>
                                <w:sz w:val="24"/>
                                <w:szCs w:val="24"/>
                              </w:rPr>
                            </w:pPr>
                            <w:r>
                              <w:rPr>
                                <w:rFonts w:ascii="Times New Roman" w:eastAsia="Times New Roman" w:hAnsi="Times New Roman" w:cs="Times New Roman"/>
                                <w:color w:val="000000"/>
                                <w:spacing w:val="0"/>
                                <w:w w:val="100"/>
                                <w:position w:val="0"/>
                                <w:sz w:val="24"/>
                                <w:szCs w:val="24"/>
                              </w:rPr>
                              <w:t>118</w:t>
                            </w:r>
                          </w:p>
                        </w:tc>
                        <w:tc>
                          <w:tcPr>
                            <w:tcBorders/>
                            <w:shd w:val="clear" w:color="auto" w:fill="FFFFFF"/>
                            <w:vAlign w:val="top"/>
                          </w:tcPr>
                          <w:p>
                            <w:pPr>
                              <w:widowControl w:val="0"/>
                              <w:rPr>
                                <w:sz w:val="10"/>
                                <w:szCs w:val="10"/>
                              </w:rPr>
                            </w:pPr>
                          </w:p>
                        </w:tc>
                      </w:tr>
                      <w:tr>
                        <w:trPr>
                          <w:trHeight w:val="341"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1680" w:right="0" w:firstLine="0"/>
                              <w:jc w:val="left"/>
                              <w:rPr>
                                <w:sz w:val="24"/>
                                <w:szCs w:val="24"/>
                              </w:rPr>
                            </w:pPr>
                            <w:r>
                              <w:rPr>
                                <w:rFonts w:ascii="Times New Roman" w:eastAsia="Times New Roman" w:hAnsi="Times New Roman" w:cs="Times New Roman"/>
                                <w:color w:val="000000"/>
                                <w:spacing w:val="0"/>
                                <w:w w:val="100"/>
                                <w:position w:val="0"/>
                                <w:sz w:val="24"/>
                                <w:szCs w:val="24"/>
                              </w:rPr>
                              <w:t>1,449</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left"/>
                              <w:rPr>
                                <w:sz w:val="24"/>
                                <w:szCs w:val="24"/>
                              </w:rPr>
                            </w:pPr>
                            <w:r>
                              <w:rPr>
                                <w:rFonts w:ascii="Times New Roman" w:eastAsia="Times New Roman" w:hAnsi="Times New Roman" w:cs="Times New Roman"/>
                                <w:color w:val="000000"/>
                                <w:spacing w:val="0"/>
                                <w:w w:val="100"/>
                                <w:position w:val="0"/>
                                <w:sz w:val="24"/>
                                <w:szCs w:val="24"/>
                              </w:rPr>
                              <w:t>6,325</w:t>
                            </w:r>
                          </w:p>
                        </w:tc>
                        <w:tc>
                          <w:tcPr>
                            <w:tcBorders/>
                            <w:shd w:val="clear" w:color="auto" w:fill="FFFFFF"/>
                            <w:vAlign w:val="top"/>
                          </w:tcPr>
                          <w:p>
                            <w:pPr>
                              <w:widowControl w:val="0"/>
                              <w:rPr>
                                <w:sz w:val="10"/>
                                <w:szCs w:val="10"/>
                              </w:rPr>
                            </w:pPr>
                          </w:p>
                        </w:tc>
                      </w:tr>
                      <w:tr>
                        <w:trPr>
                          <w:trHeight w:val="341"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1860" w:right="0" w:firstLine="0"/>
                              <w:jc w:val="both"/>
                              <w:rPr>
                                <w:sz w:val="24"/>
                                <w:szCs w:val="24"/>
                              </w:rPr>
                            </w:pPr>
                            <w:r>
                              <w:rPr>
                                <w:rFonts w:ascii="Times New Roman" w:eastAsia="Times New Roman" w:hAnsi="Times New Roman" w:cs="Times New Roman"/>
                                <w:color w:val="000000"/>
                                <w:spacing w:val="0"/>
                                <w:w w:val="100"/>
                                <w:position w:val="0"/>
                                <w:sz w:val="24"/>
                                <w:szCs w:val="24"/>
                              </w:rPr>
                              <w:t>764</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24"/>
                                <w:szCs w:val="24"/>
                              </w:rPr>
                            </w:pPr>
                            <w:r>
                              <w:rPr>
                                <w:rFonts w:ascii="Times New Roman" w:eastAsia="Times New Roman" w:hAnsi="Times New Roman" w:cs="Times New Roman"/>
                                <w:color w:val="000000"/>
                                <w:spacing w:val="0"/>
                                <w:w w:val="100"/>
                                <w:position w:val="0"/>
                                <w:sz w:val="24"/>
                                <w:szCs w:val="24"/>
                              </w:rPr>
                              <w:t>-</w:t>
                            </w:r>
                          </w:p>
                        </w:tc>
                        <w:tc>
                          <w:tcPr>
                            <w:tcBorders/>
                            <w:shd w:val="clear" w:color="auto" w:fill="FFFFFF"/>
                            <w:vAlign w:val="top"/>
                          </w:tcPr>
                          <w:p>
                            <w:pPr>
                              <w:widowControl w:val="0"/>
                              <w:rPr>
                                <w:sz w:val="10"/>
                                <w:szCs w:val="10"/>
                              </w:rPr>
                            </w:pPr>
                          </w:p>
                        </w:tc>
                      </w:tr>
                      <w:tr>
                        <w:trPr>
                          <w:trHeight w:val="336"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1860" w:right="0" w:firstLine="0"/>
                              <w:jc w:val="both"/>
                              <w:rPr>
                                <w:sz w:val="24"/>
                                <w:szCs w:val="24"/>
                              </w:rPr>
                            </w:pPr>
                            <w:r>
                              <w:rPr>
                                <w:rFonts w:ascii="Times New Roman" w:eastAsia="Times New Roman" w:hAnsi="Times New Roman" w:cs="Times New Roman"/>
                                <w:color w:val="000000"/>
                                <w:spacing w:val="0"/>
                                <w:w w:val="100"/>
                                <w:position w:val="0"/>
                                <w:sz w:val="24"/>
                                <w:szCs w:val="24"/>
                              </w:rPr>
                              <w:t>628</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24"/>
                                <w:szCs w:val="24"/>
                              </w:rPr>
                            </w:pPr>
                            <w:r>
                              <w:rPr>
                                <w:rFonts w:ascii="Times New Roman" w:eastAsia="Times New Roman" w:hAnsi="Times New Roman" w:cs="Times New Roman"/>
                                <w:color w:val="000000"/>
                                <w:spacing w:val="0"/>
                                <w:w w:val="100"/>
                                <w:position w:val="0"/>
                                <w:sz w:val="24"/>
                                <w:szCs w:val="24"/>
                              </w:rPr>
                              <w:t>-</w:t>
                            </w:r>
                          </w:p>
                        </w:tc>
                        <w:tc>
                          <w:tcPr>
                            <w:tcBorders/>
                            <w:shd w:val="clear" w:color="auto" w:fill="FFFFFF"/>
                            <w:vAlign w:val="top"/>
                          </w:tcPr>
                          <w:p>
                            <w:pPr>
                              <w:widowControl w:val="0"/>
                              <w:rPr>
                                <w:sz w:val="10"/>
                                <w:szCs w:val="10"/>
                              </w:rPr>
                            </w:pPr>
                          </w:p>
                        </w:tc>
                      </w:tr>
                      <w:tr>
                        <w:trPr>
                          <w:trHeight w:val="341"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1860" w:right="0" w:firstLine="0"/>
                              <w:jc w:val="both"/>
                              <w:rPr>
                                <w:sz w:val="24"/>
                                <w:szCs w:val="24"/>
                              </w:rPr>
                            </w:pPr>
                            <w:r>
                              <w:rPr>
                                <w:rFonts w:ascii="Times New Roman" w:eastAsia="Times New Roman" w:hAnsi="Times New Roman" w:cs="Times New Roman"/>
                                <w:color w:val="000000"/>
                                <w:spacing w:val="0"/>
                                <w:w w:val="100"/>
                                <w:position w:val="0"/>
                                <w:sz w:val="24"/>
                                <w:szCs w:val="24"/>
                              </w:rPr>
                              <w:t>208</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24"/>
                                <w:szCs w:val="24"/>
                              </w:rPr>
                            </w:pPr>
                            <w:r>
                              <w:rPr>
                                <w:rFonts w:ascii="Times New Roman" w:eastAsia="Times New Roman" w:hAnsi="Times New Roman" w:cs="Times New Roman"/>
                                <w:color w:val="000000"/>
                                <w:spacing w:val="0"/>
                                <w:w w:val="100"/>
                                <w:position w:val="0"/>
                                <w:sz w:val="24"/>
                                <w:szCs w:val="24"/>
                              </w:rPr>
                              <w:t>-</w:t>
                            </w:r>
                          </w:p>
                        </w:tc>
                        <w:tc>
                          <w:tcPr>
                            <w:tcBorders/>
                            <w:shd w:val="clear" w:color="auto" w:fill="FFFFFF"/>
                            <w:vAlign w:val="top"/>
                          </w:tcPr>
                          <w:p>
                            <w:pPr>
                              <w:widowControl w:val="0"/>
                              <w:rPr>
                                <w:sz w:val="10"/>
                                <w:szCs w:val="10"/>
                              </w:rPr>
                            </w:pPr>
                          </w:p>
                        </w:tc>
                      </w:tr>
                      <w:tr>
                        <w:trPr>
                          <w:trHeight w:val="341"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1860" w:right="0" w:firstLine="0"/>
                              <w:jc w:val="both"/>
                              <w:rPr>
                                <w:sz w:val="24"/>
                                <w:szCs w:val="24"/>
                              </w:rPr>
                            </w:pPr>
                            <w:r>
                              <w:rPr>
                                <w:rFonts w:ascii="Times New Roman" w:eastAsia="Times New Roman" w:hAnsi="Times New Roman" w:cs="Times New Roman"/>
                                <w:color w:val="000000"/>
                                <w:spacing w:val="0"/>
                                <w:w w:val="100"/>
                                <w:position w:val="0"/>
                                <w:sz w:val="24"/>
                                <w:szCs w:val="24"/>
                              </w:rPr>
                              <w:t>207</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00"/>
                              <w:jc w:val="left"/>
                              <w:rPr>
                                <w:sz w:val="24"/>
                                <w:szCs w:val="24"/>
                              </w:rPr>
                            </w:pPr>
                            <w:r>
                              <w:rPr>
                                <w:rFonts w:ascii="Times New Roman" w:eastAsia="Times New Roman" w:hAnsi="Times New Roman" w:cs="Times New Roman"/>
                                <w:color w:val="000000"/>
                                <w:spacing w:val="0"/>
                                <w:w w:val="100"/>
                                <w:position w:val="0"/>
                                <w:sz w:val="24"/>
                                <w:szCs w:val="24"/>
                              </w:rPr>
                              <w:t>902</w:t>
                            </w:r>
                          </w:p>
                        </w:tc>
                        <w:tc>
                          <w:tcPr>
                            <w:tcBorders/>
                            <w:shd w:val="clear" w:color="auto" w:fill="FFFFFF"/>
                            <w:vAlign w:val="top"/>
                          </w:tcPr>
                          <w:p>
                            <w:pPr>
                              <w:widowControl w:val="0"/>
                              <w:rPr>
                                <w:sz w:val="10"/>
                                <w:szCs w:val="10"/>
                              </w:rPr>
                            </w:pPr>
                          </w:p>
                        </w:tc>
                      </w:tr>
                      <w:tr>
                        <w:trPr>
                          <w:trHeight w:val="322"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1860" w:right="0" w:firstLine="0"/>
                              <w:jc w:val="both"/>
                              <w:rPr>
                                <w:sz w:val="24"/>
                                <w:szCs w:val="24"/>
                              </w:rPr>
                            </w:pPr>
                            <w:r>
                              <w:rPr>
                                <w:rFonts w:ascii="Times New Roman" w:eastAsia="Times New Roman" w:hAnsi="Times New Roman" w:cs="Times New Roman"/>
                                <w:color w:val="000000"/>
                                <w:spacing w:val="0"/>
                                <w:w w:val="100"/>
                                <w:position w:val="0"/>
                                <w:sz w:val="24"/>
                                <w:szCs w:val="24"/>
                              </w:rPr>
                              <w:t>119</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left"/>
                              <w:rPr>
                                <w:sz w:val="24"/>
                                <w:szCs w:val="24"/>
                              </w:rPr>
                            </w:pPr>
                            <w:r>
                              <w:rPr>
                                <w:rFonts w:ascii="Times New Roman" w:eastAsia="Times New Roman" w:hAnsi="Times New Roman" w:cs="Times New Roman"/>
                                <w:color w:val="000000"/>
                                <w:spacing w:val="0"/>
                                <w:w w:val="100"/>
                                <w:position w:val="0"/>
                                <w:sz w:val="24"/>
                                <w:szCs w:val="24"/>
                              </w:rPr>
                              <w:t>-</w:t>
                            </w:r>
                          </w:p>
                        </w:tc>
                        <w:tc>
                          <w:tcPr>
                            <w:tcBorders/>
                            <w:shd w:val="clear" w:color="auto" w:fill="FFFFFF"/>
                            <w:vAlign w:val="top"/>
                          </w:tcPr>
                          <w:p>
                            <w:pPr>
                              <w:widowControl w:val="0"/>
                              <w:rPr>
                                <w:sz w:val="10"/>
                                <w:szCs w:val="10"/>
                              </w:rPr>
                            </w:pPr>
                          </w:p>
                        </w:tc>
                      </w:tr>
                      <w:tr>
                        <w:trPr>
                          <w:trHeight w:val="312"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180" w:firstLine="0"/>
                              <w:jc w:val="right"/>
                              <w:rPr>
                                <w:sz w:val="24"/>
                                <w:szCs w:val="24"/>
                              </w:rPr>
                            </w:pPr>
                            <w:r>
                              <w:rPr>
                                <w:rFonts w:ascii="Times New Roman" w:eastAsia="Times New Roman" w:hAnsi="Times New Roman" w:cs="Times New Roman"/>
                                <w:color w:val="000000"/>
                                <w:spacing w:val="0"/>
                                <w:w w:val="100"/>
                                <w:position w:val="0"/>
                                <w:sz w:val="24"/>
                                <w:szCs w:val="24"/>
                              </w:rPr>
                              <w:t>80</w:t>
                            </w:r>
                          </w:p>
                        </w:tc>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160" w:firstLine="0"/>
                              <w:jc w:val="right"/>
                              <w:rPr>
                                <w:sz w:val="24"/>
                                <w:szCs w:val="24"/>
                              </w:rPr>
                            </w:pPr>
                            <w:r>
                              <w:rPr>
                                <w:rFonts w:ascii="Times New Roman" w:eastAsia="Times New Roman" w:hAnsi="Times New Roman" w:cs="Times New Roman"/>
                                <w:color w:val="000000"/>
                                <w:spacing w:val="0"/>
                                <w:w w:val="100"/>
                                <w:position w:val="0"/>
                                <w:sz w:val="24"/>
                                <w:szCs w:val="24"/>
                              </w:rPr>
                              <w:t>982</w:t>
                            </w:r>
                          </w:p>
                        </w:tc>
                      </w:tr>
                      <w:tr>
                        <w:trPr>
                          <w:trHeight w:val="293"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180" w:firstLine="0"/>
                              <w:jc w:val="right"/>
                              <w:rPr>
                                <w:sz w:val="24"/>
                                <w:szCs w:val="24"/>
                              </w:rPr>
                            </w:pPr>
                            <w:r>
                              <w:rPr>
                                <w:rFonts w:ascii="Times New Roman" w:eastAsia="Times New Roman" w:hAnsi="Times New Roman" w:cs="Times New Roman"/>
                                <w:color w:val="000000"/>
                                <w:spacing w:val="0"/>
                                <w:w w:val="100"/>
                                <w:position w:val="0"/>
                                <w:sz w:val="24"/>
                                <w:szCs w:val="24"/>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24"/>
                                <w:szCs w:val="24"/>
                              </w:rPr>
                            </w:pPr>
                            <w:r>
                              <w:rPr>
                                <w:rFonts w:ascii="Times New Roman" w:eastAsia="Times New Roman" w:hAnsi="Times New Roman" w:cs="Times New Roman"/>
                                <w:color w:val="000000"/>
                                <w:spacing w:val="0"/>
                                <w:w w:val="100"/>
                                <w:position w:val="0"/>
                                <w:sz w:val="24"/>
                                <w:szCs w:val="24"/>
                              </w:rPr>
                              <w:t>26</w:t>
                            </w:r>
                          </w:p>
                        </w:tc>
                        <w:tc>
                          <w:tcPr>
                            <w:tcBorders/>
                            <w:shd w:val="clear" w:color="auto" w:fill="FFFFFF"/>
                            <w:vAlign w:val="top"/>
                          </w:tcPr>
                          <w:p>
                            <w:pPr>
                              <w:widowControl w:val="0"/>
                              <w:rPr>
                                <w:sz w:val="10"/>
                                <w:szCs w:val="10"/>
                              </w:rPr>
                            </w:pPr>
                          </w:p>
                        </w:tc>
                      </w:tr>
                      <w:tr>
                        <w:trPr>
                          <w:trHeight w:val="312" w:hRule="exact"/>
                        </w:trPr>
                        <w:tc>
                          <w:tcPr>
                            <w:tcBorders>
                              <w:top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180" w:firstLine="0"/>
                              <w:jc w:val="right"/>
                              <w:rPr>
                                <w:sz w:val="24"/>
                                <w:szCs w:val="24"/>
                              </w:rPr>
                            </w:pPr>
                            <w:r>
                              <w:rPr>
                                <w:rFonts w:ascii="Times New Roman" w:eastAsia="Times New Roman" w:hAnsi="Times New Roman" w:cs="Times New Roman"/>
                                <w:color w:val="000000"/>
                                <w:spacing w:val="0"/>
                                <w:w w:val="100"/>
                                <w:position w:val="0"/>
                                <w:sz w:val="24"/>
                                <w:szCs w:val="24"/>
                              </w:rPr>
                              <w:t>218,083</w:t>
                            </w:r>
                          </w:p>
                        </w:tc>
                        <w:tc>
                          <w:tcPr>
                            <w:tcBorders>
                              <w:top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left"/>
                              <w:rPr>
                                <w:sz w:val="24"/>
                                <w:szCs w:val="24"/>
                              </w:rPr>
                            </w:pPr>
                            <w:r>
                              <w:rPr>
                                <w:rFonts w:ascii="Times New Roman" w:eastAsia="Times New Roman" w:hAnsi="Times New Roman" w:cs="Times New Roman"/>
                                <w:color w:val="000000"/>
                                <w:spacing w:val="0"/>
                                <w:w w:val="100"/>
                                <w:position w:val="0"/>
                                <w:sz w:val="24"/>
                                <w:szCs w:val="24"/>
                              </w:rPr>
                              <w:t>241,335</w:t>
                            </w:r>
                          </w:p>
                        </w:tc>
                        <w:tc>
                          <w:tcPr>
                            <w:tcBorders>
                              <w:top w:val="single" w:sz="4"/>
                              <w:bottom w:val="single" w:sz="4"/>
                            </w:tcBorders>
                            <w:shd w:val="clear" w:color="auto" w:fill="FFFFFF"/>
                            <w:vAlign w:val="top"/>
                          </w:tcPr>
                          <w:p>
                            <w:pPr>
                              <w:widowControl w:val="0"/>
                              <w:rPr>
                                <w:sz w:val="10"/>
                                <w:szCs w:val="10"/>
                              </w:rPr>
                            </w:pPr>
                          </w:p>
                        </w:tc>
                      </w:tr>
                    </w:tbl>
                    <w:p>
                      <w:pPr>
                        <w:widowControl w:val="0"/>
                        <w:spacing w:line="1" w:lineRule="exact"/>
                      </w:pPr>
                    </w:p>
                  </w:txbxContent>
                </v:textbox>
                <w10:wrap type="square" anchorx="page"/>
              </v:shape>
            </w:pict>
          </mc:Fallback>
        </mc:AlternateContent>
      </w:r>
    </w:p>
    <w:p>
      <w:pPr>
        <w:pStyle w:val="Style32"/>
        <w:keepNext w:val="0"/>
        <w:keepLines w:val="0"/>
        <w:widowControl w:val="0"/>
        <w:shd w:val="clear" w:color="auto" w:fill="auto"/>
        <w:bidi w:val="0"/>
        <w:spacing w:before="0" w:after="0" w:line="313" w:lineRule="exact"/>
        <w:ind w:left="0" w:right="0" w:firstLine="720"/>
        <w:jc w:val="both"/>
        <w:rPr>
          <w:sz w:val="24"/>
          <w:szCs w:val="24"/>
        </w:rPr>
      </w:pP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租入</w:t>
      </w:r>
    </w:p>
    <w:p>
      <w:pPr>
        <w:pStyle w:val="Style32"/>
        <w:keepNext w:val="0"/>
        <w:keepLines w:val="0"/>
        <w:widowControl w:val="0"/>
        <w:shd w:val="clear" w:color="auto" w:fill="auto"/>
        <w:bidi w:val="0"/>
        <w:spacing w:before="0" w:after="0" w:line="313" w:lineRule="exact"/>
        <w:ind w:left="1560" w:right="0" w:firstLine="40"/>
        <w:jc w:val="both"/>
        <w:rPr>
          <w:sz w:val="24"/>
          <w:szCs w:val="24"/>
        </w:rPr>
      </w:pPr>
      <w:r>
        <w:rPr>
          <w:color w:val="000000"/>
          <w:spacing w:val="0"/>
          <w:w w:val="100"/>
          <w:position w:val="0"/>
          <w:sz w:val="24"/>
          <w:szCs w:val="24"/>
        </w:rPr>
        <w:t>无锡苏宁商业管理</w:t>
      </w:r>
    </w:p>
    <w:p>
      <w:pPr>
        <w:pStyle w:val="Style32"/>
        <w:keepNext w:val="0"/>
        <w:keepLines w:val="0"/>
        <w:widowControl w:val="0"/>
        <w:shd w:val="clear" w:color="auto" w:fill="auto"/>
        <w:bidi w:val="0"/>
        <w:spacing w:before="0" w:after="0" w:line="313" w:lineRule="exact"/>
        <w:ind w:left="1560" w:right="0" w:firstLine="40"/>
        <w:jc w:val="both"/>
        <w:rPr>
          <w:sz w:val="24"/>
          <w:szCs w:val="24"/>
        </w:rPr>
      </w:pPr>
      <w:r>
        <w:rPr>
          <w:color w:val="000000"/>
          <w:spacing w:val="0"/>
          <w:w w:val="100"/>
          <w:position w:val="0"/>
          <w:sz w:val="24"/>
          <w:szCs w:val="24"/>
        </w:rPr>
        <w:t>苏宁置业</w:t>
      </w:r>
    </w:p>
    <w:p>
      <w:pPr>
        <w:pStyle w:val="Style32"/>
        <w:keepNext w:val="0"/>
        <w:keepLines w:val="0"/>
        <w:widowControl w:val="0"/>
        <w:shd w:val="clear" w:color="auto" w:fill="auto"/>
        <w:bidi w:val="0"/>
        <w:spacing w:before="0" w:after="0" w:line="313" w:lineRule="exact"/>
        <w:ind w:left="1560" w:right="0" w:firstLine="40"/>
        <w:jc w:val="both"/>
        <w:rPr>
          <w:sz w:val="24"/>
          <w:szCs w:val="24"/>
        </w:rPr>
      </w:pPr>
      <w:r>
        <w:rPr>
          <w:color w:val="000000"/>
          <w:spacing w:val="0"/>
          <w:w w:val="100"/>
          <w:position w:val="0"/>
          <w:sz w:val="24"/>
          <w:szCs w:val="24"/>
        </w:rPr>
        <w:t>成都鸿业置业苏宁广场 福州苏宁置业台江</w:t>
      </w:r>
    </w:p>
    <w:p>
      <w:pPr>
        <w:pStyle w:val="Style32"/>
        <w:keepNext w:val="0"/>
        <w:keepLines w:val="0"/>
        <w:widowControl w:val="0"/>
        <w:shd w:val="clear" w:color="auto" w:fill="auto"/>
        <w:bidi w:val="0"/>
        <w:spacing w:before="0" w:after="560" w:line="313" w:lineRule="exact"/>
        <w:ind w:left="1560" w:right="0" w:firstLine="40"/>
        <w:jc w:val="both"/>
        <w:rPr>
          <w:sz w:val="24"/>
          <w:szCs w:val="24"/>
        </w:rPr>
      </w:pPr>
      <w:r>
        <w:rPr>
          <w:color w:val="000000"/>
          <w:spacing w:val="0"/>
          <w:w w:val="100"/>
          <w:position w:val="0"/>
          <w:sz w:val="24"/>
          <w:szCs w:val="24"/>
        </w:rPr>
        <w:t>石家庄苏宁房地产开发 宿迁苏宁置业 青岛苏宁置业 淮安苏宁置业 苏宁电器集团</w:t>
      </w:r>
    </w:p>
    <w:p>
      <w:pPr>
        <w:pStyle w:val="Style32"/>
        <w:keepNext w:val="0"/>
        <w:keepLines w:val="0"/>
        <w:widowControl w:val="0"/>
        <w:shd w:val="clear" w:color="auto" w:fill="auto"/>
        <w:bidi w:val="0"/>
        <w:spacing w:before="0" w:after="0" w:line="335" w:lineRule="exact"/>
        <w:ind w:left="0" w:right="0" w:firstLine="720"/>
        <w:jc w:val="both"/>
        <w:rPr>
          <w:sz w:val="24"/>
          <w:szCs w:val="24"/>
        </w:rPr>
      </w:pP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租出</w:t>
      </w:r>
    </w:p>
    <w:p>
      <w:pPr>
        <w:pStyle w:val="Style32"/>
        <w:keepNext w:val="0"/>
        <w:keepLines w:val="0"/>
        <w:widowControl w:val="0"/>
        <w:shd w:val="clear" w:color="auto" w:fill="auto"/>
        <w:bidi w:val="0"/>
        <w:spacing w:before="0" w:after="280" w:line="335" w:lineRule="exact"/>
        <w:ind w:left="1560" w:right="0" w:firstLine="40"/>
        <w:jc w:val="left"/>
        <w:rPr>
          <w:sz w:val="24"/>
          <w:szCs w:val="24"/>
        </w:rPr>
      </w:pPr>
      <w:r>
        <w:rPr>
          <w:color w:val="000000"/>
          <w:spacing w:val="0"/>
          <w:w w:val="100"/>
          <w:position w:val="0"/>
          <w:sz w:val="24"/>
          <w:szCs w:val="24"/>
        </w:rPr>
        <w:t>玄武苏宁置业诺富特 苏宁消费金融 苏宁置业 苏宁电器集团 苏宁控股集团 南京鼎辰建筑设计 江苏银河物业 江苏苏宁广场商业管理 银河酒店管理公司 银河国际购物广场</w:t>
      </w:r>
    </w:p>
    <w:p>
      <w:pPr>
        <w:pStyle w:val="Style32"/>
        <w:keepNext w:val="0"/>
        <w:keepLines w:val="0"/>
        <w:widowControl w:val="0"/>
        <w:shd w:val="clear" w:color="auto" w:fill="auto"/>
        <w:bidi w:val="0"/>
        <w:spacing w:before="0" w:after="0" w:line="240" w:lineRule="auto"/>
        <w:ind w:left="0" w:right="0" w:firstLine="680"/>
        <w:jc w:val="left"/>
        <w:rPr>
          <w:sz w:val="24"/>
          <w:szCs w:val="24"/>
        </w:rPr>
      </w:pPr>
      <w:r>
        <w:rPr>
          <w:b/>
          <w:bCs/>
          <w:color w:val="000000"/>
          <w:spacing w:val="0"/>
          <w:w w:val="100"/>
          <w:position w:val="0"/>
          <w:sz w:val="24"/>
          <w:szCs w:val="24"/>
        </w:rPr>
        <w:t>财务报表附注</w:t>
      </w:r>
    </w:p>
    <w:p>
      <w:pPr>
        <w:pStyle w:val="Style88"/>
        <w:keepNext/>
        <w:keepLines/>
        <w:widowControl w:val="0"/>
        <w:shd w:val="clear" w:color="auto" w:fill="auto"/>
        <w:bidi w:val="0"/>
        <w:spacing w:before="0" w:after="0" w:line="240" w:lineRule="auto"/>
        <w:ind w:left="0" w:right="0" w:firstLine="680"/>
        <w:jc w:val="left"/>
      </w:pPr>
      <w:bookmarkStart w:id="1119" w:name="bookmark1119"/>
      <w:bookmarkStart w:id="1120" w:name="bookmark1120"/>
      <w:bookmarkStart w:id="1121" w:name="bookmark1121"/>
      <w:r>
        <w:rPr>
          <w:color w:val="000000"/>
          <w:spacing w:val="0"/>
          <w:w w:val="100"/>
          <w:position w:val="0"/>
          <w:sz w:val="24"/>
          <w:szCs w:val="24"/>
        </w:rPr>
        <w:t>2016</w:t>
      </w:r>
      <w:r>
        <w:rPr>
          <w:rFonts w:ascii="SimSun" w:eastAsia="SimSun" w:hAnsi="SimSun" w:cs="SimSun"/>
          <w:b/>
          <w:bCs/>
          <w:color w:val="000000"/>
          <w:spacing w:val="0"/>
          <w:w w:val="100"/>
          <w:position w:val="0"/>
          <w:sz w:val="24"/>
          <w:szCs w:val="24"/>
        </w:rPr>
        <w:t>年度</w:t>
      </w:r>
      <w:bookmarkEnd w:id="1119"/>
      <w:bookmarkEnd w:id="1120"/>
      <w:bookmarkEnd w:id="1121"/>
    </w:p>
    <w:p>
      <w:pPr>
        <w:pStyle w:val="Style32"/>
        <w:keepNext w:val="0"/>
        <w:keepLines w:val="0"/>
        <w:widowControl w:val="0"/>
        <w:shd w:val="clear" w:color="auto" w:fill="auto"/>
        <w:bidi w:val="0"/>
        <w:spacing w:before="0" w:after="260" w:line="240" w:lineRule="auto"/>
        <w:ind w:left="0" w:right="0" w:firstLine="680"/>
        <w:jc w:val="left"/>
        <w:rPr>
          <w:sz w:val="24"/>
          <w:szCs w:val="24"/>
        </w:rPr>
      </w:pPr>
      <w:r>
        <w:rPr>
          <w:rFonts w:ascii="Arial" w:eastAsia="Arial" w:hAnsi="Arial" w:cs="Arial"/>
          <w:color w:val="000000"/>
          <w:spacing w:val="0"/>
          <w:w w:val="100"/>
          <w:position w:val="0"/>
          <w:sz w:val="20"/>
          <w:szCs w:val="20"/>
        </w:rPr>
        <w:t>（</w:t>
      </w:r>
      <w:r>
        <w:rPr>
          <w:color w:val="000000"/>
          <w:spacing w:val="0"/>
          <w:w w:val="100"/>
          <w:position w:val="0"/>
          <w:sz w:val="20"/>
          <w:szCs w:val="20"/>
        </w:rPr>
        <w:t>除特别注明外，金额单位为人民币千元</w:t>
      </w:r>
      <w:r>
        <w:rPr>
          <w:color w:val="000000"/>
          <w:spacing w:val="0"/>
          <w:w w:val="100"/>
          <w:position w:val="0"/>
          <w:sz w:val="24"/>
          <w:szCs w:val="24"/>
        </w:rPr>
        <w:t>）</w:t>
      </w:r>
    </w:p>
    <w:p>
      <w:pPr>
        <w:pStyle w:val="Style32"/>
        <w:keepNext w:val="0"/>
        <w:keepLines w:val="0"/>
        <w:widowControl w:val="0"/>
        <w:shd w:val="clear" w:color="auto" w:fill="auto"/>
        <w:tabs>
          <w:tab w:pos="669" w:val="left"/>
        </w:tabs>
        <w:bidi w:val="0"/>
        <w:spacing w:before="0" w:after="260" w:line="240" w:lineRule="auto"/>
        <w:ind w:left="0" w:right="0" w:firstLine="0"/>
        <w:jc w:val="left"/>
        <w:rPr>
          <w:sz w:val="24"/>
          <w:szCs w:val="24"/>
        </w:rPr>
      </w:pPr>
      <w:r>
        <w:rPr>
          <w:b/>
          <w:bCs/>
          <w:color w:val="000000"/>
          <w:spacing w:val="0"/>
          <w:w w:val="100"/>
          <w:position w:val="0"/>
          <w:sz w:val="24"/>
          <w:szCs w:val="24"/>
        </w:rPr>
        <w:t>九</w:t>
        <w:tab/>
        <w:t>其他重大交易和事项</w:t>
      </w:r>
      <w:r>
        <w:rPr>
          <w:rFonts w:ascii="Times New Roman" w:eastAsia="Times New Roman" w:hAnsi="Times New Roman" w:cs="Times New Roman"/>
          <w:color w:val="000000"/>
          <w:spacing w:val="0"/>
          <w:w w:val="100"/>
          <w:position w:val="0"/>
          <w:sz w:val="24"/>
          <w:szCs w:val="24"/>
        </w:rPr>
        <w:t>-</w:t>
      </w:r>
      <w:r>
        <w:rPr>
          <w:b/>
          <w:bCs/>
          <w:color w:val="000000"/>
          <w:spacing w:val="0"/>
          <w:w w:val="100"/>
          <w:position w:val="0"/>
          <w:sz w:val="24"/>
          <w:szCs w:val="24"/>
        </w:rPr>
        <w:t>售后租回交易</w:t>
      </w:r>
    </w:p>
    <w:p>
      <w:pPr>
        <w:pStyle w:val="Style32"/>
        <w:keepNext w:val="0"/>
        <w:keepLines w:val="0"/>
        <w:widowControl w:val="0"/>
        <w:shd w:val="clear" w:color="auto" w:fill="auto"/>
        <w:bidi w:val="0"/>
        <w:spacing w:before="0" w:after="260" w:line="312" w:lineRule="exact"/>
        <w:ind w:left="680" w:right="0" w:firstLine="40"/>
        <w:jc w:val="both"/>
        <w:rPr>
          <w:sz w:val="24"/>
          <w:szCs w:val="24"/>
        </w:rPr>
      </w:pPr>
      <w:r>
        <w:rPr>
          <w:color w:val="000000"/>
          <w:spacing w:val="0"/>
          <w:w w:val="100"/>
          <w:position w:val="0"/>
          <w:sz w:val="24"/>
          <w:szCs w:val="24"/>
        </w:rPr>
        <w:t>于</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年度，本集团开展售后租回交易，将</w:t>
      </w:r>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4"/>
          <w:szCs w:val="24"/>
        </w:rPr>
        <w:t>家供应链仓储物业</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sz w:val="24"/>
          <w:szCs w:val="24"/>
        </w:rPr>
        <w:t>年度：</w:t>
      </w:r>
      <w:r>
        <w:rPr>
          <w:rFonts w:ascii="Times New Roman" w:eastAsia="Times New Roman" w:hAnsi="Times New Roman" w:cs="Times New Roman"/>
          <w:color w:val="000000"/>
          <w:spacing w:val="0"/>
          <w:w w:val="100"/>
          <w:position w:val="0"/>
          <w:sz w:val="24"/>
          <w:szCs w:val="24"/>
        </w:rPr>
        <w:t xml:space="preserve">11 </w:t>
      </w:r>
      <w:r>
        <w:rPr>
          <w:color w:val="000000"/>
          <w:spacing w:val="0"/>
          <w:w w:val="100"/>
          <w:position w:val="0"/>
          <w:sz w:val="24"/>
          <w:szCs w:val="24"/>
        </w:rPr>
        <w:t>家门店物业</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转让给中信金石基金管理有限公司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中信金石</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发起设立、并由苏宁金 石</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天津</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基金管理有限公司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苏宁金石基金</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基金管理人</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和其他专业机构提供 支持性服务的中信华夏苏宁云享资产支持专项计划</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资产支持专项计划</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，并后续 以稳定的市场租金和</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年租期的租约获得供应链仓储物业的长期使用权。该</w:t>
      </w:r>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4"/>
          <w:szCs w:val="24"/>
        </w:rPr>
        <w:t>家 供应链仓储物业的转让价格根据外部独立评估师的资产评估价值协商确定，该项 资产评估所采用的主要参数为市场租金、租金增长率、空置率及净运营收益及净 收益折现率等。后续租回的价格参照周边地区类似物业的市场租金确定，租金在 前六个租赁年度按照租赁合同规定逐年上浮，第七年至第十年的租金按届时市场 标准协商确定，但不低于首年租金。本公司认为该租赁合同条款不符合融资租赁 的判断标准，认定该售后租回交易为经营租赁，且该售后租回交易是按照公允价 值达成的。该售后租回交易确认营业外收入约人民币</w:t>
      </w:r>
      <w:r>
        <w:rPr>
          <w:rFonts w:ascii="Times New Roman" w:eastAsia="Times New Roman" w:hAnsi="Times New Roman" w:cs="Times New Roman"/>
          <w:color w:val="000000"/>
          <w:spacing w:val="0"/>
          <w:w w:val="100"/>
          <w:position w:val="0"/>
          <w:sz w:val="24"/>
          <w:szCs w:val="24"/>
        </w:rPr>
        <w:t>5.1</w:t>
      </w:r>
      <w:r>
        <w:rPr>
          <w:color w:val="000000"/>
          <w:spacing w:val="0"/>
          <w:w w:val="100"/>
          <w:position w:val="0"/>
          <w:sz w:val="24"/>
          <w:szCs w:val="24"/>
        </w:rPr>
        <w:t>亿元</w:t>
      </w:r>
      <w:r>
        <w:rPr>
          <w:color w:val="000000"/>
          <w:spacing w:val="0"/>
          <w:w w:val="100"/>
          <w:position w:val="0"/>
          <w:sz w:val="24"/>
          <w:szCs w:val="24"/>
        </w:rPr>
        <w:t>（</w:t>
      </w:r>
      <w:r>
        <w:rPr>
          <w:color w:val="000000"/>
          <w:spacing w:val="0"/>
          <w:w w:val="100"/>
          <w:position w:val="0"/>
          <w:sz w:val="24"/>
          <w:szCs w:val="24"/>
        </w:rPr>
        <w:t>附注四</w:t>
      </w:r>
      <w:r>
        <w:rPr>
          <w:rFonts w:ascii="Times New Roman" w:eastAsia="Times New Roman" w:hAnsi="Times New Roman" w:cs="Times New Roman"/>
          <w:color w:val="000000"/>
          <w:spacing w:val="0"/>
          <w:w w:val="100"/>
          <w:position w:val="0"/>
          <w:sz w:val="24"/>
          <w:szCs w:val="24"/>
        </w:rPr>
        <w:t>（53）（a））</w:t>
      </w:r>
      <w:r>
        <w:rPr>
          <w:color w:val="000000"/>
          <w:spacing w:val="0"/>
          <w:w w:val="100"/>
          <w:position w:val="0"/>
          <w:sz w:val="24"/>
          <w:szCs w:val="24"/>
        </w:rPr>
        <w:t xml:space="preserve">计入 </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年度非经常性损益中</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sz w:val="24"/>
          <w:szCs w:val="24"/>
        </w:rPr>
        <w:t>年度：约人民币</w:t>
      </w:r>
      <w:r>
        <w:rPr>
          <w:rFonts w:ascii="Times New Roman" w:eastAsia="Times New Roman" w:hAnsi="Times New Roman" w:cs="Times New Roman"/>
          <w:color w:val="000000"/>
          <w:spacing w:val="0"/>
          <w:w w:val="100"/>
          <w:position w:val="0"/>
          <w:sz w:val="24"/>
          <w:szCs w:val="24"/>
        </w:rPr>
        <w:t>13.88</w:t>
      </w:r>
      <w:r>
        <w:rPr>
          <w:color w:val="000000"/>
          <w:spacing w:val="0"/>
          <w:w w:val="100"/>
          <w:position w:val="0"/>
          <w:sz w:val="24"/>
          <w:szCs w:val="24"/>
        </w:rPr>
        <w:t>亿元</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。同时，本集团出资人 民币</w:t>
      </w:r>
      <w:r>
        <w:rPr>
          <w:rFonts w:ascii="Times New Roman" w:eastAsia="Times New Roman" w:hAnsi="Times New Roman" w:cs="Times New Roman"/>
          <w:color w:val="000000"/>
          <w:spacing w:val="0"/>
          <w:w w:val="100"/>
          <w:position w:val="0"/>
          <w:sz w:val="24"/>
          <w:szCs w:val="24"/>
        </w:rPr>
        <w:t>1.94</w:t>
      </w:r>
      <w:r>
        <w:rPr>
          <w:color w:val="000000"/>
          <w:spacing w:val="0"/>
          <w:w w:val="100"/>
          <w:position w:val="0"/>
          <w:sz w:val="24"/>
          <w:szCs w:val="24"/>
        </w:rPr>
        <w:t>亿元认购资产支持专项计划发行的权益级资产支持证券</w:t>
      </w:r>
      <w:r>
        <w:rPr>
          <w:rFonts w:ascii="Times New Roman" w:eastAsia="Times New Roman" w:hAnsi="Times New Roman" w:cs="Times New Roman"/>
          <w:color w:val="000000"/>
          <w:spacing w:val="0"/>
          <w:w w:val="100"/>
          <w:position w:val="0"/>
          <w:sz w:val="24"/>
          <w:szCs w:val="24"/>
        </w:rPr>
        <w:t>30%</w:t>
      </w:r>
      <w:r>
        <w:rPr>
          <w:color w:val="000000"/>
          <w:spacing w:val="0"/>
          <w:w w:val="100"/>
          <w:position w:val="0"/>
          <w:sz w:val="24"/>
          <w:szCs w:val="24"/>
        </w:rPr>
        <w:t>份额，账列 可供出售金融资产。</w:t>
      </w:r>
    </w:p>
    <w:p>
      <w:pPr>
        <w:pStyle w:val="Style32"/>
        <w:keepNext w:val="0"/>
        <w:keepLines w:val="0"/>
        <w:widowControl w:val="0"/>
        <w:shd w:val="clear" w:color="auto" w:fill="auto"/>
        <w:bidi w:val="0"/>
        <w:spacing w:before="0" w:after="260" w:line="314" w:lineRule="exact"/>
        <w:ind w:left="680" w:right="0" w:firstLine="40"/>
        <w:jc w:val="both"/>
        <w:rPr>
          <w:sz w:val="24"/>
          <w:szCs w:val="24"/>
        </w:rPr>
      </w:pPr>
      <w:r>
        <w:rPr>
          <w:color w:val="000000"/>
          <w:spacing w:val="0"/>
          <w:w w:val="100"/>
          <w:position w:val="0"/>
          <w:sz w:val="24"/>
          <w:szCs w:val="24"/>
        </w:rPr>
        <w:t>在</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年度开展的售后租回交易中，苏宁金石基金引入苏宁电器集团为资产支持 专项计划相关的金融产品提供增信。即，根据本集团、苏宁电器集团与苏宁金石 基金签订的《优先收购协议》，在私募投资基金对外出售供应链仓储物业的交易 价格总额低于物业评估总值时，苏宁电器集团应当相应补足款项。</w:t>
      </w:r>
    </w:p>
    <w:p>
      <w:pPr>
        <w:pStyle w:val="Style32"/>
        <w:keepNext w:val="0"/>
        <w:keepLines w:val="0"/>
        <w:widowControl w:val="0"/>
        <w:shd w:val="clear" w:color="auto" w:fill="auto"/>
        <w:tabs>
          <w:tab w:pos="669" w:val="left"/>
        </w:tabs>
        <w:bidi w:val="0"/>
        <w:spacing w:before="0" w:after="260" w:line="240" w:lineRule="auto"/>
        <w:ind w:left="0" w:right="0" w:firstLine="0"/>
        <w:jc w:val="left"/>
        <w:rPr>
          <w:sz w:val="24"/>
          <w:szCs w:val="24"/>
        </w:rPr>
      </w:pPr>
      <w:r>
        <w:rPr>
          <w:b/>
          <w:bCs/>
          <w:color w:val="000000"/>
          <w:spacing w:val="0"/>
          <w:w w:val="100"/>
          <w:position w:val="0"/>
          <w:sz w:val="24"/>
          <w:szCs w:val="24"/>
        </w:rPr>
        <w:t>十</w:t>
        <w:tab/>
        <w:t>或有事项</w:t>
      </w:r>
    </w:p>
    <w:p>
      <w:pPr>
        <w:pStyle w:val="Style32"/>
        <w:keepNext w:val="0"/>
        <w:keepLines w:val="0"/>
        <w:widowControl w:val="0"/>
        <w:shd w:val="clear" w:color="auto" w:fill="auto"/>
        <w:bidi w:val="0"/>
        <w:spacing w:before="0" w:after="260" w:line="312" w:lineRule="exact"/>
        <w:ind w:left="0" w:right="0" w:firstLine="680"/>
        <w:jc w:val="left"/>
        <w:rPr>
          <w:sz w:val="24"/>
          <w:szCs w:val="24"/>
        </w:rPr>
      </w:pPr>
      <w:r>
        <w:rPr>
          <w:color w:val="000000"/>
          <w:spacing w:val="0"/>
          <w:w w:val="100"/>
          <w:position w:val="0"/>
          <w:sz w:val="24"/>
          <w:szCs w:val="24"/>
        </w:rPr>
        <w:t>于</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日，本集团无重大或有事项。</w:t>
      </w:r>
    </w:p>
    <w:p>
      <w:pPr>
        <w:pStyle w:val="Style32"/>
        <w:keepNext w:val="0"/>
        <w:keepLines w:val="0"/>
        <w:widowControl w:val="0"/>
        <w:shd w:val="clear" w:color="auto" w:fill="auto"/>
        <w:bidi w:val="0"/>
        <w:spacing w:before="0" w:after="300" w:line="240" w:lineRule="auto"/>
        <w:ind w:left="0" w:right="0" w:firstLine="0"/>
        <w:jc w:val="left"/>
        <w:rPr>
          <w:sz w:val="24"/>
          <w:szCs w:val="24"/>
        </w:rPr>
      </w:pPr>
      <w:r>
        <w:rPr>
          <w:b/>
          <w:bCs/>
          <w:color w:val="000000"/>
          <w:spacing w:val="0"/>
          <w:w w:val="100"/>
          <w:position w:val="0"/>
          <w:sz w:val="24"/>
          <w:szCs w:val="24"/>
        </w:rPr>
        <w:t>十一承诺事项</w:t>
      </w:r>
    </w:p>
    <w:p>
      <w:pPr>
        <w:pStyle w:val="Style32"/>
        <w:keepNext w:val="0"/>
        <w:keepLines w:val="0"/>
        <w:widowControl w:val="0"/>
        <w:shd w:val="clear" w:color="auto" w:fill="auto"/>
        <w:tabs>
          <w:tab w:pos="669" w:val="left"/>
        </w:tabs>
        <w:bidi w:val="0"/>
        <w:spacing w:before="0" w:after="26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（1）</w:t>
        <w:tab/>
      </w:r>
      <w:r>
        <w:rPr>
          <w:b/>
          <w:bCs/>
          <w:color w:val="000000"/>
          <w:spacing w:val="0"/>
          <w:w w:val="100"/>
          <w:position w:val="0"/>
          <w:sz w:val="24"/>
          <w:szCs w:val="24"/>
        </w:rPr>
        <w:t>资本性支出承诺事项</w:t>
      </w:r>
    </w:p>
    <w:p>
      <w:pPr>
        <w:pStyle w:val="Style32"/>
        <w:keepNext w:val="0"/>
        <w:keepLines w:val="0"/>
        <w:widowControl w:val="0"/>
        <w:shd w:val="clear" w:color="auto" w:fill="auto"/>
        <w:bidi w:val="0"/>
        <w:spacing w:before="0" w:after="300" w:line="317" w:lineRule="exact"/>
        <w:ind w:left="680" w:right="0" w:firstLine="40"/>
        <w:jc w:val="both"/>
        <w:rPr>
          <w:sz w:val="24"/>
          <w:szCs w:val="24"/>
        </w:rPr>
      </w:pPr>
      <w:r>
        <w:rPr>
          <w:color w:val="000000"/>
          <w:spacing w:val="0"/>
          <w:w w:val="100"/>
          <w:position w:val="0"/>
          <w:sz w:val="24"/>
          <w:szCs w:val="24"/>
        </w:rPr>
        <w:t>以下为本集团于资产负债表日，已签约而尚不必在资产负债表上列示的资本性支出 承诺：</w:t>
      </w:r>
    </w:p>
    <w:p>
      <w:pPr>
        <w:pStyle w:val="Style53"/>
        <w:keepNext w:val="0"/>
        <w:keepLines w:val="0"/>
        <w:widowControl w:val="0"/>
        <w:shd w:val="clear" w:color="auto" w:fill="auto"/>
        <w:tabs>
          <w:tab w:pos="3103" w:val="left"/>
        </w:tabs>
        <w:bidi w:val="0"/>
        <w:spacing w:before="0" w:after="260" w:line="271" w:lineRule="auto"/>
        <w:ind w:left="0" w:right="0" w:firstLine="0"/>
        <w:jc w:val="right"/>
        <w:rPr>
          <w:sz w:val="24"/>
          <w:szCs w:val="24"/>
        </w:rPr>
      </w:pPr>
      <w:r>
        <w:rPr>
          <w:color w:val="000000"/>
          <w:spacing w:val="0"/>
          <w:w w:val="100"/>
          <w:position w:val="0"/>
          <w:sz w:val="24"/>
          <w:szCs w:val="24"/>
        </w:rPr>
        <w:t>2016</w:t>
      </w:r>
      <w:r>
        <w:rPr>
          <w:rFonts w:ascii="SimSun" w:eastAsia="SimSun" w:hAnsi="SimSun" w:cs="SimSun"/>
          <w:color w:val="000000"/>
          <w:spacing w:val="0"/>
          <w:w w:val="100"/>
          <w:position w:val="0"/>
          <w:sz w:val="24"/>
          <w:szCs w:val="24"/>
        </w:rPr>
        <w:t>年</w:t>
      </w:r>
      <w:r>
        <w:rPr>
          <w:color w:val="000000"/>
          <w:spacing w:val="0"/>
          <w:w w:val="100"/>
          <w:position w:val="0"/>
          <w:sz w:val="24"/>
          <w:szCs w:val="24"/>
        </w:rPr>
        <w:t>12</w:t>
      </w:r>
      <w:r>
        <w:rPr>
          <w:rFonts w:ascii="SimSun" w:eastAsia="SimSun" w:hAnsi="SimSun" w:cs="SimSun"/>
          <w:color w:val="000000"/>
          <w:spacing w:val="0"/>
          <w:w w:val="100"/>
          <w:position w:val="0"/>
          <w:sz w:val="24"/>
          <w:szCs w:val="24"/>
        </w:rPr>
        <w:t>月</w:t>
      </w:r>
      <w:r>
        <w:rPr>
          <w:color w:val="000000"/>
          <w:spacing w:val="0"/>
          <w:w w:val="100"/>
          <w:position w:val="0"/>
          <w:sz w:val="24"/>
          <w:szCs w:val="24"/>
        </w:rPr>
        <w:t>31</w:t>
      </w:r>
      <w:r>
        <w:rPr>
          <w:rFonts w:ascii="SimSun" w:eastAsia="SimSun" w:hAnsi="SimSun" w:cs="SimSun"/>
          <w:color w:val="000000"/>
          <w:spacing w:val="0"/>
          <w:w w:val="100"/>
          <w:position w:val="0"/>
          <w:sz w:val="24"/>
          <w:szCs w:val="24"/>
        </w:rPr>
        <w:t>日</w:t>
        <w:tab/>
      </w:r>
      <w:r>
        <w:rPr>
          <w:color w:val="000000"/>
          <w:spacing w:val="0"/>
          <w:w w:val="100"/>
          <w:position w:val="0"/>
          <w:sz w:val="24"/>
          <w:szCs w:val="24"/>
        </w:rPr>
        <w:t>2015</w:t>
      </w:r>
      <w:r>
        <w:rPr>
          <w:rFonts w:ascii="SimSun" w:eastAsia="SimSun" w:hAnsi="SimSun" w:cs="SimSun"/>
          <w:color w:val="000000"/>
          <w:spacing w:val="0"/>
          <w:w w:val="100"/>
          <w:position w:val="0"/>
          <w:sz w:val="24"/>
          <w:szCs w:val="24"/>
        </w:rPr>
        <w:t>年</w:t>
      </w:r>
      <w:r>
        <w:rPr>
          <w:color w:val="000000"/>
          <w:spacing w:val="0"/>
          <w:w w:val="100"/>
          <w:position w:val="0"/>
          <w:sz w:val="24"/>
          <w:szCs w:val="24"/>
        </w:rPr>
        <w:t>12</w:t>
      </w:r>
      <w:r>
        <w:rPr>
          <w:rFonts w:ascii="SimSun" w:eastAsia="SimSun" w:hAnsi="SimSun" w:cs="SimSun"/>
          <w:color w:val="000000"/>
          <w:spacing w:val="0"/>
          <w:w w:val="100"/>
          <w:position w:val="0"/>
          <w:sz w:val="24"/>
          <w:szCs w:val="24"/>
        </w:rPr>
        <w:t>月</w:t>
      </w:r>
      <w:r>
        <w:rPr>
          <w:color w:val="000000"/>
          <w:spacing w:val="0"/>
          <w:w w:val="100"/>
          <w:position w:val="0"/>
          <w:sz w:val="24"/>
          <w:szCs w:val="24"/>
        </w:rPr>
        <w:t>31</w:t>
      </w:r>
      <w:r>
        <w:rPr>
          <w:rFonts w:ascii="SimSun" w:eastAsia="SimSun" w:hAnsi="SimSun" w:cs="SimSun"/>
          <w:color w:val="000000"/>
          <w:spacing w:val="0"/>
          <w:w w:val="100"/>
          <w:position w:val="0"/>
          <w:sz w:val="24"/>
          <w:szCs w:val="24"/>
        </w:rPr>
        <w:t>日</w:t>
      </w:r>
    </w:p>
    <w:p>
      <w:pPr>
        <w:pStyle w:val="Style53"/>
        <w:keepNext w:val="0"/>
        <w:keepLines w:val="0"/>
        <w:widowControl w:val="0"/>
        <w:shd w:val="clear" w:color="auto" w:fill="auto"/>
        <w:tabs>
          <w:tab w:pos="5235" w:val="left"/>
          <w:tab w:pos="8430" w:val="left"/>
        </w:tabs>
        <w:bidi w:val="0"/>
        <w:spacing w:before="0" w:after="0" w:line="312" w:lineRule="exact"/>
        <w:ind w:left="0" w:right="0" w:firstLine="680"/>
        <w:jc w:val="both"/>
        <w:rPr>
          <w:sz w:val="24"/>
          <w:szCs w:val="24"/>
        </w:rPr>
      </w:pPr>
      <w:r>
        <w:rPr>
          <w:rFonts w:ascii="SimSun" w:eastAsia="SimSun" w:hAnsi="SimSun" w:cs="SimSun"/>
          <w:color w:val="000000"/>
          <w:spacing w:val="0"/>
          <w:w w:val="100"/>
          <w:position w:val="0"/>
          <w:sz w:val="24"/>
          <w:szCs w:val="24"/>
        </w:rPr>
        <w:t>房屋、建筑物及机器设备</w:t>
        <w:tab/>
      </w:r>
      <w:r>
        <w:rPr>
          <w:color w:val="000000"/>
          <w:spacing w:val="0"/>
          <w:w w:val="100"/>
          <w:position w:val="0"/>
          <w:sz w:val="24"/>
          <w:szCs w:val="24"/>
        </w:rPr>
        <w:t>1,993,948</w:t>
        <w:tab/>
        <w:t>2,336,887</w:t>
      </w:r>
    </w:p>
    <w:p>
      <w:pPr>
        <w:pStyle w:val="Style32"/>
        <w:keepNext w:val="0"/>
        <w:keepLines w:val="0"/>
        <w:widowControl w:val="0"/>
        <w:shd w:val="clear" w:color="auto" w:fill="auto"/>
        <w:tabs>
          <w:tab w:pos="3574" w:val="left"/>
          <w:tab w:leader="underscore" w:pos="6109" w:val="left"/>
          <w:tab w:leader="underscore" w:pos="8430" w:val="left"/>
        </w:tabs>
        <w:bidi w:val="0"/>
        <w:spacing w:before="0" w:after="0" w:line="240" w:lineRule="auto"/>
        <w:ind w:left="0" w:right="0" w:firstLine="680"/>
        <w:jc w:val="both"/>
        <w:rPr>
          <w:sz w:val="24"/>
          <w:szCs w:val="24"/>
        </w:rPr>
      </w:pPr>
      <w:r>
        <w:rPr>
          <w:color w:val="000000"/>
          <w:spacing w:val="0"/>
          <w:w w:val="100"/>
          <w:position w:val="0"/>
          <w:sz w:val="24"/>
          <w:szCs w:val="24"/>
        </w:rPr>
        <w:t>无形资产</w:t>
        <w:tab/>
        <w:tab/>
        <w:t xml:space="preserve">二 </w:t>
        <w:tab/>
      </w:r>
      <w:r>
        <w:rPr>
          <w:rFonts w:ascii="Times New Roman" w:eastAsia="Times New Roman" w:hAnsi="Times New Roman" w:cs="Times New Roman"/>
          <w:color w:val="000000"/>
          <w:spacing w:val="0"/>
          <w:w w:val="100"/>
          <w:position w:val="0"/>
          <w:sz w:val="24"/>
          <w:szCs w:val="24"/>
          <w:u w:val="single"/>
        </w:rPr>
        <w:t>390,625</w:t>
      </w:r>
    </w:p>
    <w:p>
      <w:pPr>
        <w:pStyle w:val="Style53"/>
        <w:keepNext w:val="0"/>
        <w:keepLines w:val="0"/>
        <w:widowControl w:val="0"/>
        <w:shd w:val="clear" w:color="auto" w:fill="auto"/>
        <w:tabs>
          <w:tab w:pos="3103" w:val="left"/>
        </w:tabs>
        <w:bidi w:val="0"/>
        <w:spacing w:before="0" w:after="260" w:line="240" w:lineRule="auto"/>
        <w:ind w:left="0" w:right="0" w:firstLine="0"/>
        <w:jc w:val="right"/>
        <w:rPr>
          <w:sz w:val="24"/>
          <w:szCs w:val="24"/>
        </w:rPr>
      </w:pPr>
      <w:r>
        <w:rPr>
          <w:color w:val="000000"/>
          <w:spacing w:val="0"/>
          <w:w w:val="100"/>
          <w:position w:val="0"/>
          <w:sz w:val="24"/>
          <w:szCs w:val="24"/>
        </w:rPr>
        <w:t>1,993,94</w:t>
      </w:r>
      <w:r>
        <w:rPr>
          <w:rFonts w:ascii="SimSun" w:eastAsia="SimSun" w:hAnsi="SimSun" w:cs="SimSun"/>
          <w:b/>
          <w:bCs/>
          <w:color w:val="000000"/>
          <w:spacing w:val="0"/>
          <w:w w:val="100"/>
          <w:position w:val="0"/>
          <w:sz w:val="24"/>
          <w:szCs w:val="24"/>
        </w:rPr>
        <w:t>厂</w:t>
        <w:tab/>
      </w:r>
      <w:r>
        <w:rPr>
          <w:color w:val="000000"/>
          <w:spacing w:val="0"/>
          <w:w w:val="100"/>
          <w:position w:val="0"/>
          <w:sz w:val="24"/>
          <w:szCs w:val="24"/>
        </w:rPr>
        <w:t>2,727,5</w:t>
      </w:r>
      <w:r>
        <w:rPr>
          <w:rFonts w:ascii="SimSun" w:eastAsia="SimSun" w:hAnsi="SimSun" w:cs="SimSun"/>
          <w:b/>
          <w:bCs/>
          <w:color w:val="000000"/>
          <w:spacing w:val="0"/>
          <w:w w:val="100"/>
          <w:position w:val="0"/>
          <w:sz w:val="24"/>
          <w:szCs w:val="24"/>
        </w:rPr>
        <w:t>任</w:t>
      </w:r>
      <w:r>
        <w:br w:type="page"/>
      </w:r>
    </w:p>
    <w:p>
      <w:pPr>
        <w:pStyle w:val="Style32"/>
        <w:keepNext w:val="0"/>
        <w:keepLines w:val="0"/>
        <w:widowControl w:val="0"/>
        <w:shd w:val="clear" w:color="auto" w:fill="auto"/>
        <w:bidi w:val="0"/>
        <w:spacing w:before="0" w:after="0" w:line="240" w:lineRule="auto"/>
        <w:ind w:left="0" w:right="0" w:firstLine="680"/>
        <w:jc w:val="both"/>
        <w:rPr>
          <w:sz w:val="24"/>
          <w:szCs w:val="24"/>
        </w:rPr>
      </w:pPr>
      <w:r>
        <w:rPr>
          <w:b/>
          <w:bCs/>
          <w:color w:val="000000"/>
          <w:spacing w:val="0"/>
          <w:w w:val="100"/>
          <w:position w:val="0"/>
          <w:sz w:val="24"/>
          <w:szCs w:val="24"/>
        </w:rPr>
        <w:t>财务报表附注</w:t>
      </w:r>
    </w:p>
    <w:p>
      <w:pPr>
        <w:pStyle w:val="Style88"/>
        <w:keepNext/>
        <w:keepLines/>
        <w:widowControl w:val="0"/>
        <w:shd w:val="clear" w:color="auto" w:fill="auto"/>
        <w:bidi w:val="0"/>
        <w:spacing w:before="0" w:after="0" w:line="240" w:lineRule="auto"/>
        <w:ind w:left="0" w:right="0" w:firstLine="680"/>
        <w:jc w:val="both"/>
      </w:pPr>
      <w:bookmarkStart w:id="1122" w:name="bookmark1122"/>
      <w:bookmarkStart w:id="1123" w:name="bookmark1123"/>
      <w:bookmarkStart w:id="1124" w:name="bookmark1124"/>
      <w:r>
        <w:rPr>
          <w:color w:val="000000"/>
          <w:spacing w:val="0"/>
          <w:w w:val="100"/>
          <w:position w:val="0"/>
          <w:sz w:val="24"/>
          <w:szCs w:val="24"/>
        </w:rPr>
        <w:t>2016</w:t>
      </w:r>
      <w:r>
        <w:rPr>
          <w:rFonts w:ascii="SimSun" w:eastAsia="SimSun" w:hAnsi="SimSun" w:cs="SimSun"/>
          <w:b/>
          <w:bCs/>
          <w:color w:val="000000"/>
          <w:spacing w:val="0"/>
          <w:w w:val="100"/>
          <w:position w:val="0"/>
          <w:sz w:val="24"/>
          <w:szCs w:val="24"/>
        </w:rPr>
        <w:t>年度</w:t>
      </w:r>
      <w:bookmarkEnd w:id="1122"/>
      <w:bookmarkEnd w:id="1123"/>
      <w:bookmarkEnd w:id="1124"/>
    </w:p>
    <w:p>
      <w:pPr>
        <w:pStyle w:val="Style32"/>
        <w:keepNext w:val="0"/>
        <w:keepLines w:val="0"/>
        <w:widowControl w:val="0"/>
        <w:shd w:val="clear" w:color="auto" w:fill="auto"/>
        <w:bidi w:val="0"/>
        <w:spacing w:before="0" w:after="240" w:line="240" w:lineRule="auto"/>
        <w:ind w:left="0" w:right="0" w:firstLine="680"/>
        <w:jc w:val="both"/>
        <w:rPr>
          <w:sz w:val="24"/>
          <w:szCs w:val="24"/>
        </w:rPr>
      </w:pPr>
      <w:r>
        <w:rPr>
          <w:rFonts w:ascii="Arial" w:eastAsia="Arial" w:hAnsi="Arial" w:cs="Arial"/>
          <w:color w:val="000000"/>
          <w:spacing w:val="0"/>
          <w:w w:val="100"/>
          <w:position w:val="0"/>
          <w:sz w:val="20"/>
          <w:szCs w:val="20"/>
        </w:rPr>
        <w:t>（</w:t>
      </w:r>
      <w:r>
        <w:rPr>
          <w:color w:val="000000"/>
          <w:spacing w:val="0"/>
          <w:w w:val="100"/>
          <w:position w:val="0"/>
          <w:sz w:val="20"/>
          <w:szCs w:val="20"/>
        </w:rPr>
        <w:t>除特别注明外，金额单位为人民币千元</w:t>
      </w:r>
      <w:r>
        <w:rPr>
          <w:color w:val="000000"/>
          <w:spacing w:val="0"/>
          <w:w w:val="100"/>
          <w:position w:val="0"/>
          <w:sz w:val="24"/>
          <w:szCs w:val="24"/>
        </w:rPr>
        <w:t>）</w:t>
      </w:r>
    </w:p>
    <w:p>
      <w:pPr>
        <w:pStyle w:val="Style32"/>
        <w:keepNext w:val="0"/>
        <w:keepLines w:val="0"/>
        <w:widowControl w:val="0"/>
        <w:shd w:val="clear" w:color="auto" w:fill="auto"/>
        <w:bidi w:val="0"/>
        <w:spacing w:before="0" w:after="300" w:line="240" w:lineRule="auto"/>
        <w:ind w:left="0" w:right="0" w:firstLine="0"/>
        <w:jc w:val="both"/>
        <w:rPr>
          <w:sz w:val="24"/>
          <w:szCs w:val="24"/>
        </w:rPr>
      </w:pPr>
      <w:r>
        <mc:AlternateContent>
          <mc:Choice Requires="wps">
            <w:drawing>
              <wp:anchor distT="0" distB="0" distL="88900" distR="88900" simplePos="0" relativeHeight="125829478" behindDoc="0" locked="0" layoutInCell="1" allowOverlap="1">
                <wp:simplePos x="0" y="0"/>
                <wp:positionH relativeFrom="page">
                  <wp:posOffset>1094105</wp:posOffset>
                </wp:positionH>
                <wp:positionV relativeFrom="paragraph">
                  <wp:posOffset>12700</wp:posOffset>
                </wp:positionV>
                <wp:extent cx="328930" cy="570230"/>
                <wp:wrapSquare wrapText="bothSides"/>
                <wp:docPr id="510" name="Shape 510"/>
                <a:graphic xmlns:a="http://schemas.openxmlformats.org/drawingml/2006/main">
                  <a:graphicData uri="http://schemas.microsoft.com/office/word/2010/wordprocessingShape">
                    <wps:wsp>
                      <wps:cNvSpPr txBox="1"/>
                      <wps:spPr>
                        <a:xfrm>
                          <a:ext cx="328930" cy="570230"/>
                        </a:xfrm>
                        <a:prstGeom prst="rect"/>
                        <a:noFill/>
                      </wps:spPr>
                      <wps:txbx>
                        <w:txbxContent>
                          <w:p>
                            <w:pPr>
                              <w:pStyle w:val="Style32"/>
                              <w:keepNext w:val="0"/>
                              <w:keepLines w:val="0"/>
                              <w:widowControl w:val="0"/>
                              <w:shd w:val="clear" w:color="auto" w:fill="auto"/>
                              <w:bidi w:val="0"/>
                              <w:spacing w:before="0" w:after="320" w:line="240" w:lineRule="auto"/>
                              <w:ind w:left="0" w:right="0" w:firstLine="0"/>
                              <w:jc w:val="left"/>
                              <w:rPr>
                                <w:sz w:val="24"/>
                                <w:szCs w:val="24"/>
                              </w:rPr>
                            </w:pPr>
                            <w:r>
                              <w:rPr>
                                <w:b/>
                                <w:bCs/>
                                <w:color w:val="000000"/>
                                <w:spacing w:val="0"/>
                                <w:w w:val="100"/>
                                <w:position w:val="0"/>
                                <w:sz w:val="24"/>
                                <w:szCs w:val="24"/>
                              </w:rPr>
                              <w:t>十一</w:t>
                            </w:r>
                          </w:p>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⑵</w:t>
                            </w:r>
                          </w:p>
                        </w:txbxContent>
                      </wps:txbx>
                      <wps:bodyPr lIns="0" tIns="0" rIns="0" bIns="0">
                        <a:noAutoFit/>
                      </wps:bodyPr>
                    </wps:wsp>
                  </a:graphicData>
                </a:graphic>
              </wp:anchor>
            </w:drawing>
          </mc:Choice>
          <mc:Fallback>
            <w:pict>
              <v:shape id="_x0000_s1536" type="#_x0000_t202" style="position:absolute;margin-left:86.150000000000006pt;margin-top:1.pt;width:25.900000000000002pt;height:44.899999999999999pt;z-index:-125829275;mso-wrap-distance-left:7.pt;mso-wrap-distance-right:7.pt;mso-position-horizontal-relative:page" filled="f" stroked="f">
                <v:textbox inset="0,0,0,0">
                  <w:txbxContent>
                    <w:p>
                      <w:pPr>
                        <w:pStyle w:val="Style32"/>
                        <w:keepNext w:val="0"/>
                        <w:keepLines w:val="0"/>
                        <w:widowControl w:val="0"/>
                        <w:shd w:val="clear" w:color="auto" w:fill="auto"/>
                        <w:bidi w:val="0"/>
                        <w:spacing w:before="0" w:after="320" w:line="240" w:lineRule="auto"/>
                        <w:ind w:left="0" w:right="0" w:firstLine="0"/>
                        <w:jc w:val="left"/>
                        <w:rPr>
                          <w:sz w:val="24"/>
                          <w:szCs w:val="24"/>
                        </w:rPr>
                      </w:pPr>
                      <w:r>
                        <w:rPr>
                          <w:b/>
                          <w:bCs/>
                          <w:color w:val="000000"/>
                          <w:spacing w:val="0"/>
                          <w:w w:val="100"/>
                          <w:position w:val="0"/>
                          <w:sz w:val="24"/>
                          <w:szCs w:val="24"/>
                        </w:rPr>
                        <w:t>十一</w:t>
                      </w:r>
                    </w:p>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⑵</w:t>
                      </w:r>
                    </w:p>
                  </w:txbxContent>
                </v:textbox>
                <w10:wrap type="square" anchorx="page"/>
              </v:shape>
            </w:pict>
          </mc:Fallback>
        </mc:AlternateContent>
      </w:r>
      <w:r>
        <w:rPr>
          <w:b/>
          <w:bCs/>
          <w:color w:val="000000"/>
          <w:spacing w:val="0"/>
          <w:w w:val="100"/>
          <w:position w:val="0"/>
          <w:sz w:val="24"/>
          <w:szCs w:val="24"/>
        </w:rPr>
        <w:t>承诺事项</w:t>
      </w:r>
      <w:r>
        <w:rPr>
          <w:rFonts w:ascii="Times New Roman" w:eastAsia="Times New Roman" w:hAnsi="Times New Roman" w:cs="Times New Roman"/>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4"/>
          <w:szCs w:val="24"/>
        </w:rPr>
        <w:t>）</w:t>
      </w:r>
    </w:p>
    <w:p>
      <w:pPr>
        <w:pStyle w:val="Style32"/>
        <w:keepNext w:val="0"/>
        <w:keepLines w:val="0"/>
        <w:widowControl w:val="0"/>
        <w:shd w:val="clear" w:color="auto" w:fill="auto"/>
        <w:bidi w:val="0"/>
        <w:spacing w:before="0" w:after="300" w:line="240" w:lineRule="auto"/>
        <w:ind w:left="0" w:right="0" w:firstLine="0"/>
        <w:jc w:val="both"/>
        <w:rPr>
          <w:sz w:val="24"/>
          <w:szCs w:val="24"/>
        </w:rPr>
      </w:pPr>
      <w:r>
        <w:rPr>
          <w:b/>
          <w:bCs/>
          <w:color w:val="000000"/>
          <w:spacing w:val="0"/>
          <w:w w:val="100"/>
          <w:position w:val="0"/>
          <w:sz w:val="24"/>
          <w:szCs w:val="24"/>
        </w:rPr>
        <w:t>经营租赁承诺事项</w:t>
      </w:r>
    </w:p>
    <w:p>
      <w:pPr>
        <w:pStyle w:val="Style32"/>
        <w:keepNext w:val="0"/>
        <w:keepLines w:val="0"/>
        <w:widowControl w:val="0"/>
        <w:shd w:val="clear" w:color="auto" w:fill="auto"/>
        <w:bidi w:val="0"/>
        <w:spacing w:before="0" w:after="300" w:line="240" w:lineRule="auto"/>
        <w:ind w:left="0" w:right="0" w:firstLine="680"/>
        <w:jc w:val="both"/>
        <w:rPr>
          <w:sz w:val="24"/>
          <w:szCs w:val="24"/>
        </w:rPr>
      </w:pPr>
      <w:r>
        <w:rPr>
          <w:color w:val="000000"/>
          <w:spacing w:val="0"/>
          <w:w w:val="100"/>
          <w:position w:val="0"/>
          <w:sz w:val="24"/>
          <w:szCs w:val="24"/>
        </w:rPr>
        <w:t>根据已签订的经营性租赁合同，本集团未来最低应支付租金汇总如下:</w:t>
      </w:r>
    </w:p>
    <w:tbl>
      <w:tblPr>
        <w:tblOverlap w:val="never"/>
        <w:jc w:val="left"/>
        <w:tblLayout w:type="fixed"/>
      </w:tblPr>
      <w:tblGrid>
        <w:gridCol w:w="2779"/>
        <w:gridCol w:w="3365"/>
        <w:gridCol w:w="2640"/>
      </w:tblGrid>
      <w:tr>
        <w:trPr>
          <w:trHeight w:val="442" w:hRule="exact"/>
        </w:trPr>
        <w:tc>
          <w:tcPr>
            <w:tcBorders/>
            <w:shd w:val="clear" w:color="auto" w:fill="FFFFFF"/>
            <w:vAlign w:val="top"/>
          </w:tcPr>
          <w:p>
            <w:pPr>
              <w:framePr w:w="8784" w:h="2702" w:hSpace="710" w:vSpace="43" w:wrap="notBeside" w:vAnchor="text" w:hAnchor="text" w:x="711" w:y="1"/>
              <w:widowControl w:val="0"/>
              <w:rPr>
                <w:sz w:val="10"/>
                <w:szCs w:val="10"/>
              </w:rPr>
            </w:pPr>
          </w:p>
        </w:tc>
        <w:tc>
          <w:tcPr>
            <w:tcBorders/>
            <w:shd w:val="clear" w:color="auto" w:fill="FFFFFF"/>
            <w:vAlign w:val="top"/>
          </w:tcPr>
          <w:p>
            <w:pPr>
              <w:pStyle w:val="Style28"/>
              <w:keepNext w:val="0"/>
              <w:keepLines w:val="0"/>
              <w:framePr w:w="8784" w:h="2702" w:hSpace="710" w:vSpace="43" w:wrap="notBeside" w:vAnchor="text" w:hAnchor="text" w:x="711" w:y="1"/>
              <w:widowControl w:val="0"/>
              <w:shd w:val="clear" w:color="auto" w:fill="auto"/>
              <w:bidi w:val="0"/>
              <w:spacing w:before="0" w:after="0" w:line="240" w:lineRule="auto"/>
              <w:ind w:left="0" w:right="0" w:firstLine="840"/>
              <w:jc w:val="left"/>
              <w:rPr>
                <w:sz w:val="24"/>
                <w:szCs w:val="24"/>
              </w:rPr>
            </w:pP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w:t>
            </w:r>
          </w:p>
        </w:tc>
        <w:tc>
          <w:tcPr>
            <w:tcBorders/>
            <w:shd w:val="clear" w:color="auto" w:fill="FFFFFF"/>
            <w:vAlign w:val="top"/>
          </w:tcPr>
          <w:p>
            <w:pPr>
              <w:pStyle w:val="Style28"/>
              <w:keepNext w:val="0"/>
              <w:keepLines w:val="0"/>
              <w:framePr w:w="8784" w:h="2702" w:hSpace="710" w:vSpace="43" w:wrap="notBeside" w:vAnchor="text" w:hAnchor="text" w:x="711" w:y="1"/>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2015</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w:t>
            </w:r>
          </w:p>
        </w:tc>
      </w:tr>
      <w:tr>
        <w:trPr>
          <w:trHeight w:val="451" w:hRule="exact"/>
        </w:trPr>
        <w:tc>
          <w:tcPr>
            <w:tcBorders/>
            <w:shd w:val="clear" w:color="auto" w:fill="FFFFFF"/>
            <w:vAlign w:val="bottom"/>
          </w:tcPr>
          <w:p>
            <w:pPr>
              <w:pStyle w:val="Style28"/>
              <w:keepNext w:val="0"/>
              <w:keepLines w:val="0"/>
              <w:framePr w:w="8784" w:h="2702" w:hSpace="710" w:vSpace="43" w:wrap="notBeside" w:vAnchor="text" w:hAnchor="text" w:x="711" w:y="1"/>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一年以内</w:t>
            </w:r>
          </w:p>
        </w:tc>
        <w:tc>
          <w:tcPr>
            <w:tcBorders/>
            <w:shd w:val="clear" w:color="auto" w:fill="FFFFFF"/>
            <w:vAlign w:val="bottom"/>
          </w:tcPr>
          <w:p>
            <w:pPr>
              <w:pStyle w:val="Style28"/>
              <w:keepNext w:val="0"/>
              <w:keepLines w:val="0"/>
              <w:framePr w:w="8784" w:h="2702" w:hSpace="710" w:vSpace="43" w:wrap="notBeside" w:vAnchor="text" w:hAnchor="text" w:x="711" w:y="1"/>
              <w:widowControl w:val="0"/>
              <w:shd w:val="clear" w:color="auto" w:fill="auto"/>
              <w:bidi w:val="0"/>
              <w:spacing w:before="0" w:after="0" w:line="240" w:lineRule="auto"/>
              <w:ind w:left="1780" w:right="0" w:firstLine="0"/>
              <w:jc w:val="left"/>
              <w:rPr>
                <w:sz w:val="24"/>
                <w:szCs w:val="24"/>
              </w:rPr>
            </w:pPr>
            <w:r>
              <w:rPr>
                <w:rFonts w:ascii="Times New Roman" w:eastAsia="Times New Roman" w:hAnsi="Times New Roman" w:cs="Times New Roman"/>
                <w:color w:val="000000"/>
                <w:spacing w:val="0"/>
                <w:w w:val="100"/>
                <w:position w:val="0"/>
                <w:sz w:val="24"/>
                <w:szCs w:val="24"/>
              </w:rPr>
              <w:t>5,801,998</w:t>
            </w:r>
          </w:p>
        </w:tc>
        <w:tc>
          <w:tcPr>
            <w:tcBorders/>
            <w:shd w:val="clear" w:color="auto" w:fill="FFFFFF"/>
            <w:vAlign w:val="bottom"/>
          </w:tcPr>
          <w:p>
            <w:pPr>
              <w:pStyle w:val="Style28"/>
              <w:keepNext w:val="0"/>
              <w:keepLines w:val="0"/>
              <w:framePr w:w="8784" w:h="2702" w:hSpace="710" w:vSpace="43" w:wrap="notBeside" w:vAnchor="text" w:hAnchor="text" w:x="711" w:y="1"/>
              <w:widowControl w:val="0"/>
              <w:shd w:val="clear" w:color="auto" w:fill="auto"/>
              <w:bidi w:val="0"/>
              <w:spacing w:before="0" w:after="0" w:line="240" w:lineRule="auto"/>
              <w:ind w:left="1540" w:right="0" w:firstLine="0"/>
              <w:jc w:val="both"/>
              <w:rPr>
                <w:sz w:val="24"/>
                <w:szCs w:val="24"/>
              </w:rPr>
            </w:pPr>
            <w:r>
              <w:rPr>
                <w:rFonts w:ascii="Times New Roman" w:eastAsia="Times New Roman" w:hAnsi="Times New Roman" w:cs="Times New Roman"/>
                <w:color w:val="000000"/>
                <w:spacing w:val="0"/>
                <w:w w:val="100"/>
                <w:position w:val="0"/>
                <w:sz w:val="24"/>
                <w:szCs w:val="24"/>
              </w:rPr>
              <w:t>5,661,113</w:t>
            </w:r>
          </w:p>
        </w:tc>
      </w:tr>
      <w:tr>
        <w:trPr>
          <w:trHeight w:val="317" w:hRule="exact"/>
        </w:trPr>
        <w:tc>
          <w:tcPr>
            <w:tcBorders/>
            <w:shd w:val="clear" w:color="auto" w:fill="FFFFFF"/>
            <w:vAlign w:val="bottom"/>
          </w:tcPr>
          <w:p>
            <w:pPr>
              <w:pStyle w:val="Style28"/>
              <w:keepNext w:val="0"/>
              <w:keepLines w:val="0"/>
              <w:framePr w:w="8784" w:h="2702" w:hSpace="710" w:vSpace="43" w:wrap="notBeside" w:vAnchor="text" w:hAnchor="text" w:x="711" w:y="1"/>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一到二年</w:t>
            </w:r>
          </w:p>
        </w:tc>
        <w:tc>
          <w:tcPr>
            <w:tcBorders/>
            <w:shd w:val="clear" w:color="auto" w:fill="FFFFFF"/>
            <w:vAlign w:val="bottom"/>
          </w:tcPr>
          <w:p>
            <w:pPr>
              <w:pStyle w:val="Style28"/>
              <w:keepNext w:val="0"/>
              <w:keepLines w:val="0"/>
              <w:framePr w:w="8784" w:h="2702" w:hSpace="710" w:vSpace="43" w:wrap="notBeside" w:vAnchor="text" w:hAnchor="text" w:x="711" w:y="1"/>
              <w:widowControl w:val="0"/>
              <w:shd w:val="clear" w:color="auto" w:fill="auto"/>
              <w:bidi w:val="0"/>
              <w:spacing w:before="0" w:after="0" w:line="240" w:lineRule="auto"/>
              <w:ind w:left="1780" w:right="0" w:firstLine="0"/>
              <w:jc w:val="left"/>
              <w:rPr>
                <w:sz w:val="24"/>
                <w:szCs w:val="24"/>
              </w:rPr>
            </w:pPr>
            <w:r>
              <w:rPr>
                <w:rFonts w:ascii="Times New Roman" w:eastAsia="Times New Roman" w:hAnsi="Times New Roman" w:cs="Times New Roman"/>
                <w:color w:val="000000"/>
                <w:spacing w:val="0"/>
                <w:w w:val="100"/>
                <w:position w:val="0"/>
                <w:sz w:val="24"/>
                <w:szCs w:val="24"/>
              </w:rPr>
              <w:t>5,224,150</w:t>
            </w:r>
          </w:p>
        </w:tc>
        <w:tc>
          <w:tcPr>
            <w:tcBorders/>
            <w:shd w:val="clear" w:color="auto" w:fill="FFFFFF"/>
            <w:vAlign w:val="bottom"/>
          </w:tcPr>
          <w:p>
            <w:pPr>
              <w:pStyle w:val="Style28"/>
              <w:keepNext w:val="0"/>
              <w:keepLines w:val="0"/>
              <w:framePr w:w="8784" w:h="2702" w:hSpace="710" w:vSpace="43" w:wrap="notBeside" w:vAnchor="text" w:hAnchor="text" w:x="711" w:y="1"/>
              <w:widowControl w:val="0"/>
              <w:shd w:val="clear" w:color="auto" w:fill="auto"/>
              <w:bidi w:val="0"/>
              <w:spacing w:before="0" w:after="0" w:line="240" w:lineRule="auto"/>
              <w:ind w:left="1540" w:right="0" w:firstLine="0"/>
              <w:jc w:val="both"/>
              <w:rPr>
                <w:sz w:val="24"/>
                <w:szCs w:val="24"/>
              </w:rPr>
            </w:pPr>
            <w:r>
              <w:rPr>
                <w:rFonts w:ascii="Times New Roman" w:eastAsia="Times New Roman" w:hAnsi="Times New Roman" w:cs="Times New Roman"/>
                <w:color w:val="000000"/>
                <w:spacing w:val="0"/>
                <w:w w:val="100"/>
                <w:position w:val="0"/>
                <w:sz w:val="24"/>
                <w:szCs w:val="24"/>
              </w:rPr>
              <w:t>5,364,777</w:t>
            </w:r>
          </w:p>
        </w:tc>
      </w:tr>
      <w:tr>
        <w:trPr>
          <w:trHeight w:val="302" w:hRule="exact"/>
        </w:trPr>
        <w:tc>
          <w:tcPr>
            <w:tcBorders/>
            <w:shd w:val="clear" w:color="auto" w:fill="FFFFFF"/>
            <w:vAlign w:val="bottom"/>
          </w:tcPr>
          <w:p>
            <w:pPr>
              <w:pStyle w:val="Style28"/>
              <w:keepNext w:val="0"/>
              <w:keepLines w:val="0"/>
              <w:framePr w:w="8784" w:h="2702" w:hSpace="710" w:vSpace="43" w:wrap="notBeside" w:vAnchor="text" w:hAnchor="text" w:x="711" w:y="1"/>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二到三年</w:t>
            </w:r>
          </w:p>
        </w:tc>
        <w:tc>
          <w:tcPr>
            <w:tcBorders/>
            <w:shd w:val="clear" w:color="auto" w:fill="FFFFFF"/>
            <w:vAlign w:val="bottom"/>
          </w:tcPr>
          <w:p>
            <w:pPr>
              <w:pStyle w:val="Style28"/>
              <w:keepNext w:val="0"/>
              <w:keepLines w:val="0"/>
              <w:framePr w:w="8784" w:h="2702" w:hSpace="710" w:vSpace="43" w:wrap="notBeside" w:vAnchor="text" w:hAnchor="text" w:x="711" w:y="1"/>
              <w:widowControl w:val="0"/>
              <w:shd w:val="clear" w:color="auto" w:fill="auto"/>
              <w:bidi w:val="0"/>
              <w:spacing w:before="0" w:after="0" w:line="240" w:lineRule="auto"/>
              <w:ind w:left="1780" w:right="0" w:firstLine="0"/>
              <w:jc w:val="left"/>
              <w:rPr>
                <w:sz w:val="24"/>
                <w:szCs w:val="24"/>
              </w:rPr>
            </w:pPr>
            <w:r>
              <w:rPr>
                <w:rFonts w:ascii="Times New Roman" w:eastAsia="Times New Roman" w:hAnsi="Times New Roman" w:cs="Times New Roman"/>
                <w:color w:val="000000"/>
                <w:spacing w:val="0"/>
                <w:w w:val="100"/>
                <w:position w:val="0"/>
                <w:sz w:val="24"/>
                <w:szCs w:val="24"/>
              </w:rPr>
              <w:t>4,655,380</w:t>
            </w:r>
          </w:p>
        </w:tc>
        <w:tc>
          <w:tcPr>
            <w:tcBorders/>
            <w:shd w:val="clear" w:color="auto" w:fill="FFFFFF"/>
            <w:vAlign w:val="bottom"/>
          </w:tcPr>
          <w:p>
            <w:pPr>
              <w:pStyle w:val="Style28"/>
              <w:keepNext w:val="0"/>
              <w:keepLines w:val="0"/>
              <w:framePr w:w="8784" w:h="2702" w:hSpace="710" w:vSpace="43" w:wrap="notBeside" w:vAnchor="text" w:hAnchor="text" w:x="711" w:y="1"/>
              <w:widowControl w:val="0"/>
              <w:shd w:val="clear" w:color="auto" w:fill="auto"/>
              <w:bidi w:val="0"/>
              <w:spacing w:before="0" w:after="0" w:line="240" w:lineRule="auto"/>
              <w:ind w:left="1540" w:right="0" w:firstLine="0"/>
              <w:jc w:val="both"/>
              <w:rPr>
                <w:sz w:val="24"/>
                <w:szCs w:val="24"/>
              </w:rPr>
            </w:pPr>
            <w:r>
              <w:rPr>
                <w:rFonts w:ascii="Times New Roman" w:eastAsia="Times New Roman" w:hAnsi="Times New Roman" w:cs="Times New Roman"/>
                <w:color w:val="000000"/>
                <w:spacing w:val="0"/>
                <w:w w:val="100"/>
                <w:position w:val="0"/>
                <w:sz w:val="24"/>
                <w:szCs w:val="24"/>
              </w:rPr>
              <w:t>4,705,517</w:t>
            </w:r>
          </w:p>
        </w:tc>
      </w:tr>
      <w:tr>
        <w:trPr>
          <w:trHeight w:val="312" w:hRule="exact"/>
        </w:trPr>
        <w:tc>
          <w:tcPr>
            <w:tcBorders/>
            <w:shd w:val="clear" w:color="auto" w:fill="FFFFFF"/>
            <w:vAlign w:val="bottom"/>
          </w:tcPr>
          <w:p>
            <w:pPr>
              <w:pStyle w:val="Style28"/>
              <w:keepNext w:val="0"/>
              <w:keepLines w:val="0"/>
              <w:framePr w:w="8784" w:h="2702" w:hSpace="710" w:vSpace="43" w:wrap="notBeside" w:vAnchor="text" w:hAnchor="text" w:x="711" w:y="1"/>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三年以上</w:t>
            </w:r>
          </w:p>
        </w:tc>
        <w:tc>
          <w:tcPr>
            <w:tcBorders/>
            <w:shd w:val="clear" w:color="auto" w:fill="FFFFFF"/>
            <w:vAlign w:val="bottom"/>
          </w:tcPr>
          <w:p>
            <w:pPr>
              <w:pStyle w:val="Style28"/>
              <w:keepNext w:val="0"/>
              <w:keepLines w:val="0"/>
              <w:framePr w:w="8784" w:h="2702" w:hSpace="710" w:vSpace="43" w:wrap="notBeside" w:vAnchor="text" w:hAnchor="text" w:x="711" w:y="1"/>
              <w:widowControl w:val="0"/>
              <w:shd w:val="clear" w:color="auto" w:fill="auto"/>
              <w:bidi w:val="0"/>
              <w:spacing w:before="0" w:after="0" w:line="240" w:lineRule="auto"/>
              <w:ind w:left="1660" w:right="0" w:firstLine="0"/>
              <w:jc w:val="left"/>
              <w:rPr>
                <w:sz w:val="24"/>
                <w:szCs w:val="24"/>
              </w:rPr>
            </w:pPr>
            <w:r>
              <w:rPr>
                <w:rFonts w:ascii="Times New Roman" w:eastAsia="Times New Roman" w:hAnsi="Times New Roman" w:cs="Times New Roman"/>
                <w:color w:val="000000"/>
                <w:spacing w:val="0"/>
                <w:w w:val="100"/>
                <w:position w:val="0"/>
                <w:sz w:val="24"/>
                <w:szCs w:val="24"/>
              </w:rPr>
              <w:t>18,262,152</w:t>
            </w:r>
          </w:p>
        </w:tc>
        <w:tc>
          <w:tcPr>
            <w:tcBorders/>
            <w:shd w:val="clear" w:color="auto" w:fill="FFFFFF"/>
            <w:vAlign w:val="bottom"/>
          </w:tcPr>
          <w:p>
            <w:pPr>
              <w:pStyle w:val="Style28"/>
              <w:keepNext w:val="0"/>
              <w:keepLines w:val="0"/>
              <w:framePr w:w="8784" w:h="2702" w:hSpace="710" w:vSpace="43" w:wrap="notBeside" w:vAnchor="text" w:hAnchor="text" w:x="711" w:y="1"/>
              <w:widowControl w:val="0"/>
              <w:shd w:val="clear" w:color="auto" w:fill="auto"/>
              <w:bidi w:val="0"/>
              <w:spacing w:before="0" w:after="0" w:line="240" w:lineRule="auto"/>
              <w:ind w:left="1420" w:right="0" w:firstLine="0"/>
              <w:jc w:val="both"/>
              <w:rPr>
                <w:sz w:val="24"/>
                <w:szCs w:val="24"/>
              </w:rPr>
            </w:pPr>
            <w:r>
              <w:rPr>
                <w:rFonts w:ascii="Times New Roman" w:eastAsia="Times New Roman" w:hAnsi="Times New Roman" w:cs="Times New Roman"/>
                <w:color w:val="000000"/>
                <w:spacing w:val="0"/>
                <w:w w:val="100"/>
                <w:position w:val="0"/>
                <w:sz w:val="24"/>
                <w:szCs w:val="24"/>
              </w:rPr>
              <w:t>20,331,855</w:t>
            </w:r>
          </w:p>
        </w:tc>
      </w:tr>
      <w:tr>
        <w:trPr>
          <w:trHeight w:val="293" w:hRule="exact"/>
        </w:trPr>
        <w:tc>
          <w:tcPr>
            <w:tcBorders/>
            <w:shd w:val="clear" w:color="auto" w:fill="FFFFFF"/>
            <w:vAlign w:val="top"/>
          </w:tcPr>
          <w:p>
            <w:pPr>
              <w:framePr w:w="8784" w:h="2702" w:hSpace="710" w:vSpace="43" w:wrap="notBeside" w:vAnchor="text" w:hAnchor="text" w:x="711" w:y="1"/>
              <w:widowControl w:val="0"/>
              <w:rPr>
                <w:sz w:val="10"/>
                <w:szCs w:val="10"/>
              </w:rPr>
            </w:pPr>
          </w:p>
        </w:tc>
        <w:tc>
          <w:tcPr>
            <w:tcBorders>
              <w:top w:val="single" w:sz="4"/>
            </w:tcBorders>
            <w:shd w:val="clear" w:color="auto" w:fill="FFFFFF"/>
            <w:vAlign w:val="bottom"/>
          </w:tcPr>
          <w:p>
            <w:pPr>
              <w:pStyle w:val="Style28"/>
              <w:keepNext w:val="0"/>
              <w:keepLines w:val="0"/>
              <w:framePr w:w="8784" w:h="2702" w:hSpace="710" w:vSpace="43" w:wrap="notBeside" w:vAnchor="text" w:hAnchor="text" w:x="711" w:y="1"/>
              <w:widowControl w:val="0"/>
              <w:shd w:val="clear" w:color="auto" w:fill="auto"/>
              <w:bidi w:val="0"/>
              <w:spacing w:before="0" w:after="0" w:line="240" w:lineRule="auto"/>
              <w:ind w:left="1660" w:right="0" w:firstLine="0"/>
              <w:jc w:val="left"/>
              <w:rPr>
                <w:sz w:val="24"/>
                <w:szCs w:val="24"/>
              </w:rPr>
            </w:pPr>
            <w:r>
              <w:rPr>
                <w:rFonts w:ascii="Times New Roman" w:eastAsia="Times New Roman" w:hAnsi="Times New Roman" w:cs="Times New Roman"/>
                <w:color w:val="000000"/>
                <w:spacing w:val="0"/>
                <w:w w:val="100"/>
                <w:position w:val="0"/>
                <w:sz w:val="24"/>
                <w:szCs w:val="24"/>
              </w:rPr>
              <w:t>33,943,680</w:t>
            </w:r>
          </w:p>
        </w:tc>
        <w:tc>
          <w:tcPr>
            <w:tcBorders>
              <w:top w:val="single" w:sz="4"/>
            </w:tcBorders>
            <w:shd w:val="clear" w:color="auto" w:fill="FFFFFF"/>
            <w:vAlign w:val="bottom"/>
          </w:tcPr>
          <w:p>
            <w:pPr>
              <w:pStyle w:val="Style28"/>
              <w:keepNext w:val="0"/>
              <w:keepLines w:val="0"/>
              <w:framePr w:w="8784" w:h="2702" w:hSpace="710" w:vSpace="43" w:wrap="notBeside" w:vAnchor="text" w:hAnchor="text" w:x="711" w:y="1"/>
              <w:widowControl w:val="0"/>
              <w:shd w:val="clear" w:color="auto" w:fill="auto"/>
              <w:bidi w:val="0"/>
              <w:spacing w:before="0" w:after="0" w:line="240" w:lineRule="auto"/>
              <w:ind w:left="1420" w:right="0" w:firstLine="0"/>
              <w:jc w:val="both"/>
              <w:rPr>
                <w:sz w:val="24"/>
                <w:szCs w:val="24"/>
              </w:rPr>
            </w:pPr>
            <w:r>
              <w:rPr>
                <w:rFonts w:ascii="Times New Roman" w:eastAsia="Times New Roman" w:hAnsi="Times New Roman" w:cs="Times New Roman"/>
                <w:color w:val="000000"/>
                <w:spacing w:val="0"/>
                <w:w w:val="100"/>
                <w:position w:val="0"/>
                <w:sz w:val="24"/>
                <w:szCs w:val="24"/>
              </w:rPr>
              <w:t>36,063,262</w:t>
            </w:r>
          </w:p>
        </w:tc>
      </w:tr>
      <w:tr>
        <w:trPr>
          <w:trHeight w:val="586" w:hRule="exact"/>
        </w:trPr>
        <w:tc>
          <w:tcPr>
            <w:tcBorders/>
            <w:shd w:val="clear" w:color="auto" w:fill="FFFFFF"/>
            <w:vAlign w:val="bottom"/>
          </w:tcPr>
          <w:p>
            <w:pPr>
              <w:pStyle w:val="Style28"/>
              <w:keepNext w:val="0"/>
              <w:keepLines w:val="0"/>
              <w:framePr w:w="8784" w:h="2702" w:hSpace="710" w:vSpace="43" w:wrap="notBeside" w:vAnchor="text" w:hAnchor="text" w:x="711" w:y="1"/>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对外投资承诺事项</w:t>
            </w:r>
          </w:p>
        </w:tc>
        <w:tc>
          <w:tcPr>
            <w:tcBorders>
              <w:top w:val="single" w:sz="4"/>
            </w:tcBorders>
            <w:shd w:val="clear" w:color="auto" w:fill="FFFFFF"/>
            <w:vAlign w:val="top"/>
          </w:tcPr>
          <w:p>
            <w:pPr>
              <w:framePr w:w="8784" w:h="2702" w:hSpace="710" w:vSpace="43" w:wrap="notBeside" w:vAnchor="text" w:hAnchor="text" w:x="711" w:y="1"/>
              <w:widowControl w:val="0"/>
              <w:rPr>
                <w:sz w:val="10"/>
                <w:szCs w:val="10"/>
              </w:rPr>
            </w:pPr>
          </w:p>
        </w:tc>
        <w:tc>
          <w:tcPr>
            <w:tcBorders>
              <w:top w:val="single" w:sz="4"/>
            </w:tcBorders>
            <w:shd w:val="clear" w:color="auto" w:fill="FFFFFF"/>
            <w:vAlign w:val="top"/>
          </w:tcPr>
          <w:p>
            <w:pPr>
              <w:framePr w:w="8784" w:h="2702" w:hSpace="710" w:vSpace="43" w:wrap="notBeside" w:vAnchor="text" w:hAnchor="text" w:x="711" w:y="1"/>
              <w:widowControl w:val="0"/>
              <w:rPr>
                <w:sz w:val="10"/>
                <w:szCs w:val="10"/>
              </w:rPr>
            </w:pPr>
          </w:p>
        </w:tc>
      </w:tr>
    </w:tbl>
    <w:p>
      <w:pPr>
        <w:pStyle w:val="Style25"/>
        <w:keepNext w:val="0"/>
        <w:keepLines w:val="0"/>
        <w:framePr w:w="317" w:h="355" w:hSpace="9177" w:wrap="notBeside" w:vAnchor="text" w:hAnchor="text" w:y="2391"/>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(3)</w:t>
      </w:r>
    </w:p>
    <w:p>
      <w:pPr>
        <w:widowControl w:val="0"/>
        <w:spacing w:line="1" w:lineRule="exact"/>
      </w:pPr>
    </w:p>
    <w:p>
      <w:pPr>
        <w:pStyle w:val="Style32"/>
        <w:keepNext w:val="0"/>
        <w:keepLines w:val="0"/>
        <w:widowControl w:val="0"/>
        <w:shd w:val="clear" w:color="auto" w:fill="auto"/>
        <w:bidi w:val="0"/>
        <w:spacing w:before="0" w:after="260" w:line="310" w:lineRule="exact"/>
        <w:ind w:left="680" w:right="0" w:firstLine="40"/>
        <w:jc w:val="both"/>
        <w:rPr>
          <w:sz w:val="24"/>
          <w:szCs w:val="24"/>
        </w:rPr>
        <w:sectPr>
          <w:footnotePr>
            <w:pos w:val="pageBottom"/>
            <w:numFmt w:val="decimal"/>
            <w:numRestart w:val="continuous"/>
          </w:footnotePr>
          <w:type w:val="continuous"/>
          <w:pgSz w:w="11900" w:h="16840"/>
          <w:pgMar w:top="1326" w:right="682" w:bottom="2675" w:left="1723" w:header="0" w:footer="3" w:gutter="0"/>
          <w:cols w:space="720"/>
          <w:noEndnote/>
          <w:rtlGutter w:val="0"/>
          <w:docGrid w:linePitch="360"/>
        </w:sectPr>
      </w:pPr>
      <w:r>
        <w:rPr>
          <w:color w:val="000000"/>
          <w:spacing w:val="0"/>
          <w:w w:val="100"/>
          <w:position w:val="0"/>
          <w:sz w:val="24"/>
          <w:szCs w:val="24"/>
        </w:rPr>
        <w:t>根据本集团之子公司江苏苏宁物流有限公司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江苏苏宁物流</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 xml:space="preserve">与天天快递有限公司 </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天天快递</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自然人股东何文孝、张鸿涛、陈燕平、徐建国、陈东，以及通过前述 股东代持的实际股东奚春阳、陈向阳</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合称</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转让方</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于</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30</w:t>
      </w:r>
      <w:r>
        <w:rPr>
          <w:color w:val="000000"/>
          <w:spacing w:val="0"/>
          <w:w w:val="100"/>
          <w:position w:val="0"/>
          <w:sz w:val="24"/>
          <w:szCs w:val="24"/>
        </w:rPr>
        <w:t>日签署的股 权转让协议，江苏苏宁物流承诺将于</w:t>
      </w:r>
      <w:r>
        <w:rPr>
          <w:rFonts w:ascii="Times New Roman" w:eastAsia="Times New Roman" w:hAnsi="Times New Roman" w:cs="Times New Roman"/>
          <w:color w:val="000000"/>
          <w:spacing w:val="0"/>
          <w:w w:val="100"/>
          <w:position w:val="0"/>
          <w:sz w:val="24"/>
          <w:szCs w:val="24"/>
        </w:rPr>
        <w:t>2017</w:t>
      </w:r>
      <w:r>
        <w:rPr>
          <w:color w:val="000000"/>
          <w:spacing w:val="0"/>
          <w:w w:val="100"/>
          <w:position w:val="0"/>
          <w:sz w:val="24"/>
          <w:szCs w:val="24"/>
        </w:rPr>
        <w:t>年初以约人民币</w:t>
      </w:r>
      <w:r>
        <w:rPr>
          <w:rFonts w:ascii="Times New Roman" w:eastAsia="Times New Roman" w:hAnsi="Times New Roman" w:cs="Times New Roman"/>
          <w:color w:val="000000"/>
          <w:spacing w:val="0"/>
          <w:w w:val="100"/>
          <w:position w:val="0"/>
          <w:sz w:val="24"/>
          <w:szCs w:val="24"/>
        </w:rPr>
        <w:t>42.5</w:t>
      </w:r>
      <w:r>
        <w:rPr>
          <w:color w:val="000000"/>
          <w:spacing w:val="0"/>
          <w:w w:val="100"/>
          <w:position w:val="0"/>
          <w:sz w:val="24"/>
          <w:szCs w:val="24"/>
        </w:rPr>
        <w:t>亿元</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含股权转让 税</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的对价收购转让方持有的天天快递</w:t>
      </w:r>
      <w:r>
        <w:rPr>
          <w:rFonts w:ascii="Times New Roman" w:eastAsia="Times New Roman" w:hAnsi="Times New Roman" w:cs="Times New Roman"/>
          <w:color w:val="000000"/>
          <w:spacing w:val="0"/>
          <w:w w:val="100"/>
          <w:position w:val="0"/>
          <w:sz w:val="24"/>
          <w:szCs w:val="24"/>
        </w:rPr>
        <w:t>100%</w:t>
      </w:r>
      <w:r>
        <w:rPr>
          <w:color w:val="000000"/>
          <w:spacing w:val="0"/>
          <w:w w:val="100"/>
          <w:position w:val="0"/>
          <w:sz w:val="24"/>
          <w:szCs w:val="24"/>
        </w:rPr>
        <w:t>股权。于</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日，本集团 尚未支付上述款项。截至</w:t>
      </w:r>
      <w:r>
        <w:rPr>
          <w:rFonts w:ascii="Times New Roman" w:eastAsia="Times New Roman" w:hAnsi="Times New Roman" w:cs="Times New Roman"/>
          <w:color w:val="000000"/>
          <w:spacing w:val="0"/>
          <w:w w:val="100"/>
          <w:position w:val="0"/>
          <w:sz w:val="24"/>
          <w:szCs w:val="24"/>
        </w:rPr>
        <w:t>2017</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29</w:t>
      </w:r>
      <w:r>
        <w:rPr>
          <w:color w:val="000000"/>
          <w:spacing w:val="0"/>
          <w:w w:val="100"/>
          <w:position w:val="0"/>
          <w:sz w:val="24"/>
          <w:szCs w:val="24"/>
        </w:rPr>
        <w:t>日止，该交易已经取得商务部反垄断批 准，且本集团已经按照合同约定支付首笔股权转让款人民币</w:t>
      </w:r>
      <w:r>
        <w:rPr>
          <w:rFonts w:ascii="Times New Roman" w:eastAsia="Times New Roman" w:hAnsi="Times New Roman" w:cs="Times New Roman"/>
          <w:color w:val="000000"/>
          <w:spacing w:val="0"/>
          <w:w w:val="100"/>
          <w:position w:val="0"/>
          <w:sz w:val="24"/>
          <w:szCs w:val="24"/>
        </w:rPr>
        <w:t>4.5</w:t>
      </w:r>
      <w:r>
        <w:rPr>
          <w:color w:val="000000"/>
          <w:spacing w:val="0"/>
          <w:w w:val="100"/>
          <w:position w:val="0"/>
          <w:sz w:val="24"/>
          <w:szCs w:val="24"/>
        </w:rPr>
        <w:t>亿元。</w:t>
      </w:r>
    </w:p>
    <w:p>
      <w:pPr>
        <w:widowControl w:val="0"/>
        <w:spacing w:line="1" w:lineRule="exact"/>
      </w:pPr>
      <w:r>
        <mc:AlternateContent>
          <mc:Choice Requires="wps">
            <w:drawing>
              <wp:anchor distT="114300" distB="114300" distL="114300" distR="114300" simplePos="0" relativeHeight="125829480" behindDoc="0" locked="0" layoutInCell="1" allowOverlap="1">
                <wp:simplePos x="0" y="0"/>
                <wp:positionH relativeFrom="page">
                  <wp:posOffset>1080770</wp:posOffset>
                </wp:positionH>
                <wp:positionV relativeFrom="paragraph">
                  <wp:posOffset>707390</wp:posOffset>
                </wp:positionV>
                <wp:extent cx="328930" cy="5172710"/>
                <wp:wrapSquare wrapText="bothSides"/>
                <wp:docPr id="512" name="Shape 512"/>
                <a:graphic xmlns:a="http://schemas.openxmlformats.org/drawingml/2006/main">
                  <a:graphicData uri="http://schemas.microsoft.com/office/word/2010/wordprocessingShape">
                    <wps:wsp>
                      <wps:cNvSpPr txBox="1"/>
                      <wps:spPr>
                        <a:xfrm>
                          <a:ext cx="328930" cy="5172710"/>
                        </a:xfrm>
                        <a:prstGeom prst="rect"/>
                        <a:noFill/>
                      </wps:spPr>
                      <wps:txbx>
                        <w:txbxContent>
                          <w:p>
                            <w:pPr>
                              <w:pStyle w:val="Style32"/>
                              <w:keepNext w:val="0"/>
                              <w:keepLines w:val="0"/>
                              <w:widowControl w:val="0"/>
                              <w:shd w:val="clear" w:color="auto" w:fill="auto"/>
                              <w:bidi w:val="0"/>
                              <w:spacing w:before="0" w:after="320" w:line="240" w:lineRule="auto"/>
                              <w:ind w:left="0" w:right="0" w:firstLine="0"/>
                              <w:jc w:val="both"/>
                              <w:rPr>
                                <w:sz w:val="24"/>
                                <w:szCs w:val="24"/>
                              </w:rPr>
                            </w:pPr>
                            <w:r>
                              <w:rPr>
                                <w:b/>
                                <w:bCs/>
                                <w:color w:val="000000"/>
                                <w:spacing w:val="0"/>
                                <w:w w:val="100"/>
                                <w:position w:val="0"/>
                                <w:sz w:val="24"/>
                                <w:szCs w:val="24"/>
                              </w:rPr>
                              <w:t>十二</w:t>
                            </w:r>
                          </w:p>
                          <w:p>
                            <w:pPr>
                              <w:pStyle w:val="Style53"/>
                              <w:keepNext w:val="0"/>
                              <w:keepLines w:val="0"/>
                              <w:widowControl w:val="0"/>
                              <w:shd w:val="clear" w:color="auto" w:fill="auto"/>
                              <w:bidi w:val="0"/>
                              <w:spacing w:before="0" w:after="3160" w:line="240" w:lineRule="auto"/>
                              <w:ind w:left="0" w:right="0" w:firstLine="0"/>
                              <w:jc w:val="both"/>
                              <w:rPr>
                                <w:sz w:val="24"/>
                                <w:szCs w:val="24"/>
                              </w:rPr>
                            </w:pPr>
                            <w:r>
                              <w:rPr>
                                <w:rFonts w:ascii="SimSun" w:eastAsia="SimSun" w:hAnsi="SimSun" w:cs="SimSun"/>
                                <w:color w:val="000000"/>
                                <w:spacing w:val="0"/>
                                <w:w w:val="100"/>
                                <w:position w:val="0"/>
                                <w:sz w:val="24"/>
                                <w:szCs w:val="24"/>
                              </w:rPr>
                              <w:t>⑴</w:t>
                            </w:r>
                          </w:p>
                          <w:p>
                            <w:pPr>
                              <w:pStyle w:val="Style53"/>
                              <w:keepNext w:val="0"/>
                              <w:keepLines w:val="0"/>
                              <w:widowControl w:val="0"/>
                              <w:shd w:val="clear" w:color="auto" w:fill="auto"/>
                              <w:bidi w:val="0"/>
                              <w:spacing w:before="0" w:after="1460" w:line="240" w:lineRule="auto"/>
                              <w:ind w:left="0" w:right="0" w:firstLine="0"/>
                              <w:jc w:val="both"/>
                              <w:rPr>
                                <w:sz w:val="24"/>
                                <w:szCs w:val="24"/>
                              </w:rPr>
                            </w:pPr>
                            <w:r>
                              <w:rPr>
                                <w:rFonts w:ascii="SimSun" w:eastAsia="SimSun" w:hAnsi="SimSun" w:cs="SimSun"/>
                                <w:color w:val="000000"/>
                                <w:spacing w:val="0"/>
                                <w:w w:val="100"/>
                                <w:position w:val="0"/>
                                <w:sz w:val="24"/>
                                <w:szCs w:val="24"/>
                              </w:rPr>
                              <w:t>⑵</w:t>
                            </w:r>
                          </w:p>
                          <w:p>
                            <w:pPr>
                              <w:pStyle w:val="Style53"/>
                              <w:keepNext w:val="0"/>
                              <w:keepLines w:val="0"/>
                              <w:widowControl w:val="0"/>
                              <w:shd w:val="clear" w:color="auto" w:fill="auto"/>
                              <w:bidi w:val="0"/>
                              <w:spacing w:before="0" w:after="560" w:line="240" w:lineRule="auto"/>
                              <w:ind w:left="0" w:right="0" w:firstLine="0"/>
                              <w:jc w:val="both"/>
                              <w:rPr>
                                <w:sz w:val="24"/>
                                <w:szCs w:val="24"/>
                              </w:rPr>
                            </w:pPr>
                            <w:r>
                              <w:rPr>
                                <w:color w:val="000000"/>
                                <w:spacing w:val="0"/>
                                <w:w w:val="100"/>
                                <w:position w:val="0"/>
                                <w:sz w:val="24"/>
                                <w:szCs w:val="24"/>
                              </w:rPr>
                              <w:t>(a)</w:t>
                            </w:r>
                          </w:p>
                          <w:p>
                            <w:pPr>
                              <w:pStyle w:val="Style32"/>
                              <w:keepNext w:val="0"/>
                              <w:keepLines w:val="0"/>
                              <w:widowControl w:val="0"/>
                              <w:shd w:val="clear" w:color="auto" w:fill="auto"/>
                              <w:bidi w:val="0"/>
                              <w:spacing w:before="0" w:after="880" w:line="240" w:lineRule="auto"/>
                              <w:ind w:left="0" w:right="0" w:firstLine="0"/>
                              <w:jc w:val="both"/>
                              <w:rPr>
                                <w:sz w:val="24"/>
                                <w:szCs w:val="24"/>
                              </w:rPr>
                            </w:pPr>
                            <w:r>
                              <w:rPr>
                                <w:b/>
                                <w:bCs/>
                                <w:color w:val="000000"/>
                                <w:spacing w:val="0"/>
                                <w:w w:val="100"/>
                                <w:position w:val="0"/>
                                <w:sz w:val="24"/>
                                <w:szCs w:val="24"/>
                              </w:rPr>
                              <w:t>十三</w:t>
                            </w:r>
                          </w:p>
                          <w:p>
                            <w:pPr>
                              <w:pStyle w:val="Style32"/>
                              <w:keepNext w:val="0"/>
                              <w:keepLines w:val="0"/>
                              <w:widowControl w:val="0"/>
                              <w:shd w:val="clear" w:color="auto" w:fill="auto"/>
                              <w:bidi w:val="0"/>
                              <w:spacing w:before="0" w:after="0" w:line="240" w:lineRule="auto"/>
                              <w:ind w:left="0" w:right="0" w:firstLine="0"/>
                              <w:jc w:val="both"/>
                              <w:rPr>
                                <w:sz w:val="24"/>
                                <w:szCs w:val="24"/>
                              </w:rPr>
                            </w:pPr>
                            <w:r>
                              <w:rPr>
                                <w:b/>
                                <w:bCs/>
                                <w:color w:val="000000"/>
                                <w:spacing w:val="0"/>
                                <w:w w:val="100"/>
                                <w:position w:val="0"/>
                                <w:sz w:val="24"/>
                                <w:szCs w:val="24"/>
                              </w:rPr>
                              <w:t>十四</w:t>
                            </w:r>
                          </w:p>
                        </w:txbxContent>
                      </wps:txbx>
                      <wps:bodyPr lIns="0" tIns="0" rIns="0" bIns="0">
                        <a:noAutoFit/>
                      </wps:bodyPr>
                    </wps:wsp>
                  </a:graphicData>
                </a:graphic>
              </wp:anchor>
            </w:drawing>
          </mc:Choice>
          <mc:Fallback>
            <w:pict>
              <v:shape id="_x0000_s1538" type="#_x0000_t202" style="position:absolute;margin-left:85.100000000000009pt;margin-top:55.700000000000003pt;width:25.900000000000002pt;height:407.30000000000001pt;z-index:-125829273;mso-wrap-distance-left:9.pt;mso-wrap-distance-top:9.pt;mso-wrap-distance-right:9.pt;mso-wrap-distance-bottom:9.pt;mso-position-horizontal-relative:page" filled="f" stroked="f">
                <v:textbox inset="0,0,0,0">
                  <w:txbxContent>
                    <w:p>
                      <w:pPr>
                        <w:pStyle w:val="Style32"/>
                        <w:keepNext w:val="0"/>
                        <w:keepLines w:val="0"/>
                        <w:widowControl w:val="0"/>
                        <w:shd w:val="clear" w:color="auto" w:fill="auto"/>
                        <w:bidi w:val="0"/>
                        <w:spacing w:before="0" w:after="320" w:line="240" w:lineRule="auto"/>
                        <w:ind w:left="0" w:right="0" w:firstLine="0"/>
                        <w:jc w:val="both"/>
                        <w:rPr>
                          <w:sz w:val="24"/>
                          <w:szCs w:val="24"/>
                        </w:rPr>
                      </w:pPr>
                      <w:r>
                        <w:rPr>
                          <w:b/>
                          <w:bCs/>
                          <w:color w:val="000000"/>
                          <w:spacing w:val="0"/>
                          <w:w w:val="100"/>
                          <w:position w:val="0"/>
                          <w:sz w:val="24"/>
                          <w:szCs w:val="24"/>
                        </w:rPr>
                        <w:t>十二</w:t>
                      </w:r>
                    </w:p>
                    <w:p>
                      <w:pPr>
                        <w:pStyle w:val="Style53"/>
                        <w:keepNext w:val="0"/>
                        <w:keepLines w:val="0"/>
                        <w:widowControl w:val="0"/>
                        <w:shd w:val="clear" w:color="auto" w:fill="auto"/>
                        <w:bidi w:val="0"/>
                        <w:spacing w:before="0" w:after="3160" w:line="240" w:lineRule="auto"/>
                        <w:ind w:left="0" w:right="0" w:firstLine="0"/>
                        <w:jc w:val="both"/>
                        <w:rPr>
                          <w:sz w:val="24"/>
                          <w:szCs w:val="24"/>
                        </w:rPr>
                      </w:pPr>
                      <w:r>
                        <w:rPr>
                          <w:rFonts w:ascii="SimSun" w:eastAsia="SimSun" w:hAnsi="SimSun" w:cs="SimSun"/>
                          <w:color w:val="000000"/>
                          <w:spacing w:val="0"/>
                          <w:w w:val="100"/>
                          <w:position w:val="0"/>
                          <w:sz w:val="24"/>
                          <w:szCs w:val="24"/>
                        </w:rPr>
                        <w:t>⑴</w:t>
                      </w:r>
                    </w:p>
                    <w:p>
                      <w:pPr>
                        <w:pStyle w:val="Style53"/>
                        <w:keepNext w:val="0"/>
                        <w:keepLines w:val="0"/>
                        <w:widowControl w:val="0"/>
                        <w:shd w:val="clear" w:color="auto" w:fill="auto"/>
                        <w:bidi w:val="0"/>
                        <w:spacing w:before="0" w:after="1460" w:line="240" w:lineRule="auto"/>
                        <w:ind w:left="0" w:right="0" w:firstLine="0"/>
                        <w:jc w:val="both"/>
                        <w:rPr>
                          <w:sz w:val="24"/>
                          <w:szCs w:val="24"/>
                        </w:rPr>
                      </w:pPr>
                      <w:r>
                        <w:rPr>
                          <w:rFonts w:ascii="SimSun" w:eastAsia="SimSun" w:hAnsi="SimSun" w:cs="SimSun"/>
                          <w:color w:val="000000"/>
                          <w:spacing w:val="0"/>
                          <w:w w:val="100"/>
                          <w:position w:val="0"/>
                          <w:sz w:val="24"/>
                          <w:szCs w:val="24"/>
                        </w:rPr>
                        <w:t>⑵</w:t>
                      </w:r>
                    </w:p>
                    <w:p>
                      <w:pPr>
                        <w:pStyle w:val="Style53"/>
                        <w:keepNext w:val="0"/>
                        <w:keepLines w:val="0"/>
                        <w:widowControl w:val="0"/>
                        <w:shd w:val="clear" w:color="auto" w:fill="auto"/>
                        <w:bidi w:val="0"/>
                        <w:spacing w:before="0" w:after="560" w:line="240" w:lineRule="auto"/>
                        <w:ind w:left="0" w:right="0" w:firstLine="0"/>
                        <w:jc w:val="both"/>
                        <w:rPr>
                          <w:sz w:val="24"/>
                          <w:szCs w:val="24"/>
                        </w:rPr>
                      </w:pPr>
                      <w:r>
                        <w:rPr>
                          <w:color w:val="000000"/>
                          <w:spacing w:val="0"/>
                          <w:w w:val="100"/>
                          <w:position w:val="0"/>
                          <w:sz w:val="24"/>
                          <w:szCs w:val="24"/>
                        </w:rPr>
                        <w:t>(a)</w:t>
                      </w:r>
                    </w:p>
                    <w:p>
                      <w:pPr>
                        <w:pStyle w:val="Style32"/>
                        <w:keepNext w:val="0"/>
                        <w:keepLines w:val="0"/>
                        <w:widowControl w:val="0"/>
                        <w:shd w:val="clear" w:color="auto" w:fill="auto"/>
                        <w:bidi w:val="0"/>
                        <w:spacing w:before="0" w:after="880" w:line="240" w:lineRule="auto"/>
                        <w:ind w:left="0" w:right="0" w:firstLine="0"/>
                        <w:jc w:val="both"/>
                        <w:rPr>
                          <w:sz w:val="24"/>
                          <w:szCs w:val="24"/>
                        </w:rPr>
                      </w:pPr>
                      <w:r>
                        <w:rPr>
                          <w:b/>
                          <w:bCs/>
                          <w:color w:val="000000"/>
                          <w:spacing w:val="0"/>
                          <w:w w:val="100"/>
                          <w:position w:val="0"/>
                          <w:sz w:val="24"/>
                          <w:szCs w:val="24"/>
                        </w:rPr>
                        <w:t>十三</w:t>
                      </w:r>
                    </w:p>
                    <w:p>
                      <w:pPr>
                        <w:pStyle w:val="Style32"/>
                        <w:keepNext w:val="0"/>
                        <w:keepLines w:val="0"/>
                        <w:widowControl w:val="0"/>
                        <w:shd w:val="clear" w:color="auto" w:fill="auto"/>
                        <w:bidi w:val="0"/>
                        <w:spacing w:before="0" w:after="0" w:line="240" w:lineRule="auto"/>
                        <w:ind w:left="0" w:right="0" w:firstLine="0"/>
                        <w:jc w:val="both"/>
                        <w:rPr>
                          <w:sz w:val="24"/>
                          <w:szCs w:val="24"/>
                        </w:rPr>
                      </w:pPr>
                      <w:r>
                        <w:rPr>
                          <w:b/>
                          <w:bCs/>
                          <w:color w:val="000000"/>
                          <w:spacing w:val="0"/>
                          <w:w w:val="100"/>
                          <w:position w:val="0"/>
                          <w:sz w:val="24"/>
                          <w:szCs w:val="24"/>
                        </w:rPr>
                        <w:t>十四</w:t>
                      </w:r>
                    </w:p>
                  </w:txbxContent>
                </v:textbox>
                <w10:wrap type="square" anchorx="page"/>
              </v:shape>
            </w:pict>
          </mc:Fallback>
        </mc:AlternateContent>
      </w:r>
      <w:r>
        <mc:AlternateContent>
          <mc:Choice Requires="wps">
            <w:drawing>
              <wp:anchor distT="0" distB="323215" distL="117475" distR="114300" simplePos="0" relativeHeight="125829482" behindDoc="0" locked="0" layoutInCell="1" allowOverlap="1">
                <wp:simplePos x="0" y="0"/>
                <wp:positionH relativeFrom="page">
                  <wp:posOffset>1562735</wp:posOffset>
                </wp:positionH>
                <wp:positionV relativeFrom="paragraph">
                  <wp:posOffset>1082040</wp:posOffset>
                </wp:positionV>
                <wp:extent cx="1243330" cy="186055"/>
                <wp:wrapSquare wrapText="right"/>
                <wp:docPr id="514" name="Shape 514"/>
                <a:graphic xmlns:a="http://schemas.openxmlformats.org/drawingml/2006/main">
                  <a:graphicData uri="http://schemas.microsoft.com/office/word/2010/wordprocessingShape">
                    <wps:wsp>
                      <wps:cNvSpPr txBox="1"/>
                      <wps:spPr>
                        <a:xfrm>
                          <a:ext cx="1243330" cy="186055"/>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center"/>
                              <w:rPr>
                                <w:sz w:val="24"/>
                                <w:szCs w:val="24"/>
                              </w:rPr>
                            </w:pPr>
                            <w:r>
                              <w:rPr>
                                <w:b/>
                                <w:bCs/>
                                <w:color w:val="000000"/>
                                <w:spacing w:val="0"/>
                                <w:w w:val="100"/>
                                <w:position w:val="0"/>
                                <w:sz w:val="24"/>
                                <w:szCs w:val="24"/>
                              </w:rPr>
                              <w:t>重要的非调整事项</w:t>
                            </w:r>
                          </w:p>
                        </w:txbxContent>
                      </wps:txbx>
                      <wps:bodyPr wrap="none" lIns="0" tIns="0" rIns="0" bIns="0">
                        <a:noAutoFit/>
                      </wps:bodyPr>
                    </wps:wsp>
                  </a:graphicData>
                </a:graphic>
              </wp:anchor>
            </w:drawing>
          </mc:Choice>
          <mc:Fallback>
            <w:pict>
              <v:shape id="_x0000_s1540" type="#_x0000_t202" style="position:absolute;margin-left:123.05pt;margin-top:85.200000000000003pt;width:97.900000000000006pt;height:14.65pt;z-index:-125829271;mso-wrap-distance-left:9.25pt;mso-wrap-distance-right:9.pt;mso-wrap-distance-bottom:25.449999999999999pt;mso-position-horizontal-relative:page" filled="f" stroked="f">
                <v:textbox inset="0,0,0,0">
                  <w:txbxContent>
                    <w:p>
                      <w:pPr>
                        <w:pStyle w:val="Style32"/>
                        <w:keepNext w:val="0"/>
                        <w:keepLines w:val="0"/>
                        <w:widowControl w:val="0"/>
                        <w:shd w:val="clear" w:color="auto" w:fill="auto"/>
                        <w:bidi w:val="0"/>
                        <w:spacing w:before="0" w:after="0" w:line="240" w:lineRule="auto"/>
                        <w:ind w:left="0" w:right="0" w:firstLine="0"/>
                        <w:jc w:val="center"/>
                        <w:rPr>
                          <w:sz w:val="24"/>
                          <w:szCs w:val="24"/>
                        </w:rPr>
                      </w:pPr>
                      <w:r>
                        <w:rPr>
                          <w:b/>
                          <w:bCs/>
                          <w:color w:val="000000"/>
                          <w:spacing w:val="0"/>
                          <w:w w:val="100"/>
                          <w:position w:val="0"/>
                          <w:sz w:val="24"/>
                          <w:szCs w:val="24"/>
                        </w:rPr>
                        <w:t>重要的非调整事项</w:t>
                      </w:r>
                    </w:p>
                  </w:txbxContent>
                </v:textbox>
                <w10:wrap type="square" side="right" anchorx="page"/>
              </v:shape>
            </w:pict>
          </mc:Fallback>
        </mc:AlternateContent>
      </w:r>
      <w:r>
        <mc:AlternateContent>
          <mc:Choice Requires="wps">
            <w:drawing>
              <wp:anchor distT="359410" distB="635" distL="114300" distR="269875" simplePos="0" relativeHeight="125829484" behindDoc="0" locked="0" layoutInCell="1" allowOverlap="1">
                <wp:simplePos x="0" y="0"/>
                <wp:positionH relativeFrom="page">
                  <wp:posOffset>1559560</wp:posOffset>
                </wp:positionH>
                <wp:positionV relativeFrom="paragraph">
                  <wp:posOffset>1441450</wp:posOffset>
                </wp:positionV>
                <wp:extent cx="1090930" cy="149225"/>
                <wp:wrapSquare wrapText="right"/>
                <wp:docPr id="516" name="Shape 516"/>
                <a:graphic xmlns:a="http://schemas.openxmlformats.org/drawingml/2006/main">
                  <a:graphicData uri="http://schemas.microsoft.com/office/word/2010/wordprocessingShape">
                    <wps:wsp>
                      <wps:cNvSpPr txBox="1"/>
                      <wps:spPr>
                        <a:xfrm>
                          <a:ext cx="1090930" cy="149225"/>
                        </a:xfrm>
                        <a:prstGeom prst="rect"/>
                        <a:noFill/>
                      </wps:spPr>
                      <wps:txbx>
                        <w:txbxContent>
                          <w:p>
                            <w:pPr>
                              <w:pStyle w:val="Style113"/>
                              <w:keepNext w:val="0"/>
                              <w:keepLines w:val="0"/>
                              <w:widowControl w:val="0"/>
                              <w:shd w:val="clear" w:color="auto" w:fill="auto"/>
                              <w:tabs>
                                <w:tab w:pos="1334" w:val="left"/>
                              </w:tabs>
                              <w:bidi w:val="0"/>
                              <w:spacing w:before="0" w:after="0" w:line="240" w:lineRule="auto"/>
                              <w:ind w:left="0" w:right="0" w:firstLine="0"/>
                              <w:jc w:val="left"/>
                            </w:pPr>
                            <w:r>
                              <w:rPr>
                                <w:color w:val="000000"/>
                                <w:spacing w:val="0"/>
                                <w:w w:val="100"/>
                                <w:position w:val="0"/>
                              </w:rPr>
                              <w:t>项目</w:t>
                              <w:tab/>
                              <w:t>内容</w:t>
                            </w:r>
                          </w:p>
                        </w:txbxContent>
                      </wps:txbx>
                      <wps:bodyPr wrap="none" lIns="0" tIns="0" rIns="0" bIns="0">
                        <a:noAutoFit/>
                      </wps:bodyPr>
                    </wps:wsp>
                  </a:graphicData>
                </a:graphic>
              </wp:anchor>
            </w:drawing>
          </mc:Choice>
          <mc:Fallback>
            <w:pict>
              <v:shape id="_x0000_s1542" type="#_x0000_t202" style="position:absolute;margin-left:122.8pt;margin-top:113.5pt;width:85.900000000000006pt;height:11.75pt;z-index:-125829269;mso-wrap-distance-left:9.pt;mso-wrap-distance-top:28.300000000000001pt;mso-wrap-distance-right:21.25pt;mso-wrap-distance-bottom:5.0000000000000003e-002pt;mso-position-horizontal-relative:page" filled="f" stroked="f">
                <v:textbox inset="0,0,0,0">
                  <w:txbxContent>
                    <w:p>
                      <w:pPr>
                        <w:pStyle w:val="Style113"/>
                        <w:keepNext w:val="0"/>
                        <w:keepLines w:val="0"/>
                        <w:widowControl w:val="0"/>
                        <w:shd w:val="clear" w:color="auto" w:fill="auto"/>
                        <w:tabs>
                          <w:tab w:pos="1334" w:val="left"/>
                        </w:tabs>
                        <w:bidi w:val="0"/>
                        <w:spacing w:before="0" w:after="0" w:line="240" w:lineRule="auto"/>
                        <w:ind w:left="0" w:right="0" w:firstLine="0"/>
                        <w:jc w:val="left"/>
                      </w:pPr>
                      <w:r>
                        <w:rPr>
                          <w:color w:val="000000"/>
                          <w:spacing w:val="0"/>
                          <w:w w:val="100"/>
                          <w:position w:val="0"/>
                        </w:rPr>
                        <w:t>项目</w:t>
                        <w:tab/>
                        <w:t>内容</w:t>
                      </w:r>
                    </w:p>
                  </w:txbxContent>
                </v:textbox>
                <w10:wrap type="square" side="right" anchorx="page"/>
              </v:shape>
            </w:pict>
          </mc:Fallback>
        </mc:AlternateContent>
      </w:r>
      <w:r>
        <mc:AlternateContent>
          <mc:Choice Requires="wps">
            <w:drawing>
              <wp:anchor distT="0" distB="0" distL="114300" distR="114300" simplePos="0" relativeHeight="125829486" behindDoc="0" locked="0" layoutInCell="1" allowOverlap="1">
                <wp:simplePos x="0" y="0"/>
                <wp:positionH relativeFrom="page">
                  <wp:posOffset>1559560</wp:posOffset>
                </wp:positionH>
                <wp:positionV relativeFrom="paragraph">
                  <wp:posOffset>1911350</wp:posOffset>
                </wp:positionV>
                <wp:extent cx="3587750" cy="164465"/>
                <wp:wrapTopAndBottom/>
                <wp:docPr id="518" name="Shape 518"/>
                <a:graphic xmlns:a="http://schemas.openxmlformats.org/drawingml/2006/main">
                  <a:graphicData uri="http://schemas.microsoft.com/office/word/2010/wordprocessingShape">
                    <wps:wsp>
                      <wps:cNvSpPr txBox="1"/>
                      <wps:spPr>
                        <a:xfrm>
                          <a:ext cx="3587750" cy="164465"/>
                        </a:xfrm>
                        <a:prstGeom prst="rect"/>
                        <a:noFill/>
                      </wps:spPr>
                      <wps:txbx>
                        <w:txbxContent>
                          <w:p>
                            <w:pPr>
                              <w:pStyle w:val="Style11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本集团投资 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日，本集团与</w:t>
                            </w:r>
                            <w:r>
                              <w:rPr>
                                <w:rFonts w:ascii="Times New Roman" w:eastAsia="Times New Roman" w:hAnsi="Times New Roman" w:cs="Times New Roman"/>
                                <w:color w:val="000000"/>
                                <w:spacing w:val="0"/>
                                <w:w w:val="100"/>
                                <w:position w:val="0"/>
                              </w:rPr>
                              <w:t>Wangzhi</w:t>
                            </w:r>
                            <w:r>
                              <w:rPr>
                                <w:color w:val="000000"/>
                                <w:spacing w:val="0"/>
                                <w:w w:val="100"/>
                                <w:position w:val="0"/>
                              </w:rPr>
                              <w:t>签 无法估计</w:t>
                            </w:r>
                          </w:p>
                        </w:txbxContent>
                      </wps:txbx>
                      <wps:bodyPr wrap="none" lIns="0" tIns="0" rIns="0" bIns="0">
                        <a:noAutoFit/>
                      </wps:bodyPr>
                    </wps:wsp>
                  </a:graphicData>
                </a:graphic>
              </wp:anchor>
            </w:drawing>
          </mc:Choice>
          <mc:Fallback>
            <w:pict>
              <v:shape id="_x0000_s1544" type="#_x0000_t202" style="position:absolute;margin-left:122.8pt;margin-top:150.5pt;width:282.5pt;height:12.950000000000001pt;z-index:-125829267;mso-wrap-distance-left:9.pt;mso-wrap-distance-right:9.pt;mso-position-horizontal-relative:page" filled="f" stroked="f">
                <v:textbox inset="0,0,0,0">
                  <w:txbxContent>
                    <w:p>
                      <w:pPr>
                        <w:pStyle w:val="Style11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本集团投资 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日，本集团与</w:t>
                      </w:r>
                      <w:r>
                        <w:rPr>
                          <w:rFonts w:ascii="Times New Roman" w:eastAsia="Times New Roman" w:hAnsi="Times New Roman" w:cs="Times New Roman"/>
                          <w:color w:val="000000"/>
                          <w:spacing w:val="0"/>
                          <w:w w:val="100"/>
                          <w:position w:val="0"/>
                        </w:rPr>
                        <w:t>Wangzhi</w:t>
                      </w:r>
                      <w:r>
                        <w:rPr>
                          <w:color w:val="000000"/>
                          <w:spacing w:val="0"/>
                          <w:w w:val="100"/>
                          <w:position w:val="0"/>
                        </w:rPr>
                        <w:t>签 无法估计</w:t>
                      </w:r>
                    </w:p>
                  </w:txbxContent>
                </v:textbox>
                <w10:wrap type="topAndBottom" anchorx="page"/>
              </v:shape>
            </w:pict>
          </mc:Fallback>
        </mc:AlternateContent>
      </w:r>
      <w:r>
        <mc:AlternateContent>
          <mc:Choice Requires="wps">
            <w:drawing>
              <wp:anchor distT="0" distB="0" distL="114300" distR="114300" simplePos="0" relativeHeight="125829488" behindDoc="0" locked="0" layoutInCell="1" allowOverlap="1">
                <wp:simplePos x="0" y="0"/>
                <wp:positionH relativeFrom="page">
                  <wp:posOffset>1553210</wp:posOffset>
                </wp:positionH>
                <wp:positionV relativeFrom="paragraph">
                  <wp:posOffset>2051050</wp:posOffset>
                </wp:positionV>
                <wp:extent cx="624840" cy="557530"/>
                <wp:wrapSquare wrapText="right"/>
                <wp:docPr id="520" name="Shape 520"/>
                <a:graphic xmlns:a="http://schemas.openxmlformats.org/drawingml/2006/main">
                  <a:graphicData uri="http://schemas.microsoft.com/office/word/2010/wordprocessingShape">
                    <wps:wsp>
                      <wps:cNvSpPr txBox="1"/>
                      <wps:spPr>
                        <a:xfrm>
                          <a:ext cx="624840" cy="557530"/>
                        </a:xfrm>
                        <a:prstGeom prst="rect"/>
                        <a:noFill/>
                      </wps:spPr>
                      <wps:txbx>
                        <w:txbxContent>
                          <w:p>
                            <w:pPr>
                              <w:pStyle w:val="Style134"/>
                              <w:keepNext w:val="0"/>
                              <w:keepLines w:val="0"/>
                              <w:widowControl w:val="0"/>
                              <w:shd w:val="clear" w:color="auto" w:fill="auto"/>
                              <w:bidi w:val="0"/>
                              <w:spacing w:before="0" w:after="0" w:line="240" w:lineRule="auto"/>
                              <w:ind w:left="0" w:right="0" w:firstLine="0"/>
                              <w:jc w:val="left"/>
                            </w:pPr>
                            <w:r>
                              <w:rPr>
                                <w:color w:val="000000"/>
                                <w:spacing w:val="0"/>
                                <w:w w:val="100"/>
                                <w:position w:val="0"/>
                              </w:rPr>
                              <w:t>Wangzhi Technology Limited (“Wangzhi”)</w:t>
                            </w:r>
                          </w:p>
                        </w:txbxContent>
                      </wps:txbx>
                      <wps:bodyPr lIns="0" tIns="0" rIns="0" bIns="0">
                        <a:noAutoFit/>
                      </wps:bodyPr>
                    </wps:wsp>
                  </a:graphicData>
                </a:graphic>
              </wp:anchor>
            </w:drawing>
          </mc:Choice>
          <mc:Fallback>
            <w:pict>
              <v:shape id="_x0000_s1546" type="#_x0000_t202" style="position:absolute;margin-left:122.3pt;margin-top:161.5pt;width:49.200000000000003pt;height:43.899999999999999pt;z-index:-125829265;mso-wrap-distance-left:9.pt;mso-wrap-distance-right:9.pt;mso-position-horizontal-relative:page" filled="f" stroked="f">
                <v:textbox inset="0,0,0,0">
                  <w:txbxContent>
                    <w:p>
                      <w:pPr>
                        <w:pStyle w:val="Style134"/>
                        <w:keepNext w:val="0"/>
                        <w:keepLines w:val="0"/>
                        <w:widowControl w:val="0"/>
                        <w:shd w:val="clear" w:color="auto" w:fill="auto"/>
                        <w:bidi w:val="0"/>
                        <w:spacing w:before="0" w:after="0" w:line="240" w:lineRule="auto"/>
                        <w:ind w:left="0" w:right="0" w:firstLine="0"/>
                        <w:jc w:val="left"/>
                      </w:pPr>
                      <w:r>
                        <w:rPr>
                          <w:color w:val="000000"/>
                          <w:spacing w:val="0"/>
                          <w:w w:val="100"/>
                          <w:position w:val="0"/>
                        </w:rPr>
                        <w:t>Wangzhi Technology Limited (“Wangzhi”)</w:t>
                      </w:r>
                    </w:p>
                  </w:txbxContent>
                </v:textbox>
                <w10:wrap type="square" side="right" anchorx="page"/>
              </v:shape>
            </w:pict>
          </mc:Fallback>
        </mc:AlternateContent>
      </w:r>
      <w:r>
        <mc:AlternateContent>
          <mc:Choice Requires="wps">
            <w:drawing>
              <wp:anchor distT="0" distB="0" distL="114300" distR="114300" simplePos="0" relativeHeight="125829490" behindDoc="0" locked="0" layoutInCell="1" allowOverlap="1">
                <wp:simplePos x="0" y="0"/>
                <wp:positionH relativeFrom="page">
                  <wp:posOffset>5637530</wp:posOffset>
                </wp:positionH>
                <wp:positionV relativeFrom="paragraph">
                  <wp:posOffset>1898650</wp:posOffset>
                </wp:positionV>
                <wp:extent cx="1173480" cy="460375"/>
                <wp:wrapSquare wrapText="left"/>
                <wp:docPr id="522" name="Shape 522"/>
                <a:graphic xmlns:a="http://schemas.openxmlformats.org/drawingml/2006/main">
                  <a:graphicData uri="http://schemas.microsoft.com/office/word/2010/wordprocessingShape">
                    <wps:wsp>
                      <wps:cNvSpPr txBox="1"/>
                      <wps:spPr>
                        <a:xfrm>
                          <a:ext cx="1173480" cy="460375"/>
                        </a:xfrm>
                        <a:prstGeom prst="rect"/>
                        <a:noFill/>
                      </wps:spPr>
                      <wps:txbx>
                        <w:txbxContent>
                          <w:p>
                            <w:pPr>
                              <w:pStyle w:val="Style113"/>
                              <w:keepNext w:val="0"/>
                              <w:keepLines w:val="0"/>
                              <w:widowControl w:val="0"/>
                              <w:shd w:val="clear" w:color="auto" w:fill="auto"/>
                              <w:bidi w:val="0"/>
                              <w:spacing w:before="0" w:after="0" w:line="240" w:lineRule="exact"/>
                              <w:ind w:left="0" w:right="0" w:firstLine="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 止，该交易尚未完成交 割。</w:t>
                            </w:r>
                          </w:p>
                        </w:txbxContent>
                      </wps:txbx>
                      <wps:bodyPr lIns="0" tIns="0" rIns="0" bIns="0">
                        <a:noAutoFit/>
                      </wps:bodyPr>
                    </wps:wsp>
                  </a:graphicData>
                </a:graphic>
              </wp:anchor>
            </w:drawing>
          </mc:Choice>
          <mc:Fallback>
            <w:pict>
              <v:shape id="_x0000_s1548" type="#_x0000_t202" style="position:absolute;margin-left:443.90000000000003pt;margin-top:149.5pt;width:92.400000000000006pt;height:36.25pt;z-index:-125829263;mso-wrap-distance-left:9.pt;mso-wrap-distance-right:9.pt;mso-position-horizontal-relative:page" filled="f" stroked="f">
                <v:textbox inset="0,0,0,0">
                  <w:txbxContent>
                    <w:p>
                      <w:pPr>
                        <w:pStyle w:val="Style113"/>
                        <w:keepNext w:val="0"/>
                        <w:keepLines w:val="0"/>
                        <w:widowControl w:val="0"/>
                        <w:shd w:val="clear" w:color="auto" w:fill="auto"/>
                        <w:bidi w:val="0"/>
                        <w:spacing w:before="0" w:after="0" w:line="240" w:lineRule="exact"/>
                        <w:ind w:left="0" w:right="0" w:firstLine="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 止，该交易尚未完成交 割。</w:t>
                      </w:r>
                    </w:p>
                  </w:txbxContent>
                </v:textbox>
                <w10:wrap type="square" side="left" anchorx="page"/>
              </v:shape>
            </w:pict>
          </mc:Fallback>
        </mc:AlternateContent>
      </w:r>
      <w:r>
        <mc:AlternateContent>
          <mc:Choice Requires="wps">
            <w:drawing>
              <wp:anchor distT="0" distB="0" distL="114300" distR="114300" simplePos="0" relativeHeight="125829492" behindDoc="0" locked="0" layoutInCell="1" allowOverlap="1">
                <wp:simplePos x="0" y="0"/>
                <wp:positionH relativeFrom="page">
                  <wp:posOffset>1559560</wp:posOffset>
                </wp:positionH>
                <wp:positionV relativeFrom="paragraph">
                  <wp:posOffset>3267710</wp:posOffset>
                </wp:positionV>
                <wp:extent cx="1246505" cy="191770"/>
                <wp:wrapTopAndBottom/>
                <wp:docPr id="524" name="Shape 524"/>
                <a:graphic xmlns:a="http://schemas.openxmlformats.org/drawingml/2006/main">
                  <a:graphicData uri="http://schemas.microsoft.com/office/word/2010/wordprocessingShape">
                    <wps:wsp>
                      <wps:cNvSpPr txBox="1"/>
                      <wps:spPr>
                        <a:xfrm>
                          <a:ext cx="1246505" cy="191770"/>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center"/>
                              <w:rPr>
                                <w:sz w:val="24"/>
                                <w:szCs w:val="24"/>
                              </w:rPr>
                            </w:pPr>
                            <w:r>
                              <w:rPr>
                                <w:b/>
                                <w:bCs/>
                                <w:color w:val="000000"/>
                                <w:spacing w:val="0"/>
                                <w:w w:val="100"/>
                                <w:position w:val="0"/>
                                <w:sz w:val="24"/>
                                <w:szCs w:val="24"/>
                              </w:rPr>
                              <w:t>利润分配情况说明</w:t>
                            </w:r>
                          </w:p>
                        </w:txbxContent>
                      </wps:txbx>
                      <wps:bodyPr wrap="none" lIns="0" tIns="0" rIns="0" bIns="0">
                        <a:noAutoFit/>
                      </wps:bodyPr>
                    </wps:wsp>
                  </a:graphicData>
                </a:graphic>
              </wp:anchor>
            </w:drawing>
          </mc:Choice>
          <mc:Fallback>
            <w:pict>
              <v:shape id="_x0000_s1550" type="#_x0000_t202" style="position:absolute;margin-left:122.8pt;margin-top:257.30000000000001pt;width:98.150000000000006pt;height:15.1pt;z-index:-125829261;mso-wrap-distance-left:9.pt;mso-wrap-distance-right:9.pt;mso-position-horizontal-relative:page" filled="f" stroked="f">
                <v:textbox inset="0,0,0,0">
                  <w:txbxContent>
                    <w:p>
                      <w:pPr>
                        <w:pStyle w:val="Style32"/>
                        <w:keepNext w:val="0"/>
                        <w:keepLines w:val="0"/>
                        <w:widowControl w:val="0"/>
                        <w:shd w:val="clear" w:color="auto" w:fill="auto"/>
                        <w:bidi w:val="0"/>
                        <w:spacing w:before="0" w:after="0" w:line="240" w:lineRule="auto"/>
                        <w:ind w:left="0" w:right="0" w:firstLine="0"/>
                        <w:jc w:val="center"/>
                        <w:rPr>
                          <w:sz w:val="24"/>
                          <w:szCs w:val="24"/>
                        </w:rPr>
                      </w:pPr>
                      <w:r>
                        <w:rPr>
                          <w:b/>
                          <w:bCs/>
                          <w:color w:val="000000"/>
                          <w:spacing w:val="0"/>
                          <w:w w:val="100"/>
                          <w:position w:val="0"/>
                          <w:sz w:val="24"/>
                          <w:szCs w:val="24"/>
                        </w:rPr>
                        <w:t>利润分配情况说明</w:t>
                      </w:r>
                    </w:p>
                  </w:txbxContent>
                </v:textbox>
                <w10:wrap type="topAndBottom" anchorx="page"/>
              </v:shape>
            </w:pict>
          </mc:Fallback>
        </mc:AlternateContent>
      </w:r>
    </w:p>
    <w:p>
      <w:pPr>
        <w:pStyle w:val="Style32"/>
        <w:keepNext w:val="0"/>
        <w:keepLines w:val="0"/>
        <w:widowControl w:val="0"/>
        <w:shd w:val="clear" w:color="auto" w:fill="auto"/>
        <w:bidi w:val="0"/>
        <w:spacing w:before="0" w:after="0" w:line="240" w:lineRule="auto"/>
        <w:ind w:left="0" w:right="0" w:firstLine="660"/>
        <w:jc w:val="left"/>
        <w:rPr>
          <w:sz w:val="24"/>
          <w:szCs w:val="24"/>
        </w:rPr>
      </w:pPr>
      <w:r>
        <w:rPr>
          <w:b/>
          <w:bCs/>
          <w:color w:val="000000"/>
          <w:spacing w:val="0"/>
          <w:w w:val="100"/>
          <w:position w:val="0"/>
          <w:sz w:val="24"/>
          <w:szCs w:val="24"/>
        </w:rPr>
        <w:t>财务报表附注</w:t>
      </w:r>
    </w:p>
    <w:p>
      <w:pPr>
        <w:pStyle w:val="Style88"/>
        <w:keepNext/>
        <w:keepLines/>
        <w:widowControl w:val="0"/>
        <w:shd w:val="clear" w:color="auto" w:fill="auto"/>
        <w:bidi w:val="0"/>
        <w:spacing w:before="0" w:after="0" w:line="240" w:lineRule="auto"/>
        <w:ind w:left="0" w:right="0" w:firstLine="660"/>
        <w:jc w:val="left"/>
      </w:pPr>
      <w:bookmarkStart w:id="1125" w:name="bookmark1125"/>
      <w:bookmarkStart w:id="1126" w:name="bookmark1126"/>
      <w:bookmarkStart w:id="1127" w:name="bookmark1127"/>
      <w:r>
        <w:rPr>
          <w:color w:val="000000"/>
          <w:spacing w:val="0"/>
          <w:w w:val="100"/>
          <w:position w:val="0"/>
          <w:sz w:val="24"/>
          <w:szCs w:val="24"/>
        </w:rPr>
        <w:t>2016</w:t>
      </w:r>
      <w:r>
        <w:rPr>
          <w:rFonts w:ascii="SimSun" w:eastAsia="SimSun" w:hAnsi="SimSun" w:cs="SimSun"/>
          <w:b/>
          <w:bCs/>
          <w:color w:val="000000"/>
          <w:spacing w:val="0"/>
          <w:w w:val="100"/>
          <w:position w:val="0"/>
          <w:sz w:val="24"/>
          <w:szCs w:val="24"/>
        </w:rPr>
        <w:t>年度</w:t>
      </w:r>
      <w:bookmarkEnd w:id="1125"/>
      <w:bookmarkEnd w:id="1126"/>
      <w:bookmarkEnd w:id="1127"/>
    </w:p>
    <w:p>
      <w:pPr>
        <w:pStyle w:val="Style32"/>
        <w:keepNext w:val="0"/>
        <w:keepLines w:val="0"/>
        <w:widowControl w:val="0"/>
        <w:shd w:val="clear" w:color="auto" w:fill="auto"/>
        <w:bidi w:val="0"/>
        <w:spacing w:before="0" w:after="260" w:line="240" w:lineRule="auto"/>
        <w:ind w:left="0" w:right="0" w:firstLine="660"/>
        <w:jc w:val="left"/>
        <w:rPr>
          <w:sz w:val="20"/>
          <w:szCs w:val="20"/>
        </w:rPr>
      </w:pPr>
      <w:r>
        <w:rPr>
          <w:rFonts w:ascii="Arial" w:eastAsia="Arial" w:hAnsi="Arial" w:cs="Arial"/>
          <w:color w:val="000000"/>
          <w:spacing w:val="0"/>
          <w:w w:val="100"/>
          <w:position w:val="0"/>
          <w:sz w:val="20"/>
          <w:szCs w:val="20"/>
        </w:rPr>
        <w:t>(</w:t>
      </w:r>
      <w:r>
        <w:rPr>
          <w:color w:val="000000"/>
          <w:spacing w:val="0"/>
          <w:w w:val="100"/>
          <w:position w:val="0"/>
          <w:sz w:val="20"/>
          <w:szCs w:val="20"/>
        </w:rPr>
        <w:t>除特别注明外，金额单位为人民币千元</w:t>
      </w:r>
      <w:r>
        <w:rPr>
          <w:rFonts w:ascii="Arial" w:eastAsia="Arial" w:hAnsi="Arial" w:cs="Arial"/>
          <w:color w:val="000000"/>
          <w:spacing w:val="0"/>
          <w:w w:val="100"/>
          <w:position w:val="0"/>
          <w:sz w:val="20"/>
          <w:szCs w:val="20"/>
        </w:rPr>
        <w:t>)</w:t>
      </w:r>
    </w:p>
    <w:p>
      <w:pPr>
        <w:pStyle w:val="Style32"/>
        <w:keepNext w:val="0"/>
        <w:keepLines w:val="0"/>
        <w:widowControl w:val="0"/>
        <w:shd w:val="clear" w:color="auto" w:fill="auto"/>
        <w:bidi w:val="0"/>
        <w:spacing w:before="0" w:after="840" w:line="240" w:lineRule="auto"/>
        <w:ind w:left="0" w:right="0" w:firstLine="0"/>
        <w:jc w:val="left"/>
        <w:rPr>
          <w:sz w:val="24"/>
          <w:szCs w:val="24"/>
        </w:rPr>
      </w:pPr>
      <w:r>
        <w:rPr>
          <w:b/>
          <w:bCs/>
          <w:color w:val="000000"/>
          <w:spacing w:val="0"/>
          <w:w w:val="100"/>
          <w:position w:val="0"/>
          <w:sz w:val="24"/>
          <w:szCs w:val="24"/>
        </w:rPr>
        <w:t>资产负债表日后事项</w:t>
      </w:r>
    </w:p>
    <w:p>
      <w:pPr>
        <w:pStyle w:val="Style113"/>
        <w:keepNext w:val="0"/>
        <w:keepLines w:val="0"/>
        <w:widowControl w:val="0"/>
        <w:shd w:val="clear" w:color="auto" w:fill="auto"/>
        <w:bidi w:val="0"/>
        <w:spacing w:before="0" w:after="260" w:line="235" w:lineRule="exact"/>
        <w:ind w:left="4960" w:right="0" w:hanging="2200"/>
        <w:jc w:val="left"/>
      </w:pPr>
      <w:r>
        <w:rPr>
          <w:color w:val="000000"/>
          <w:spacing w:val="0"/>
          <w:w w:val="100"/>
          <w:position w:val="0"/>
        </w:rPr>
        <w:t>对财务状况和经无法估计影响数的原因 营成果的影响数</w:t>
      </w:r>
    </w:p>
    <w:p>
      <w:pPr>
        <w:pStyle w:val="Style113"/>
        <w:keepNext w:val="0"/>
        <w:keepLines w:val="0"/>
        <w:widowControl w:val="0"/>
        <w:shd w:val="clear" w:color="auto" w:fill="auto"/>
        <w:bidi w:val="0"/>
        <w:spacing w:before="0" w:after="180" w:line="232" w:lineRule="exact"/>
        <w:ind w:left="0" w:right="0" w:firstLine="0"/>
        <w:jc w:val="left"/>
      </w:pPr>
      <w:r>
        <w:rPr>
          <w:color w:val="000000"/>
          <w:spacing w:val="0"/>
          <w:w w:val="100"/>
          <w:position w:val="0"/>
        </w:rPr>
        <w:t>订</w:t>
      </w:r>
      <w:r>
        <w:rPr>
          <w:color w:val="000000"/>
          <w:spacing w:val="0"/>
          <w:w w:val="100"/>
          <w:position w:val="0"/>
        </w:rPr>
        <w:t>《</w:t>
      </w:r>
      <w:r>
        <w:rPr>
          <w:rFonts w:ascii="Times New Roman" w:eastAsia="Times New Roman" w:hAnsi="Times New Roman" w:cs="Times New Roman"/>
          <w:color w:val="000000"/>
          <w:spacing w:val="0"/>
          <w:w w:val="100"/>
          <w:position w:val="0"/>
        </w:rPr>
        <w:t>D</w:t>
      </w:r>
      <w:r>
        <w:rPr>
          <w:color w:val="000000"/>
          <w:spacing w:val="0"/>
          <w:w w:val="100"/>
          <w:position w:val="0"/>
        </w:rPr>
        <w:t>轮优先股购买协议》。按照协议规 定，本集团将在协议规定的交割发生时以 等值于</w:t>
      </w:r>
      <w:r>
        <w:rPr>
          <w:rFonts w:ascii="Times New Roman" w:eastAsia="Times New Roman" w:hAnsi="Times New Roman" w:cs="Times New Roman"/>
          <w:color w:val="000000"/>
          <w:spacing w:val="0"/>
          <w:w w:val="100"/>
          <w:position w:val="0"/>
        </w:rPr>
        <w:t>1</w:t>
      </w:r>
      <w:r>
        <w:rPr>
          <w:color w:val="000000"/>
          <w:spacing w:val="0"/>
          <w:w w:val="100"/>
          <w:position w:val="0"/>
        </w:rPr>
        <w:t xml:space="preserve">亿元人民币的美元对价向 </w:t>
      </w:r>
      <w:r>
        <w:rPr>
          <w:rFonts w:ascii="Times New Roman" w:eastAsia="Times New Roman" w:hAnsi="Times New Roman" w:cs="Times New Roman"/>
          <w:color w:val="000000"/>
          <w:spacing w:val="0"/>
          <w:w w:val="100"/>
          <w:position w:val="0"/>
        </w:rPr>
        <w:t>Wangzhi</w:t>
      </w:r>
      <w:r>
        <w:rPr>
          <w:color w:val="000000"/>
          <w:spacing w:val="0"/>
          <w:w w:val="100"/>
          <w:position w:val="0"/>
        </w:rPr>
        <w:t>认购</w:t>
      </w:r>
      <w:r>
        <w:rPr>
          <w:rFonts w:ascii="Times New Roman" w:eastAsia="Times New Roman" w:hAnsi="Times New Roman" w:cs="Times New Roman"/>
          <w:color w:val="000000"/>
          <w:spacing w:val="0"/>
          <w:w w:val="100"/>
          <w:position w:val="0"/>
        </w:rPr>
        <w:t>43,254,721</w:t>
      </w:r>
      <w:r>
        <w:rPr>
          <w:color w:val="000000"/>
          <w:spacing w:val="0"/>
          <w:w w:val="100"/>
          <w:position w:val="0"/>
        </w:rPr>
        <w:t>股</w:t>
      </w:r>
      <w:r>
        <w:rPr>
          <w:rFonts w:ascii="Times New Roman" w:eastAsia="Times New Roman" w:hAnsi="Times New Roman" w:cs="Times New Roman"/>
          <w:color w:val="000000"/>
          <w:spacing w:val="0"/>
          <w:w w:val="100"/>
          <w:position w:val="0"/>
        </w:rPr>
        <w:t>D</w:t>
      </w:r>
      <w:r>
        <w:rPr>
          <w:color w:val="000000"/>
          <w:spacing w:val="0"/>
          <w:w w:val="100"/>
          <w:position w:val="0"/>
        </w:rPr>
        <w:t>轮优先股。</w:t>
      </w:r>
    </w:p>
    <w:p>
      <w:pPr>
        <w:pStyle w:val="Style113"/>
        <w:keepNext w:val="0"/>
        <w:keepLines w:val="0"/>
        <w:widowControl w:val="0"/>
        <w:shd w:val="clear" w:color="auto" w:fill="auto"/>
        <w:bidi w:val="0"/>
        <w:spacing w:before="0" w:after="260" w:line="250" w:lineRule="exact"/>
        <w:ind w:left="138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日止，本集团已经支 付保证金人民币</w:t>
      </w:r>
      <w:r>
        <w:rPr>
          <w:rFonts w:ascii="Times New Roman" w:eastAsia="Times New Roman" w:hAnsi="Times New Roman" w:cs="Times New Roman"/>
          <w:color w:val="000000"/>
          <w:spacing w:val="0"/>
          <w:w w:val="100"/>
          <w:position w:val="0"/>
        </w:rPr>
        <w:t>1</w:t>
      </w:r>
      <w:r>
        <w:rPr>
          <w:color w:val="000000"/>
          <w:spacing w:val="0"/>
          <w:w w:val="100"/>
          <w:position w:val="0"/>
        </w:rPr>
        <w:t>亿元。</w:t>
      </w:r>
    </w:p>
    <w:p>
      <w:pPr>
        <w:pStyle w:val="Style32"/>
        <w:keepNext w:val="0"/>
        <w:keepLines w:val="0"/>
        <w:widowControl w:val="0"/>
        <w:shd w:val="clear" w:color="auto" w:fill="auto"/>
        <w:bidi w:val="0"/>
        <w:spacing w:before="260" w:after="260" w:line="312" w:lineRule="exact"/>
        <w:ind w:left="0" w:right="400" w:firstLine="0"/>
        <w:jc w:val="right"/>
        <w:rPr>
          <w:sz w:val="24"/>
          <w:szCs w:val="24"/>
        </w:rPr>
      </w:pPr>
      <w:r>
        <w:rPr>
          <w:color w:val="000000"/>
          <w:spacing w:val="0"/>
          <w:w w:val="100"/>
          <w:position w:val="0"/>
          <w:sz w:val="24"/>
          <w:szCs w:val="24"/>
        </w:rPr>
        <w:t>金额</w:t>
      </w:r>
    </w:p>
    <w:p>
      <w:pPr>
        <w:pStyle w:val="Style53"/>
        <w:keepNext w:val="0"/>
        <w:keepLines w:val="0"/>
        <w:widowControl w:val="0"/>
        <w:shd w:val="clear" w:color="auto" w:fill="auto"/>
        <w:tabs>
          <w:tab w:pos="6182" w:val="left"/>
          <w:tab w:leader="underscore" w:pos="7574" w:val="left"/>
        </w:tabs>
        <w:bidi w:val="0"/>
        <w:spacing w:before="0" w:after="260" w:line="312" w:lineRule="exact"/>
        <w:ind w:left="0" w:right="0" w:firstLine="0"/>
        <w:jc w:val="left"/>
        <w:rPr>
          <w:sz w:val="24"/>
          <w:szCs w:val="24"/>
        </w:rPr>
      </w:pPr>
      <w:r>
        <w:rPr>
          <w:rFonts w:ascii="SimSun" w:eastAsia="SimSun" w:hAnsi="SimSun" w:cs="SimSun"/>
          <w:color w:val="000000"/>
          <w:spacing w:val="0"/>
          <w:w w:val="100"/>
          <w:position w:val="0"/>
          <w:sz w:val="24"/>
          <w:szCs w:val="24"/>
        </w:rPr>
        <w:t>拟分配的股利</w:t>
      </w:r>
      <w:r>
        <w:rPr>
          <w:color w:val="000000"/>
          <w:spacing w:val="0"/>
          <w:w w:val="100"/>
          <w:position w:val="0"/>
          <w:sz w:val="24"/>
          <w:szCs w:val="24"/>
        </w:rPr>
        <w:t>(a)</w:t>
        <w:tab/>
      </w:r>
      <w:r>
        <w:rPr>
          <w:color w:val="000000"/>
          <w:spacing w:val="0"/>
          <w:w w:val="100"/>
          <w:position w:val="0"/>
          <w:sz w:val="24"/>
          <w:szCs w:val="24"/>
        </w:rPr>
        <w:tab/>
      </w:r>
      <w:r>
        <w:rPr>
          <w:color w:val="000000"/>
          <w:spacing w:val="0"/>
          <w:w w:val="100"/>
          <w:position w:val="0"/>
          <w:sz w:val="24"/>
          <w:szCs w:val="24"/>
          <w:u w:val="single"/>
        </w:rPr>
        <w:t>651,703</w:t>
      </w:r>
    </w:p>
    <w:p>
      <w:pPr>
        <w:pStyle w:val="Style32"/>
        <w:keepNext w:val="0"/>
        <w:keepLines w:val="0"/>
        <w:widowControl w:val="0"/>
        <w:shd w:val="clear" w:color="auto" w:fill="auto"/>
        <w:bidi w:val="0"/>
        <w:spacing w:before="0" w:after="260" w:line="312" w:lineRule="exact"/>
        <w:ind w:left="0" w:right="0" w:firstLine="0"/>
        <w:jc w:val="left"/>
        <w:rPr>
          <w:sz w:val="24"/>
          <w:szCs w:val="24"/>
        </w:rPr>
      </w:pPr>
      <w:r>
        <w:rPr>
          <w:color w:val="000000"/>
          <w:spacing w:val="0"/>
          <w:w w:val="100"/>
          <w:position w:val="0"/>
          <w:sz w:val="24"/>
          <w:szCs w:val="24"/>
        </w:rPr>
        <w:t>根据</w:t>
      </w:r>
      <w:r>
        <w:rPr>
          <w:rFonts w:ascii="Times New Roman" w:eastAsia="Times New Roman" w:hAnsi="Times New Roman" w:cs="Times New Roman"/>
          <w:color w:val="000000"/>
          <w:spacing w:val="0"/>
          <w:w w:val="100"/>
          <w:position w:val="0"/>
          <w:sz w:val="24"/>
          <w:szCs w:val="24"/>
        </w:rPr>
        <w:t>2017</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29</w:t>
      </w:r>
      <w:r>
        <w:rPr>
          <w:color w:val="000000"/>
          <w:spacing w:val="0"/>
          <w:w w:val="100"/>
          <w:position w:val="0"/>
          <w:sz w:val="24"/>
          <w:szCs w:val="24"/>
        </w:rPr>
        <w:t>日董事会决议，董事会提议本公司向全体股东分配股利约 人民币</w:t>
      </w:r>
      <w:r>
        <w:rPr>
          <w:rFonts w:ascii="Times New Roman" w:eastAsia="Times New Roman" w:hAnsi="Times New Roman" w:cs="Times New Roman"/>
          <w:color w:val="000000"/>
          <w:spacing w:val="0"/>
          <w:w w:val="100"/>
          <w:position w:val="0"/>
          <w:sz w:val="24"/>
          <w:szCs w:val="24"/>
        </w:rPr>
        <w:t>6.52</w:t>
      </w:r>
      <w:r>
        <w:rPr>
          <w:color w:val="000000"/>
          <w:spacing w:val="0"/>
          <w:w w:val="100"/>
          <w:position w:val="0"/>
          <w:sz w:val="24"/>
          <w:szCs w:val="24"/>
        </w:rPr>
        <w:t>亿元，未在本财务报表中确认为负债</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附注四</w:t>
      </w:r>
      <w:r>
        <w:rPr>
          <w:rFonts w:ascii="Times New Roman" w:eastAsia="Times New Roman" w:hAnsi="Times New Roman" w:cs="Times New Roman"/>
          <w:color w:val="000000"/>
          <w:spacing w:val="0"/>
          <w:w w:val="100"/>
          <w:position w:val="0"/>
          <w:sz w:val="24"/>
          <w:szCs w:val="24"/>
        </w:rPr>
        <w:t>(43))</w:t>
      </w:r>
      <w:r>
        <w:rPr>
          <w:color w:val="000000"/>
          <w:spacing w:val="0"/>
          <w:w w:val="100"/>
          <w:position w:val="0"/>
          <w:sz w:val="24"/>
          <w:szCs w:val="24"/>
        </w:rPr>
        <w:t>。</w:t>
      </w:r>
    </w:p>
    <w:p>
      <w:pPr>
        <w:pStyle w:val="Style32"/>
        <w:keepNext w:val="0"/>
        <w:keepLines w:val="0"/>
        <w:widowControl w:val="0"/>
        <w:shd w:val="clear" w:color="auto" w:fill="auto"/>
        <w:bidi w:val="0"/>
        <w:spacing w:before="0" w:after="260" w:line="240" w:lineRule="auto"/>
        <w:ind w:left="0" w:right="0" w:firstLine="0"/>
        <w:jc w:val="left"/>
        <w:rPr>
          <w:sz w:val="24"/>
          <w:szCs w:val="24"/>
        </w:rPr>
      </w:pPr>
      <w:r>
        <w:rPr>
          <w:b/>
          <w:bCs/>
          <w:color w:val="000000"/>
          <w:spacing w:val="0"/>
          <w:w w:val="100"/>
          <w:position w:val="0"/>
          <w:sz w:val="24"/>
          <w:szCs w:val="24"/>
        </w:rPr>
        <w:t>企业合并</w:t>
      </w:r>
    </w:p>
    <w:p>
      <w:pPr>
        <w:pStyle w:val="Style32"/>
        <w:keepNext w:val="0"/>
        <w:keepLines w:val="0"/>
        <w:widowControl w:val="0"/>
        <w:shd w:val="clear" w:color="auto" w:fill="auto"/>
        <w:bidi w:val="0"/>
        <w:spacing w:before="0" w:after="260" w:line="312" w:lineRule="exact"/>
        <w:ind w:left="0" w:right="0" w:firstLine="0"/>
        <w:jc w:val="left"/>
        <w:rPr>
          <w:sz w:val="24"/>
          <w:szCs w:val="24"/>
        </w:rPr>
      </w:pPr>
      <w:r>
        <w:rPr>
          <w:color w:val="000000"/>
          <w:spacing w:val="0"/>
          <w:w w:val="100"/>
          <w:position w:val="0"/>
          <w:sz w:val="24"/>
          <w:szCs w:val="24"/>
        </w:rPr>
        <w:t>见附注五</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w:t>
      </w:r>
    </w:p>
    <w:p>
      <w:pPr>
        <w:pStyle w:val="Style32"/>
        <w:keepNext w:val="0"/>
        <w:keepLines w:val="0"/>
        <w:widowControl w:val="0"/>
        <w:shd w:val="clear" w:color="auto" w:fill="auto"/>
        <w:bidi w:val="0"/>
        <w:spacing w:before="0" w:after="260" w:line="240" w:lineRule="auto"/>
        <w:ind w:left="0" w:right="0" w:firstLine="0"/>
        <w:jc w:val="left"/>
        <w:rPr>
          <w:sz w:val="24"/>
          <w:szCs w:val="24"/>
        </w:rPr>
      </w:pPr>
      <w:r>
        <w:rPr>
          <w:b/>
          <w:bCs/>
          <w:color w:val="000000"/>
          <w:spacing w:val="0"/>
          <w:w w:val="100"/>
          <w:position w:val="0"/>
          <w:sz w:val="24"/>
          <w:szCs w:val="24"/>
        </w:rPr>
        <w:t>金融风险</w:t>
      </w:r>
    </w:p>
    <w:p>
      <w:pPr>
        <w:pStyle w:val="Style32"/>
        <w:keepNext w:val="0"/>
        <w:keepLines w:val="0"/>
        <w:widowControl w:val="0"/>
        <w:shd w:val="clear" w:color="auto" w:fill="auto"/>
        <w:bidi w:val="0"/>
        <w:spacing w:before="0" w:after="260" w:line="312" w:lineRule="exact"/>
        <w:ind w:left="660" w:right="0" w:firstLine="20"/>
        <w:jc w:val="left"/>
        <w:rPr>
          <w:sz w:val="24"/>
          <w:szCs w:val="24"/>
        </w:rPr>
        <w:sectPr>
          <w:footnotePr>
            <w:pos w:val="pageBottom"/>
            <w:numFmt w:val="decimal"/>
            <w:numRestart w:val="continuous"/>
          </w:footnotePr>
          <w:pgSz w:w="11900" w:h="16840"/>
          <w:pgMar w:top="1326" w:right="650" w:bottom="1600" w:left="1755" w:header="0" w:footer="3" w:gutter="0"/>
          <w:cols w:space="720"/>
          <w:noEndnote/>
          <w:rtlGutter w:val="0"/>
          <w:docGrid w:linePitch="360"/>
        </w:sectPr>
      </w:pPr>
      <w:r>
        <w:rPr>
          <w:color w:val="000000"/>
          <w:spacing w:val="0"/>
          <w:w w:val="100"/>
          <w:position w:val="0"/>
          <w:sz w:val="24"/>
          <w:szCs w:val="24"/>
        </w:rPr>
        <w:t>本集团的经营活动会面临各种金融风险：市场风险</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主要为外汇风险和利率风 险</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、信用风险、价格风险和流动性风险。本集团整体的风险管理计划针对金融 市场的不可预见性，力求减少对本集团财务业绩的潜在不利影响。</w:t>
      </w:r>
    </w:p>
    <w:p>
      <w:pPr>
        <w:pStyle w:val="Style32"/>
        <w:keepNext w:val="0"/>
        <w:keepLines w:val="0"/>
        <w:widowControl w:val="0"/>
        <w:shd w:val="clear" w:color="auto" w:fill="auto"/>
        <w:bidi w:val="0"/>
        <w:spacing w:before="0" w:after="0" w:line="240" w:lineRule="auto"/>
        <w:ind w:left="0" w:right="0" w:firstLine="700"/>
        <w:jc w:val="both"/>
        <w:rPr>
          <w:sz w:val="24"/>
          <w:szCs w:val="24"/>
        </w:rPr>
      </w:pPr>
      <w:r>
        <w:rPr>
          <w:b/>
          <w:bCs/>
          <w:color w:val="000000"/>
          <w:spacing w:val="0"/>
          <w:w w:val="100"/>
          <w:position w:val="0"/>
          <w:sz w:val="24"/>
          <w:szCs w:val="24"/>
        </w:rPr>
        <w:t>财务报表附注</w:t>
      </w:r>
    </w:p>
    <w:p>
      <w:pPr>
        <w:pStyle w:val="Style88"/>
        <w:keepNext/>
        <w:keepLines/>
        <w:widowControl w:val="0"/>
        <w:shd w:val="clear" w:color="auto" w:fill="auto"/>
        <w:bidi w:val="0"/>
        <w:spacing w:before="0" w:after="0" w:line="240" w:lineRule="auto"/>
        <w:ind w:left="0" w:right="0"/>
        <w:jc w:val="both"/>
      </w:pPr>
      <w:bookmarkStart w:id="1128" w:name="bookmark1128"/>
      <w:bookmarkStart w:id="1129" w:name="bookmark1129"/>
      <w:bookmarkStart w:id="1130" w:name="bookmark1130"/>
      <w:r>
        <w:rPr>
          <w:color w:val="000000"/>
          <w:spacing w:val="0"/>
          <w:w w:val="100"/>
          <w:position w:val="0"/>
          <w:sz w:val="24"/>
          <w:szCs w:val="24"/>
        </w:rPr>
        <w:t>2016</w:t>
      </w:r>
      <w:r>
        <w:rPr>
          <w:rFonts w:ascii="SimSun" w:eastAsia="SimSun" w:hAnsi="SimSun" w:cs="SimSun"/>
          <w:b/>
          <w:bCs/>
          <w:color w:val="000000"/>
          <w:spacing w:val="0"/>
          <w:w w:val="100"/>
          <w:position w:val="0"/>
          <w:sz w:val="24"/>
          <w:szCs w:val="24"/>
        </w:rPr>
        <w:t>年度</w:t>
      </w:r>
      <w:bookmarkEnd w:id="1128"/>
      <w:bookmarkEnd w:id="1129"/>
      <w:bookmarkEnd w:id="1130"/>
    </w:p>
    <w:p>
      <w:pPr>
        <w:pStyle w:val="Style32"/>
        <w:keepNext w:val="0"/>
        <w:keepLines w:val="0"/>
        <w:widowControl w:val="0"/>
        <w:shd w:val="clear" w:color="auto" w:fill="auto"/>
        <w:bidi w:val="0"/>
        <w:spacing w:before="0" w:after="240" w:line="240" w:lineRule="auto"/>
        <w:ind w:left="0" w:right="0" w:firstLine="700"/>
        <w:jc w:val="both"/>
        <w:rPr>
          <w:sz w:val="24"/>
          <w:szCs w:val="24"/>
        </w:rPr>
      </w:pPr>
      <w:r>
        <w:rPr>
          <w:rFonts w:ascii="Arial" w:eastAsia="Arial" w:hAnsi="Arial" w:cs="Arial"/>
          <w:color w:val="000000"/>
          <w:spacing w:val="0"/>
          <w:w w:val="100"/>
          <w:position w:val="0"/>
          <w:sz w:val="20"/>
          <w:szCs w:val="20"/>
        </w:rPr>
        <w:t>（</w:t>
      </w:r>
      <w:r>
        <w:rPr>
          <w:color w:val="000000"/>
          <w:spacing w:val="0"/>
          <w:w w:val="100"/>
          <w:position w:val="0"/>
          <w:sz w:val="20"/>
          <w:szCs w:val="20"/>
        </w:rPr>
        <w:t>除特别注明外，金额单位为人民币千元</w:t>
      </w:r>
      <w:r>
        <w:rPr>
          <w:color w:val="000000"/>
          <w:spacing w:val="0"/>
          <w:w w:val="100"/>
          <w:position w:val="0"/>
          <w:sz w:val="24"/>
          <w:szCs w:val="24"/>
        </w:rPr>
        <w:t>）</w:t>
      </w:r>
    </w:p>
    <w:p>
      <w:pPr>
        <w:pStyle w:val="Style32"/>
        <w:keepNext w:val="0"/>
        <w:keepLines w:val="0"/>
        <w:widowControl w:val="0"/>
        <w:shd w:val="clear" w:color="auto" w:fill="auto"/>
        <w:bidi w:val="0"/>
        <w:spacing w:before="0" w:after="240" w:line="240" w:lineRule="auto"/>
        <w:ind w:left="0" w:right="0" w:firstLine="0"/>
        <w:jc w:val="left"/>
        <w:rPr>
          <w:sz w:val="24"/>
          <w:szCs w:val="24"/>
        </w:rPr>
      </w:pPr>
      <w:r>
        <w:rPr>
          <w:b/>
          <w:bCs/>
          <w:color w:val="000000"/>
          <w:spacing w:val="0"/>
          <w:w w:val="100"/>
          <w:position w:val="0"/>
          <w:sz w:val="24"/>
          <w:szCs w:val="24"/>
        </w:rPr>
        <w:t>十四金融风险</w:t>
      </w:r>
      <w:r>
        <w:rPr>
          <w:rFonts w:ascii="Times New Roman" w:eastAsia="Times New Roman" w:hAnsi="Times New Roman" w:cs="Times New Roman"/>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4"/>
          <w:szCs w:val="24"/>
        </w:rPr>
        <w:t>）</w:t>
      </w:r>
    </w:p>
    <w:p>
      <w:pPr>
        <w:pStyle w:val="Style32"/>
        <w:keepNext w:val="0"/>
        <w:keepLines w:val="0"/>
        <w:widowControl w:val="0"/>
        <w:shd w:val="clear" w:color="auto" w:fill="auto"/>
        <w:tabs>
          <w:tab w:pos="677" w:val="left"/>
        </w:tabs>
        <w:bidi w:val="0"/>
        <w:spacing w:before="0" w:after="24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（1）</w:t>
        <w:tab/>
      </w:r>
      <w:r>
        <w:rPr>
          <w:b/>
          <w:bCs/>
          <w:color w:val="000000"/>
          <w:spacing w:val="0"/>
          <w:w w:val="100"/>
          <w:position w:val="0"/>
          <w:sz w:val="24"/>
          <w:szCs w:val="24"/>
        </w:rPr>
        <w:t>市场风险</w:t>
      </w:r>
    </w:p>
    <w:p>
      <w:pPr>
        <w:pStyle w:val="Style32"/>
        <w:keepNext w:val="0"/>
        <w:keepLines w:val="0"/>
        <w:widowControl w:val="0"/>
        <w:shd w:val="clear" w:color="auto" w:fill="auto"/>
        <w:tabs>
          <w:tab w:pos="677" w:val="left"/>
        </w:tabs>
        <w:bidi w:val="0"/>
        <w:spacing w:before="0" w:after="240" w:line="312" w:lineRule="exact"/>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（a）</w:t>
        <w:tab/>
      </w:r>
      <w:r>
        <w:rPr>
          <w:color w:val="000000"/>
          <w:spacing w:val="0"/>
          <w:w w:val="100"/>
          <w:position w:val="0"/>
          <w:sz w:val="24"/>
          <w:szCs w:val="24"/>
        </w:rPr>
        <w:t>外汇风险</w:t>
      </w:r>
    </w:p>
    <w:p>
      <w:pPr>
        <w:pStyle w:val="Style32"/>
        <w:keepNext w:val="0"/>
        <w:keepLines w:val="0"/>
        <w:widowControl w:val="0"/>
        <w:shd w:val="clear" w:color="auto" w:fill="auto"/>
        <w:bidi w:val="0"/>
        <w:spacing w:before="0" w:after="240" w:line="312" w:lineRule="exact"/>
        <w:ind w:left="700" w:right="0" w:firstLine="20"/>
        <w:jc w:val="both"/>
        <w:rPr>
          <w:sz w:val="24"/>
          <w:szCs w:val="24"/>
        </w:rPr>
      </w:pPr>
      <w:r>
        <w:rPr>
          <w:color w:val="000000"/>
          <w:spacing w:val="0"/>
          <w:w w:val="100"/>
          <w:position w:val="0"/>
          <w:sz w:val="24"/>
          <w:szCs w:val="24"/>
        </w:rPr>
        <w:t>本集团的主要经营位于中国境内，主要业务以人民币结算。本集团已确认的外币资 产和负债及未来的外币交易</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外币资产和负债及外币交易的计价货币主要为日元、港 元、美元和澳门元</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存在外汇风险。本集团总部财务部门负责监控集团外币交易和外 币资产及负债的规模，以最大程度降低面临的外汇风险；为此，本集团可能会以签 署远期外汇合约或货币互换合约的方式来达到规避外汇风险的目的。</w:t>
      </w:r>
    </w:p>
    <w:p>
      <w:pPr>
        <w:pStyle w:val="Style32"/>
        <w:keepNext w:val="0"/>
        <w:keepLines w:val="0"/>
        <w:widowControl w:val="0"/>
        <w:shd w:val="clear" w:color="auto" w:fill="auto"/>
        <w:bidi w:val="0"/>
        <w:spacing w:before="0" w:after="240" w:line="336" w:lineRule="exact"/>
        <w:ind w:left="700" w:right="0" w:firstLine="20"/>
        <w:jc w:val="both"/>
        <w:rPr>
          <w:sz w:val="24"/>
          <w:szCs w:val="24"/>
        </w:rPr>
      </w:pPr>
      <w:r>
        <w:rPr>
          <w:color w:val="000000"/>
          <w:spacing w:val="0"/>
          <w:w w:val="100"/>
          <w:position w:val="0"/>
          <w:sz w:val="24"/>
          <w:szCs w:val="24"/>
        </w:rPr>
        <w:t>于</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日及</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日，本集团持有的外币金融资产和外币金 融负债折算成人民币的金额列示如下：</w:t>
      </w:r>
    </w:p>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w:t>
      </w:r>
    </w:p>
    <w:tbl>
      <w:tblPr>
        <w:tblOverlap w:val="never"/>
        <w:jc w:val="right"/>
        <w:tblLayout w:type="fixed"/>
      </w:tblPr>
      <w:tblGrid>
        <w:gridCol w:w="1776"/>
        <w:gridCol w:w="1238"/>
        <w:gridCol w:w="1416"/>
        <w:gridCol w:w="1541"/>
        <w:gridCol w:w="1666"/>
        <w:gridCol w:w="1310"/>
      </w:tblGrid>
      <w:tr>
        <w:trPr>
          <w:trHeight w:val="269" w:hRule="exact"/>
        </w:trPr>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日元项目</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港元项目</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both"/>
              <w:rPr>
                <w:sz w:val="20"/>
                <w:szCs w:val="20"/>
              </w:rPr>
            </w:pPr>
            <w:r>
              <w:rPr>
                <w:color w:val="000000"/>
                <w:spacing w:val="0"/>
                <w:w w:val="100"/>
                <w:position w:val="0"/>
                <w:sz w:val="20"/>
                <w:szCs w:val="20"/>
              </w:rPr>
              <w:t>美元项目</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其他项目</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r>
      <w:tr>
        <w:trPr>
          <w:trHeight w:val="533" w:hRule="exact"/>
        </w:trPr>
        <w:tc>
          <w:tcPr>
            <w:tcBorders/>
            <w:shd w:val="clear" w:color="auto" w:fill="FFFFFF"/>
            <w:vAlign w:val="bottom"/>
          </w:tcPr>
          <w:p>
            <w:pPr>
              <w:pStyle w:val="Style28"/>
              <w:keepNext w:val="0"/>
              <w:keepLines w:val="0"/>
              <w:widowControl w:val="0"/>
              <w:shd w:val="clear" w:color="auto" w:fill="auto"/>
              <w:bidi w:val="0"/>
              <w:spacing w:before="0" w:after="0" w:line="264" w:lineRule="exact"/>
              <w:ind w:left="0" w:right="0" w:firstLine="0"/>
              <w:jc w:val="center"/>
              <w:rPr>
                <w:sz w:val="20"/>
                <w:szCs w:val="20"/>
              </w:rPr>
            </w:pPr>
            <w:r>
              <w:rPr>
                <w:color w:val="000000"/>
                <w:spacing w:val="0"/>
                <w:w w:val="100"/>
                <w:position w:val="0"/>
                <w:sz w:val="20"/>
                <w:szCs w:val="20"/>
              </w:rPr>
              <w:t>外币金融资产</w:t>
            </w:r>
            <w:r>
              <w:rPr>
                <w:rFonts w:ascii="Times New Roman" w:eastAsia="Times New Roman" w:hAnsi="Times New Roman" w:cs="Times New Roman"/>
                <w:color w:val="000000"/>
                <w:spacing w:val="0"/>
                <w:w w:val="100"/>
                <w:position w:val="0"/>
                <w:sz w:val="20"/>
                <w:szCs w:val="20"/>
              </w:rPr>
              <w:t xml:space="preserve">- </w:t>
            </w:r>
            <w:r>
              <w:rPr>
                <w:color w:val="000000"/>
                <w:spacing w:val="0"/>
                <w:w w:val="100"/>
                <w:position w:val="0"/>
                <w:sz w:val="20"/>
                <w:szCs w:val="20"/>
              </w:rPr>
              <w:t>货币资金</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2,301</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464</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223,358</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69,555</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295,678</w:t>
            </w:r>
          </w:p>
        </w:tc>
      </w:tr>
      <w:tr>
        <w:trPr>
          <w:trHeight w:val="1037" w:hRule="exact"/>
        </w:trPr>
        <w:tc>
          <w:tcPr>
            <w:tcBorders/>
            <w:shd w:val="clear" w:color="auto" w:fill="FFFFFF"/>
            <w:vAlign w:val="top"/>
          </w:tcPr>
          <w:p>
            <w:pPr>
              <w:pStyle w:val="Style28"/>
              <w:keepNext w:val="0"/>
              <w:keepLines w:val="0"/>
              <w:widowControl w:val="0"/>
              <w:shd w:val="clear" w:color="auto" w:fill="auto"/>
              <w:bidi w:val="0"/>
              <w:spacing w:before="0" w:after="0" w:line="259" w:lineRule="exact"/>
              <w:ind w:left="440" w:right="0" w:hanging="200"/>
              <w:jc w:val="left"/>
              <w:rPr>
                <w:sz w:val="20"/>
                <w:szCs w:val="20"/>
              </w:rPr>
            </w:pPr>
            <w:r>
              <w:rPr>
                <w:color w:val="000000"/>
                <w:spacing w:val="0"/>
                <w:w w:val="100"/>
                <w:position w:val="0"/>
                <w:sz w:val="20"/>
                <w:szCs w:val="20"/>
              </w:rPr>
              <w:t>以公允价值计量 且其变动计 入当期损益 的金融资产</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1,145,708</w:t>
            </w:r>
          </w:p>
        </w:tc>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1,145,708</w:t>
            </w:r>
          </w:p>
        </w:tc>
      </w:tr>
      <w:tr>
        <w:trPr>
          <w:trHeight w:val="509" w:hRule="exact"/>
        </w:trPr>
        <w:tc>
          <w:tcPr>
            <w:tcBorders/>
            <w:shd w:val="clear" w:color="auto" w:fill="FFFFFF"/>
            <w:vAlign w:val="bottom"/>
          </w:tcPr>
          <w:p>
            <w:pPr>
              <w:pStyle w:val="Style28"/>
              <w:keepNext w:val="0"/>
              <w:keepLines w:val="0"/>
              <w:widowControl w:val="0"/>
              <w:shd w:val="clear" w:color="auto" w:fill="auto"/>
              <w:bidi w:val="0"/>
              <w:spacing w:before="0" w:after="0" w:line="245" w:lineRule="exact"/>
              <w:ind w:left="440" w:right="0" w:hanging="200"/>
              <w:jc w:val="left"/>
              <w:rPr>
                <w:sz w:val="20"/>
                <w:szCs w:val="20"/>
              </w:rPr>
            </w:pPr>
            <w:r>
              <w:rPr>
                <w:color w:val="000000"/>
                <w:spacing w:val="0"/>
                <w:w w:val="100"/>
                <w:position w:val="0"/>
                <w:sz w:val="20"/>
                <w:szCs w:val="20"/>
              </w:rPr>
              <w:t>可供出售金融 资产</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34,956</w:t>
            </w:r>
          </w:p>
        </w:tc>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34,956</w:t>
            </w:r>
          </w:p>
        </w:tc>
      </w:tr>
      <w:tr>
        <w:trPr>
          <w:trHeight w:val="250" w:hRule="exact"/>
        </w:trPr>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2,301</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464</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1,404,022</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69,555</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1,476,342</w:t>
            </w:r>
          </w:p>
        </w:tc>
      </w:tr>
      <w:tr>
        <w:trPr>
          <w:trHeight w:val="826" w:hRule="exact"/>
        </w:trPr>
        <w:tc>
          <w:tcPr>
            <w:tcBorders/>
            <w:shd w:val="clear" w:color="auto" w:fill="FFFFFF"/>
            <w:vAlign w:val="bottom"/>
          </w:tcPr>
          <w:p>
            <w:pPr>
              <w:pStyle w:val="Style28"/>
              <w:keepNext w:val="0"/>
              <w:keepLines w:val="0"/>
              <w:widowControl w:val="0"/>
              <w:shd w:val="clear" w:color="auto" w:fill="auto"/>
              <w:bidi w:val="0"/>
              <w:spacing w:before="0" w:after="0" w:line="264" w:lineRule="exact"/>
              <w:ind w:left="0" w:right="0" w:firstLine="0"/>
              <w:jc w:val="center"/>
              <w:rPr>
                <w:sz w:val="20"/>
                <w:szCs w:val="20"/>
              </w:rPr>
            </w:pPr>
            <w:r>
              <w:rPr>
                <w:color w:val="000000"/>
                <w:spacing w:val="0"/>
                <w:w w:val="100"/>
                <w:position w:val="0"/>
                <w:sz w:val="20"/>
                <w:szCs w:val="20"/>
              </w:rPr>
              <w:t>外币金融负债</w:t>
            </w:r>
            <w:r>
              <w:rPr>
                <w:rFonts w:ascii="Times New Roman" w:eastAsia="Times New Roman" w:hAnsi="Times New Roman" w:cs="Times New Roman"/>
                <w:color w:val="000000"/>
                <w:spacing w:val="0"/>
                <w:w w:val="100"/>
                <w:position w:val="0"/>
                <w:sz w:val="20"/>
                <w:szCs w:val="20"/>
              </w:rPr>
              <w:t xml:space="preserve">- </w:t>
            </w:r>
            <w:r>
              <w:rPr>
                <w:color w:val="000000"/>
                <w:spacing w:val="0"/>
                <w:w w:val="100"/>
                <w:position w:val="0"/>
                <w:sz w:val="20"/>
                <w:szCs w:val="20"/>
              </w:rPr>
              <w:t>其他非流动 负债</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15,005</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15,005</w:t>
            </w:r>
          </w:p>
        </w:tc>
      </w:tr>
    </w:tbl>
    <w:p>
      <w:pPr>
        <w:sectPr>
          <w:footnotePr>
            <w:pos w:val="pageBottom"/>
            <w:numFmt w:val="decimal"/>
            <w:numRestart w:val="continuous"/>
          </w:footnotePr>
          <w:pgSz w:w="11900" w:h="16840"/>
          <w:pgMar w:top="1326" w:right="540" w:bottom="1600" w:left="1702" w:header="0" w:footer="3" w:gutter="0"/>
          <w:cols w:space="720"/>
          <w:noEndnote/>
          <w:rtlGutter w:val="0"/>
          <w:docGrid w:linePitch="360"/>
        </w:sectPr>
      </w:pPr>
    </w:p>
    <w:p>
      <w:pPr>
        <w:pStyle w:val="Style32"/>
        <w:keepNext w:val="0"/>
        <w:keepLines w:val="0"/>
        <w:widowControl w:val="0"/>
        <w:shd w:val="clear" w:color="auto" w:fill="auto"/>
        <w:bidi w:val="0"/>
        <w:spacing w:before="0" w:after="0" w:line="240" w:lineRule="auto"/>
        <w:ind w:left="0" w:right="0" w:firstLine="700"/>
        <w:jc w:val="left"/>
        <w:rPr>
          <w:sz w:val="24"/>
          <w:szCs w:val="24"/>
        </w:rPr>
      </w:pPr>
      <w:r>
        <w:rPr>
          <w:b/>
          <w:bCs/>
          <w:color w:val="000000"/>
          <w:spacing w:val="0"/>
          <w:w w:val="100"/>
          <w:position w:val="0"/>
          <w:sz w:val="24"/>
          <w:szCs w:val="24"/>
        </w:rPr>
        <w:t>财务报表附注</w:t>
      </w:r>
    </w:p>
    <w:p>
      <w:pPr>
        <w:pStyle w:val="Style88"/>
        <w:keepNext/>
        <w:keepLines/>
        <w:widowControl w:val="0"/>
        <w:shd w:val="clear" w:color="auto" w:fill="auto"/>
        <w:bidi w:val="0"/>
        <w:spacing w:before="0" w:after="0" w:line="240" w:lineRule="auto"/>
        <w:ind w:left="0" w:right="0"/>
        <w:jc w:val="left"/>
      </w:pPr>
      <w:bookmarkStart w:id="1131" w:name="bookmark1131"/>
      <w:bookmarkStart w:id="1132" w:name="bookmark1132"/>
      <w:bookmarkStart w:id="1133" w:name="bookmark1133"/>
      <w:r>
        <w:rPr>
          <w:color w:val="000000"/>
          <w:spacing w:val="0"/>
          <w:w w:val="100"/>
          <w:position w:val="0"/>
          <w:sz w:val="24"/>
          <w:szCs w:val="24"/>
        </w:rPr>
        <w:t>2016</w:t>
      </w:r>
      <w:r>
        <w:rPr>
          <w:rFonts w:ascii="SimSun" w:eastAsia="SimSun" w:hAnsi="SimSun" w:cs="SimSun"/>
          <w:b/>
          <w:bCs/>
          <w:color w:val="000000"/>
          <w:spacing w:val="0"/>
          <w:w w:val="100"/>
          <w:position w:val="0"/>
          <w:sz w:val="24"/>
          <w:szCs w:val="24"/>
        </w:rPr>
        <w:t>年度</w:t>
      </w:r>
      <w:bookmarkEnd w:id="1131"/>
      <w:bookmarkEnd w:id="1132"/>
      <w:bookmarkEnd w:id="1133"/>
    </w:p>
    <w:p>
      <w:pPr>
        <w:pStyle w:val="Style32"/>
        <w:keepNext w:val="0"/>
        <w:keepLines w:val="0"/>
        <w:widowControl w:val="0"/>
        <w:shd w:val="clear" w:color="auto" w:fill="auto"/>
        <w:bidi w:val="0"/>
        <w:spacing w:before="0" w:after="220" w:line="240" w:lineRule="auto"/>
        <w:ind w:left="0" w:right="0" w:firstLine="700"/>
        <w:jc w:val="left"/>
        <w:rPr>
          <w:sz w:val="20"/>
          <w:szCs w:val="20"/>
        </w:rPr>
      </w:pPr>
      <w:r>
        <w:rPr>
          <w:rFonts w:ascii="Arial" w:eastAsia="Arial" w:hAnsi="Arial" w:cs="Arial"/>
          <w:color w:val="000000"/>
          <w:spacing w:val="0"/>
          <w:w w:val="100"/>
          <w:position w:val="0"/>
          <w:sz w:val="20"/>
          <w:szCs w:val="20"/>
        </w:rPr>
        <w:t>（</w:t>
      </w:r>
      <w:r>
        <w:rPr>
          <w:color w:val="000000"/>
          <w:spacing w:val="0"/>
          <w:w w:val="100"/>
          <w:position w:val="0"/>
          <w:sz w:val="20"/>
          <w:szCs w:val="20"/>
        </w:rPr>
        <w:t>除特别注明外，金额单位为人民币千元</w:t>
      </w:r>
      <w:r>
        <w:rPr>
          <w:rFonts w:ascii="Arial" w:eastAsia="Arial" w:hAnsi="Arial" w:cs="Arial"/>
          <w:color w:val="000000"/>
          <w:spacing w:val="0"/>
          <w:w w:val="100"/>
          <w:position w:val="0"/>
          <w:sz w:val="20"/>
          <w:szCs w:val="20"/>
        </w:rPr>
        <w:t>）</w:t>
      </w:r>
    </w:p>
    <w:p>
      <w:pPr>
        <w:pStyle w:val="Style32"/>
        <w:keepNext w:val="0"/>
        <w:keepLines w:val="0"/>
        <w:widowControl w:val="0"/>
        <w:shd w:val="clear" w:color="auto" w:fill="auto"/>
        <w:bidi w:val="0"/>
        <w:spacing w:before="0" w:after="260" w:line="240" w:lineRule="auto"/>
        <w:ind w:left="0" w:right="0" w:firstLine="0"/>
        <w:jc w:val="left"/>
        <w:rPr>
          <w:sz w:val="24"/>
          <w:szCs w:val="24"/>
        </w:rPr>
      </w:pPr>
      <w:r>
        <w:rPr>
          <w:b/>
          <w:bCs/>
          <w:color w:val="000000"/>
          <w:spacing w:val="0"/>
          <w:w w:val="100"/>
          <w:position w:val="0"/>
          <w:sz w:val="24"/>
          <w:szCs w:val="24"/>
        </w:rPr>
        <w:t>十四金融风险</w:t>
      </w:r>
      <w:r>
        <w:rPr>
          <w:rFonts w:ascii="Times New Roman" w:eastAsia="Times New Roman" w:hAnsi="Times New Roman" w:cs="Times New Roman"/>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4"/>
          <w:szCs w:val="24"/>
        </w:rPr>
        <w:t>）</w:t>
      </w:r>
    </w:p>
    <w:p>
      <w:pPr>
        <w:pStyle w:val="Style53"/>
        <w:keepNext w:val="0"/>
        <w:keepLines w:val="0"/>
        <w:widowControl w:val="0"/>
        <w:shd w:val="clear" w:color="auto" w:fill="auto"/>
        <w:tabs>
          <w:tab w:pos="629" w:val="left"/>
        </w:tabs>
        <w:bidi w:val="0"/>
        <w:spacing w:before="0" w:after="220" w:line="240" w:lineRule="auto"/>
        <w:ind w:left="0" w:right="0" w:firstLine="0"/>
        <w:jc w:val="left"/>
        <w:rPr>
          <w:sz w:val="24"/>
          <w:szCs w:val="24"/>
        </w:rPr>
      </w:pPr>
      <w:r>
        <w:rPr>
          <w:color w:val="000000"/>
          <w:spacing w:val="0"/>
          <w:w w:val="100"/>
          <w:position w:val="0"/>
          <w:sz w:val="24"/>
          <w:szCs w:val="24"/>
        </w:rPr>
        <w:t>（1）</w:t>
        <w:tab/>
      </w:r>
      <w:r>
        <w:rPr>
          <w:rFonts w:ascii="SimSun" w:eastAsia="SimSun" w:hAnsi="SimSun" w:cs="SimSun"/>
          <w:b/>
          <w:bCs/>
          <w:color w:val="000000"/>
          <w:spacing w:val="0"/>
          <w:w w:val="100"/>
          <w:position w:val="0"/>
          <w:sz w:val="24"/>
          <w:szCs w:val="24"/>
        </w:rPr>
        <w:t>市场风险</w:t>
      </w:r>
      <w:r>
        <w:rPr>
          <w:color w:val="000000"/>
          <w:spacing w:val="0"/>
          <w:w w:val="100"/>
          <w:position w:val="0"/>
          <w:sz w:val="24"/>
          <w:szCs w:val="24"/>
        </w:rPr>
        <w:t>（</w:t>
      </w:r>
      <w:r>
        <w:rPr>
          <w:rFonts w:ascii="SimSun" w:eastAsia="SimSun" w:hAnsi="SimSun" w:cs="SimSun"/>
          <w:b/>
          <w:bCs/>
          <w:color w:val="000000"/>
          <w:spacing w:val="0"/>
          <w:w w:val="100"/>
          <w:position w:val="0"/>
          <w:sz w:val="24"/>
          <w:szCs w:val="24"/>
        </w:rPr>
        <w:t>续</w:t>
      </w:r>
      <w:r>
        <w:rPr>
          <w:rFonts w:ascii="SimSun" w:eastAsia="SimSun" w:hAnsi="SimSun" w:cs="SimSun"/>
          <w:color w:val="000000"/>
          <w:spacing w:val="0"/>
          <w:w w:val="100"/>
          <w:position w:val="0"/>
          <w:sz w:val="24"/>
          <w:szCs w:val="24"/>
        </w:rPr>
        <w:t>）</w:t>
      </w:r>
    </w:p>
    <w:p>
      <w:pPr>
        <w:pStyle w:val="Style53"/>
        <w:keepNext w:val="0"/>
        <w:keepLines w:val="0"/>
        <w:widowControl w:val="0"/>
        <w:shd w:val="clear" w:color="auto" w:fill="auto"/>
        <w:tabs>
          <w:tab w:pos="629" w:val="left"/>
        </w:tabs>
        <w:bidi w:val="0"/>
        <w:spacing w:before="0" w:after="260" w:line="240" w:lineRule="auto"/>
        <w:ind w:left="0" w:right="0" w:firstLine="0"/>
        <w:jc w:val="left"/>
        <w:rPr>
          <w:sz w:val="24"/>
          <w:szCs w:val="24"/>
        </w:rPr>
      </w:pPr>
      <w:r>
        <w:rPr>
          <w:color w:val="000000"/>
          <w:spacing w:val="0"/>
          <w:w w:val="100"/>
          <w:position w:val="0"/>
          <w:sz w:val="24"/>
          <w:szCs w:val="24"/>
        </w:rPr>
        <w:t>（a）</w:t>
        <w:tab/>
      </w:r>
      <w:r>
        <w:rPr>
          <w:rFonts w:ascii="SimSun" w:eastAsia="SimSun" w:hAnsi="SimSun" w:cs="SimSun"/>
          <w:color w:val="000000"/>
          <w:spacing w:val="0"/>
          <w:w w:val="100"/>
          <w:position w:val="0"/>
          <w:sz w:val="24"/>
          <w:szCs w:val="24"/>
        </w:rPr>
        <w:t>外汇风险</w:t>
      </w:r>
      <w:r>
        <w:rPr>
          <w:color w:val="000000"/>
          <w:spacing w:val="0"/>
          <w:w w:val="100"/>
          <w:position w:val="0"/>
          <w:sz w:val="24"/>
          <w:szCs w:val="24"/>
        </w:rPr>
        <w:t>（</w:t>
      </w:r>
      <w:r>
        <w:rPr>
          <w:rFonts w:ascii="SimSun" w:eastAsia="SimSun" w:hAnsi="SimSun" w:cs="SimSun"/>
          <w:color w:val="000000"/>
          <w:spacing w:val="0"/>
          <w:w w:val="100"/>
          <w:position w:val="0"/>
          <w:sz w:val="24"/>
          <w:szCs w:val="24"/>
        </w:rPr>
        <w:t>续</w:t>
      </w:r>
      <w:r>
        <w:rPr>
          <w:rFonts w:ascii="SimSun" w:eastAsia="SimSun" w:hAnsi="SimSun" w:cs="SimSun"/>
          <w:color w:val="000000"/>
          <w:spacing w:val="0"/>
          <w:w w:val="100"/>
          <w:position w:val="0"/>
          <w:sz w:val="24"/>
          <w:szCs w:val="24"/>
        </w:rPr>
        <w:t>）</w:t>
      </w:r>
    </w:p>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2015</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w:t>
      </w:r>
    </w:p>
    <w:tbl>
      <w:tblPr>
        <w:tblOverlap w:val="never"/>
        <w:jc w:val="right"/>
        <w:tblLayout w:type="fixed"/>
      </w:tblPr>
      <w:tblGrid>
        <w:gridCol w:w="1546"/>
        <w:gridCol w:w="1378"/>
        <w:gridCol w:w="1426"/>
        <w:gridCol w:w="1430"/>
        <w:gridCol w:w="1781"/>
        <w:gridCol w:w="1320"/>
      </w:tblGrid>
      <w:tr>
        <w:trPr>
          <w:trHeight w:val="269" w:hRule="exact"/>
        </w:trPr>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日元项目</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港元项目</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美元项目</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其他项目</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合计</w:t>
            </w:r>
          </w:p>
        </w:tc>
      </w:tr>
      <w:tr>
        <w:trPr>
          <w:trHeight w:val="547" w:hRule="exact"/>
        </w:trPr>
        <w:tc>
          <w:tcPr>
            <w:tcBorders/>
            <w:shd w:val="clear" w:color="auto" w:fill="FFFFFF"/>
            <w:vAlign w:val="top"/>
          </w:tcPr>
          <w:p>
            <w:pPr>
              <w:pStyle w:val="Style28"/>
              <w:keepNext w:val="0"/>
              <w:keepLines w:val="0"/>
              <w:widowControl w:val="0"/>
              <w:shd w:val="clear" w:color="auto" w:fill="auto"/>
              <w:bidi w:val="0"/>
              <w:spacing w:before="0" w:after="0" w:line="264" w:lineRule="exact"/>
              <w:ind w:left="0" w:right="0" w:firstLine="0"/>
              <w:jc w:val="center"/>
              <w:rPr>
                <w:sz w:val="20"/>
                <w:szCs w:val="20"/>
              </w:rPr>
            </w:pPr>
            <w:r>
              <w:rPr>
                <w:color w:val="000000"/>
                <w:spacing w:val="0"/>
                <w:w w:val="100"/>
                <w:position w:val="0"/>
                <w:sz w:val="20"/>
                <w:szCs w:val="20"/>
              </w:rPr>
              <w:t>外币金融资产</w:t>
            </w:r>
            <w:r>
              <w:rPr>
                <w:rFonts w:ascii="Times New Roman" w:eastAsia="Times New Roman" w:hAnsi="Times New Roman" w:cs="Times New Roman"/>
                <w:color w:val="000000"/>
                <w:spacing w:val="0"/>
                <w:w w:val="100"/>
                <w:position w:val="0"/>
                <w:sz w:val="20"/>
                <w:szCs w:val="20"/>
              </w:rPr>
              <w:t xml:space="preserve">- </w:t>
            </w:r>
            <w:r>
              <w:rPr>
                <w:color w:val="000000"/>
                <w:spacing w:val="0"/>
                <w:w w:val="100"/>
                <w:position w:val="0"/>
                <w:sz w:val="20"/>
                <w:szCs w:val="20"/>
              </w:rPr>
              <w:t>货币资金</w:t>
            </w:r>
          </w:p>
        </w:tc>
        <w:tc>
          <w:tcPr>
            <w:tcBorders>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60"/>
              <w:jc w:val="left"/>
              <w:rPr>
                <w:sz w:val="20"/>
                <w:szCs w:val="20"/>
              </w:rPr>
            </w:pPr>
            <w:r>
              <w:rPr>
                <w:rFonts w:ascii="Times New Roman" w:eastAsia="Times New Roman" w:hAnsi="Times New Roman" w:cs="Times New Roman"/>
                <w:color w:val="000000"/>
                <w:spacing w:val="0"/>
                <w:w w:val="100"/>
                <w:position w:val="0"/>
                <w:sz w:val="20"/>
                <w:szCs w:val="20"/>
              </w:rPr>
              <w:t>445</w:t>
            </w:r>
          </w:p>
        </w:tc>
        <w:tc>
          <w:tcPr>
            <w:tcBorders>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00"/>
              <w:jc w:val="left"/>
              <w:rPr>
                <w:sz w:val="20"/>
                <w:szCs w:val="20"/>
              </w:rPr>
            </w:pPr>
            <w:r>
              <w:rPr>
                <w:rFonts w:ascii="Times New Roman" w:eastAsia="Times New Roman" w:hAnsi="Times New Roman" w:cs="Times New Roman"/>
                <w:color w:val="000000"/>
                <w:spacing w:val="0"/>
                <w:w w:val="100"/>
                <w:position w:val="0"/>
                <w:sz w:val="20"/>
                <w:szCs w:val="20"/>
              </w:rPr>
              <w:t>162</w:t>
            </w:r>
          </w:p>
        </w:tc>
        <w:tc>
          <w:tcPr>
            <w:tcBorders>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300" w:firstLine="0"/>
              <w:jc w:val="right"/>
              <w:rPr>
                <w:sz w:val="20"/>
                <w:szCs w:val="20"/>
              </w:rPr>
            </w:pPr>
            <w:r>
              <w:rPr>
                <w:rFonts w:ascii="Times New Roman" w:eastAsia="Times New Roman" w:hAnsi="Times New Roman" w:cs="Times New Roman"/>
                <w:color w:val="000000"/>
                <w:spacing w:val="0"/>
                <w:w w:val="100"/>
                <w:position w:val="0"/>
                <w:sz w:val="20"/>
                <w:szCs w:val="20"/>
              </w:rPr>
              <w:t>27,053</w:t>
            </w: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27,660</w:t>
            </w:r>
          </w:p>
        </w:tc>
      </w:tr>
    </w:tbl>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外币金融负债</w:t>
      </w:r>
      <w:r>
        <w:rPr>
          <w:rFonts w:ascii="Times New Roman" w:eastAsia="Times New Roman" w:hAnsi="Times New Roman" w:cs="Times New Roman"/>
          <w:color w:val="000000"/>
          <w:spacing w:val="0"/>
          <w:w w:val="100"/>
          <w:position w:val="0"/>
          <w:sz w:val="20"/>
          <w:szCs w:val="20"/>
        </w:rPr>
        <w:t>-</w:t>
      </w:r>
    </w:p>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其他非流动</w:t>
      </w:r>
    </w:p>
    <w:p>
      <w:pPr>
        <w:pStyle w:val="Style25"/>
        <w:keepNext w:val="0"/>
        <w:keepLines w:val="0"/>
        <w:widowControl w:val="0"/>
        <w:shd w:val="clear" w:color="auto" w:fill="auto"/>
        <w:tabs>
          <w:tab w:pos="1707" w:val="left"/>
          <w:tab w:leader="underscore" w:pos="2533" w:val="left"/>
          <w:tab w:pos="2970" w:val="left"/>
          <w:tab w:leader="underscore" w:pos="3958" w:val="left"/>
          <w:tab w:pos="4942" w:val="left"/>
          <w:tab w:pos="5826" w:val="left"/>
          <w:tab w:leader="underscore" w:pos="7194" w:val="left"/>
          <w:tab w:leader="underscore" w:pos="8293" w:val="left"/>
        </w:tabs>
        <w:bidi w:val="0"/>
        <w:spacing w:before="0" w:after="0" w:line="240" w:lineRule="auto"/>
        <w:ind w:left="0" w:right="0" w:firstLine="0"/>
        <w:jc w:val="left"/>
        <w:rPr>
          <w:sz w:val="18"/>
          <w:szCs w:val="18"/>
        </w:rPr>
      </w:pPr>
      <w:r>
        <w:rPr>
          <w:color w:val="000000"/>
          <w:spacing w:val="0"/>
          <w:w w:val="100"/>
          <w:position w:val="0"/>
          <w:sz w:val="20"/>
          <w:szCs w:val="20"/>
        </w:rPr>
        <w:t>负债</w:t>
        <w:tab/>
        <w:tab/>
        <w:t>-</w:t>
        <w:tab/>
        <w:tab/>
        <w:t>-</w:t>
        <w:tab/>
      </w:r>
      <w:r>
        <w:rPr>
          <w:rFonts w:ascii="Times New Roman" w:eastAsia="Times New Roman" w:hAnsi="Times New Roman" w:cs="Times New Roman"/>
          <w:color w:val="000000"/>
          <w:spacing w:val="0"/>
          <w:w w:val="100"/>
          <w:position w:val="0"/>
          <w:sz w:val="18"/>
          <w:szCs w:val="18"/>
          <w:u w:val="single"/>
        </w:rPr>
        <w:t>20,499</w:t>
      </w:r>
      <w:r>
        <w:rPr>
          <w:rFonts w:ascii="Times New Roman" w:eastAsia="Times New Roman" w:hAnsi="Times New Roman" w:cs="Times New Roman"/>
          <w:color w:val="000000"/>
          <w:spacing w:val="0"/>
          <w:w w:val="100"/>
          <w:position w:val="0"/>
          <w:sz w:val="18"/>
          <w:szCs w:val="18"/>
        </w:rPr>
        <w:tab/>
        <w:tab/>
        <w:t xml:space="preserve"> </w:t>
        <w:tab/>
      </w:r>
      <w:r>
        <w:rPr>
          <w:rFonts w:ascii="Times New Roman" w:eastAsia="Times New Roman" w:hAnsi="Times New Roman" w:cs="Times New Roman"/>
          <w:color w:val="000000"/>
          <w:spacing w:val="0"/>
          <w:w w:val="100"/>
          <w:position w:val="0"/>
          <w:sz w:val="18"/>
          <w:szCs w:val="18"/>
          <w:u w:val="single"/>
        </w:rPr>
        <w:t>20,499</w:t>
      </w:r>
    </w:p>
    <w:p>
      <w:pPr>
        <w:widowControl w:val="0"/>
        <w:spacing w:after="219" w:line="1" w:lineRule="exact"/>
      </w:pPr>
    </w:p>
    <w:p>
      <w:pPr>
        <w:pStyle w:val="Style32"/>
        <w:keepNext w:val="0"/>
        <w:keepLines w:val="0"/>
        <w:widowControl w:val="0"/>
        <w:shd w:val="clear" w:color="auto" w:fill="auto"/>
        <w:bidi w:val="0"/>
        <w:spacing w:before="0" w:after="260" w:line="310" w:lineRule="exact"/>
        <w:ind w:left="700" w:right="0" w:firstLine="40"/>
        <w:jc w:val="both"/>
        <w:rPr>
          <w:sz w:val="24"/>
          <w:szCs w:val="24"/>
        </w:rPr>
      </w:pPr>
      <w:r>
        <w:rPr>
          <w:color w:val="000000"/>
          <w:spacing w:val="0"/>
          <w:w w:val="100"/>
          <w:position w:val="0"/>
          <w:sz w:val="24"/>
          <w:szCs w:val="24"/>
        </w:rPr>
        <w:t>于</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日，对于本集团各类日元金融资产和金融负债，如果人民币对日 元升值或贬值</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 xml:space="preserve">，其他因素保持不变，则本集团将减少或增加利润总额约人民币 </w:t>
      </w:r>
      <w:r>
        <w:rPr>
          <w:rFonts w:ascii="Times New Roman" w:eastAsia="Times New Roman" w:hAnsi="Times New Roman" w:cs="Times New Roman"/>
          <w:color w:val="000000"/>
          <w:spacing w:val="0"/>
          <w:w w:val="100"/>
          <w:position w:val="0"/>
          <w:sz w:val="24"/>
          <w:szCs w:val="24"/>
        </w:rPr>
        <w:t>23</w:t>
      </w:r>
      <w:r>
        <w:rPr>
          <w:color w:val="000000"/>
          <w:spacing w:val="0"/>
          <w:w w:val="100"/>
          <w:position w:val="0"/>
          <w:sz w:val="24"/>
          <w:szCs w:val="24"/>
        </w:rPr>
        <w:t>万元</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日：减少或增加约人民币</w:t>
      </w:r>
      <w:r>
        <w:rPr>
          <w:rFonts w:ascii="Times New Roman" w:eastAsia="Times New Roman" w:hAnsi="Times New Roman" w:cs="Times New Roman"/>
          <w:color w:val="000000"/>
          <w:spacing w:val="0"/>
          <w:w w:val="100"/>
          <w:position w:val="0"/>
          <w:sz w:val="24"/>
          <w:szCs w:val="24"/>
        </w:rPr>
        <w:t>4.5</w:t>
      </w:r>
      <w:r>
        <w:rPr>
          <w:color w:val="000000"/>
          <w:spacing w:val="0"/>
          <w:w w:val="100"/>
          <w:position w:val="0"/>
          <w:sz w:val="24"/>
          <w:szCs w:val="24"/>
        </w:rPr>
        <w:t>万元</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w:t>
      </w:r>
    </w:p>
    <w:p>
      <w:pPr>
        <w:pStyle w:val="Style32"/>
        <w:keepNext w:val="0"/>
        <w:keepLines w:val="0"/>
        <w:widowControl w:val="0"/>
        <w:shd w:val="clear" w:color="auto" w:fill="auto"/>
        <w:bidi w:val="0"/>
        <w:spacing w:before="0" w:after="260" w:line="310" w:lineRule="exact"/>
        <w:ind w:left="700" w:right="0" w:firstLine="40"/>
        <w:jc w:val="both"/>
        <w:rPr>
          <w:sz w:val="24"/>
          <w:szCs w:val="24"/>
        </w:rPr>
      </w:pPr>
      <w:r>
        <w:rPr>
          <w:color w:val="000000"/>
          <w:spacing w:val="0"/>
          <w:w w:val="100"/>
          <w:position w:val="0"/>
          <w:sz w:val="24"/>
          <w:szCs w:val="24"/>
        </w:rPr>
        <w:t>于</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日，对于本集团各类港元金融资产和金融负债，如果人民币对港 元升值或贬值</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 xml:space="preserve">，其他因素保持不变，则本集团将减少或增加利润总额约人民币 </w:t>
      </w:r>
      <w:r>
        <w:rPr>
          <w:rFonts w:ascii="Times New Roman" w:eastAsia="Times New Roman" w:hAnsi="Times New Roman" w:cs="Times New Roman"/>
          <w:color w:val="000000"/>
          <w:spacing w:val="0"/>
          <w:w w:val="100"/>
          <w:position w:val="0"/>
          <w:sz w:val="24"/>
          <w:szCs w:val="24"/>
        </w:rPr>
        <w:t>4.6</w:t>
      </w:r>
      <w:r>
        <w:rPr>
          <w:color w:val="000000"/>
          <w:spacing w:val="0"/>
          <w:w w:val="100"/>
          <w:position w:val="0"/>
          <w:sz w:val="24"/>
          <w:szCs w:val="24"/>
        </w:rPr>
        <w:t>万元</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日：减少或增加约人民币</w:t>
      </w:r>
      <w:r>
        <w:rPr>
          <w:rFonts w:ascii="Times New Roman" w:eastAsia="Times New Roman" w:hAnsi="Times New Roman" w:cs="Times New Roman"/>
          <w:color w:val="000000"/>
          <w:spacing w:val="0"/>
          <w:w w:val="100"/>
          <w:position w:val="0"/>
          <w:sz w:val="24"/>
          <w:szCs w:val="24"/>
        </w:rPr>
        <w:t>1.6</w:t>
      </w:r>
      <w:r>
        <w:rPr>
          <w:color w:val="000000"/>
          <w:spacing w:val="0"/>
          <w:w w:val="100"/>
          <w:position w:val="0"/>
          <w:sz w:val="24"/>
          <w:szCs w:val="24"/>
        </w:rPr>
        <w:t>万元</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w:t>
      </w:r>
    </w:p>
    <w:p>
      <w:pPr>
        <w:pStyle w:val="Style32"/>
        <w:keepNext w:val="0"/>
        <w:keepLines w:val="0"/>
        <w:widowControl w:val="0"/>
        <w:shd w:val="clear" w:color="auto" w:fill="auto"/>
        <w:bidi w:val="0"/>
        <w:spacing w:before="0" w:after="240" w:line="310" w:lineRule="exact"/>
        <w:ind w:left="700" w:right="0" w:firstLine="40"/>
        <w:jc w:val="both"/>
        <w:rPr>
          <w:sz w:val="24"/>
          <w:szCs w:val="24"/>
        </w:rPr>
        <w:sectPr>
          <w:footnotePr>
            <w:pos w:val="pageBottom"/>
            <w:numFmt w:val="decimal"/>
            <w:numRestart w:val="continuous"/>
          </w:footnotePr>
          <w:pgSz w:w="11900" w:h="16840"/>
          <w:pgMar w:top="1326" w:right="612" w:bottom="1600" w:left="1702" w:header="0" w:footer="3" w:gutter="0"/>
          <w:cols w:space="720"/>
          <w:noEndnote/>
          <w:rtlGutter w:val="0"/>
          <w:docGrid w:linePitch="360"/>
        </w:sectPr>
      </w:pPr>
      <w:r>
        <w:rPr>
          <w:color w:val="000000"/>
          <w:spacing w:val="0"/>
          <w:w w:val="100"/>
          <w:position w:val="0"/>
          <w:sz w:val="24"/>
          <w:szCs w:val="24"/>
        </w:rPr>
        <w:t>于</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日，对于本集团各类美元金融资产和金融负债，如果人民币对美 元升值或贬值</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 xml:space="preserve">，其他因素保持不变，则本集团将减少或增加利润总额约人民币 </w:t>
      </w:r>
      <w:r>
        <w:rPr>
          <w:rFonts w:ascii="Times New Roman" w:eastAsia="Times New Roman" w:hAnsi="Times New Roman" w:cs="Times New Roman"/>
          <w:color w:val="000000"/>
          <w:spacing w:val="0"/>
          <w:w w:val="100"/>
          <w:position w:val="0"/>
          <w:sz w:val="24"/>
          <w:szCs w:val="24"/>
        </w:rPr>
        <w:t>1.39</w:t>
      </w:r>
      <w:r>
        <w:rPr>
          <w:color w:val="000000"/>
          <w:spacing w:val="0"/>
          <w:w w:val="100"/>
          <w:position w:val="0"/>
          <w:sz w:val="24"/>
          <w:szCs w:val="24"/>
        </w:rPr>
        <w:t>亿元</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日：增加或减少约人民币</w:t>
      </w:r>
      <w:r>
        <w:rPr>
          <w:rFonts w:ascii="Times New Roman" w:eastAsia="Times New Roman" w:hAnsi="Times New Roman" w:cs="Times New Roman"/>
          <w:color w:val="000000"/>
          <w:spacing w:val="0"/>
          <w:w w:val="100"/>
          <w:position w:val="0"/>
          <w:sz w:val="24"/>
          <w:szCs w:val="24"/>
        </w:rPr>
        <w:t>65.5</w:t>
      </w:r>
      <w:r>
        <w:rPr>
          <w:color w:val="000000"/>
          <w:spacing w:val="0"/>
          <w:w w:val="100"/>
          <w:position w:val="0"/>
          <w:sz w:val="24"/>
          <w:szCs w:val="24"/>
        </w:rPr>
        <w:t>万元</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w:t>
      </w:r>
    </w:p>
    <w:p>
      <w:pPr>
        <w:pStyle w:val="Style32"/>
        <w:keepNext w:val="0"/>
        <w:keepLines w:val="0"/>
        <w:widowControl w:val="0"/>
        <w:shd w:val="clear" w:color="auto" w:fill="auto"/>
        <w:bidi w:val="0"/>
        <w:spacing w:before="0" w:after="0" w:line="240" w:lineRule="auto"/>
        <w:ind w:left="0" w:right="0" w:firstLine="720"/>
        <w:jc w:val="left"/>
        <w:rPr>
          <w:sz w:val="24"/>
          <w:szCs w:val="24"/>
        </w:rPr>
      </w:pPr>
      <w:r>
        <w:rPr>
          <w:b/>
          <w:bCs/>
          <w:color w:val="000000"/>
          <w:spacing w:val="0"/>
          <w:w w:val="100"/>
          <w:position w:val="0"/>
          <w:sz w:val="24"/>
          <w:szCs w:val="24"/>
        </w:rPr>
        <w:t>财务报表附注</w:t>
      </w:r>
    </w:p>
    <w:p>
      <w:pPr>
        <w:pStyle w:val="Style88"/>
        <w:keepNext/>
        <w:keepLines/>
        <w:widowControl w:val="0"/>
        <w:shd w:val="clear" w:color="auto" w:fill="auto"/>
        <w:bidi w:val="0"/>
        <w:spacing w:before="0" w:after="0" w:line="240" w:lineRule="auto"/>
        <w:ind w:left="0" w:right="0" w:firstLine="720"/>
        <w:jc w:val="left"/>
      </w:pPr>
      <w:bookmarkStart w:id="1134" w:name="bookmark1134"/>
      <w:bookmarkStart w:id="1135" w:name="bookmark1135"/>
      <w:bookmarkStart w:id="1136" w:name="bookmark1136"/>
      <w:r>
        <w:rPr>
          <w:color w:val="000000"/>
          <w:spacing w:val="0"/>
          <w:w w:val="100"/>
          <w:position w:val="0"/>
          <w:sz w:val="24"/>
          <w:szCs w:val="24"/>
        </w:rPr>
        <w:t>2016</w:t>
      </w:r>
      <w:r>
        <w:rPr>
          <w:rFonts w:ascii="SimSun" w:eastAsia="SimSun" w:hAnsi="SimSun" w:cs="SimSun"/>
          <w:b/>
          <w:bCs/>
          <w:color w:val="000000"/>
          <w:spacing w:val="0"/>
          <w:w w:val="100"/>
          <w:position w:val="0"/>
          <w:sz w:val="24"/>
          <w:szCs w:val="24"/>
        </w:rPr>
        <w:t>年度</w:t>
      </w:r>
      <w:bookmarkEnd w:id="1134"/>
      <w:bookmarkEnd w:id="1135"/>
      <w:bookmarkEnd w:id="1136"/>
    </w:p>
    <w:p>
      <w:pPr>
        <w:pStyle w:val="Style32"/>
        <w:keepNext w:val="0"/>
        <w:keepLines w:val="0"/>
        <w:widowControl w:val="0"/>
        <w:shd w:val="clear" w:color="auto" w:fill="auto"/>
        <w:bidi w:val="0"/>
        <w:spacing w:before="0" w:after="200" w:line="240" w:lineRule="auto"/>
        <w:ind w:left="0" w:right="0" w:firstLine="720"/>
        <w:jc w:val="left"/>
        <w:rPr>
          <w:sz w:val="24"/>
          <w:szCs w:val="24"/>
        </w:rPr>
      </w:pPr>
      <w:r>
        <w:rPr>
          <w:rFonts w:ascii="Arial" w:eastAsia="Arial" w:hAnsi="Arial" w:cs="Arial"/>
          <w:color w:val="000000"/>
          <w:spacing w:val="0"/>
          <w:w w:val="100"/>
          <w:position w:val="0"/>
          <w:sz w:val="20"/>
          <w:szCs w:val="20"/>
        </w:rPr>
        <w:t>（</w:t>
      </w:r>
      <w:r>
        <w:rPr>
          <w:color w:val="000000"/>
          <w:spacing w:val="0"/>
          <w:w w:val="100"/>
          <w:position w:val="0"/>
          <w:sz w:val="20"/>
          <w:szCs w:val="20"/>
        </w:rPr>
        <w:t>除特别注明外，金额单位为人民币千元</w:t>
      </w:r>
      <w:r>
        <w:rPr>
          <w:color w:val="000000"/>
          <w:spacing w:val="0"/>
          <w:w w:val="100"/>
          <w:position w:val="0"/>
          <w:sz w:val="24"/>
          <w:szCs w:val="24"/>
        </w:rPr>
        <w:t>）</w:t>
      </w:r>
    </w:p>
    <w:p>
      <w:pPr>
        <w:pStyle w:val="Style32"/>
        <w:keepNext w:val="0"/>
        <w:keepLines w:val="0"/>
        <w:widowControl w:val="0"/>
        <w:shd w:val="clear" w:color="auto" w:fill="auto"/>
        <w:bidi w:val="0"/>
        <w:spacing w:before="0" w:after="260" w:line="240" w:lineRule="auto"/>
        <w:ind w:left="0" w:right="0" w:firstLine="0"/>
        <w:jc w:val="left"/>
        <w:rPr>
          <w:sz w:val="24"/>
          <w:szCs w:val="24"/>
        </w:rPr>
      </w:pPr>
      <w:r>
        <w:rPr>
          <w:b/>
          <w:bCs/>
          <w:color w:val="000000"/>
          <w:spacing w:val="0"/>
          <w:w w:val="100"/>
          <w:position w:val="0"/>
          <w:sz w:val="24"/>
          <w:szCs w:val="24"/>
        </w:rPr>
        <w:t>十四金融风险</w:t>
      </w:r>
      <w:r>
        <w:rPr>
          <w:rFonts w:ascii="Times New Roman" w:eastAsia="Times New Roman" w:hAnsi="Times New Roman" w:cs="Times New Roman"/>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4"/>
          <w:szCs w:val="24"/>
        </w:rPr>
        <w:t>）</w:t>
      </w:r>
    </w:p>
    <w:p>
      <w:pPr>
        <w:pStyle w:val="Style53"/>
        <w:keepNext w:val="0"/>
        <w:keepLines w:val="0"/>
        <w:widowControl w:val="0"/>
        <w:shd w:val="clear" w:color="auto" w:fill="auto"/>
        <w:tabs>
          <w:tab w:pos="699" w:val="left"/>
        </w:tabs>
        <w:bidi w:val="0"/>
        <w:spacing w:before="0" w:line="271" w:lineRule="auto"/>
        <w:ind w:left="0" w:right="0" w:firstLine="0"/>
        <w:jc w:val="left"/>
        <w:rPr>
          <w:sz w:val="24"/>
          <w:szCs w:val="24"/>
        </w:rPr>
      </w:pPr>
      <w:bookmarkStart w:id="1137" w:name="bookmark1137"/>
      <w:r>
        <w:rPr>
          <w:color w:val="000000"/>
          <w:spacing w:val="0"/>
          <w:w w:val="100"/>
          <w:position w:val="0"/>
          <w:sz w:val="24"/>
          <w:szCs w:val="24"/>
        </w:rPr>
        <w:t>（</w:t>
      </w:r>
      <w:bookmarkEnd w:id="1137"/>
      <w:r>
        <w:rPr>
          <w:color w:val="000000"/>
          <w:spacing w:val="0"/>
          <w:w w:val="100"/>
          <w:position w:val="0"/>
          <w:sz w:val="24"/>
          <w:szCs w:val="24"/>
        </w:rPr>
        <w:t>1）</w:t>
        <w:tab/>
      </w:r>
      <w:r>
        <w:rPr>
          <w:rFonts w:ascii="SimSun" w:eastAsia="SimSun" w:hAnsi="SimSun" w:cs="SimSun"/>
          <w:b/>
          <w:bCs/>
          <w:color w:val="000000"/>
          <w:spacing w:val="0"/>
          <w:w w:val="100"/>
          <w:position w:val="0"/>
          <w:sz w:val="24"/>
          <w:szCs w:val="24"/>
        </w:rPr>
        <w:t>市场风险</w:t>
      </w:r>
      <w:r>
        <w:rPr>
          <w:color w:val="000000"/>
          <w:spacing w:val="0"/>
          <w:w w:val="100"/>
          <w:position w:val="0"/>
          <w:sz w:val="24"/>
          <w:szCs w:val="24"/>
        </w:rPr>
        <w:t>（</w:t>
      </w:r>
      <w:r>
        <w:rPr>
          <w:rFonts w:ascii="SimSun" w:eastAsia="SimSun" w:hAnsi="SimSun" w:cs="SimSun"/>
          <w:b/>
          <w:bCs/>
          <w:color w:val="000000"/>
          <w:spacing w:val="0"/>
          <w:w w:val="100"/>
          <w:position w:val="0"/>
          <w:sz w:val="24"/>
          <w:szCs w:val="24"/>
        </w:rPr>
        <w:t>续</w:t>
      </w:r>
      <w:r>
        <w:rPr>
          <w:rFonts w:ascii="SimSun" w:eastAsia="SimSun" w:hAnsi="SimSun" w:cs="SimSun"/>
          <w:color w:val="000000"/>
          <w:spacing w:val="0"/>
          <w:w w:val="100"/>
          <w:position w:val="0"/>
          <w:sz w:val="24"/>
          <w:szCs w:val="24"/>
        </w:rPr>
        <w:t>）</w:t>
      </w:r>
    </w:p>
    <w:p>
      <w:pPr>
        <w:pStyle w:val="Style32"/>
        <w:keepNext w:val="0"/>
        <w:keepLines w:val="0"/>
        <w:widowControl w:val="0"/>
        <w:shd w:val="clear" w:color="auto" w:fill="auto"/>
        <w:tabs>
          <w:tab w:pos="699" w:val="left"/>
        </w:tabs>
        <w:bidi w:val="0"/>
        <w:spacing w:before="0" w:after="200" w:line="271"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（b）</w:t>
        <w:tab/>
      </w:r>
      <w:r>
        <w:rPr>
          <w:color w:val="000000"/>
          <w:spacing w:val="0"/>
          <w:w w:val="100"/>
          <w:position w:val="0"/>
          <w:sz w:val="24"/>
          <w:szCs w:val="24"/>
        </w:rPr>
        <w:t>利率风险</w:t>
      </w:r>
    </w:p>
    <w:p>
      <w:pPr>
        <w:pStyle w:val="Style32"/>
        <w:keepNext w:val="0"/>
        <w:keepLines w:val="0"/>
        <w:widowControl w:val="0"/>
        <w:shd w:val="clear" w:color="auto" w:fill="auto"/>
        <w:bidi w:val="0"/>
        <w:spacing w:before="0" w:after="260" w:line="314" w:lineRule="exact"/>
        <w:ind w:left="720" w:right="0" w:firstLine="0"/>
        <w:jc w:val="both"/>
        <w:rPr>
          <w:sz w:val="24"/>
          <w:szCs w:val="24"/>
        </w:rPr>
      </w:pPr>
      <w:r>
        <w:rPr>
          <w:color w:val="000000"/>
          <w:spacing w:val="0"/>
          <w:w w:val="100"/>
          <w:position w:val="0"/>
          <w:sz w:val="24"/>
          <w:szCs w:val="24"/>
        </w:rPr>
        <w:t>本集团的利率风险主要产生于长期银行借款、应付债券等长期带息债务，以及发放 贷款及垫款等长期金融资产。浮动利率的金融负债使本集团面临现金流量利率风 险，固定利率的金融负债和金融资产使本集团面临公允价值利率风险。本集团根据 当时的市场环境来决定固定利率及浮动利率合同的相对比例。于</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 xml:space="preserve">31 </w:t>
      </w:r>
      <w:r>
        <w:rPr>
          <w:color w:val="000000"/>
          <w:spacing w:val="0"/>
          <w:w w:val="100"/>
          <w:position w:val="0"/>
          <w:sz w:val="24"/>
          <w:szCs w:val="24"/>
        </w:rPr>
        <w:t>日，本集团长期带息债务主要为人民币计价的固定利率的第二期应付债券，金额约 为人民币</w:t>
      </w:r>
      <w:r>
        <w:rPr>
          <w:rFonts w:ascii="Times New Roman" w:eastAsia="Times New Roman" w:hAnsi="Times New Roman" w:cs="Times New Roman"/>
          <w:color w:val="000000"/>
          <w:spacing w:val="0"/>
          <w:w w:val="100"/>
          <w:position w:val="0"/>
          <w:sz w:val="24"/>
          <w:szCs w:val="24"/>
        </w:rPr>
        <w:t>35</w:t>
      </w:r>
      <w:r>
        <w:rPr>
          <w:color w:val="000000"/>
          <w:spacing w:val="0"/>
          <w:w w:val="100"/>
          <w:position w:val="0"/>
          <w:sz w:val="24"/>
          <w:szCs w:val="24"/>
        </w:rPr>
        <w:t>亿元</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日：约人民币</w:t>
      </w:r>
      <w:r>
        <w:rPr>
          <w:rFonts w:ascii="Times New Roman" w:eastAsia="Times New Roman" w:hAnsi="Times New Roman" w:cs="Times New Roman"/>
          <w:color w:val="000000"/>
          <w:spacing w:val="0"/>
          <w:w w:val="100"/>
          <w:position w:val="0"/>
          <w:sz w:val="24"/>
          <w:szCs w:val="24"/>
        </w:rPr>
        <w:t>79.77</w:t>
      </w:r>
      <w:r>
        <w:rPr>
          <w:color w:val="000000"/>
          <w:spacing w:val="0"/>
          <w:w w:val="100"/>
          <w:position w:val="0"/>
          <w:sz w:val="24"/>
          <w:szCs w:val="24"/>
        </w:rPr>
        <w:t>亿元</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附注四</w:t>
      </w:r>
      <w:r>
        <w:rPr>
          <w:rFonts w:ascii="Times New Roman" w:eastAsia="Times New Roman" w:hAnsi="Times New Roman" w:cs="Times New Roman"/>
          <w:color w:val="000000"/>
          <w:spacing w:val="0"/>
          <w:w w:val="100"/>
          <w:position w:val="0"/>
          <w:sz w:val="24"/>
          <w:szCs w:val="24"/>
        </w:rPr>
        <w:t>（34））</w:t>
      </w:r>
      <w:r>
        <w:rPr>
          <w:color w:val="000000"/>
          <w:spacing w:val="0"/>
          <w:w w:val="100"/>
          <w:position w:val="0"/>
          <w:sz w:val="24"/>
          <w:szCs w:val="24"/>
        </w:rPr>
        <w:t>；日元计 价的固定利率的长期银行借款，金额约为人民币</w:t>
      </w:r>
      <w:r>
        <w:rPr>
          <w:rFonts w:ascii="Times New Roman" w:eastAsia="Times New Roman" w:hAnsi="Times New Roman" w:cs="Times New Roman"/>
          <w:color w:val="000000"/>
          <w:spacing w:val="0"/>
          <w:w w:val="100"/>
          <w:position w:val="0"/>
          <w:sz w:val="24"/>
          <w:szCs w:val="24"/>
        </w:rPr>
        <w:t>1,800</w:t>
      </w:r>
      <w:r>
        <w:rPr>
          <w:color w:val="000000"/>
          <w:spacing w:val="0"/>
          <w:w w:val="100"/>
          <w:position w:val="0"/>
          <w:sz w:val="24"/>
          <w:szCs w:val="24"/>
        </w:rPr>
        <w:t>万元</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 日元计价的固定利率的长期银行借款约人民币</w:t>
      </w:r>
      <w:r>
        <w:rPr>
          <w:rFonts w:ascii="Times New Roman" w:eastAsia="Times New Roman" w:hAnsi="Times New Roman" w:cs="Times New Roman"/>
          <w:color w:val="000000"/>
          <w:spacing w:val="0"/>
          <w:w w:val="100"/>
          <w:position w:val="0"/>
          <w:sz w:val="24"/>
          <w:szCs w:val="24"/>
        </w:rPr>
        <w:t>1,995</w:t>
      </w:r>
      <w:r>
        <w:rPr>
          <w:color w:val="000000"/>
          <w:spacing w:val="0"/>
          <w:w w:val="100"/>
          <w:position w:val="0"/>
          <w:sz w:val="24"/>
          <w:szCs w:val="24"/>
        </w:rPr>
        <w:t>万元，及美元计价的浮动利率 的长期银行借款约人民币</w:t>
      </w:r>
      <w:r>
        <w:rPr>
          <w:rFonts w:ascii="Times New Roman" w:eastAsia="Times New Roman" w:hAnsi="Times New Roman" w:cs="Times New Roman"/>
          <w:color w:val="000000"/>
          <w:spacing w:val="0"/>
          <w:w w:val="100"/>
          <w:position w:val="0"/>
          <w:sz w:val="24"/>
          <w:szCs w:val="24"/>
        </w:rPr>
        <w:t>3.38</w:t>
      </w:r>
      <w:r>
        <w:rPr>
          <w:color w:val="000000"/>
          <w:spacing w:val="0"/>
          <w:w w:val="100"/>
          <w:position w:val="0"/>
          <w:sz w:val="24"/>
          <w:szCs w:val="24"/>
        </w:rPr>
        <w:t>亿元</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附注四</w:t>
      </w:r>
      <w:r>
        <w:rPr>
          <w:rFonts w:ascii="Times New Roman" w:eastAsia="Times New Roman" w:hAnsi="Times New Roman" w:cs="Times New Roman"/>
          <w:color w:val="000000"/>
          <w:spacing w:val="0"/>
          <w:w w:val="100"/>
          <w:position w:val="0"/>
          <w:sz w:val="24"/>
          <w:szCs w:val="24"/>
        </w:rPr>
        <w:t>（33））</w:t>
      </w:r>
      <w:r>
        <w:rPr>
          <w:color w:val="000000"/>
          <w:spacing w:val="0"/>
          <w:w w:val="100"/>
          <w:position w:val="0"/>
          <w:sz w:val="24"/>
          <w:szCs w:val="24"/>
        </w:rPr>
        <w:t>,以及一年以上到期的发放贷款及 垫款约人民币</w:t>
      </w:r>
      <w:r>
        <w:rPr>
          <w:rFonts w:ascii="Times New Roman" w:eastAsia="Times New Roman" w:hAnsi="Times New Roman" w:cs="Times New Roman"/>
          <w:color w:val="000000"/>
          <w:spacing w:val="0"/>
          <w:w w:val="100"/>
          <w:position w:val="0"/>
          <w:sz w:val="24"/>
          <w:szCs w:val="24"/>
        </w:rPr>
        <w:t>12.89</w:t>
      </w:r>
      <w:r>
        <w:rPr>
          <w:color w:val="000000"/>
          <w:spacing w:val="0"/>
          <w:w w:val="100"/>
          <w:position w:val="0"/>
          <w:sz w:val="24"/>
          <w:szCs w:val="24"/>
        </w:rPr>
        <w:t>亿元</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日：无</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附注四</w:t>
      </w:r>
      <w:r>
        <w:rPr>
          <w:color w:val="000000"/>
          <w:spacing w:val="0"/>
          <w:w w:val="100"/>
          <w:position w:val="0"/>
          <w:sz w:val="24"/>
          <w:szCs w:val="24"/>
        </w:rPr>
        <w:t>⑵</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w:t>
      </w:r>
    </w:p>
    <w:p>
      <w:pPr>
        <w:pStyle w:val="Style32"/>
        <w:keepNext w:val="0"/>
        <w:keepLines w:val="0"/>
        <w:widowControl w:val="0"/>
        <w:shd w:val="clear" w:color="auto" w:fill="auto"/>
        <w:bidi w:val="0"/>
        <w:spacing w:before="0" w:after="260" w:line="310" w:lineRule="exact"/>
        <w:ind w:left="720" w:right="0" w:firstLine="0"/>
        <w:jc w:val="both"/>
        <w:rPr>
          <w:sz w:val="24"/>
          <w:szCs w:val="24"/>
        </w:rPr>
      </w:pPr>
      <w:r>
        <w:rPr>
          <w:color w:val="000000"/>
          <w:spacing w:val="0"/>
          <w:w w:val="100"/>
          <w:position w:val="0"/>
          <w:sz w:val="24"/>
          <w:szCs w:val="24"/>
        </w:rPr>
        <w:t>本集团总部财务部门持续监控集团利率水平。利率上升会增加新增带息债务的成本 以及本集团尚未付清的以浮动利率计息的带息债务的利息支出，并对本集团的财务 业绩产生重大的不利影响，管理层会依据最新的市场状况及时做出调整，这些调整 可能是进行利率互换的安排来降低利率风险。于</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年度及</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sz w:val="24"/>
          <w:szCs w:val="24"/>
        </w:rPr>
        <w:t>年度本集团并无 利率互换安排。</w:t>
      </w:r>
    </w:p>
    <w:p>
      <w:pPr>
        <w:pStyle w:val="Style32"/>
        <w:keepNext w:val="0"/>
        <w:keepLines w:val="0"/>
        <w:widowControl w:val="0"/>
        <w:shd w:val="clear" w:color="auto" w:fill="auto"/>
        <w:bidi w:val="0"/>
        <w:spacing w:before="0" w:after="200" w:line="310" w:lineRule="exact"/>
        <w:ind w:left="720" w:right="0" w:firstLine="0"/>
        <w:jc w:val="both"/>
        <w:rPr>
          <w:sz w:val="24"/>
          <w:szCs w:val="24"/>
        </w:rPr>
      </w:pPr>
      <w:r>
        <w:rPr>
          <w:color w:val="000000"/>
          <w:spacing w:val="0"/>
          <w:w w:val="100"/>
          <w:position w:val="0"/>
          <w:sz w:val="24"/>
          <w:szCs w:val="24"/>
        </w:rPr>
        <w:t>于</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日，如果以浮动利率计算的借款利率上升或下降</w:t>
      </w:r>
      <w:r>
        <w:rPr>
          <w:rFonts w:ascii="Times New Roman" w:eastAsia="Times New Roman" w:hAnsi="Times New Roman" w:cs="Times New Roman"/>
          <w:color w:val="000000"/>
          <w:spacing w:val="0"/>
          <w:w w:val="100"/>
          <w:position w:val="0"/>
          <w:sz w:val="24"/>
          <w:szCs w:val="24"/>
        </w:rPr>
        <w:t>50</w:t>
      </w:r>
      <w:r>
        <w:rPr>
          <w:color w:val="000000"/>
          <w:spacing w:val="0"/>
          <w:w w:val="100"/>
          <w:position w:val="0"/>
          <w:sz w:val="24"/>
          <w:szCs w:val="24"/>
        </w:rPr>
        <w:t>个基点，而 其他因素保持不变，本集团的利润总额会减少或增加约人民币</w:t>
      </w:r>
      <w:r>
        <w:rPr>
          <w:rFonts w:ascii="Times New Roman" w:eastAsia="Times New Roman" w:hAnsi="Times New Roman" w:cs="Times New Roman"/>
          <w:color w:val="000000"/>
          <w:spacing w:val="0"/>
          <w:w w:val="100"/>
          <w:position w:val="0"/>
          <w:sz w:val="24"/>
          <w:szCs w:val="24"/>
        </w:rPr>
        <w:t>91</w:t>
      </w:r>
      <w:r>
        <w:rPr>
          <w:color w:val="000000"/>
          <w:spacing w:val="0"/>
          <w:w w:val="100"/>
          <w:position w:val="0"/>
          <w:sz w:val="24"/>
          <w:szCs w:val="24"/>
        </w:rPr>
        <w:t>万元</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 xml:space="preserve">12 </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日：约人民币</w:t>
      </w:r>
      <w:r>
        <w:rPr>
          <w:rFonts w:ascii="Times New Roman" w:eastAsia="Times New Roman" w:hAnsi="Times New Roman" w:cs="Times New Roman"/>
          <w:color w:val="000000"/>
          <w:spacing w:val="0"/>
          <w:w w:val="100"/>
          <w:position w:val="0"/>
          <w:sz w:val="24"/>
          <w:szCs w:val="24"/>
        </w:rPr>
        <w:t>235</w:t>
      </w:r>
      <w:r>
        <w:rPr>
          <w:color w:val="000000"/>
          <w:spacing w:val="0"/>
          <w:w w:val="100"/>
          <w:position w:val="0"/>
          <w:sz w:val="24"/>
          <w:szCs w:val="24"/>
        </w:rPr>
        <w:t>万元</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w:t>
      </w:r>
    </w:p>
    <w:p>
      <w:pPr>
        <w:pStyle w:val="Style32"/>
        <w:keepNext w:val="0"/>
        <w:keepLines w:val="0"/>
        <w:widowControl w:val="0"/>
        <w:shd w:val="clear" w:color="auto" w:fill="auto"/>
        <w:tabs>
          <w:tab w:pos="699" w:val="left"/>
        </w:tabs>
        <w:bidi w:val="0"/>
        <w:spacing w:before="0" w:after="260" w:line="240" w:lineRule="auto"/>
        <w:ind w:left="0" w:right="0" w:firstLine="0"/>
        <w:jc w:val="left"/>
        <w:rPr>
          <w:sz w:val="24"/>
          <w:szCs w:val="24"/>
        </w:rPr>
      </w:pPr>
      <w:bookmarkStart w:id="1138" w:name="bookmark1138"/>
      <w:r>
        <w:rPr>
          <w:rFonts w:ascii="Times New Roman" w:eastAsia="Times New Roman" w:hAnsi="Times New Roman" w:cs="Times New Roman"/>
          <w:color w:val="000000"/>
          <w:spacing w:val="0"/>
          <w:w w:val="100"/>
          <w:position w:val="0"/>
          <w:sz w:val="24"/>
          <w:szCs w:val="24"/>
        </w:rPr>
        <w:t>（</w:t>
      </w:r>
      <w:bookmarkEnd w:id="1138"/>
      <w:r>
        <w:rPr>
          <w:rFonts w:ascii="Times New Roman" w:eastAsia="Times New Roman" w:hAnsi="Times New Roman" w:cs="Times New Roman"/>
          <w:color w:val="000000"/>
          <w:spacing w:val="0"/>
          <w:w w:val="100"/>
          <w:position w:val="0"/>
          <w:sz w:val="24"/>
          <w:szCs w:val="24"/>
        </w:rPr>
        <w:t>2）</w:t>
        <w:tab/>
      </w:r>
      <w:r>
        <w:rPr>
          <w:b/>
          <w:bCs/>
          <w:color w:val="000000"/>
          <w:spacing w:val="0"/>
          <w:w w:val="100"/>
          <w:position w:val="0"/>
          <w:sz w:val="24"/>
          <w:szCs w:val="24"/>
        </w:rPr>
        <w:t>信用风险</w:t>
      </w:r>
    </w:p>
    <w:p>
      <w:pPr>
        <w:pStyle w:val="Style32"/>
        <w:keepNext w:val="0"/>
        <w:keepLines w:val="0"/>
        <w:widowControl w:val="0"/>
        <w:shd w:val="clear" w:color="auto" w:fill="auto"/>
        <w:bidi w:val="0"/>
        <w:spacing w:before="0" w:after="260" w:line="312" w:lineRule="exact"/>
        <w:ind w:left="720" w:right="0" w:firstLine="0"/>
        <w:jc w:val="both"/>
        <w:rPr>
          <w:sz w:val="24"/>
          <w:szCs w:val="24"/>
        </w:rPr>
      </w:pPr>
      <w:r>
        <w:rPr>
          <w:color w:val="000000"/>
          <w:spacing w:val="0"/>
          <w:w w:val="100"/>
          <w:position w:val="0"/>
          <w:sz w:val="24"/>
          <w:szCs w:val="24"/>
        </w:rPr>
        <w:t>本集团对信用风险按组合分类进行管理。信用风险主要产生于银行存款、应收账 款、应收利息、其他应收款、应收票据和长期应收款等。</w:t>
      </w:r>
    </w:p>
    <w:p>
      <w:pPr>
        <w:pStyle w:val="Style32"/>
        <w:keepNext w:val="0"/>
        <w:keepLines w:val="0"/>
        <w:widowControl w:val="0"/>
        <w:shd w:val="clear" w:color="auto" w:fill="auto"/>
        <w:bidi w:val="0"/>
        <w:spacing w:before="0" w:after="260" w:line="307" w:lineRule="exact"/>
        <w:ind w:left="720" w:right="0" w:firstLine="0"/>
        <w:jc w:val="both"/>
        <w:rPr>
          <w:sz w:val="24"/>
          <w:szCs w:val="24"/>
        </w:rPr>
      </w:pPr>
      <w:r>
        <w:rPr>
          <w:color w:val="000000"/>
          <w:spacing w:val="0"/>
          <w:w w:val="100"/>
          <w:position w:val="0"/>
          <w:sz w:val="24"/>
          <w:szCs w:val="24"/>
        </w:rPr>
        <w:t>本集团银行存款主要存放于国有银行和其他大中型上市银行，应收利息主要是各类 保证金及存款产生的利息，本集团认为其不存在重大的信用风险，不会产生因对方 单位违约而导致的任何重大损失。</w:t>
      </w:r>
    </w:p>
    <w:p>
      <w:pPr>
        <w:pStyle w:val="Style32"/>
        <w:keepNext w:val="0"/>
        <w:keepLines w:val="0"/>
        <w:widowControl w:val="0"/>
        <w:shd w:val="clear" w:color="auto" w:fill="auto"/>
        <w:bidi w:val="0"/>
        <w:spacing w:before="0" w:after="240" w:line="312" w:lineRule="exact"/>
        <w:ind w:left="720" w:right="0" w:firstLine="0"/>
        <w:jc w:val="both"/>
        <w:rPr>
          <w:sz w:val="24"/>
          <w:szCs w:val="24"/>
        </w:rPr>
      </w:pPr>
      <w:r>
        <w:rPr>
          <w:color w:val="000000"/>
          <w:spacing w:val="0"/>
          <w:w w:val="100"/>
          <w:position w:val="0"/>
          <w:sz w:val="24"/>
          <w:szCs w:val="24"/>
        </w:rPr>
        <w:t>此外，对于应收账款、其他应收款、应收票据和长期应收款，本集团设定相关政策 以控制信用风险敞口。本集团基于对客户的财务状况、从第三方获取担保的可能 性、信用记录及其他因素诸如目前市场状况等评估客户的信用资质并设置相应信用 期。本集团会定期对客户信用记录进行监控，对于信用记录不良的客户，本集团会 采用书面催款、缩短信用期或取消信用期等方式，以确保本集团的整体信用风险在 可控的范围内。</w:t>
      </w:r>
    </w:p>
    <w:p>
      <w:pPr>
        <w:pStyle w:val="Style32"/>
        <w:keepNext w:val="0"/>
        <w:keepLines w:val="0"/>
        <w:widowControl w:val="0"/>
        <w:shd w:val="clear" w:color="auto" w:fill="auto"/>
        <w:bidi w:val="0"/>
        <w:spacing w:before="0" w:after="0" w:line="240" w:lineRule="auto"/>
        <w:ind w:left="0" w:right="0" w:firstLine="700"/>
        <w:jc w:val="left"/>
        <w:rPr>
          <w:sz w:val="24"/>
          <w:szCs w:val="24"/>
        </w:rPr>
      </w:pPr>
      <w:r>
        <w:rPr>
          <w:b/>
          <w:bCs/>
          <w:color w:val="000000"/>
          <w:spacing w:val="0"/>
          <w:w w:val="100"/>
          <w:position w:val="0"/>
          <w:sz w:val="24"/>
          <w:szCs w:val="24"/>
        </w:rPr>
        <w:t>财务报表附注</w:t>
      </w:r>
    </w:p>
    <w:p>
      <w:pPr>
        <w:pStyle w:val="Style88"/>
        <w:keepNext/>
        <w:keepLines/>
        <w:widowControl w:val="0"/>
        <w:shd w:val="clear" w:color="auto" w:fill="auto"/>
        <w:bidi w:val="0"/>
        <w:spacing w:before="0" w:after="0" w:line="240" w:lineRule="auto"/>
        <w:ind w:left="0" w:right="0"/>
        <w:jc w:val="left"/>
      </w:pPr>
      <w:bookmarkStart w:id="1139" w:name="bookmark1139"/>
      <w:bookmarkStart w:id="1140" w:name="bookmark1140"/>
      <w:bookmarkStart w:id="1141" w:name="bookmark1141"/>
      <w:r>
        <w:rPr>
          <w:color w:val="000000"/>
          <w:spacing w:val="0"/>
          <w:w w:val="100"/>
          <w:position w:val="0"/>
          <w:sz w:val="24"/>
          <w:szCs w:val="24"/>
        </w:rPr>
        <w:t>2016</w:t>
      </w:r>
      <w:r>
        <w:rPr>
          <w:rFonts w:ascii="SimSun" w:eastAsia="SimSun" w:hAnsi="SimSun" w:cs="SimSun"/>
          <w:b/>
          <w:bCs/>
          <w:color w:val="000000"/>
          <w:spacing w:val="0"/>
          <w:w w:val="100"/>
          <w:position w:val="0"/>
          <w:sz w:val="24"/>
          <w:szCs w:val="24"/>
        </w:rPr>
        <w:t>年度</w:t>
      </w:r>
      <w:bookmarkEnd w:id="1139"/>
      <w:bookmarkEnd w:id="1140"/>
      <w:bookmarkEnd w:id="1141"/>
    </w:p>
    <w:p>
      <w:pPr>
        <w:pStyle w:val="Style32"/>
        <w:keepNext w:val="0"/>
        <w:keepLines w:val="0"/>
        <w:widowControl w:val="0"/>
        <w:shd w:val="clear" w:color="auto" w:fill="auto"/>
        <w:bidi w:val="0"/>
        <w:spacing w:before="0" w:after="240" w:line="240" w:lineRule="auto"/>
        <w:ind w:left="0" w:right="0" w:firstLine="700"/>
        <w:jc w:val="left"/>
        <w:rPr>
          <w:sz w:val="24"/>
          <w:szCs w:val="24"/>
        </w:rPr>
      </w:pPr>
      <w:r>
        <w:rPr>
          <w:rFonts w:ascii="Arial" w:eastAsia="Arial" w:hAnsi="Arial" w:cs="Arial"/>
          <w:color w:val="000000"/>
          <w:spacing w:val="0"/>
          <w:w w:val="100"/>
          <w:position w:val="0"/>
          <w:sz w:val="20"/>
          <w:szCs w:val="20"/>
        </w:rPr>
        <w:t>(</w:t>
      </w:r>
      <w:r>
        <w:rPr>
          <w:color w:val="000000"/>
          <w:spacing w:val="0"/>
          <w:w w:val="100"/>
          <w:position w:val="0"/>
          <w:sz w:val="20"/>
          <w:szCs w:val="20"/>
        </w:rPr>
        <w:t>除特别注明外，金额单位为人民币千元</w:t>
      </w:r>
      <w:r>
        <w:rPr>
          <w:color w:val="000000"/>
          <w:spacing w:val="0"/>
          <w:w w:val="100"/>
          <w:position w:val="0"/>
          <w:sz w:val="24"/>
          <w:szCs w:val="24"/>
        </w:rPr>
        <w:t>)</w:t>
      </w:r>
    </w:p>
    <w:p>
      <w:pPr>
        <w:pStyle w:val="Style32"/>
        <w:keepNext w:val="0"/>
        <w:keepLines w:val="0"/>
        <w:widowControl w:val="0"/>
        <w:shd w:val="clear" w:color="auto" w:fill="auto"/>
        <w:bidi w:val="0"/>
        <w:spacing w:before="0" w:after="240" w:line="240" w:lineRule="auto"/>
        <w:ind w:left="0" w:right="0" w:firstLine="0"/>
        <w:jc w:val="left"/>
        <w:rPr>
          <w:sz w:val="24"/>
          <w:szCs w:val="24"/>
        </w:rPr>
      </w:pPr>
      <w:r>
        <w:rPr>
          <w:b/>
          <w:bCs/>
          <w:color w:val="000000"/>
          <w:spacing w:val="0"/>
          <w:w w:val="100"/>
          <w:position w:val="0"/>
          <w:sz w:val="24"/>
          <w:szCs w:val="24"/>
        </w:rPr>
        <w:t>十四金融风险</w:t>
      </w:r>
      <w:r>
        <w:rPr>
          <w:rFonts w:ascii="Times New Roman" w:eastAsia="Times New Roman" w:hAnsi="Times New Roman" w:cs="Times New Roman"/>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4"/>
          <w:szCs w:val="24"/>
        </w:rPr>
        <w:t>)</w:t>
      </w:r>
    </w:p>
    <w:p>
      <w:pPr>
        <w:pStyle w:val="Style32"/>
        <w:keepNext w:val="0"/>
        <w:keepLines w:val="0"/>
        <w:widowControl w:val="0"/>
        <w:numPr>
          <w:ilvl w:val="0"/>
          <w:numId w:val="97"/>
        </w:numPr>
        <w:shd w:val="clear" w:color="auto" w:fill="auto"/>
        <w:tabs>
          <w:tab w:pos="718" w:val="left"/>
        </w:tabs>
        <w:bidi w:val="0"/>
        <w:spacing w:before="0" w:after="240" w:line="240" w:lineRule="auto"/>
        <w:ind w:left="0" w:right="0" w:firstLine="0"/>
        <w:jc w:val="left"/>
        <w:rPr>
          <w:sz w:val="24"/>
          <w:szCs w:val="24"/>
        </w:rPr>
      </w:pPr>
      <w:bookmarkStart w:id="1142" w:name="bookmark1142"/>
      <w:bookmarkEnd w:id="1142"/>
      <w:r>
        <w:rPr>
          <w:b/>
          <w:bCs/>
          <w:color w:val="000000"/>
          <w:spacing w:val="0"/>
          <w:w w:val="100"/>
          <w:position w:val="0"/>
          <w:sz w:val="24"/>
          <w:szCs w:val="24"/>
        </w:rPr>
        <w:t>价格风险</w:t>
      </w:r>
    </w:p>
    <w:p>
      <w:pPr>
        <w:pStyle w:val="Style32"/>
        <w:keepNext w:val="0"/>
        <w:keepLines w:val="0"/>
        <w:widowControl w:val="0"/>
        <w:shd w:val="clear" w:color="auto" w:fill="auto"/>
        <w:bidi w:val="0"/>
        <w:spacing w:before="0" w:after="240" w:line="311" w:lineRule="exact"/>
        <w:ind w:left="700" w:right="0" w:firstLine="20"/>
        <w:jc w:val="both"/>
        <w:rPr>
          <w:sz w:val="24"/>
          <w:szCs w:val="24"/>
        </w:rPr>
      </w:pPr>
      <w:r>
        <w:rPr>
          <w:color w:val="000000"/>
          <w:spacing w:val="0"/>
          <w:w w:val="100"/>
          <w:position w:val="0"/>
          <w:sz w:val="24"/>
          <w:szCs w:val="24"/>
        </w:rPr>
        <w:t>本集团持有的理财产品、货币基金等投资工具，以及投资者回售选择权和远期外 汇合约等衍生工具，面临市场价格风险的影响，这些价格风险来自相关标的指数 或标的资产未来价值波动的不确定性。本集团持续监控这些标的指数或标的资产 的价值波动水平，并严格控制该类投资工具及衍生工具的规模，必要时采用合适 的对冲工具以缓释市场价格风险对本集团带来的不利影响。</w:t>
      </w:r>
    </w:p>
    <w:p>
      <w:pPr>
        <w:pStyle w:val="Style32"/>
        <w:keepNext w:val="0"/>
        <w:keepLines w:val="0"/>
        <w:widowControl w:val="0"/>
        <w:numPr>
          <w:ilvl w:val="0"/>
          <w:numId w:val="97"/>
        </w:numPr>
        <w:shd w:val="clear" w:color="auto" w:fill="auto"/>
        <w:tabs>
          <w:tab w:pos="718" w:val="left"/>
        </w:tabs>
        <w:bidi w:val="0"/>
        <w:spacing w:before="0" w:after="240" w:line="240" w:lineRule="auto"/>
        <w:ind w:left="0" w:right="0" w:firstLine="0"/>
        <w:jc w:val="left"/>
        <w:rPr>
          <w:sz w:val="24"/>
          <w:szCs w:val="24"/>
        </w:rPr>
      </w:pPr>
      <w:bookmarkStart w:id="1143" w:name="bookmark1143"/>
      <w:bookmarkEnd w:id="1143"/>
      <w:r>
        <w:rPr>
          <w:b/>
          <w:bCs/>
          <w:color w:val="000000"/>
          <w:spacing w:val="0"/>
          <w:w w:val="100"/>
          <w:position w:val="0"/>
          <w:sz w:val="24"/>
          <w:szCs w:val="24"/>
        </w:rPr>
        <w:t>流动性风险</w:t>
      </w:r>
    </w:p>
    <w:p>
      <w:pPr>
        <w:pStyle w:val="Style32"/>
        <w:keepNext w:val="0"/>
        <w:keepLines w:val="0"/>
        <w:widowControl w:val="0"/>
        <w:shd w:val="clear" w:color="auto" w:fill="auto"/>
        <w:bidi w:val="0"/>
        <w:spacing w:before="0" w:after="240" w:line="313" w:lineRule="exact"/>
        <w:ind w:left="700" w:right="0" w:firstLine="20"/>
        <w:jc w:val="both"/>
        <w:rPr>
          <w:sz w:val="24"/>
          <w:szCs w:val="24"/>
        </w:rPr>
      </w:pPr>
      <w:r>
        <w:rPr>
          <w:color w:val="000000"/>
          <w:spacing w:val="0"/>
          <w:w w:val="100"/>
          <w:position w:val="0"/>
          <w:sz w:val="24"/>
          <w:szCs w:val="24"/>
        </w:rPr>
        <w:t>本集团内各子公司负责其自身的现金流量预测。总部财务部门在汇总各子公司现 金流量预测的基础上，在集团层面持续监控短期和长期的资金需求，以确保维持 充裕的现金储备和可供随时变现的有价证券；同时持续监控是否符合借款协议的 规定，从主要金融机构获得提供足够备用资金的承诺，以满足短期和长期的资金 需求。</w:t>
      </w:r>
    </w:p>
    <w:p>
      <w:pPr>
        <w:pStyle w:val="Style32"/>
        <w:keepNext w:val="0"/>
        <w:keepLines w:val="0"/>
        <w:widowControl w:val="0"/>
        <w:shd w:val="clear" w:color="auto" w:fill="auto"/>
        <w:bidi w:val="0"/>
        <w:spacing w:before="0" w:after="240" w:line="317" w:lineRule="exact"/>
        <w:ind w:left="700" w:right="0" w:firstLine="20"/>
        <w:jc w:val="both"/>
        <w:rPr>
          <w:sz w:val="24"/>
          <w:szCs w:val="24"/>
        </w:rPr>
      </w:pPr>
      <w:r>
        <w:rPr>
          <w:color w:val="000000"/>
          <w:spacing w:val="0"/>
          <w:w w:val="100"/>
          <w:position w:val="0"/>
          <w:sz w:val="24"/>
          <w:szCs w:val="24"/>
        </w:rPr>
        <w:t>于资产负债表日，本集团各项金融负债以未折现的合同现金流量按到期日列示如 下：</w:t>
      </w:r>
    </w:p>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w:t>
      </w:r>
    </w:p>
    <w:tbl>
      <w:tblPr>
        <w:tblOverlap w:val="never"/>
        <w:jc w:val="right"/>
        <w:tblLayout w:type="fixed"/>
      </w:tblPr>
      <w:tblGrid>
        <w:gridCol w:w="1886"/>
        <w:gridCol w:w="1488"/>
        <w:gridCol w:w="1406"/>
        <w:gridCol w:w="1373"/>
        <w:gridCol w:w="1306"/>
        <w:gridCol w:w="1272"/>
      </w:tblGrid>
      <w:tr>
        <w:trPr>
          <w:trHeight w:val="394" w:hRule="exact"/>
        </w:trPr>
        <w:tc>
          <w:tcPr>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一年以内</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一到二年</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二到五年</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五年以上</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合计</w:t>
            </w:r>
          </w:p>
        </w:tc>
      </w:tr>
      <w:tr>
        <w:trPr>
          <w:trHeight w:val="384"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短期借款</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6,159,517</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00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24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26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80"/>
              <w:jc w:val="both"/>
              <w:rPr>
                <w:sz w:val="20"/>
                <w:szCs w:val="20"/>
              </w:rPr>
            </w:pPr>
            <w:r>
              <w:rPr>
                <w:rFonts w:ascii="Times New Roman" w:eastAsia="Times New Roman" w:hAnsi="Times New Roman" w:cs="Times New Roman"/>
                <w:color w:val="000000"/>
                <w:spacing w:val="0"/>
                <w:w w:val="100"/>
                <w:position w:val="0"/>
                <w:sz w:val="20"/>
                <w:szCs w:val="20"/>
              </w:rPr>
              <w:t>6,159,517</w:t>
            </w:r>
          </w:p>
        </w:tc>
      </w:tr>
      <w:tr>
        <w:trPr>
          <w:trHeight w:val="264"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应付票据</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25,803,271</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00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24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26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25,803,271</w:t>
            </w:r>
          </w:p>
        </w:tc>
      </w:tr>
      <w:tr>
        <w:trPr>
          <w:trHeight w:val="259"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应付账款</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12,497,989</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00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24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26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12,497,989</w:t>
            </w:r>
          </w:p>
        </w:tc>
      </w:tr>
      <w:tr>
        <w:trPr>
          <w:trHeight w:val="250"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其他应付款</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8,176,104</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00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24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26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80"/>
              <w:jc w:val="both"/>
              <w:rPr>
                <w:sz w:val="20"/>
                <w:szCs w:val="20"/>
              </w:rPr>
            </w:pPr>
            <w:r>
              <w:rPr>
                <w:rFonts w:ascii="Times New Roman" w:eastAsia="Times New Roman" w:hAnsi="Times New Roman" w:cs="Times New Roman"/>
                <w:color w:val="000000"/>
                <w:spacing w:val="0"/>
                <w:w w:val="100"/>
                <w:position w:val="0"/>
                <w:sz w:val="20"/>
                <w:szCs w:val="20"/>
              </w:rPr>
              <w:t>8,176,104</w:t>
            </w:r>
          </w:p>
        </w:tc>
      </w:tr>
      <w:tr>
        <w:trPr>
          <w:trHeight w:val="523" w:hRule="exact"/>
        </w:trPr>
        <w:tc>
          <w:tcPr>
            <w:tcBorders/>
            <w:shd w:val="clear" w:color="auto" w:fill="FFFFFF"/>
            <w:vAlign w:val="top"/>
          </w:tcPr>
          <w:p>
            <w:pPr>
              <w:pStyle w:val="Style28"/>
              <w:keepNext w:val="0"/>
              <w:keepLines w:val="0"/>
              <w:widowControl w:val="0"/>
              <w:shd w:val="clear" w:color="auto" w:fill="auto"/>
              <w:bidi w:val="0"/>
              <w:spacing w:before="0" w:after="0" w:line="245" w:lineRule="exact"/>
              <w:ind w:left="160" w:right="0" w:hanging="160"/>
              <w:jc w:val="left"/>
              <w:rPr>
                <w:sz w:val="20"/>
                <w:szCs w:val="20"/>
              </w:rPr>
            </w:pPr>
            <w:r>
              <w:rPr>
                <w:color w:val="000000"/>
                <w:spacing w:val="0"/>
                <w:w w:val="100"/>
                <w:position w:val="0"/>
                <w:sz w:val="20"/>
                <w:szCs w:val="20"/>
              </w:rPr>
              <w:t>一年内到期的长期 借款</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20"/>
              <w:jc w:val="left"/>
              <w:rPr>
                <w:sz w:val="20"/>
                <w:szCs w:val="20"/>
              </w:rPr>
            </w:pPr>
            <w:r>
              <w:rPr>
                <w:rFonts w:ascii="Times New Roman" w:eastAsia="Times New Roman" w:hAnsi="Times New Roman" w:cs="Times New Roman"/>
                <w:color w:val="000000"/>
                <w:spacing w:val="0"/>
                <w:w w:val="100"/>
                <w:position w:val="0"/>
                <w:sz w:val="20"/>
                <w:szCs w:val="20"/>
              </w:rPr>
              <w:t>31,861</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31,861</w:t>
            </w:r>
          </w:p>
        </w:tc>
      </w:tr>
      <w:tr>
        <w:trPr>
          <w:trHeight w:val="274"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长期借款</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12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5,193</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240" w:firstLine="0"/>
              <w:jc w:val="right"/>
              <w:rPr>
                <w:sz w:val="20"/>
                <w:szCs w:val="20"/>
              </w:rPr>
            </w:pPr>
            <w:r>
              <w:rPr>
                <w:rFonts w:ascii="Times New Roman" w:eastAsia="Times New Roman" w:hAnsi="Times New Roman" w:cs="Times New Roman"/>
                <w:color w:val="000000"/>
                <w:spacing w:val="0"/>
                <w:w w:val="100"/>
                <w:position w:val="0"/>
                <w:sz w:val="20"/>
                <w:szCs w:val="20"/>
              </w:rPr>
              <w:t>12,807</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26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18,000</w:t>
            </w:r>
          </w:p>
        </w:tc>
      </w:tr>
      <w:tr>
        <w:trPr>
          <w:trHeight w:val="259"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应付债券</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4,500,000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00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3,499,995</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26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80"/>
              <w:jc w:val="both"/>
              <w:rPr>
                <w:sz w:val="20"/>
                <w:szCs w:val="20"/>
              </w:rPr>
            </w:pPr>
            <w:r>
              <w:rPr>
                <w:rFonts w:ascii="Times New Roman" w:eastAsia="Times New Roman" w:hAnsi="Times New Roman" w:cs="Times New Roman"/>
                <w:color w:val="000000"/>
                <w:spacing w:val="0"/>
                <w:w w:val="100"/>
                <w:position w:val="0"/>
                <w:sz w:val="20"/>
                <w:szCs w:val="20"/>
              </w:rPr>
              <w:t>7,999,995</w:t>
            </w:r>
          </w:p>
        </w:tc>
      </w:tr>
      <w:tr>
        <w:trPr>
          <w:trHeight w:val="254"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应付利息</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570,650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208,575</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240" w:firstLine="0"/>
              <w:jc w:val="right"/>
              <w:rPr>
                <w:sz w:val="20"/>
                <w:szCs w:val="20"/>
              </w:rPr>
            </w:pPr>
            <w:r>
              <w:rPr>
                <w:rFonts w:ascii="Times New Roman" w:eastAsia="Times New Roman" w:hAnsi="Times New Roman" w:cs="Times New Roman"/>
                <w:color w:val="000000"/>
                <w:spacing w:val="0"/>
                <w:w w:val="100"/>
                <w:position w:val="0"/>
                <w:sz w:val="20"/>
                <w:szCs w:val="20"/>
              </w:rPr>
              <w:t>208,515</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26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987,740</w:t>
            </w:r>
          </w:p>
        </w:tc>
      </w:tr>
      <w:tr>
        <w:trPr>
          <w:trHeight w:val="274" w:hRule="exact"/>
        </w:trPr>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57,739,392</w:t>
            </w:r>
          </w:p>
        </w:tc>
        <w:tc>
          <w:tcPr>
            <w:tcBorders>
              <w:top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213,768</w:t>
            </w:r>
          </w:p>
        </w:tc>
        <w:tc>
          <w:tcPr>
            <w:tcBorders>
              <w:top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3,721,317</w:t>
            </w:r>
          </w:p>
        </w:tc>
        <w:tc>
          <w:tcPr>
            <w:tcBorders>
              <w:top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26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61,674,477</w:t>
            </w:r>
          </w:p>
        </w:tc>
      </w:tr>
    </w:tbl>
    <w:p>
      <w:pPr>
        <w:sectPr>
          <w:footnotePr>
            <w:pos w:val="pageBottom"/>
            <w:numFmt w:val="decimal"/>
            <w:numRestart w:val="continuous"/>
          </w:footnotePr>
          <w:pgSz w:w="11900" w:h="16840"/>
          <w:pgMar w:top="1326" w:right="751" w:bottom="1715" w:left="1703" w:header="0" w:footer="3" w:gutter="0"/>
          <w:cols w:space="720"/>
          <w:noEndnote/>
          <w:rtlGutter w:val="0"/>
          <w:docGrid w:linePitch="360"/>
        </w:sectPr>
      </w:pPr>
    </w:p>
    <w:p>
      <w:pPr>
        <w:pStyle w:val="Style32"/>
        <w:keepNext w:val="0"/>
        <w:keepLines w:val="0"/>
        <w:widowControl w:val="0"/>
        <w:shd w:val="clear" w:color="auto" w:fill="auto"/>
        <w:bidi w:val="0"/>
        <w:spacing w:before="0" w:after="0" w:line="240" w:lineRule="auto"/>
        <w:ind w:left="0" w:right="0" w:firstLine="700"/>
        <w:jc w:val="left"/>
        <w:rPr>
          <w:sz w:val="24"/>
          <w:szCs w:val="24"/>
        </w:rPr>
      </w:pPr>
      <w:r>
        <w:rPr>
          <w:b/>
          <w:bCs/>
          <w:color w:val="000000"/>
          <w:spacing w:val="0"/>
          <w:w w:val="100"/>
          <w:position w:val="0"/>
          <w:sz w:val="24"/>
          <w:szCs w:val="24"/>
        </w:rPr>
        <w:t>财务报表附注</w:t>
      </w:r>
    </w:p>
    <w:p>
      <w:pPr>
        <w:pStyle w:val="Style88"/>
        <w:keepNext/>
        <w:keepLines/>
        <w:widowControl w:val="0"/>
        <w:shd w:val="clear" w:color="auto" w:fill="auto"/>
        <w:bidi w:val="0"/>
        <w:spacing w:before="0" w:after="0" w:line="240" w:lineRule="auto"/>
        <w:ind w:left="0" w:right="0"/>
        <w:jc w:val="left"/>
      </w:pPr>
      <w:bookmarkStart w:id="1144" w:name="bookmark1144"/>
      <w:bookmarkStart w:id="1145" w:name="bookmark1145"/>
      <w:bookmarkStart w:id="1146" w:name="bookmark1146"/>
      <w:r>
        <w:rPr>
          <w:color w:val="000000"/>
          <w:spacing w:val="0"/>
          <w:w w:val="100"/>
          <w:position w:val="0"/>
          <w:sz w:val="24"/>
          <w:szCs w:val="24"/>
        </w:rPr>
        <w:t>2016</w:t>
      </w:r>
      <w:r>
        <w:rPr>
          <w:rFonts w:ascii="SimSun" w:eastAsia="SimSun" w:hAnsi="SimSun" w:cs="SimSun"/>
          <w:b/>
          <w:bCs/>
          <w:color w:val="000000"/>
          <w:spacing w:val="0"/>
          <w:w w:val="100"/>
          <w:position w:val="0"/>
          <w:sz w:val="24"/>
          <w:szCs w:val="24"/>
        </w:rPr>
        <w:t>年度</w:t>
      </w:r>
      <w:bookmarkEnd w:id="1144"/>
      <w:bookmarkEnd w:id="1145"/>
      <w:bookmarkEnd w:id="1146"/>
    </w:p>
    <w:p>
      <w:pPr>
        <w:pStyle w:val="Style32"/>
        <w:keepNext w:val="0"/>
        <w:keepLines w:val="0"/>
        <w:widowControl w:val="0"/>
        <w:shd w:val="clear" w:color="auto" w:fill="auto"/>
        <w:bidi w:val="0"/>
        <w:spacing w:before="0" w:after="240" w:line="240" w:lineRule="auto"/>
        <w:ind w:left="0" w:right="0" w:firstLine="700"/>
        <w:jc w:val="left"/>
        <w:rPr>
          <w:sz w:val="20"/>
          <w:szCs w:val="20"/>
        </w:rPr>
      </w:pPr>
      <w:r>
        <w:rPr>
          <w:rFonts w:ascii="Arial" w:eastAsia="Arial" w:hAnsi="Arial" w:cs="Arial"/>
          <w:color w:val="000000"/>
          <w:spacing w:val="0"/>
          <w:w w:val="100"/>
          <w:position w:val="0"/>
          <w:sz w:val="20"/>
          <w:szCs w:val="20"/>
        </w:rPr>
        <w:t>（</w:t>
      </w:r>
      <w:r>
        <w:rPr>
          <w:color w:val="000000"/>
          <w:spacing w:val="0"/>
          <w:w w:val="100"/>
          <w:position w:val="0"/>
          <w:sz w:val="20"/>
          <w:szCs w:val="20"/>
        </w:rPr>
        <w:t>除特别注明外，金额单位为人民币千元</w:t>
      </w:r>
      <w:r>
        <w:rPr>
          <w:rFonts w:ascii="Arial" w:eastAsia="Arial" w:hAnsi="Arial" w:cs="Arial"/>
          <w:color w:val="000000"/>
          <w:spacing w:val="0"/>
          <w:w w:val="100"/>
          <w:position w:val="0"/>
          <w:sz w:val="20"/>
          <w:szCs w:val="20"/>
        </w:rPr>
        <w:t>）</w:t>
      </w:r>
    </w:p>
    <w:p>
      <w:pPr>
        <w:pStyle w:val="Style32"/>
        <w:keepNext w:val="0"/>
        <w:keepLines w:val="0"/>
        <w:widowControl w:val="0"/>
        <w:shd w:val="clear" w:color="auto" w:fill="auto"/>
        <w:bidi w:val="0"/>
        <w:spacing w:before="0" w:after="240" w:line="240" w:lineRule="auto"/>
        <w:ind w:left="0" w:right="0" w:firstLine="0"/>
        <w:jc w:val="left"/>
        <w:rPr>
          <w:sz w:val="24"/>
          <w:szCs w:val="24"/>
        </w:rPr>
      </w:pPr>
      <w:r>
        <w:rPr>
          <w:b/>
          <w:bCs/>
          <w:color w:val="000000"/>
          <w:spacing w:val="0"/>
          <w:w w:val="100"/>
          <w:position w:val="0"/>
          <w:sz w:val="24"/>
          <w:szCs w:val="24"/>
        </w:rPr>
        <w:t>十四金融风险</w:t>
      </w:r>
      <w:r>
        <w:rPr>
          <w:rFonts w:ascii="Times New Roman" w:eastAsia="Times New Roman" w:hAnsi="Times New Roman" w:cs="Times New Roman"/>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4"/>
          <w:szCs w:val="24"/>
        </w:rPr>
        <w:t>）</w:t>
      </w:r>
    </w:p>
    <w:p>
      <w:pPr>
        <w:pStyle w:val="Style53"/>
        <w:keepNext w:val="0"/>
        <w:keepLines w:val="0"/>
        <w:widowControl w:val="0"/>
        <w:shd w:val="clear" w:color="auto" w:fill="auto"/>
        <w:tabs>
          <w:tab w:pos="672" w:val="left"/>
        </w:tabs>
        <w:bidi w:val="0"/>
        <w:spacing w:before="0" w:after="240" w:line="240" w:lineRule="auto"/>
        <w:ind w:left="0" w:right="0" w:firstLine="0"/>
        <w:jc w:val="left"/>
        <w:rPr>
          <w:sz w:val="24"/>
          <w:szCs w:val="24"/>
        </w:rPr>
      </w:pPr>
      <w:r>
        <w:rPr>
          <w:color w:val="000000"/>
          <w:spacing w:val="0"/>
          <w:w w:val="100"/>
          <w:position w:val="0"/>
          <w:sz w:val="24"/>
          <w:szCs w:val="24"/>
        </w:rPr>
        <w:t>（4）</w:t>
        <w:tab/>
      </w:r>
      <w:r>
        <w:rPr>
          <w:rFonts w:ascii="SimSun" w:eastAsia="SimSun" w:hAnsi="SimSun" w:cs="SimSun"/>
          <w:b/>
          <w:bCs/>
          <w:color w:val="000000"/>
          <w:spacing w:val="0"/>
          <w:w w:val="100"/>
          <w:position w:val="0"/>
          <w:sz w:val="24"/>
          <w:szCs w:val="24"/>
        </w:rPr>
        <w:t>流动性风险</w:t>
      </w:r>
      <w:r>
        <w:rPr>
          <w:color w:val="000000"/>
          <w:spacing w:val="0"/>
          <w:w w:val="100"/>
          <w:position w:val="0"/>
          <w:sz w:val="24"/>
          <w:szCs w:val="24"/>
        </w:rPr>
        <w:t>（</w:t>
      </w:r>
      <w:r>
        <w:rPr>
          <w:rFonts w:ascii="SimSun" w:eastAsia="SimSun" w:hAnsi="SimSun" w:cs="SimSun"/>
          <w:b/>
          <w:bCs/>
          <w:color w:val="000000"/>
          <w:spacing w:val="0"/>
          <w:w w:val="100"/>
          <w:position w:val="0"/>
          <w:sz w:val="24"/>
          <w:szCs w:val="24"/>
        </w:rPr>
        <w:t>续</w:t>
      </w:r>
      <w:r>
        <w:rPr>
          <w:color w:val="000000"/>
          <w:spacing w:val="0"/>
          <w:w w:val="100"/>
          <w:position w:val="0"/>
          <w:sz w:val="24"/>
          <w:szCs w:val="24"/>
        </w:rPr>
        <w:t>）</w:t>
      </w:r>
    </w:p>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2015</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w:t>
      </w:r>
    </w:p>
    <w:tbl>
      <w:tblPr>
        <w:tblOverlap w:val="never"/>
        <w:jc w:val="right"/>
        <w:tblLayout w:type="fixed"/>
      </w:tblPr>
      <w:tblGrid>
        <w:gridCol w:w="1886"/>
        <w:gridCol w:w="1474"/>
        <w:gridCol w:w="1430"/>
        <w:gridCol w:w="1363"/>
        <w:gridCol w:w="1306"/>
        <w:gridCol w:w="1272"/>
      </w:tblGrid>
      <w:tr>
        <w:trPr>
          <w:trHeight w:val="403" w:hRule="exact"/>
        </w:trPr>
        <w:tc>
          <w:tcPr>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一年以内</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一到二年</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240" w:firstLine="0"/>
              <w:jc w:val="right"/>
              <w:rPr>
                <w:sz w:val="20"/>
                <w:szCs w:val="20"/>
              </w:rPr>
            </w:pPr>
            <w:r>
              <w:rPr>
                <w:color w:val="000000"/>
                <w:spacing w:val="0"/>
                <w:w w:val="100"/>
                <w:position w:val="0"/>
                <w:sz w:val="20"/>
                <w:szCs w:val="20"/>
              </w:rPr>
              <w:t>二到五年</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五年以上</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合计</w:t>
            </w:r>
          </w:p>
        </w:tc>
      </w:tr>
      <w:tr>
        <w:trPr>
          <w:trHeight w:val="398"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短期借款</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3,225,641</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02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24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26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80"/>
              <w:jc w:val="both"/>
              <w:rPr>
                <w:sz w:val="20"/>
                <w:szCs w:val="20"/>
              </w:rPr>
            </w:pPr>
            <w:r>
              <w:rPr>
                <w:rFonts w:ascii="Times New Roman" w:eastAsia="Times New Roman" w:hAnsi="Times New Roman" w:cs="Times New Roman"/>
                <w:color w:val="000000"/>
                <w:spacing w:val="0"/>
                <w:w w:val="100"/>
                <w:position w:val="0"/>
                <w:sz w:val="20"/>
                <w:szCs w:val="20"/>
              </w:rPr>
              <w:t>3,225,641</w:t>
            </w:r>
          </w:p>
        </w:tc>
      </w:tr>
      <w:tr>
        <w:trPr>
          <w:trHeight w:val="259"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应付票据</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23,890,061</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02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24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26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23,890,061</w:t>
            </w:r>
          </w:p>
        </w:tc>
      </w:tr>
      <w:tr>
        <w:trPr>
          <w:trHeight w:val="254"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应付账款</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9,058,853</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02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24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26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80"/>
              <w:jc w:val="both"/>
              <w:rPr>
                <w:sz w:val="20"/>
                <w:szCs w:val="20"/>
              </w:rPr>
            </w:pPr>
            <w:r>
              <w:rPr>
                <w:rFonts w:ascii="Times New Roman" w:eastAsia="Times New Roman" w:hAnsi="Times New Roman" w:cs="Times New Roman"/>
                <w:color w:val="000000"/>
                <w:spacing w:val="0"/>
                <w:w w:val="100"/>
                <w:position w:val="0"/>
                <w:sz w:val="20"/>
                <w:szCs w:val="20"/>
              </w:rPr>
              <w:t>9,058,853</w:t>
            </w:r>
          </w:p>
        </w:tc>
      </w:tr>
      <w:tr>
        <w:trPr>
          <w:trHeight w:val="254"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其他应付款</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6,233,929</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02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24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26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80"/>
              <w:jc w:val="both"/>
              <w:rPr>
                <w:sz w:val="20"/>
                <w:szCs w:val="20"/>
              </w:rPr>
            </w:pPr>
            <w:r>
              <w:rPr>
                <w:rFonts w:ascii="Times New Roman" w:eastAsia="Times New Roman" w:hAnsi="Times New Roman" w:cs="Times New Roman"/>
                <w:color w:val="000000"/>
                <w:spacing w:val="0"/>
                <w:w w:val="100"/>
                <w:position w:val="0"/>
                <w:sz w:val="20"/>
                <w:szCs w:val="20"/>
              </w:rPr>
              <w:t>6,233,929</w:t>
            </w:r>
          </w:p>
        </w:tc>
      </w:tr>
      <w:tr>
        <w:trPr>
          <w:trHeight w:val="264"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一年内到期的长期</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64"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借款</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20"/>
              <w:jc w:val="left"/>
              <w:rPr>
                <w:sz w:val="20"/>
                <w:szCs w:val="20"/>
              </w:rPr>
            </w:pPr>
            <w:r>
              <w:rPr>
                <w:rFonts w:ascii="Times New Roman" w:eastAsia="Times New Roman" w:hAnsi="Times New Roman" w:cs="Times New Roman"/>
                <w:color w:val="000000"/>
                <w:spacing w:val="0"/>
                <w:w w:val="100"/>
                <w:position w:val="0"/>
                <w:sz w:val="20"/>
                <w:szCs w:val="20"/>
              </w:rPr>
              <w:t>62,161</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02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24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26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62,161</w:t>
            </w:r>
          </w:p>
        </w:tc>
      </w:tr>
      <w:tr>
        <w:trPr>
          <w:trHeight w:val="269"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长期借款</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12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114,406</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60"/>
              <w:jc w:val="both"/>
              <w:rPr>
                <w:sz w:val="20"/>
                <w:szCs w:val="20"/>
              </w:rPr>
            </w:pPr>
            <w:r>
              <w:rPr>
                <w:rFonts w:ascii="Times New Roman" w:eastAsia="Times New Roman" w:hAnsi="Times New Roman" w:cs="Times New Roman"/>
                <w:color w:val="000000"/>
                <w:spacing w:val="0"/>
                <w:w w:val="100"/>
                <w:position w:val="0"/>
                <w:sz w:val="20"/>
                <w:szCs w:val="20"/>
              </w:rPr>
              <w:t>243,512</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26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357,918</w:t>
            </w:r>
          </w:p>
        </w:tc>
      </w:tr>
      <w:tr>
        <w:trPr>
          <w:trHeight w:val="259"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应付债券</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3,500,000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4,500,000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24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26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80"/>
              <w:jc w:val="both"/>
              <w:rPr>
                <w:sz w:val="20"/>
                <w:szCs w:val="20"/>
              </w:rPr>
            </w:pPr>
            <w:r>
              <w:rPr>
                <w:rFonts w:ascii="Times New Roman" w:eastAsia="Times New Roman" w:hAnsi="Times New Roman" w:cs="Times New Roman"/>
                <w:color w:val="000000"/>
                <w:spacing w:val="0"/>
                <w:w w:val="100"/>
                <w:position w:val="0"/>
                <w:sz w:val="20"/>
                <w:szCs w:val="20"/>
              </w:rPr>
              <w:t>8,000,000</w:t>
            </w:r>
          </w:p>
        </w:tc>
      </w:tr>
      <w:tr>
        <w:trPr>
          <w:trHeight w:val="235"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应付利息</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490,601</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266,544</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240" w:firstLine="0"/>
              <w:jc w:val="right"/>
              <w:rPr>
                <w:sz w:val="20"/>
                <w:szCs w:val="20"/>
              </w:rPr>
            </w:pPr>
            <w:r>
              <w:rPr>
                <w:rFonts w:ascii="Times New Roman" w:eastAsia="Times New Roman" w:hAnsi="Times New Roman" w:cs="Times New Roman"/>
                <w:color w:val="000000"/>
                <w:spacing w:val="0"/>
                <w:w w:val="100"/>
                <w:position w:val="0"/>
                <w:sz w:val="20"/>
                <w:szCs w:val="20"/>
              </w:rPr>
              <w:t>21,072</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26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778,217</w:t>
            </w:r>
          </w:p>
        </w:tc>
      </w:tr>
      <w:tr>
        <w:trPr>
          <w:trHeight w:val="317" w:hRule="exact"/>
        </w:trPr>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46,461,246</w:t>
            </w:r>
          </w:p>
        </w:tc>
        <w:tc>
          <w:tcPr>
            <w:tcBorders>
              <w:top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4,880,950</w:t>
            </w:r>
          </w:p>
        </w:tc>
        <w:tc>
          <w:tcPr>
            <w:tcBorders>
              <w:top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60"/>
              <w:jc w:val="both"/>
              <w:rPr>
                <w:sz w:val="20"/>
                <w:szCs w:val="20"/>
              </w:rPr>
            </w:pPr>
            <w:r>
              <w:rPr>
                <w:rFonts w:ascii="Times New Roman" w:eastAsia="Times New Roman" w:hAnsi="Times New Roman" w:cs="Times New Roman"/>
                <w:color w:val="000000"/>
                <w:spacing w:val="0"/>
                <w:w w:val="100"/>
                <w:position w:val="0"/>
                <w:sz w:val="20"/>
                <w:szCs w:val="20"/>
              </w:rPr>
              <w:t>264,584</w:t>
            </w:r>
          </w:p>
        </w:tc>
        <w:tc>
          <w:tcPr>
            <w:tcBorders>
              <w:top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26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51,606,780</w:t>
            </w:r>
          </w:p>
        </w:tc>
      </w:tr>
    </w:tbl>
    <w:p>
      <w:pPr>
        <w:widowControl w:val="0"/>
        <w:spacing w:after="239" w:line="1" w:lineRule="exact"/>
      </w:pPr>
    </w:p>
    <w:p>
      <w:pPr>
        <w:pStyle w:val="Style32"/>
        <w:keepNext w:val="0"/>
        <w:keepLines w:val="0"/>
        <w:widowControl w:val="0"/>
        <w:shd w:val="clear" w:color="auto" w:fill="auto"/>
        <w:bidi w:val="0"/>
        <w:spacing w:before="0" w:after="300" w:line="305" w:lineRule="exact"/>
        <w:ind w:left="700" w:right="0" w:firstLine="20"/>
        <w:jc w:val="both"/>
        <w:rPr>
          <w:sz w:val="24"/>
          <w:szCs w:val="24"/>
        </w:rPr>
      </w:pPr>
      <w:r>
        <w:rPr>
          <w:color w:val="000000"/>
          <w:spacing w:val="0"/>
          <w:w w:val="100"/>
          <w:position w:val="0"/>
          <w:sz w:val="24"/>
          <w:szCs w:val="24"/>
        </w:rPr>
        <w:t>以公允价值计量且其变动计入当期损益的金融负债于</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日之公允价 值约人民币</w:t>
      </w:r>
      <w:r>
        <w:rPr>
          <w:rFonts w:ascii="Times New Roman" w:eastAsia="Times New Roman" w:hAnsi="Times New Roman" w:cs="Times New Roman"/>
          <w:color w:val="000000"/>
          <w:spacing w:val="0"/>
          <w:w w:val="100"/>
          <w:position w:val="0"/>
          <w:sz w:val="24"/>
          <w:szCs w:val="24"/>
        </w:rPr>
        <w:t>3,865</w:t>
      </w:r>
      <w:r>
        <w:rPr>
          <w:color w:val="000000"/>
          <w:spacing w:val="0"/>
          <w:w w:val="100"/>
          <w:position w:val="0"/>
          <w:sz w:val="24"/>
          <w:szCs w:val="24"/>
        </w:rPr>
        <w:t>万元</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日：约人民币</w:t>
      </w:r>
      <w:r>
        <w:rPr>
          <w:rFonts w:ascii="Times New Roman" w:eastAsia="Times New Roman" w:hAnsi="Times New Roman" w:cs="Times New Roman"/>
          <w:color w:val="000000"/>
          <w:spacing w:val="0"/>
          <w:w w:val="100"/>
          <w:position w:val="0"/>
          <w:sz w:val="24"/>
          <w:szCs w:val="24"/>
        </w:rPr>
        <w:t>1,491</w:t>
      </w:r>
      <w:r>
        <w:rPr>
          <w:color w:val="000000"/>
          <w:spacing w:val="0"/>
          <w:w w:val="100"/>
          <w:position w:val="0"/>
          <w:sz w:val="24"/>
          <w:szCs w:val="24"/>
        </w:rPr>
        <w:t>万元</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附注四</w:t>
      </w:r>
      <w:r>
        <w:rPr>
          <w:rFonts w:ascii="Times New Roman" w:eastAsia="Times New Roman" w:hAnsi="Times New Roman" w:cs="Times New Roman"/>
          <w:color w:val="000000"/>
          <w:spacing w:val="0"/>
          <w:w w:val="100"/>
          <w:position w:val="0"/>
          <w:sz w:val="24"/>
          <w:szCs w:val="24"/>
        </w:rPr>
        <w:t>（23））</w:t>
      </w:r>
      <w:r>
        <w:rPr>
          <w:color w:val="000000"/>
          <w:spacing w:val="0"/>
          <w:w w:val="100"/>
          <w:position w:val="0"/>
          <w:sz w:val="24"/>
          <w:szCs w:val="24"/>
        </w:rPr>
        <w:t>,合 同到期日为</w:t>
      </w:r>
      <w:r>
        <w:rPr>
          <w:rFonts w:ascii="Times New Roman" w:eastAsia="Times New Roman" w:hAnsi="Times New Roman" w:cs="Times New Roman"/>
          <w:color w:val="000000"/>
          <w:spacing w:val="0"/>
          <w:w w:val="100"/>
          <w:position w:val="0"/>
          <w:sz w:val="24"/>
          <w:szCs w:val="24"/>
        </w:rPr>
        <w:t>2032</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16</w:t>
      </w:r>
      <w:r>
        <w:rPr>
          <w:color w:val="000000"/>
          <w:spacing w:val="0"/>
          <w:w w:val="100"/>
          <w:position w:val="0"/>
          <w:sz w:val="24"/>
          <w:szCs w:val="24"/>
        </w:rPr>
        <w:t>日及</w:t>
      </w:r>
      <w:r>
        <w:rPr>
          <w:rFonts w:ascii="Times New Roman" w:eastAsia="Times New Roman" w:hAnsi="Times New Roman" w:cs="Times New Roman"/>
          <w:color w:val="000000"/>
          <w:spacing w:val="0"/>
          <w:w w:val="100"/>
          <w:position w:val="0"/>
          <w:sz w:val="24"/>
          <w:szCs w:val="24"/>
        </w:rPr>
        <w:t>2033</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30</w:t>
      </w:r>
      <w:r>
        <w:rPr>
          <w:color w:val="000000"/>
          <w:spacing w:val="0"/>
          <w:w w:val="100"/>
          <w:position w:val="0"/>
          <w:sz w:val="24"/>
          <w:szCs w:val="24"/>
        </w:rPr>
        <w:t>日。</w:t>
      </w:r>
    </w:p>
    <w:p>
      <w:pPr>
        <w:pStyle w:val="Style32"/>
        <w:keepNext w:val="0"/>
        <w:keepLines w:val="0"/>
        <w:widowControl w:val="0"/>
        <w:shd w:val="clear" w:color="auto" w:fill="auto"/>
        <w:bidi w:val="0"/>
        <w:spacing w:before="0" w:after="240" w:line="310" w:lineRule="exact"/>
        <w:ind w:left="700" w:right="0" w:firstLine="20"/>
        <w:jc w:val="both"/>
        <w:rPr>
          <w:sz w:val="24"/>
          <w:szCs w:val="24"/>
        </w:rPr>
        <w:sectPr>
          <w:footnotePr>
            <w:pos w:val="pageBottom"/>
            <w:numFmt w:val="decimal"/>
            <w:numRestart w:val="continuous"/>
          </w:footnotePr>
          <w:pgSz w:w="11900" w:h="16840"/>
          <w:pgMar w:top="1326" w:right="751" w:bottom="1600" w:left="1707" w:header="0" w:footer="3" w:gutter="0"/>
          <w:cols w:space="720"/>
          <w:noEndnote/>
          <w:rtlGutter w:val="0"/>
          <w:docGrid w:linePitch="360"/>
        </w:sectPr>
      </w:pPr>
      <w:r>
        <w:rPr>
          <w:color w:val="000000"/>
          <w:spacing w:val="0"/>
          <w:w w:val="100"/>
          <w:position w:val="0"/>
          <w:sz w:val="24"/>
          <w:szCs w:val="24"/>
        </w:rPr>
        <w:t>其他非流动负债于</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日之公允价值约人民币</w:t>
      </w:r>
      <w:r>
        <w:rPr>
          <w:rFonts w:ascii="Times New Roman" w:eastAsia="Times New Roman" w:hAnsi="Times New Roman" w:cs="Times New Roman"/>
          <w:color w:val="000000"/>
          <w:spacing w:val="0"/>
          <w:w w:val="100"/>
          <w:position w:val="0"/>
          <w:sz w:val="24"/>
          <w:szCs w:val="24"/>
        </w:rPr>
        <w:t>1,500</w:t>
      </w:r>
      <w:r>
        <w:rPr>
          <w:color w:val="000000"/>
          <w:spacing w:val="0"/>
          <w:w w:val="100"/>
          <w:position w:val="0"/>
          <w:sz w:val="24"/>
          <w:szCs w:val="24"/>
        </w:rPr>
        <w:t>万元</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 xml:space="preserve">12 </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日：约人民币</w:t>
      </w:r>
      <w:r>
        <w:rPr>
          <w:rFonts w:ascii="Times New Roman" w:eastAsia="Times New Roman" w:hAnsi="Times New Roman" w:cs="Times New Roman"/>
          <w:color w:val="000000"/>
          <w:spacing w:val="0"/>
          <w:w w:val="100"/>
          <w:position w:val="0"/>
          <w:sz w:val="24"/>
          <w:szCs w:val="24"/>
        </w:rPr>
        <w:t>2,050</w:t>
      </w:r>
      <w:r>
        <w:rPr>
          <w:color w:val="000000"/>
          <w:spacing w:val="0"/>
          <w:w w:val="100"/>
          <w:position w:val="0"/>
          <w:sz w:val="24"/>
          <w:szCs w:val="24"/>
        </w:rPr>
        <w:t>万元</w:t>
      </w:r>
      <w:r>
        <w:rPr>
          <w:color w:val="000000"/>
          <w:spacing w:val="0"/>
          <w:w w:val="100"/>
          <w:position w:val="0"/>
          <w:sz w:val="24"/>
          <w:szCs w:val="24"/>
        </w:rPr>
        <w:t>）（</w:t>
      </w:r>
      <w:r>
        <w:rPr>
          <w:color w:val="000000"/>
          <w:spacing w:val="0"/>
          <w:w w:val="100"/>
          <w:position w:val="0"/>
          <w:sz w:val="24"/>
          <w:szCs w:val="24"/>
        </w:rPr>
        <w:t>附注四</w:t>
      </w:r>
      <w:r>
        <w:rPr>
          <w:rFonts w:ascii="Times New Roman" w:eastAsia="Times New Roman" w:hAnsi="Times New Roman" w:cs="Times New Roman"/>
          <w:color w:val="000000"/>
          <w:spacing w:val="0"/>
          <w:w w:val="100"/>
          <w:position w:val="0"/>
          <w:sz w:val="24"/>
          <w:szCs w:val="24"/>
        </w:rPr>
        <w:t>（38））</w:t>
      </w:r>
      <w:r>
        <w:rPr>
          <w:color w:val="000000"/>
          <w:spacing w:val="0"/>
          <w:w w:val="100"/>
          <w:position w:val="0"/>
          <w:sz w:val="24"/>
          <w:szCs w:val="24"/>
        </w:rPr>
        <w:t>,合同到期日为</w:t>
      </w:r>
      <w:r>
        <w:rPr>
          <w:rFonts w:ascii="Times New Roman" w:eastAsia="Times New Roman" w:hAnsi="Times New Roman" w:cs="Times New Roman"/>
          <w:color w:val="000000"/>
          <w:spacing w:val="0"/>
          <w:w w:val="100"/>
          <w:position w:val="0"/>
          <w:sz w:val="24"/>
          <w:szCs w:val="24"/>
        </w:rPr>
        <w:t>2018</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 xml:space="preserve">日至 </w:t>
      </w:r>
      <w:r>
        <w:rPr>
          <w:rFonts w:ascii="Times New Roman" w:eastAsia="Times New Roman" w:hAnsi="Times New Roman" w:cs="Times New Roman"/>
          <w:color w:val="000000"/>
          <w:spacing w:val="0"/>
          <w:w w:val="100"/>
          <w:position w:val="0"/>
          <w:sz w:val="24"/>
          <w:szCs w:val="24"/>
        </w:rPr>
        <w:t>2018</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日。</w:t>
      </w:r>
    </w:p>
    <w:p>
      <w:pPr>
        <w:pStyle w:val="Style32"/>
        <w:keepNext w:val="0"/>
        <w:keepLines w:val="0"/>
        <w:widowControl w:val="0"/>
        <w:shd w:val="clear" w:color="auto" w:fill="auto"/>
        <w:bidi w:val="0"/>
        <w:spacing w:before="0" w:after="0" w:line="240" w:lineRule="auto"/>
        <w:ind w:left="1300" w:right="0" w:firstLine="0"/>
        <w:jc w:val="left"/>
        <w:rPr>
          <w:sz w:val="24"/>
          <w:szCs w:val="24"/>
        </w:rPr>
      </w:pPr>
      <w:r>
        <w:rPr>
          <w:b/>
          <w:bCs/>
          <w:color w:val="000000"/>
          <w:spacing w:val="0"/>
          <w:w w:val="100"/>
          <w:position w:val="0"/>
          <w:sz w:val="24"/>
          <w:szCs w:val="24"/>
        </w:rPr>
        <w:t>财务报表附注</w:t>
      </w:r>
    </w:p>
    <w:p>
      <w:pPr>
        <w:pStyle w:val="Style88"/>
        <w:keepNext/>
        <w:keepLines/>
        <w:widowControl w:val="0"/>
        <w:shd w:val="clear" w:color="auto" w:fill="auto"/>
        <w:bidi w:val="0"/>
        <w:spacing w:before="0" w:after="0" w:line="240" w:lineRule="auto"/>
        <w:ind w:left="1300" w:right="0" w:firstLine="0"/>
        <w:jc w:val="left"/>
      </w:pPr>
      <w:bookmarkStart w:id="1147" w:name="bookmark1147"/>
      <w:bookmarkStart w:id="1148" w:name="bookmark1148"/>
      <w:bookmarkStart w:id="1149" w:name="bookmark1149"/>
      <w:r>
        <w:rPr>
          <w:color w:val="000000"/>
          <w:spacing w:val="0"/>
          <w:w w:val="100"/>
          <w:position w:val="0"/>
          <w:sz w:val="24"/>
          <w:szCs w:val="24"/>
        </w:rPr>
        <w:t>2016</w:t>
      </w:r>
      <w:r>
        <w:rPr>
          <w:rFonts w:ascii="SimSun" w:eastAsia="SimSun" w:hAnsi="SimSun" w:cs="SimSun"/>
          <w:b/>
          <w:bCs/>
          <w:color w:val="000000"/>
          <w:spacing w:val="0"/>
          <w:w w:val="100"/>
          <w:position w:val="0"/>
          <w:sz w:val="24"/>
          <w:szCs w:val="24"/>
        </w:rPr>
        <w:t>年度</w:t>
      </w:r>
      <w:bookmarkEnd w:id="1147"/>
      <w:bookmarkEnd w:id="1148"/>
      <w:bookmarkEnd w:id="1149"/>
    </w:p>
    <w:p>
      <w:pPr>
        <w:pStyle w:val="Style32"/>
        <w:keepNext w:val="0"/>
        <w:keepLines w:val="0"/>
        <w:widowControl w:val="0"/>
        <w:shd w:val="clear" w:color="auto" w:fill="auto"/>
        <w:bidi w:val="0"/>
        <w:spacing w:before="0" w:after="240" w:line="240" w:lineRule="auto"/>
        <w:ind w:left="1300" w:right="0" w:firstLine="0"/>
        <w:jc w:val="left"/>
        <w:rPr>
          <w:sz w:val="24"/>
          <w:szCs w:val="24"/>
        </w:rPr>
      </w:pPr>
      <w:r>
        <w:rPr>
          <w:rFonts w:ascii="Arial" w:eastAsia="Arial" w:hAnsi="Arial" w:cs="Arial"/>
          <w:color w:val="000000"/>
          <w:spacing w:val="0"/>
          <w:w w:val="100"/>
          <w:position w:val="0"/>
          <w:sz w:val="20"/>
          <w:szCs w:val="20"/>
        </w:rPr>
        <w:t>(</w:t>
      </w:r>
      <w:r>
        <w:rPr>
          <w:color w:val="000000"/>
          <w:spacing w:val="0"/>
          <w:w w:val="100"/>
          <w:position w:val="0"/>
          <w:sz w:val="20"/>
          <w:szCs w:val="20"/>
        </w:rPr>
        <w:t>除特别注明外，金额单位为人民币千元</w:t>
      </w:r>
      <w:r>
        <w:rPr>
          <w:color w:val="000000"/>
          <w:spacing w:val="0"/>
          <w:w w:val="100"/>
          <w:position w:val="0"/>
          <w:sz w:val="24"/>
          <w:szCs w:val="24"/>
        </w:rPr>
        <w:t>)</w:t>
      </w:r>
    </w:p>
    <w:p>
      <w:pPr>
        <w:pStyle w:val="Style32"/>
        <w:keepNext w:val="0"/>
        <w:keepLines w:val="0"/>
        <w:widowControl w:val="0"/>
        <w:shd w:val="clear" w:color="auto" w:fill="auto"/>
        <w:bidi w:val="0"/>
        <w:spacing w:before="0" w:after="300" w:line="240" w:lineRule="auto"/>
        <w:ind w:left="0" w:right="0" w:firstLine="580"/>
        <w:jc w:val="left"/>
        <w:rPr>
          <w:sz w:val="24"/>
          <w:szCs w:val="24"/>
        </w:rPr>
      </w:pPr>
      <w:r>
        <w:rPr>
          <w:b/>
          <w:bCs/>
          <w:color w:val="000000"/>
          <w:spacing w:val="0"/>
          <w:w w:val="100"/>
          <w:position w:val="0"/>
          <w:sz w:val="24"/>
          <w:szCs w:val="24"/>
        </w:rPr>
        <w:t>十五公允价值估计</w:t>
      </w:r>
    </w:p>
    <w:p>
      <w:pPr>
        <w:pStyle w:val="Style32"/>
        <w:keepNext w:val="0"/>
        <w:keepLines w:val="0"/>
        <w:widowControl w:val="0"/>
        <w:shd w:val="clear" w:color="auto" w:fill="auto"/>
        <w:bidi w:val="0"/>
        <w:spacing w:before="0" w:after="240" w:line="307" w:lineRule="exact"/>
        <w:ind w:left="1140" w:right="0" w:firstLine="20"/>
        <w:jc w:val="left"/>
        <w:rPr>
          <w:sz w:val="24"/>
          <w:szCs w:val="24"/>
        </w:rPr>
      </w:pPr>
      <w:r>
        <w:rPr>
          <w:color w:val="000000"/>
          <w:spacing w:val="0"/>
          <w:w w:val="100"/>
          <w:position w:val="0"/>
          <w:sz w:val="24"/>
          <w:szCs w:val="24"/>
        </w:rPr>
        <w:t>公允价值计量结果所属的层次，由对公允价值计量整体而言具有重要意义的输 入值所属的最低层次决定：</w:t>
      </w:r>
    </w:p>
    <w:p>
      <w:pPr>
        <w:pStyle w:val="Style32"/>
        <w:keepNext w:val="0"/>
        <w:keepLines w:val="0"/>
        <w:widowControl w:val="0"/>
        <w:shd w:val="clear" w:color="auto" w:fill="auto"/>
        <w:bidi w:val="0"/>
        <w:spacing w:before="0" w:after="240" w:line="326" w:lineRule="exact"/>
        <w:ind w:left="1140" w:right="0" w:firstLine="20"/>
        <w:jc w:val="left"/>
        <w:rPr>
          <w:sz w:val="24"/>
          <w:szCs w:val="24"/>
        </w:rPr>
      </w:pPr>
      <w:r>
        <w:rPr>
          <w:color w:val="000000"/>
          <w:spacing w:val="0"/>
          <w:w w:val="100"/>
          <w:position w:val="0"/>
          <w:sz w:val="24"/>
          <w:szCs w:val="24"/>
        </w:rPr>
        <w:t>第一层次：相同资产或负债在活跃市场上未经调整的报价。</w:t>
      </w:r>
    </w:p>
    <w:p>
      <w:pPr>
        <w:pStyle w:val="Style32"/>
        <w:keepNext w:val="0"/>
        <w:keepLines w:val="0"/>
        <w:widowControl w:val="0"/>
        <w:shd w:val="clear" w:color="auto" w:fill="auto"/>
        <w:bidi w:val="0"/>
        <w:spacing w:before="0" w:after="240" w:line="326" w:lineRule="exact"/>
        <w:ind w:left="1140" w:right="0" w:firstLine="20"/>
        <w:jc w:val="left"/>
        <w:rPr>
          <w:sz w:val="24"/>
          <w:szCs w:val="24"/>
        </w:rPr>
      </w:pPr>
      <w:r>
        <w:rPr>
          <w:color w:val="000000"/>
          <w:spacing w:val="0"/>
          <w:w w:val="100"/>
          <w:position w:val="0"/>
          <w:sz w:val="24"/>
          <w:szCs w:val="24"/>
        </w:rPr>
        <w:t>第二层次：除第一层次输入值外相关资产或负债直接或间接可观察的输入值。</w:t>
      </w:r>
    </w:p>
    <w:p>
      <w:pPr>
        <w:pStyle w:val="Style32"/>
        <w:keepNext w:val="0"/>
        <w:keepLines w:val="0"/>
        <w:widowControl w:val="0"/>
        <w:shd w:val="clear" w:color="auto" w:fill="auto"/>
        <w:bidi w:val="0"/>
        <w:spacing w:before="0" w:after="300" w:line="326" w:lineRule="exact"/>
        <w:ind w:left="1140" w:right="0" w:firstLine="20"/>
        <w:jc w:val="left"/>
        <w:rPr>
          <w:sz w:val="24"/>
          <w:szCs w:val="24"/>
        </w:rPr>
      </w:pPr>
      <w:r>
        <w:rPr>
          <w:color w:val="000000"/>
          <w:spacing w:val="0"/>
          <w:w w:val="100"/>
          <w:position w:val="0"/>
          <w:sz w:val="24"/>
          <w:szCs w:val="24"/>
        </w:rPr>
        <w:t>第三层次：相关资产或负债的不可观察输入值。</w:t>
      </w:r>
    </w:p>
    <w:p>
      <w:pPr>
        <w:pStyle w:val="Style32"/>
        <w:keepNext w:val="0"/>
        <w:keepLines w:val="0"/>
        <w:widowControl w:val="0"/>
        <w:shd w:val="clear" w:color="auto" w:fill="auto"/>
        <w:bidi w:val="0"/>
        <w:spacing w:before="0" w:after="240" w:line="240" w:lineRule="auto"/>
        <w:ind w:left="0" w:right="0" w:firstLine="580"/>
        <w:jc w:val="left"/>
        <w:rPr>
          <w:sz w:val="24"/>
          <w:szCs w:val="24"/>
        </w:rPr>
      </w:pPr>
      <w:r>
        <w:rPr>
          <w:rFonts w:ascii="Times New Roman" w:eastAsia="Times New Roman" w:hAnsi="Times New Roman" w:cs="Times New Roman"/>
          <w:color w:val="000000"/>
          <w:spacing w:val="0"/>
          <w:w w:val="100"/>
          <w:position w:val="0"/>
          <w:sz w:val="24"/>
          <w:szCs w:val="24"/>
        </w:rPr>
        <w:t>(1)</w:t>
      </w:r>
      <w:r>
        <w:rPr>
          <w:b/>
          <w:bCs/>
          <w:color w:val="000000"/>
          <w:spacing w:val="0"/>
          <w:w w:val="100"/>
          <w:position w:val="0"/>
          <w:sz w:val="24"/>
          <w:szCs w:val="24"/>
        </w:rPr>
        <w:t>持续的以公允价值后续计量的资产和负债</w:t>
      </w:r>
    </w:p>
    <w:p>
      <w:pPr>
        <w:pStyle w:val="Style32"/>
        <w:keepNext w:val="0"/>
        <w:keepLines w:val="0"/>
        <w:widowControl w:val="0"/>
        <w:shd w:val="clear" w:color="auto" w:fill="auto"/>
        <w:bidi w:val="0"/>
        <w:spacing w:before="0" w:after="300" w:line="326" w:lineRule="exact"/>
        <w:ind w:left="1140" w:right="0" w:firstLine="20"/>
        <w:jc w:val="left"/>
        <w:rPr>
          <w:sz w:val="24"/>
          <w:szCs w:val="24"/>
        </w:rPr>
      </w:pPr>
      <w:r>
        <w:rPr>
          <w:color w:val="000000"/>
          <w:spacing w:val="0"/>
          <w:w w:val="100"/>
          <w:position w:val="0"/>
          <w:sz w:val="24"/>
          <w:szCs w:val="24"/>
        </w:rPr>
        <w:t>于</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日，持续的以公允价值计量的资产和负债按上述三个层次 列示如下：</w:t>
      </w:r>
    </w:p>
    <w:tbl>
      <w:tblPr>
        <w:tblOverlap w:val="never"/>
        <w:jc w:val="right"/>
        <w:tblLayout w:type="fixed"/>
      </w:tblPr>
      <w:tblGrid>
        <w:gridCol w:w="2947"/>
        <w:gridCol w:w="1498"/>
        <w:gridCol w:w="1315"/>
        <w:gridCol w:w="1349"/>
        <w:gridCol w:w="1176"/>
      </w:tblGrid>
      <w:tr>
        <w:trPr>
          <w:trHeight w:val="259"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第一层次</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第二层次</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第二层次</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合计</w:t>
            </w:r>
          </w:p>
        </w:tc>
      </w:tr>
      <w:tr>
        <w:trPr>
          <w:trHeight w:val="274"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金融资产</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74"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以公允价值计量且其变动</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78"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计入当期损益的金融资产一</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83"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理财产品</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14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2,227,389</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20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both"/>
              <w:rPr>
                <w:sz w:val="20"/>
                <w:szCs w:val="20"/>
              </w:rPr>
            </w:pPr>
            <w:r>
              <w:rPr>
                <w:rFonts w:ascii="Times New Roman" w:eastAsia="Times New Roman" w:hAnsi="Times New Roman" w:cs="Times New Roman"/>
                <w:color w:val="000000"/>
                <w:spacing w:val="0"/>
                <w:w w:val="100"/>
                <w:position w:val="0"/>
                <w:sz w:val="20"/>
                <w:szCs w:val="20"/>
              </w:rPr>
              <w:t>2,227,389</w:t>
            </w:r>
          </w:p>
        </w:tc>
      </w:tr>
      <w:tr>
        <w:trPr>
          <w:trHeight w:val="254"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新股预约权</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114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18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60"/>
              <w:jc w:val="left"/>
              <w:rPr>
                <w:sz w:val="20"/>
                <w:szCs w:val="20"/>
              </w:rPr>
            </w:pPr>
            <w:r>
              <w:rPr>
                <w:rFonts w:ascii="Times New Roman" w:eastAsia="Times New Roman" w:hAnsi="Times New Roman" w:cs="Times New Roman"/>
                <w:color w:val="000000"/>
                <w:spacing w:val="0"/>
                <w:w w:val="100"/>
                <w:position w:val="0"/>
                <w:sz w:val="20"/>
                <w:szCs w:val="20"/>
              </w:rPr>
              <w:t>1,244</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1,244</w:t>
            </w:r>
          </w:p>
        </w:tc>
      </w:tr>
      <w:tr>
        <w:trPr>
          <w:trHeight w:val="274"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其他流动资产一</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78"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一年内到期的理财产品</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14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18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17,821,905</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both"/>
              <w:rPr>
                <w:sz w:val="20"/>
                <w:szCs w:val="20"/>
              </w:rPr>
            </w:pPr>
            <w:r>
              <w:rPr>
                <w:rFonts w:ascii="Times New Roman" w:eastAsia="Times New Roman" w:hAnsi="Times New Roman" w:cs="Times New Roman"/>
                <w:color w:val="000000"/>
                <w:spacing w:val="0"/>
                <w:w w:val="100"/>
                <w:position w:val="0"/>
                <w:sz w:val="20"/>
                <w:szCs w:val="20"/>
              </w:rPr>
              <w:t>17,821,905</w:t>
            </w:r>
          </w:p>
        </w:tc>
      </w:tr>
      <w:tr>
        <w:trPr>
          <w:trHeight w:val="283"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可供出售金融资产一</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78"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理财产品</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14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851,451</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6,594,794</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both"/>
              <w:rPr>
                <w:sz w:val="20"/>
                <w:szCs w:val="20"/>
              </w:rPr>
            </w:pPr>
            <w:r>
              <w:rPr>
                <w:rFonts w:ascii="Times New Roman" w:eastAsia="Times New Roman" w:hAnsi="Times New Roman" w:cs="Times New Roman"/>
                <w:color w:val="000000"/>
                <w:spacing w:val="0"/>
                <w:w w:val="100"/>
                <w:position w:val="0"/>
                <w:sz w:val="20"/>
                <w:szCs w:val="20"/>
              </w:rPr>
              <w:t>7,446,245</w:t>
            </w:r>
          </w:p>
        </w:tc>
      </w:tr>
      <w:tr>
        <w:trPr>
          <w:trHeight w:val="264"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可供出售权益工具</w:t>
            </w:r>
            <w:r>
              <w:rPr>
                <w:rFonts w:ascii="Times New Roman" w:eastAsia="Times New Roman" w:hAnsi="Times New Roman" w:cs="Times New Roman"/>
                <w:color w:val="000000"/>
                <w:spacing w:val="0"/>
                <w:w w:val="100"/>
                <w:position w:val="0"/>
                <w:sz w:val="20"/>
                <w:szCs w:val="20"/>
              </w:rPr>
              <w:t>(a)</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17,512,558</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18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20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both"/>
              <w:rPr>
                <w:sz w:val="20"/>
                <w:szCs w:val="20"/>
              </w:rPr>
            </w:pPr>
            <w:r>
              <w:rPr>
                <w:rFonts w:ascii="Times New Roman" w:eastAsia="Times New Roman" w:hAnsi="Times New Roman" w:cs="Times New Roman"/>
                <w:color w:val="000000"/>
                <w:spacing w:val="0"/>
                <w:w w:val="100"/>
                <w:position w:val="0"/>
                <w:sz w:val="20"/>
                <w:szCs w:val="20"/>
              </w:rPr>
              <w:t>17,512,558</w:t>
            </w:r>
          </w:p>
        </w:tc>
      </w:tr>
      <w:tr>
        <w:trPr>
          <w:trHeight w:val="336"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金融资产合计</w:t>
            </w:r>
          </w:p>
        </w:tc>
        <w:tc>
          <w:tcPr>
            <w:tcBorders>
              <w:top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u w:val="single"/>
              </w:rPr>
              <w:t>17,512,558</w:t>
            </w:r>
            <w:r>
              <w:rPr>
                <w:rFonts w:ascii="Times New Roman" w:eastAsia="Times New Roman" w:hAnsi="Times New Roman" w:cs="Times New Roman"/>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w:t>
            </w:r>
          </w:p>
        </w:tc>
        <w:tc>
          <w:tcPr>
            <w:tcBorders>
              <w:top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3,078,840</w:t>
            </w:r>
          </w:p>
        </w:tc>
        <w:tc>
          <w:tcPr>
            <w:tcBorders>
              <w:top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24,417,943</w:t>
            </w:r>
          </w:p>
        </w:tc>
        <w:tc>
          <w:tcPr>
            <w:tcBorders>
              <w:top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both"/>
              <w:rPr>
                <w:sz w:val="20"/>
                <w:szCs w:val="20"/>
              </w:rPr>
            </w:pPr>
            <w:r>
              <w:rPr>
                <w:rFonts w:ascii="Times New Roman" w:eastAsia="Times New Roman" w:hAnsi="Times New Roman" w:cs="Times New Roman"/>
                <w:color w:val="000000"/>
                <w:spacing w:val="0"/>
                <w:w w:val="100"/>
                <w:position w:val="0"/>
                <w:sz w:val="20"/>
                <w:szCs w:val="20"/>
              </w:rPr>
              <w:t>45,009,341</w:t>
            </w:r>
          </w:p>
        </w:tc>
      </w:tr>
    </w:tbl>
    <w:p>
      <w:pPr>
        <w:sectPr>
          <w:footnotePr>
            <w:pos w:val="pageBottom"/>
            <w:numFmt w:val="decimal"/>
            <w:numRestart w:val="continuous"/>
          </w:footnotePr>
          <w:pgSz w:w="11900" w:h="16840"/>
          <w:pgMar w:top="1326" w:right="1315" w:bottom="1600" w:left="1143" w:header="0" w:footer="3" w:gutter="0"/>
          <w:cols w:space="720"/>
          <w:noEndnote/>
          <w:rtlGutter w:val="0"/>
          <w:docGrid w:linePitch="360"/>
        </w:sectPr>
      </w:pPr>
    </w:p>
    <w:p>
      <w:pPr>
        <w:pStyle w:val="Style32"/>
        <w:keepNext w:val="0"/>
        <w:keepLines w:val="0"/>
        <w:widowControl w:val="0"/>
        <w:shd w:val="clear" w:color="auto" w:fill="auto"/>
        <w:bidi w:val="0"/>
        <w:spacing w:before="0" w:after="0" w:line="288" w:lineRule="exact"/>
        <w:ind w:left="1220" w:right="0" w:firstLine="0"/>
        <w:jc w:val="left"/>
        <w:rPr>
          <w:sz w:val="24"/>
          <w:szCs w:val="24"/>
        </w:rPr>
      </w:pPr>
      <w:r>
        <w:rPr>
          <w:b/>
          <w:bCs/>
          <w:color w:val="000000"/>
          <w:spacing w:val="0"/>
          <w:w w:val="100"/>
          <w:position w:val="0"/>
          <w:sz w:val="24"/>
          <w:szCs w:val="24"/>
        </w:rPr>
        <w:t xml:space="preserve">财务报表附注 </w:t>
      </w:r>
      <w:r>
        <w:rPr>
          <w:rFonts w:ascii="Arial" w:eastAsia="Arial" w:hAnsi="Arial" w:cs="Arial"/>
          <w:color w:val="000000"/>
          <w:spacing w:val="0"/>
          <w:w w:val="100"/>
          <w:position w:val="0"/>
          <w:sz w:val="24"/>
          <w:szCs w:val="24"/>
        </w:rPr>
        <w:t>2016</w:t>
      </w:r>
      <w:r>
        <w:rPr>
          <w:b/>
          <w:bCs/>
          <w:color w:val="000000"/>
          <w:spacing w:val="0"/>
          <w:w w:val="100"/>
          <w:position w:val="0"/>
          <w:sz w:val="24"/>
          <w:szCs w:val="24"/>
        </w:rPr>
        <w:t>年度</w:t>
      </w:r>
    </w:p>
    <w:p>
      <w:pPr>
        <w:pStyle w:val="Style32"/>
        <w:keepNext w:val="0"/>
        <w:keepLines w:val="0"/>
        <w:widowControl w:val="0"/>
        <w:shd w:val="clear" w:color="auto" w:fill="auto"/>
        <w:bidi w:val="0"/>
        <w:spacing w:before="0" w:after="220" w:line="240" w:lineRule="auto"/>
        <w:ind w:left="1220" w:right="0" w:firstLine="0"/>
        <w:jc w:val="left"/>
        <w:rPr>
          <w:sz w:val="20"/>
          <w:szCs w:val="20"/>
        </w:rPr>
      </w:pPr>
      <w:r>
        <w:rPr>
          <w:rFonts w:ascii="Arial" w:eastAsia="Arial" w:hAnsi="Arial" w:cs="Arial"/>
          <w:color w:val="000000"/>
          <w:spacing w:val="0"/>
          <w:w w:val="100"/>
          <w:position w:val="0"/>
          <w:sz w:val="20"/>
          <w:szCs w:val="20"/>
        </w:rPr>
        <w:t>(</w:t>
      </w:r>
      <w:r>
        <w:rPr>
          <w:color w:val="000000"/>
          <w:spacing w:val="0"/>
          <w:w w:val="100"/>
          <w:position w:val="0"/>
          <w:sz w:val="20"/>
          <w:szCs w:val="20"/>
        </w:rPr>
        <w:t>除特别注明外，金额单位为人民币千元</w:t>
      </w:r>
      <w:r>
        <w:rPr>
          <w:rFonts w:ascii="Arial" w:eastAsia="Arial" w:hAnsi="Arial" w:cs="Arial"/>
          <w:color w:val="000000"/>
          <w:spacing w:val="0"/>
          <w:w w:val="100"/>
          <w:position w:val="0"/>
          <w:sz w:val="20"/>
          <w:szCs w:val="20"/>
        </w:rPr>
        <w:t>)</w:t>
      </w:r>
    </w:p>
    <w:p>
      <w:pPr>
        <w:pStyle w:val="Style32"/>
        <w:keepNext w:val="0"/>
        <w:keepLines w:val="0"/>
        <w:widowControl w:val="0"/>
        <w:shd w:val="clear" w:color="auto" w:fill="auto"/>
        <w:bidi w:val="0"/>
        <w:spacing w:before="0" w:after="260" w:line="240" w:lineRule="auto"/>
        <w:ind w:left="0" w:right="0" w:firstLine="500"/>
        <w:jc w:val="left"/>
        <w:rPr>
          <w:sz w:val="24"/>
          <w:szCs w:val="24"/>
        </w:rPr>
      </w:pPr>
      <w:r>
        <w:rPr>
          <w:b/>
          <w:bCs/>
          <w:color w:val="000000"/>
          <w:spacing w:val="0"/>
          <w:w w:val="100"/>
          <w:position w:val="0"/>
          <w:sz w:val="24"/>
          <w:szCs w:val="24"/>
        </w:rPr>
        <w:t>十五公允价值估计</w:t>
      </w:r>
      <w:r>
        <w:rPr>
          <w:rFonts w:ascii="Times New Roman" w:eastAsia="Times New Roman" w:hAnsi="Times New Roman" w:cs="Times New Roman"/>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4"/>
          <w:szCs w:val="24"/>
        </w:rPr>
        <w:t>)</w:t>
      </w:r>
    </w:p>
    <w:p>
      <w:pPr>
        <w:pStyle w:val="Style32"/>
        <w:keepNext w:val="0"/>
        <w:keepLines w:val="0"/>
        <w:widowControl w:val="0"/>
        <w:shd w:val="clear" w:color="auto" w:fill="auto"/>
        <w:bidi w:val="0"/>
        <w:spacing w:before="0" w:after="260" w:line="240" w:lineRule="auto"/>
        <w:ind w:left="0" w:right="0" w:firstLine="500"/>
        <w:jc w:val="left"/>
        <w:rPr>
          <w:sz w:val="24"/>
          <w:szCs w:val="24"/>
        </w:rPr>
      </w:pPr>
      <w:r>
        <w:rPr>
          <w:rFonts w:ascii="Times New Roman" w:eastAsia="Times New Roman" w:hAnsi="Times New Roman" w:cs="Times New Roman"/>
          <w:color w:val="000000"/>
          <w:spacing w:val="0"/>
          <w:w w:val="100"/>
          <w:position w:val="0"/>
          <w:sz w:val="24"/>
          <w:szCs w:val="24"/>
        </w:rPr>
        <w:t xml:space="preserve">(1) </w:t>
      </w:r>
      <w:r>
        <w:rPr>
          <w:b/>
          <w:bCs/>
          <w:color w:val="000000"/>
          <w:spacing w:val="0"/>
          <w:w w:val="100"/>
          <w:position w:val="0"/>
          <w:sz w:val="24"/>
          <w:szCs w:val="24"/>
        </w:rPr>
        <w:t>持续的以公允价值后续计量的资产和负债</w:t>
      </w:r>
      <w:r>
        <w:rPr>
          <w:rFonts w:ascii="Times New Roman" w:eastAsia="Times New Roman" w:hAnsi="Times New Roman" w:cs="Times New Roman"/>
          <w:color w:val="000000"/>
          <w:spacing w:val="0"/>
          <w:w w:val="100"/>
          <w:position w:val="0"/>
          <w:sz w:val="24"/>
          <w:szCs w:val="24"/>
        </w:rPr>
        <w:t>(</w:t>
      </w:r>
      <w:r>
        <w:rPr>
          <w:b/>
          <w:bCs/>
          <w:color w:val="000000"/>
          <w:spacing w:val="0"/>
          <w:w w:val="100"/>
          <w:position w:val="0"/>
          <w:sz w:val="24"/>
          <w:szCs w:val="24"/>
        </w:rPr>
        <w:t>续</w:t>
      </w:r>
      <w:r>
        <w:rPr>
          <w:rFonts w:ascii="Times New Roman" w:eastAsia="Times New Roman" w:hAnsi="Times New Roman" w:cs="Times New Roman"/>
          <w:color w:val="000000"/>
          <w:spacing w:val="0"/>
          <w:w w:val="100"/>
          <w:position w:val="0"/>
          <w:sz w:val="24"/>
          <w:szCs w:val="24"/>
        </w:rPr>
        <w:t>)</w:t>
      </w:r>
    </w:p>
    <w:tbl>
      <w:tblPr>
        <w:tblOverlap w:val="never"/>
        <w:jc w:val="right"/>
        <w:tblLayout w:type="fixed"/>
      </w:tblPr>
      <w:tblGrid>
        <w:gridCol w:w="2995"/>
        <w:gridCol w:w="1416"/>
        <w:gridCol w:w="1368"/>
        <w:gridCol w:w="1478"/>
        <w:gridCol w:w="998"/>
      </w:tblGrid>
      <w:tr>
        <w:trPr>
          <w:trHeight w:val="259"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第一层级</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第二层级</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第三层级</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合计</w:t>
            </w:r>
          </w:p>
        </w:tc>
      </w:tr>
      <w:tr>
        <w:trPr>
          <w:trHeight w:val="1378" w:hRule="exact"/>
        </w:trPr>
        <w:tc>
          <w:tcPr>
            <w:tcBorders/>
            <w:shd w:val="clear" w:color="auto" w:fill="FFFFFF"/>
            <w:vAlign w:val="top"/>
          </w:tcPr>
          <w:p>
            <w:pPr>
              <w:pStyle w:val="Style28"/>
              <w:keepNext w:val="0"/>
              <w:keepLines w:val="0"/>
              <w:widowControl w:val="0"/>
              <w:shd w:val="clear" w:color="auto" w:fill="auto"/>
              <w:bidi w:val="0"/>
              <w:spacing w:before="0" w:after="0" w:line="270" w:lineRule="exact"/>
              <w:ind w:left="0" w:right="0" w:firstLine="0"/>
              <w:jc w:val="left"/>
              <w:rPr>
                <w:sz w:val="20"/>
                <w:szCs w:val="20"/>
              </w:rPr>
            </w:pPr>
            <w:r>
              <w:rPr>
                <w:color w:val="000000"/>
                <w:spacing w:val="0"/>
                <w:w w:val="100"/>
                <w:position w:val="0"/>
                <w:sz w:val="20"/>
                <w:szCs w:val="20"/>
              </w:rPr>
              <w:t>金融负债 以公允价值计量且其变动 计入当期损益的金融负债一 投资者回售选择权</w:t>
            </w:r>
          </w:p>
          <w:p>
            <w:pPr>
              <w:pStyle w:val="Style28"/>
              <w:keepNext w:val="0"/>
              <w:keepLines w:val="0"/>
              <w:widowControl w:val="0"/>
              <w:shd w:val="clear" w:color="auto" w:fill="auto"/>
              <w:bidi w:val="0"/>
              <w:spacing w:before="0" w:after="0" w:line="270" w:lineRule="exact"/>
              <w:ind w:left="0" w:right="0" w:firstLine="0"/>
              <w:jc w:val="left"/>
              <w:rPr>
                <w:sz w:val="20"/>
                <w:szCs w:val="20"/>
              </w:rPr>
            </w:pPr>
            <w:r>
              <w:rPr>
                <w:color w:val="000000"/>
                <w:spacing w:val="0"/>
                <w:w w:val="100"/>
                <w:position w:val="0"/>
                <w:sz w:val="20"/>
                <w:szCs w:val="20"/>
              </w:rPr>
              <w:t>其他非流动负债一</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06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24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38,650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80"/>
              <w:jc w:val="both"/>
              <w:rPr>
                <w:sz w:val="20"/>
                <w:szCs w:val="20"/>
              </w:rPr>
            </w:pPr>
            <w:r>
              <w:rPr>
                <w:rFonts w:ascii="Times New Roman" w:eastAsia="Times New Roman" w:hAnsi="Times New Roman" w:cs="Times New Roman"/>
                <w:color w:val="000000"/>
                <w:spacing w:val="0"/>
                <w:w w:val="100"/>
                <w:position w:val="0"/>
                <w:sz w:val="20"/>
                <w:szCs w:val="20"/>
              </w:rPr>
              <w:t>38,650</w:t>
            </w:r>
          </w:p>
        </w:tc>
      </w:tr>
      <w:tr>
        <w:trPr>
          <w:trHeight w:val="283"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远期外汇合约</w:t>
            </w:r>
            <w:r>
              <w:rPr>
                <w:rFonts w:ascii="Times New Roman" w:eastAsia="Times New Roman" w:hAnsi="Times New Roman" w:cs="Times New Roman"/>
                <w:color w:val="000000"/>
                <w:spacing w:val="0"/>
                <w:w w:val="100"/>
                <w:position w:val="0"/>
                <w:sz w:val="20"/>
                <w:szCs w:val="20"/>
              </w:rPr>
              <w:t>(b)</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06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15,005</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38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80"/>
              <w:jc w:val="both"/>
              <w:rPr>
                <w:sz w:val="20"/>
                <w:szCs w:val="20"/>
              </w:rPr>
            </w:pPr>
            <w:r>
              <w:rPr>
                <w:rFonts w:ascii="Times New Roman" w:eastAsia="Times New Roman" w:hAnsi="Times New Roman" w:cs="Times New Roman"/>
                <w:color w:val="000000"/>
                <w:spacing w:val="0"/>
                <w:w w:val="100"/>
                <w:position w:val="0"/>
                <w:sz w:val="20"/>
                <w:szCs w:val="20"/>
              </w:rPr>
              <w:t>15,005</w:t>
            </w:r>
          </w:p>
        </w:tc>
      </w:tr>
      <w:tr>
        <w:trPr>
          <w:trHeight w:val="307" w:hRule="exact"/>
        </w:trPr>
        <w:tc>
          <w:tcPr>
            <w:tcBorders>
              <w:top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金融负债合计</w:t>
            </w:r>
          </w:p>
        </w:tc>
        <w:tc>
          <w:tcPr>
            <w:tcBorders>
              <w:top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06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15,005</w:t>
            </w:r>
          </w:p>
        </w:tc>
        <w:tc>
          <w:tcPr>
            <w:tcBorders>
              <w:top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38,650</w:t>
            </w:r>
          </w:p>
        </w:tc>
        <w:tc>
          <w:tcPr>
            <w:tcBorders>
              <w:top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80"/>
              <w:jc w:val="both"/>
              <w:rPr>
                <w:sz w:val="20"/>
                <w:szCs w:val="20"/>
              </w:rPr>
            </w:pPr>
            <w:r>
              <w:rPr>
                <w:rFonts w:ascii="Times New Roman" w:eastAsia="Times New Roman" w:hAnsi="Times New Roman" w:cs="Times New Roman"/>
                <w:color w:val="000000"/>
                <w:spacing w:val="0"/>
                <w:w w:val="100"/>
                <w:position w:val="0"/>
                <w:sz w:val="20"/>
                <w:szCs w:val="20"/>
              </w:rPr>
              <w:t>53,655</w:t>
            </w:r>
          </w:p>
        </w:tc>
      </w:tr>
    </w:tbl>
    <w:p>
      <w:pPr>
        <w:widowControl w:val="0"/>
        <w:spacing w:after="219" w:line="1" w:lineRule="exact"/>
      </w:pPr>
    </w:p>
    <w:p>
      <w:pPr>
        <w:pStyle w:val="Style32"/>
        <w:keepNext w:val="0"/>
        <w:keepLines w:val="0"/>
        <w:widowControl w:val="0"/>
        <w:shd w:val="clear" w:color="auto" w:fill="auto"/>
        <w:bidi w:val="0"/>
        <w:spacing w:before="0" w:after="0" w:line="326" w:lineRule="exact"/>
        <w:ind w:left="1120" w:right="0" w:firstLine="0"/>
        <w:jc w:val="left"/>
        <w:rPr>
          <w:sz w:val="24"/>
          <w:szCs w:val="24"/>
        </w:rPr>
      </w:pPr>
      <w:r>
        <w:rPr>
          <w:color w:val="000000"/>
          <w:spacing w:val="0"/>
          <w:w w:val="100"/>
          <w:position w:val="0"/>
          <w:sz w:val="24"/>
          <w:szCs w:val="24"/>
        </w:rPr>
        <w:t>于</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日，持续的以公允价值计量的金融资产和金融负债按上述 三个层级列示如下：</w:t>
      </w:r>
    </w:p>
    <w:p>
      <w:pPr>
        <w:widowControl w:val="0"/>
        <w:spacing w:line="1" w:lineRule="exact"/>
      </w:pPr>
      <w:r>
        <mc:AlternateContent>
          <mc:Choice Requires="wps">
            <w:drawing>
              <wp:anchor distT="114300" distB="0" distL="0" distR="0" simplePos="0" relativeHeight="125829494" behindDoc="0" locked="0" layoutInCell="1" allowOverlap="1">
                <wp:simplePos x="0" y="0"/>
                <wp:positionH relativeFrom="page">
                  <wp:posOffset>3502660</wp:posOffset>
                </wp:positionH>
                <wp:positionV relativeFrom="paragraph">
                  <wp:posOffset>114300</wp:posOffset>
                </wp:positionV>
                <wp:extent cx="557530" cy="170815"/>
                <wp:wrapTopAndBottom/>
                <wp:docPr id="526" name="Shape 526"/>
                <a:graphic xmlns:a="http://schemas.openxmlformats.org/drawingml/2006/main">
                  <a:graphicData uri="http://schemas.microsoft.com/office/word/2010/wordprocessingShape">
                    <wps:wsp>
                      <wps:cNvSpPr txBox="1"/>
                      <wps:spPr>
                        <a:xfrm>
                          <a:ext cx="557530" cy="170815"/>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第一层次</w:t>
                            </w:r>
                          </w:p>
                        </w:txbxContent>
                      </wps:txbx>
                      <wps:bodyPr wrap="none" lIns="0" tIns="0" rIns="0" bIns="0">
                        <a:noAutoFit/>
                      </wps:bodyPr>
                    </wps:wsp>
                  </a:graphicData>
                </a:graphic>
              </wp:anchor>
            </w:drawing>
          </mc:Choice>
          <mc:Fallback>
            <w:pict>
              <v:shape id="_x0000_s1552" type="#_x0000_t202" style="position:absolute;margin-left:275.80000000000001pt;margin-top:9.pt;width:43.899999999999999pt;height:13.450000000000001pt;z-index:-125829259;mso-wrap-distance-left:0;mso-wrap-distance-top:9.pt;mso-wrap-distance-right:0;mso-position-horizontal-relative:page" filled="f" stroked="f">
                <v:textbox inset="0,0,0,0">
                  <w:txbxContent>
                    <w:p>
                      <w:pPr>
                        <w:pStyle w:val="Style3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第一层次</w:t>
                      </w:r>
                    </w:p>
                  </w:txbxContent>
                </v:textbox>
                <w10:wrap type="topAndBottom" anchorx="page"/>
              </v:shape>
            </w:pict>
          </mc:Fallback>
        </mc:AlternateContent>
      </w:r>
      <w:r>
        <mc:AlternateContent>
          <mc:Choice Requires="wps">
            <w:drawing>
              <wp:anchor distT="114300" distB="0" distL="0" distR="0" simplePos="0" relativeHeight="125829496" behindDoc="0" locked="0" layoutInCell="1" allowOverlap="1">
                <wp:simplePos x="0" y="0"/>
                <wp:positionH relativeFrom="page">
                  <wp:posOffset>4392930</wp:posOffset>
                </wp:positionH>
                <wp:positionV relativeFrom="paragraph">
                  <wp:posOffset>114300</wp:posOffset>
                </wp:positionV>
                <wp:extent cx="557530" cy="170815"/>
                <wp:wrapTopAndBottom/>
                <wp:docPr id="528" name="Shape 528"/>
                <a:graphic xmlns:a="http://schemas.openxmlformats.org/drawingml/2006/main">
                  <a:graphicData uri="http://schemas.microsoft.com/office/word/2010/wordprocessingShape">
                    <wps:wsp>
                      <wps:cNvSpPr txBox="1"/>
                      <wps:spPr>
                        <a:xfrm>
                          <a:ext cx="557530" cy="170815"/>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第二层次</w:t>
                            </w:r>
                          </w:p>
                        </w:txbxContent>
                      </wps:txbx>
                      <wps:bodyPr wrap="none" lIns="0" tIns="0" rIns="0" bIns="0">
                        <a:noAutoFit/>
                      </wps:bodyPr>
                    </wps:wsp>
                  </a:graphicData>
                </a:graphic>
              </wp:anchor>
            </w:drawing>
          </mc:Choice>
          <mc:Fallback>
            <w:pict>
              <v:shape id="_x0000_s1554" type="#_x0000_t202" style="position:absolute;margin-left:345.90000000000003pt;margin-top:9.pt;width:43.899999999999999pt;height:13.450000000000001pt;z-index:-125829257;mso-wrap-distance-left:0;mso-wrap-distance-top:9.pt;mso-wrap-distance-right:0;mso-position-horizontal-relative:page" filled="f" stroked="f">
                <v:textbox inset="0,0,0,0">
                  <w:txbxContent>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第二层次</w:t>
                      </w:r>
                    </w:p>
                  </w:txbxContent>
                </v:textbox>
                <w10:wrap type="topAndBottom" anchorx="page"/>
              </v:shape>
            </w:pict>
          </mc:Fallback>
        </mc:AlternateContent>
      </w:r>
      <w:r>
        <mc:AlternateContent>
          <mc:Choice Requires="wps">
            <w:drawing>
              <wp:anchor distT="114300" distB="6350" distL="0" distR="0" simplePos="0" relativeHeight="125829498" behindDoc="0" locked="0" layoutInCell="1" allowOverlap="1">
                <wp:simplePos x="0" y="0"/>
                <wp:positionH relativeFrom="page">
                  <wp:posOffset>5236845</wp:posOffset>
                </wp:positionH>
                <wp:positionV relativeFrom="paragraph">
                  <wp:posOffset>114300</wp:posOffset>
                </wp:positionV>
                <wp:extent cx="557530" cy="164465"/>
                <wp:wrapTopAndBottom/>
                <wp:docPr id="530" name="Shape 530"/>
                <a:graphic xmlns:a="http://schemas.openxmlformats.org/drawingml/2006/main">
                  <a:graphicData uri="http://schemas.microsoft.com/office/word/2010/wordprocessingShape">
                    <wps:wsp>
                      <wps:cNvSpPr txBox="1"/>
                      <wps:spPr>
                        <a:xfrm>
                          <a:ext cx="557530" cy="164465"/>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第二层次</w:t>
                            </w:r>
                          </w:p>
                        </w:txbxContent>
                      </wps:txbx>
                      <wps:bodyPr wrap="none" lIns="0" tIns="0" rIns="0" bIns="0">
                        <a:noAutoFit/>
                      </wps:bodyPr>
                    </wps:wsp>
                  </a:graphicData>
                </a:graphic>
              </wp:anchor>
            </w:drawing>
          </mc:Choice>
          <mc:Fallback>
            <w:pict>
              <v:shape id="_x0000_s1556" type="#_x0000_t202" style="position:absolute;margin-left:412.35000000000002pt;margin-top:9.pt;width:43.899999999999999pt;height:12.950000000000001pt;z-index:-125829255;mso-wrap-distance-left:0;mso-wrap-distance-top:9.pt;mso-wrap-distance-right:0;mso-wrap-distance-bottom:0.5pt;mso-position-horizontal-relative:page" filled="f" stroked="f">
                <v:textbox inset="0,0,0,0">
                  <w:txbxContent>
                    <w:p>
                      <w:pPr>
                        <w:pStyle w:val="Style3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第二层次</w:t>
                      </w:r>
                    </w:p>
                  </w:txbxContent>
                </v:textbox>
                <w10:wrap type="topAndBottom" anchorx="page"/>
              </v:shape>
            </w:pict>
          </mc:Fallback>
        </mc:AlternateContent>
      </w:r>
      <w:r>
        <mc:AlternateContent>
          <mc:Choice Requires="wps">
            <w:drawing>
              <wp:anchor distT="114300" distB="3175" distL="0" distR="0" simplePos="0" relativeHeight="125829500" behindDoc="0" locked="0" layoutInCell="1" allowOverlap="1">
                <wp:simplePos x="0" y="0"/>
                <wp:positionH relativeFrom="page">
                  <wp:posOffset>6370955</wp:posOffset>
                </wp:positionH>
                <wp:positionV relativeFrom="paragraph">
                  <wp:posOffset>114300</wp:posOffset>
                </wp:positionV>
                <wp:extent cx="292735" cy="167640"/>
                <wp:wrapTopAndBottom/>
                <wp:docPr id="532" name="Shape 532"/>
                <a:graphic xmlns:a="http://schemas.openxmlformats.org/drawingml/2006/main">
                  <a:graphicData uri="http://schemas.microsoft.com/office/word/2010/wordprocessingShape">
                    <wps:wsp>
                      <wps:cNvSpPr txBox="1"/>
                      <wps:spPr>
                        <a:xfrm>
                          <a:ext cx="292735" cy="167640"/>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xbxContent>
                      </wps:txbx>
                      <wps:bodyPr wrap="none" lIns="0" tIns="0" rIns="0" bIns="0">
                        <a:noAutoFit/>
                      </wps:bodyPr>
                    </wps:wsp>
                  </a:graphicData>
                </a:graphic>
              </wp:anchor>
            </w:drawing>
          </mc:Choice>
          <mc:Fallback>
            <w:pict>
              <v:shape id="_x0000_s1558" type="#_x0000_t202" style="position:absolute;margin-left:501.65000000000003pt;margin-top:9.pt;width:23.050000000000001pt;height:13.200000000000001pt;z-index:-125829253;mso-wrap-distance-left:0;mso-wrap-distance-top:9.pt;mso-wrap-distance-right:0;mso-wrap-distance-bottom:0.25pt;mso-position-horizontal-relative:page" filled="f" stroked="f">
                <v:textbox inset="0,0,0,0">
                  <w:txbxContent>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xbxContent>
                </v:textbox>
                <w10:wrap type="topAndBottom" anchorx="page"/>
              </v:shape>
            </w:pict>
          </mc:Fallback>
        </mc:AlternateContent>
      </w:r>
    </w:p>
    <w:p>
      <w:pPr>
        <w:pStyle w:val="Style25"/>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金融资产</w:t>
      </w:r>
    </w:p>
    <w:p>
      <w:pPr>
        <w:pStyle w:val="Style25"/>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以公允价值计量且其变动</w:t>
      </w:r>
    </w:p>
    <w:p>
      <w:pPr>
        <w:pStyle w:val="Style25"/>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计入当期损益的金融资产</w:t>
      </w:r>
    </w:p>
    <w:tbl>
      <w:tblPr>
        <w:tblOverlap w:val="never"/>
        <w:jc w:val="center"/>
        <w:tblLayout w:type="fixed"/>
      </w:tblPr>
      <w:tblGrid>
        <w:gridCol w:w="3077"/>
        <w:gridCol w:w="1445"/>
        <w:gridCol w:w="1286"/>
        <w:gridCol w:w="1354"/>
        <w:gridCol w:w="1186"/>
      </w:tblGrid>
      <w:tr>
        <w:trPr>
          <w:trHeight w:val="278"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理财产品</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00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657,495</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26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jc w:val="both"/>
              <w:rPr>
                <w:sz w:val="20"/>
                <w:szCs w:val="20"/>
              </w:rPr>
            </w:pPr>
            <w:r>
              <w:rPr>
                <w:rFonts w:ascii="Times New Roman" w:eastAsia="Times New Roman" w:hAnsi="Times New Roman" w:cs="Times New Roman"/>
                <w:color w:val="000000"/>
                <w:spacing w:val="0"/>
                <w:w w:val="100"/>
                <w:position w:val="0"/>
                <w:sz w:val="20"/>
                <w:szCs w:val="20"/>
              </w:rPr>
              <w:t>657,495</w:t>
            </w:r>
          </w:p>
        </w:tc>
      </w:tr>
      <w:tr>
        <w:trPr>
          <w:trHeight w:val="254"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新股预约权</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00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24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21,376</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21,376</w:t>
            </w:r>
          </w:p>
        </w:tc>
      </w:tr>
      <w:tr>
        <w:trPr>
          <w:trHeight w:val="278"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其他流动资产一</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78"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一年内到期的理财产品</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00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6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1,502,959</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1,502,959</w:t>
            </w:r>
          </w:p>
        </w:tc>
      </w:tr>
      <w:tr>
        <w:trPr>
          <w:trHeight w:val="274"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可供出售金融资产一</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83"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理财产品</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00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106,006</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816,473</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jc w:val="both"/>
              <w:rPr>
                <w:sz w:val="20"/>
                <w:szCs w:val="20"/>
              </w:rPr>
            </w:pPr>
            <w:r>
              <w:rPr>
                <w:rFonts w:ascii="Times New Roman" w:eastAsia="Times New Roman" w:hAnsi="Times New Roman" w:cs="Times New Roman"/>
                <w:color w:val="000000"/>
                <w:spacing w:val="0"/>
                <w:w w:val="100"/>
                <w:position w:val="0"/>
                <w:sz w:val="20"/>
                <w:szCs w:val="20"/>
              </w:rPr>
              <w:t>922,479</w:t>
            </w:r>
          </w:p>
        </w:tc>
      </w:tr>
      <w:tr>
        <w:trPr>
          <w:trHeight w:val="269"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可供出售权益工具</w:t>
            </w:r>
            <w:r>
              <w:rPr>
                <w:rFonts w:ascii="Times New Roman" w:eastAsia="Times New Roman" w:hAnsi="Times New Roman" w:cs="Times New Roman"/>
                <w:color w:val="000000"/>
                <w:spacing w:val="0"/>
                <w:w w:val="100"/>
                <w:position w:val="0"/>
                <w:sz w:val="20"/>
                <w:szCs w:val="20"/>
              </w:rPr>
              <w:t>(a)</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60"/>
              <w:jc w:val="left"/>
              <w:rPr>
                <w:sz w:val="20"/>
                <w:szCs w:val="20"/>
              </w:rPr>
            </w:pPr>
            <w:r>
              <w:rPr>
                <w:rFonts w:ascii="Times New Roman" w:eastAsia="Times New Roman" w:hAnsi="Times New Roman" w:cs="Times New Roman"/>
                <w:color w:val="000000"/>
                <w:spacing w:val="0"/>
                <w:w w:val="100"/>
                <w:position w:val="0"/>
                <w:sz w:val="20"/>
                <w:szCs w:val="20"/>
              </w:rPr>
              <w:t>799</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6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894,743</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jc w:val="both"/>
              <w:rPr>
                <w:sz w:val="20"/>
                <w:szCs w:val="20"/>
              </w:rPr>
            </w:pPr>
            <w:r>
              <w:rPr>
                <w:rFonts w:ascii="Times New Roman" w:eastAsia="Times New Roman" w:hAnsi="Times New Roman" w:cs="Times New Roman"/>
                <w:color w:val="000000"/>
                <w:spacing w:val="0"/>
                <w:w w:val="100"/>
                <w:position w:val="0"/>
                <w:sz w:val="20"/>
                <w:szCs w:val="20"/>
              </w:rPr>
              <w:t>895,542</w:t>
            </w:r>
          </w:p>
        </w:tc>
      </w:tr>
      <w:tr>
        <w:trPr>
          <w:trHeight w:val="302" w:hRule="exact"/>
        </w:trPr>
        <w:tc>
          <w:tcPr>
            <w:tcBorders>
              <w:top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金融资产合计</w:t>
            </w:r>
          </w:p>
        </w:tc>
        <w:tc>
          <w:tcPr>
            <w:tcBorders>
              <w:top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60"/>
              <w:jc w:val="left"/>
              <w:rPr>
                <w:sz w:val="20"/>
                <w:szCs w:val="20"/>
              </w:rPr>
            </w:pPr>
            <w:r>
              <w:rPr>
                <w:rFonts w:ascii="Times New Roman" w:eastAsia="Times New Roman" w:hAnsi="Times New Roman" w:cs="Times New Roman"/>
                <w:color w:val="000000"/>
                <w:spacing w:val="0"/>
                <w:w w:val="100"/>
                <w:position w:val="0"/>
                <w:sz w:val="20"/>
                <w:szCs w:val="20"/>
              </w:rPr>
              <w:t>799</w:t>
            </w:r>
          </w:p>
        </w:tc>
        <w:tc>
          <w:tcPr>
            <w:tcBorders>
              <w:top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763,501</w:t>
            </w:r>
          </w:p>
        </w:tc>
        <w:tc>
          <w:tcPr>
            <w:tcBorders>
              <w:top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3,235,551</w:t>
            </w:r>
          </w:p>
        </w:tc>
        <w:tc>
          <w:tcPr>
            <w:tcBorders>
              <w:top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3,999,851</w:t>
            </w:r>
          </w:p>
        </w:tc>
      </w:tr>
    </w:tbl>
    <w:p>
      <w:pPr>
        <w:pStyle w:val="Style32"/>
        <w:keepNext w:val="0"/>
        <w:keepLines w:val="0"/>
        <w:widowControl w:val="0"/>
        <w:shd w:val="clear" w:color="auto" w:fill="auto"/>
        <w:bidi w:val="0"/>
        <w:spacing w:before="0" w:after="0" w:line="240" w:lineRule="auto"/>
        <w:ind w:left="0" w:right="0" w:firstLine="720"/>
        <w:jc w:val="both"/>
        <w:rPr>
          <w:sz w:val="24"/>
          <w:szCs w:val="24"/>
        </w:rPr>
      </w:pPr>
      <w:r>
        <w:rPr>
          <w:b/>
          <w:bCs/>
          <w:color w:val="000000"/>
          <w:spacing w:val="0"/>
          <w:w w:val="100"/>
          <w:position w:val="0"/>
          <w:sz w:val="24"/>
          <w:szCs w:val="24"/>
        </w:rPr>
        <w:t>财务报表附注</w:t>
      </w:r>
    </w:p>
    <w:p>
      <w:pPr>
        <w:pStyle w:val="Style88"/>
        <w:keepNext/>
        <w:keepLines/>
        <w:widowControl w:val="0"/>
        <w:shd w:val="clear" w:color="auto" w:fill="auto"/>
        <w:bidi w:val="0"/>
        <w:spacing w:before="0" w:after="0" w:line="240" w:lineRule="auto"/>
        <w:ind w:left="0" w:right="0" w:firstLine="720"/>
        <w:jc w:val="both"/>
      </w:pPr>
      <w:bookmarkStart w:id="1150" w:name="bookmark1150"/>
      <w:bookmarkStart w:id="1151" w:name="bookmark1151"/>
      <w:bookmarkStart w:id="1152" w:name="bookmark1152"/>
      <w:r>
        <w:rPr>
          <w:color w:val="000000"/>
          <w:spacing w:val="0"/>
          <w:w w:val="100"/>
          <w:position w:val="0"/>
          <w:sz w:val="24"/>
          <w:szCs w:val="24"/>
        </w:rPr>
        <w:t>2016</w:t>
      </w:r>
      <w:r>
        <w:rPr>
          <w:rFonts w:ascii="SimSun" w:eastAsia="SimSun" w:hAnsi="SimSun" w:cs="SimSun"/>
          <w:b/>
          <w:bCs/>
          <w:color w:val="000000"/>
          <w:spacing w:val="0"/>
          <w:w w:val="100"/>
          <w:position w:val="0"/>
          <w:sz w:val="24"/>
          <w:szCs w:val="24"/>
        </w:rPr>
        <w:t>年度</w:t>
      </w:r>
      <w:bookmarkEnd w:id="1150"/>
      <w:bookmarkEnd w:id="1151"/>
      <w:bookmarkEnd w:id="1152"/>
    </w:p>
    <w:p>
      <w:pPr>
        <w:pStyle w:val="Style32"/>
        <w:keepNext w:val="0"/>
        <w:keepLines w:val="0"/>
        <w:widowControl w:val="0"/>
        <w:shd w:val="clear" w:color="auto" w:fill="auto"/>
        <w:bidi w:val="0"/>
        <w:spacing w:before="0" w:after="260" w:line="240" w:lineRule="auto"/>
        <w:ind w:left="0" w:right="0" w:firstLine="720"/>
        <w:jc w:val="both"/>
        <w:rPr>
          <w:sz w:val="24"/>
          <w:szCs w:val="24"/>
        </w:rPr>
      </w:pPr>
      <w:r>
        <w:rPr>
          <w:rFonts w:ascii="Arial" w:eastAsia="Arial" w:hAnsi="Arial" w:cs="Arial"/>
          <w:color w:val="000000"/>
          <w:spacing w:val="0"/>
          <w:w w:val="100"/>
          <w:position w:val="0"/>
          <w:sz w:val="20"/>
          <w:szCs w:val="20"/>
        </w:rPr>
        <w:t>(</w:t>
      </w:r>
      <w:r>
        <w:rPr>
          <w:color w:val="000000"/>
          <w:spacing w:val="0"/>
          <w:w w:val="100"/>
          <w:position w:val="0"/>
          <w:sz w:val="20"/>
          <w:szCs w:val="20"/>
        </w:rPr>
        <w:t>除特别注明外，金额单位为人民币千元</w:t>
      </w:r>
      <w:r>
        <w:rPr>
          <w:color w:val="000000"/>
          <w:spacing w:val="0"/>
          <w:w w:val="100"/>
          <w:position w:val="0"/>
          <w:sz w:val="24"/>
          <w:szCs w:val="24"/>
        </w:rPr>
        <w:t>)</w:t>
      </w:r>
    </w:p>
    <w:p>
      <w:pPr>
        <w:pStyle w:val="Style32"/>
        <w:keepNext w:val="0"/>
        <w:keepLines w:val="0"/>
        <w:widowControl w:val="0"/>
        <w:shd w:val="clear" w:color="auto" w:fill="auto"/>
        <w:bidi w:val="0"/>
        <w:spacing w:before="0" w:after="260" w:line="240" w:lineRule="auto"/>
        <w:ind w:left="0" w:right="0" w:firstLine="0"/>
        <w:jc w:val="left"/>
        <w:rPr>
          <w:sz w:val="24"/>
          <w:szCs w:val="24"/>
        </w:rPr>
      </w:pPr>
      <w:r>
        <w:rPr>
          <w:b/>
          <w:bCs/>
          <w:color w:val="000000"/>
          <w:spacing w:val="0"/>
          <w:w w:val="100"/>
          <w:position w:val="0"/>
          <w:sz w:val="24"/>
          <w:szCs w:val="24"/>
        </w:rPr>
        <w:t>十五公允价值估计</w:t>
      </w:r>
      <w:r>
        <w:rPr>
          <w:rFonts w:ascii="Times New Roman" w:eastAsia="Times New Roman" w:hAnsi="Times New Roman" w:cs="Times New Roman"/>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4"/>
          <w:szCs w:val="24"/>
        </w:rPr>
        <w:t>)</w:t>
      </w:r>
    </w:p>
    <w:p>
      <w:pPr>
        <w:pStyle w:val="Style32"/>
        <w:keepNext w:val="0"/>
        <w:keepLines w:val="0"/>
        <w:widowControl w:val="0"/>
        <w:shd w:val="clear" w:color="auto" w:fill="auto"/>
        <w:tabs>
          <w:tab w:pos="595" w:val="left"/>
        </w:tabs>
        <w:bidi w:val="0"/>
        <w:spacing w:before="0" w:after="26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(1)</w:t>
        <w:tab/>
      </w:r>
      <w:r>
        <w:rPr>
          <w:b/>
          <w:bCs/>
          <w:color w:val="000000"/>
          <w:spacing w:val="0"/>
          <w:w w:val="100"/>
          <w:position w:val="0"/>
          <w:sz w:val="24"/>
          <w:szCs w:val="24"/>
        </w:rPr>
        <w:t>持续的以公允价值后续计量的资产和负债</w:t>
      </w:r>
      <w:r>
        <w:rPr>
          <w:rFonts w:ascii="Times New Roman" w:eastAsia="Times New Roman" w:hAnsi="Times New Roman" w:cs="Times New Roman"/>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4"/>
          <w:szCs w:val="24"/>
        </w:rPr>
        <w:t>)</w:t>
      </w:r>
    </w:p>
    <w:p>
      <w:pPr>
        <w:pStyle w:val="Style32"/>
        <w:keepNext w:val="0"/>
        <w:keepLines w:val="0"/>
        <w:widowControl w:val="0"/>
        <w:shd w:val="clear" w:color="auto" w:fill="auto"/>
        <w:tabs>
          <w:tab w:pos="1349" w:val="left"/>
          <w:tab w:pos="2683" w:val="left"/>
          <w:tab w:pos="4616" w:val="left"/>
        </w:tabs>
        <w:bidi w:val="0"/>
        <w:spacing w:before="0" w:after="0" w:line="240" w:lineRule="auto"/>
        <w:ind w:left="0" w:right="0" w:firstLine="0"/>
        <w:jc w:val="right"/>
        <w:rPr>
          <w:sz w:val="20"/>
          <w:szCs w:val="20"/>
        </w:rPr>
      </w:pPr>
      <w:r>
        <w:rPr>
          <w:color w:val="000000"/>
          <w:spacing w:val="0"/>
          <w:w w:val="100"/>
          <w:position w:val="0"/>
          <w:sz w:val="20"/>
          <w:szCs w:val="20"/>
        </w:rPr>
        <w:t>第一层级</w:t>
        <w:tab/>
        <w:t>第二层级</w:t>
        <w:tab/>
        <w:t>第三层级</w:t>
        <w:tab/>
        <w:t>合计</w:t>
      </w:r>
    </w:p>
    <w:p>
      <w:pPr>
        <w:pStyle w:val="Style32"/>
        <w:keepNext w:val="0"/>
        <w:keepLines w:val="0"/>
        <w:widowControl w:val="0"/>
        <w:shd w:val="clear" w:color="auto" w:fill="auto"/>
        <w:bidi w:val="0"/>
        <w:spacing w:before="0" w:after="0" w:line="240" w:lineRule="auto"/>
        <w:ind w:left="0" w:right="0" w:firstLine="640"/>
        <w:jc w:val="left"/>
        <w:rPr>
          <w:sz w:val="20"/>
          <w:szCs w:val="20"/>
        </w:rPr>
      </w:pPr>
      <w:r>
        <w:rPr>
          <w:color w:val="000000"/>
          <w:spacing w:val="0"/>
          <w:w w:val="100"/>
          <w:position w:val="0"/>
          <w:sz w:val="20"/>
          <w:szCs w:val="20"/>
        </w:rPr>
        <w:t>金融负债</w:t>
      </w:r>
    </w:p>
    <w:p>
      <w:pPr>
        <w:pStyle w:val="Style32"/>
        <w:keepNext w:val="0"/>
        <w:keepLines w:val="0"/>
        <w:widowControl w:val="0"/>
        <w:shd w:val="clear" w:color="auto" w:fill="auto"/>
        <w:bidi w:val="0"/>
        <w:spacing w:before="0" w:after="0" w:line="240" w:lineRule="auto"/>
        <w:ind w:left="0" w:right="0" w:firstLine="640"/>
        <w:jc w:val="left"/>
        <w:rPr>
          <w:sz w:val="20"/>
          <w:szCs w:val="20"/>
        </w:rPr>
      </w:pPr>
      <w:r>
        <w:rPr>
          <w:color w:val="000000"/>
          <w:spacing w:val="0"/>
          <w:w w:val="100"/>
          <w:position w:val="0"/>
          <w:sz w:val="20"/>
          <w:szCs w:val="20"/>
        </w:rPr>
        <w:t>以公允价值计量且其变动计入</w:t>
      </w:r>
    </w:p>
    <w:p>
      <w:pPr>
        <w:pStyle w:val="Style32"/>
        <w:keepNext w:val="0"/>
        <w:keepLines w:val="0"/>
        <w:widowControl w:val="0"/>
        <w:shd w:val="clear" w:color="auto" w:fill="auto"/>
        <w:bidi w:val="0"/>
        <w:spacing w:before="0" w:after="0" w:line="240" w:lineRule="auto"/>
        <w:ind w:left="0" w:right="0" w:firstLine="860"/>
        <w:jc w:val="both"/>
        <w:rPr>
          <w:sz w:val="20"/>
          <w:szCs w:val="20"/>
        </w:rPr>
      </w:pPr>
      <w:r>
        <w:rPr>
          <w:color w:val="000000"/>
          <w:spacing w:val="0"/>
          <w:w w:val="100"/>
          <w:position w:val="0"/>
          <w:sz w:val="20"/>
          <w:szCs w:val="20"/>
        </w:rPr>
        <w:t>当期损益的金融负债一</w:t>
      </w:r>
    </w:p>
    <w:p>
      <w:pPr>
        <w:pStyle w:val="Style53"/>
        <w:keepNext w:val="0"/>
        <w:keepLines w:val="0"/>
        <w:widowControl w:val="0"/>
        <w:shd w:val="clear" w:color="auto" w:fill="auto"/>
        <w:tabs>
          <w:tab w:pos="4616" w:val="left"/>
          <w:tab w:pos="6082" w:val="left"/>
          <w:tab w:pos="6916" w:val="left"/>
          <w:tab w:pos="8276" w:val="left"/>
        </w:tabs>
        <w:bidi w:val="0"/>
        <w:spacing w:before="0" w:after="0" w:line="240" w:lineRule="auto"/>
        <w:ind w:left="0" w:right="0" w:firstLine="860"/>
        <w:jc w:val="both"/>
        <w:rPr>
          <w:sz w:val="20"/>
          <w:szCs w:val="20"/>
        </w:rPr>
      </w:pPr>
      <w:r>
        <w:rPr>
          <w:rFonts w:ascii="SimSun" w:eastAsia="SimSun" w:hAnsi="SimSun" w:cs="SimSun"/>
          <w:color w:val="000000"/>
          <w:spacing w:val="0"/>
          <w:w w:val="100"/>
          <w:position w:val="0"/>
          <w:sz w:val="20"/>
          <w:szCs w:val="20"/>
        </w:rPr>
        <w:t>投资者回售选择权</w:t>
        <w:tab/>
      </w:r>
      <w:r>
        <w:rPr>
          <w:color w:val="000000"/>
          <w:spacing w:val="0"/>
          <w:w w:val="100"/>
          <w:position w:val="0"/>
          <w:sz w:val="20"/>
          <w:szCs w:val="20"/>
        </w:rPr>
        <w:t>-</w:t>
        <w:tab/>
        <w:t>-</w:t>
        <w:tab/>
        <w:t>14,910</w:t>
        <w:tab/>
        <w:t>14,910</w:t>
      </w:r>
    </w:p>
    <w:p>
      <w:pPr>
        <w:pStyle w:val="Style32"/>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rPr>
        <w:t>其他非流动负债一</w:t>
      </w:r>
    </w:p>
    <w:p>
      <w:pPr>
        <w:pStyle w:val="Style53"/>
        <w:keepNext w:val="0"/>
        <w:keepLines w:val="0"/>
        <w:widowControl w:val="0"/>
        <w:shd w:val="clear" w:color="auto" w:fill="auto"/>
        <w:tabs>
          <w:tab w:pos="3520" w:val="left"/>
          <w:tab w:leader="underscore" w:pos="4616" w:val="left"/>
          <w:tab w:leader="underscore" w:pos="7422" w:val="left"/>
        </w:tabs>
        <w:bidi w:val="0"/>
        <w:spacing w:before="0" w:after="0" w:line="240" w:lineRule="auto"/>
        <w:ind w:left="0" w:right="0" w:firstLine="860"/>
        <w:jc w:val="both"/>
        <w:rPr>
          <w:sz w:val="20"/>
          <w:szCs w:val="20"/>
        </w:rPr>
      </w:pPr>
      <w:r>
        <w:rPr>
          <w:rFonts w:ascii="SimSun" w:eastAsia="SimSun" w:hAnsi="SimSun" w:cs="SimSun"/>
          <w:color w:val="000000"/>
          <w:spacing w:val="0"/>
          <w:w w:val="100"/>
          <w:position w:val="0"/>
          <w:sz w:val="20"/>
          <w:szCs w:val="20"/>
        </w:rPr>
        <w:t>远期外汇合约</w:t>
      </w:r>
      <w:r>
        <w:rPr>
          <w:color w:val="000000"/>
          <w:spacing w:val="0"/>
          <w:w w:val="100"/>
          <w:position w:val="0"/>
          <w:sz w:val="20"/>
          <w:szCs w:val="20"/>
        </w:rPr>
        <w:t>(b)</w:t>
        <w:tab/>
      </w:r>
      <w:r>
        <w:rPr>
          <w:color w:val="000000"/>
          <w:spacing w:val="0"/>
          <w:w w:val="100"/>
          <w:position w:val="0"/>
          <w:sz w:val="20"/>
          <w:szCs w:val="20"/>
        </w:rPr>
        <w:tab/>
      </w:r>
      <w:r>
        <w:rPr>
          <w:color w:val="000000"/>
          <w:spacing w:val="0"/>
          <w:w w:val="100"/>
          <w:position w:val="0"/>
          <w:sz w:val="20"/>
          <w:szCs w:val="20"/>
          <w:u w:val="single"/>
        </w:rPr>
        <w:t>20,499</w:t>
      </w:r>
      <w:r>
        <w:rPr>
          <w:color w:val="000000"/>
          <w:spacing w:val="0"/>
          <w:w w:val="100"/>
          <w:position w:val="0"/>
          <w:sz w:val="20"/>
          <w:szCs w:val="20"/>
        </w:rPr>
        <w:t xml:space="preserve"> </w:t>
        <w:tab/>
      </w:r>
      <w:r>
        <w:rPr>
          <w:color w:val="000000"/>
          <w:spacing w:val="0"/>
          <w:w w:val="100"/>
          <w:position w:val="0"/>
          <w:sz w:val="20"/>
          <w:szCs w:val="20"/>
          <w:u w:val="single"/>
        </w:rPr>
        <w:t>20,499</w:t>
      </w:r>
    </w:p>
    <w:p>
      <w:pPr>
        <w:pStyle w:val="Style53"/>
        <w:keepNext w:val="0"/>
        <w:keepLines w:val="0"/>
        <w:widowControl w:val="0"/>
        <w:shd w:val="clear" w:color="auto" w:fill="auto"/>
        <w:tabs>
          <w:tab w:pos="3520" w:val="left"/>
          <w:tab w:leader="underscore" w:pos="4616" w:val="left"/>
          <w:tab w:pos="5570" w:val="left"/>
          <w:tab w:pos="6916" w:val="left"/>
          <w:tab w:leader="underscore" w:pos="8276" w:val="left"/>
        </w:tabs>
        <w:bidi w:val="0"/>
        <w:spacing w:before="0" w:after="260" w:line="240" w:lineRule="auto"/>
        <w:ind w:left="640" w:right="0" w:firstLine="0"/>
        <w:jc w:val="both"/>
        <w:rPr>
          <w:sz w:val="20"/>
          <w:szCs w:val="20"/>
        </w:rPr>
      </w:pPr>
      <w:r>
        <w:rPr>
          <w:rFonts w:ascii="SimSun" w:eastAsia="SimSun" w:hAnsi="SimSun" w:cs="SimSun"/>
          <w:color w:val="000000"/>
          <w:spacing w:val="0"/>
          <w:w w:val="100"/>
          <w:position w:val="0"/>
          <w:sz w:val="20"/>
          <w:szCs w:val="20"/>
        </w:rPr>
        <w:t>金融负债合计</w:t>
        <w:tab/>
        <w:tab/>
      </w:r>
      <w:r>
        <w:rPr>
          <w:color w:val="000000"/>
          <w:spacing w:val="0"/>
          <w:w w:val="100"/>
          <w:position w:val="0"/>
          <w:sz w:val="20"/>
          <w:szCs w:val="20"/>
          <w:vertAlign w:val="subscript"/>
        </w:rPr>
        <w:t>L</w:t>
      </w:r>
      <w:r>
        <w:rPr>
          <w:color w:val="000000"/>
          <w:spacing w:val="0"/>
          <w:w w:val="100"/>
          <w:position w:val="0"/>
          <w:sz w:val="20"/>
          <w:szCs w:val="20"/>
        </w:rPr>
        <w:tab/>
      </w:r>
      <w:r>
        <w:rPr>
          <w:color w:val="000000"/>
          <w:spacing w:val="0"/>
          <w:w w:val="100"/>
          <w:position w:val="0"/>
          <w:sz w:val="20"/>
          <w:szCs w:val="20"/>
          <w:u w:val="single"/>
        </w:rPr>
        <w:t>20,499</w:t>
        <w:tab/>
        <w:t>14,910</w:t>
      </w:r>
      <w:r>
        <w:rPr>
          <w:color w:val="000000"/>
          <w:spacing w:val="0"/>
          <w:w w:val="100"/>
          <w:position w:val="0"/>
          <w:sz w:val="20"/>
          <w:szCs w:val="20"/>
        </w:rPr>
        <w:tab/>
      </w:r>
      <w:r>
        <w:rPr>
          <w:color w:val="000000"/>
          <w:spacing w:val="0"/>
          <w:w w:val="100"/>
          <w:position w:val="0"/>
          <w:sz w:val="20"/>
          <w:szCs w:val="20"/>
          <w:u w:val="single"/>
        </w:rPr>
        <w:t>35,409</w:t>
      </w:r>
    </w:p>
    <w:p>
      <w:pPr>
        <w:pStyle w:val="Style32"/>
        <w:keepNext w:val="0"/>
        <w:keepLines w:val="0"/>
        <w:widowControl w:val="0"/>
        <w:shd w:val="clear" w:color="auto" w:fill="auto"/>
        <w:bidi w:val="0"/>
        <w:spacing w:before="0" w:after="260" w:line="307" w:lineRule="exact"/>
        <w:ind w:left="640" w:right="0" w:firstLine="0"/>
        <w:jc w:val="both"/>
        <w:rPr>
          <w:sz w:val="24"/>
          <w:szCs w:val="24"/>
        </w:rPr>
      </w:pPr>
      <w:r>
        <w:rPr>
          <w:color w:val="000000"/>
          <w:spacing w:val="0"/>
          <w:w w:val="100"/>
          <w:position w:val="0"/>
          <w:sz w:val="24"/>
          <w:szCs w:val="24"/>
        </w:rPr>
        <w:t>本集团以导致各层次之间转换的事项发生日为确认各层次之间转换的时点。本 年度无第一层次与第二层次间的转换。</w:t>
      </w:r>
    </w:p>
    <w:p>
      <w:pPr>
        <w:pStyle w:val="Style32"/>
        <w:keepNext w:val="0"/>
        <w:keepLines w:val="0"/>
        <w:widowControl w:val="0"/>
        <w:shd w:val="clear" w:color="auto" w:fill="auto"/>
        <w:bidi w:val="0"/>
        <w:spacing w:before="0" w:after="260" w:line="306" w:lineRule="exact"/>
        <w:ind w:left="640" w:right="0" w:firstLine="0"/>
        <w:jc w:val="both"/>
        <w:rPr>
          <w:sz w:val="24"/>
          <w:szCs w:val="24"/>
        </w:rPr>
      </w:pPr>
      <w:r>
        <w:rPr>
          <w:color w:val="000000"/>
          <w:spacing w:val="0"/>
          <w:w w:val="100"/>
          <w:position w:val="0"/>
          <w:sz w:val="24"/>
          <w:szCs w:val="24"/>
        </w:rPr>
        <w:t>对于在活跃市场上交易的金融工具，本集团以其活跃市场报价确定其公允价 值；对于不在活跃市场上交易的金融工具，本集团采用估值技术确定其公允价 值。所使用的估值模型主要为现金流量折现模型和期权定价模型等。估值技术 的输入值主要包括利率、汇率、标的资产波动率、缺乏流动性折价等。</w:t>
      </w:r>
    </w:p>
    <w:p>
      <w:pPr>
        <w:pStyle w:val="Style32"/>
        <w:keepNext w:val="0"/>
        <w:keepLines w:val="0"/>
        <w:widowControl w:val="0"/>
        <w:numPr>
          <w:ilvl w:val="0"/>
          <w:numId w:val="99"/>
        </w:numPr>
        <w:shd w:val="clear" w:color="auto" w:fill="auto"/>
        <w:tabs>
          <w:tab w:pos="1090" w:val="left"/>
        </w:tabs>
        <w:bidi w:val="0"/>
        <w:spacing w:before="0" w:after="260" w:line="317" w:lineRule="exact"/>
        <w:ind w:left="980" w:right="0" w:hanging="340"/>
        <w:jc w:val="both"/>
        <w:rPr>
          <w:sz w:val="24"/>
          <w:szCs w:val="24"/>
        </w:rPr>
      </w:pPr>
      <w:bookmarkStart w:id="1153" w:name="bookmark1153"/>
      <w:bookmarkEnd w:id="1153"/>
      <w:r>
        <w:rPr>
          <w:color w:val="000000"/>
          <w:spacing w:val="0"/>
          <w:w w:val="100"/>
          <w:position w:val="0"/>
          <w:sz w:val="24"/>
          <w:szCs w:val="24"/>
        </w:rPr>
        <w:t>该金融资产为本集团持有的江苏银行股份有限公司和阿里巴巴股权投资以 及其他股权投资，该股权投资存在活跃的市场，以活跃市场中的报价确定 其公允价值。</w:t>
      </w:r>
    </w:p>
    <w:p>
      <w:pPr>
        <w:pStyle w:val="Style32"/>
        <w:keepNext w:val="0"/>
        <w:keepLines w:val="0"/>
        <w:widowControl w:val="0"/>
        <w:numPr>
          <w:ilvl w:val="0"/>
          <w:numId w:val="99"/>
        </w:numPr>
        <w:shd w:val="clear" w:color="auto" w:fill="auto"/>
        <w:tabs>
          <w:tab w:pos="1104" w:val="left"/>
        </w:tabs>
        <w:bidi w:val="0"/>
        <w:spacing w:before="0" w:after="0" w:line="307" w:lineRule="exact"/>
        <w:ind w:left="0" w:right="0" w:firstLine="640"/>
        <w:jc w:val="left"/>
        <w:rPr>
          <w:sz w:val="24"/>
          <w:szCs w:val="24"/>
        </w:rPr>
        <w:sectPr>
          <w:footnotePr>
            <w:pos w:val="pageBottom"/>
            <w:numFmt w:val="decimal"/>
            <w:numRestart w:val="continuous"/>
          </w:footnotePr>
          <w:pgSz w:w="11900" w:h="16840"/>
          <w:pgMar w:top="1354" w:right="1089" w:bottom="6552" w:left="1369" w:header="0" w:footer="3" w:gutter="0"/>
          <w:cols w:space="720"/>
          <w:noEndnote/>
          <w:rtlGutter w:val="0"/>
          <w:docGrid w:linePitch="360"/>
        </w:sectPr>
      </w:pPr>
      <w:bookmarkStart w:id="1154" w:name="bookmark1154"/>
      <w:bookmarkEnd w:id="1154"/>
      <w:r>
        <w:rPr>
          <w:color w:val="000000"/>
          <w:spacing w:val="0"/>
          <w:w w:val="100"/>
          <w:position w:val="0"/>
          <w:sz w:val="24"/>
          <w:szCs w:val="24"/>
        </w:rPr>
        <w:t>该金融负债为本集团香港子公司与银行签订的远期外汇合约。</w:t>
      </w:r>
    </w:p>
    <w:p>
      <w:pPr>
        <w:pStyle w:val="Style32"/>
        <w:keepNext w:val="0"/>
        <w:keepLines w:val="0"/>
        <w:widowControl w:val="0"/>
        <w:shd w:val="clear" w:color="auto" w:fill="auto"/>
        <w:bidi w:val="0"/>
        <w:spacing w:before="0" w:after="0" w:line="240" w:lineRule="auto"/>
        <w:ind w:left="0" w:right="0" w:firstLine="720"/>
        <w:jc w:val="both"/>
        <w:rPr>
          <w:sz w:val="24"/>
          <w:szCs w:val="24"/>
        </w:rPr>
      </w:pPr>
      <w:r>
        <w:rPr>
          <w:b/>
          <w:bCs/>
          <w:color w:val="000000"/>
          <w:spacing w:val="0"/>
          <w:w w:val="100"/>
          <w:position w:val="0"/>
          <w:sz w:val="24"/>
          <w:szCs w:val="24"/>
        </w:rPr>
        <w:t>财务报表附注</w:t>
      </w:r>
    </w:p>
    <w:p>
      <w:pPr>
        <w:pStyle w:val="Style88"/>
        <w:keepNext/>
        <w:keepLines/>
        <w:widowControl w:val="0"/>
        <w:shd w:val="clear" w:color="auto" w:fill="auto"/>
        <w:bidi w:val="0"/>
        <w:spacing w:before="0" w:after="0" w:line="240" w:lineRule="auto"/>
        <w:ind w:left="0" w:right="0" w:firstLine="720"/>
        <w:jc w:val="left"/>
      </w:pPr>
      <w:bookmarkStart w:id="1155" w:name="bookmark1155"/>
      <w:bookmarkStart w:id="1156" w:name="bookmark1156"/>
      <w:bookmarkStart w:id="1157" w:name="bookmark1157"/>
      <w:r>
        <w:rPr>
          <w:color w:val="000000"/>
          <w:spacing w:val="0"/>
          <w:w w:val="100"/>
          <w:position w:val="0"/>
          <w:sz w:val="24"/>
          <w:szCs w:val="24"/>
        </w:rPr>
        <w:t>2016</w:t>
      </w:r>
      <w:r>
        <w:rPr>
          <w:rFonts w:ascii="SimSun" w:eastAsia="SimSun" w:hAnsi="SimSun" w:cs="SimSun"/>
          <w:b/>
          <w:bCs/>
          <w:color w:val="000000"/>
          <w:spacing w:val="0"/>
          <w:w w:val="100"/>
          <w:position w:val="0"/>
          <w:sz w:val="24"/>
          <w:szCs w:val="24"/>
        </w:rPr>
        <w:t>年度</w:t>
      </w:r>
      <w:bookmarkEnd w:id="1155"/>
      <w:bookmarkEnd w:id="1156"/>
      <w:bookmarkEnd w:id="1157"/>
    </w:p>
    <w:p>
      <w:pPr>
        <w:pStyle w:val="Style32"/>
        <w:keepNext w:val="0"/>
        <w:keepLines w:val="0"/>
        <w:widowControl w:val="0"/>
        <w:shd w:val="clear" w:color="auto" w:fill="auto"/>
        <w:bidi w:val="0"/>
        <w:spacing w:before="0" w:after="0" w:line="240" w:lineRule="auto"/>
        <w:ind w:left="0" w:right="0" w:firstLine="720"/>
        <w:jc w:val="left"/>
        <w:rPr>
          <w:sz w:val="20"/>
          <w:szCs w:val="20"/>
        </w:rPr>
        <w:sectPr>
          <w:footnotePr>
            <w:pos w:val="pageBottom"/>
            <w:numFmt w:val="decimal"/>
            <w:numRestart w:val="continuous"/>
          </w:footnotePr>
          <w:pgSz w:w="11900" w:h="16840"/>
          <w:pgMar w:top="1354" w:right="1268" w:bottom="1599" w:left="1704" w:header="0" w:footer="3" w:gutter="0"/>
          <w:cols w:space="720"/>
          <w:noEndnote/>
          <w:rtlGutter w:val="0"/>
          <w:docGrid w:linePitch="360"/>
        </w:sectPr>
      </w:pPr>
      <w:r>
        <w:rPr>
          <w:rFonts w:ascii="Arial" w:eastAsia="Arial" w:hAnsi="Arial" w:cs="Arial"/>
          <w:color w:val="000000"/>
          <w:spacing w:val="0"/>
          <w:w w:val="100"/>
          <w:position w:val="0"/>
          <w:sz w:val="20"/>
          <w:szCs w:val="20"/>
        </w:rPr>
        <w:t>（</w:t>
      </w:r>
      <w:r>
        <w:rPr>
          <w:color w:val="000000"/>
          <w:spacing w:val="0"/>
          <w:w w:val="100"/>
          <w:position w:val="0"/>
          <w:sz w:val="20"/>
          <w:szCs w:val="20"/>
        </w:rPr>
        <w:t>除特别注明外，金额单位为人民币千元</w:t>
      </w:r>
      <w:r>
        <w:rPr>
          <w:rFonts w:ascii="Arial" w:eastAsia="Arial" w:hAnsi="Arial" w:cs="Arial"/>
          <w:color w:val="000000"/>
          <w:spacing w:val="0"/>
          <w:w w:val="100"/>
          <w:position w:val="0"/>
          <w:sz w:val="20"/>
          <w:szCs w:val="20"/>
        </w:rPr>
        <w:t>）</w:t>
      </w:r>
    </w:p>
    <w:p>
      <w:pPr>
        <w:pStyle w:val="Style32"/>
        <w:keepNext w:val="0"/>
        <w:keepLines w:val="0"/>
        <w:widowControl w:val="0"/>
        <w:shd w:val="clear" w:color="auto" w:fill="auto"/>
        <w:bidi w:val="0"/>
        <w:spacing w:before="0" w:after="0" w:line="240" w:lineRule="auto"/>
        <w:ind w:left="0" w:right="0" w:firstLine="720"/>
        <w:jc w:val="left"/>
        <w:rPr>
          <w:sz w:val="24"/>
          <w:szCs w:val="24"/>
        </w:rPr>
      </w:pPr>
      <w:r>
        <w:rPr>
          <w:b/>
          <w:bCs/>
          <w:color w:val="000000"/>
          <w:spacing w:val="0"/>
          <w:w w:val="100"/>
          <w:position w:val="0"/>
          <w:sz w:val="24"/>
          <w:szCs w:val="24"/>
        </w:rPr>
        <w:t>财务报表附注</w:t>
      </w:r>
    </w:p>
    <w:p>
      <w:pPr>
        <w:pStyle w:val="Style88"/>
        <w:keepNext/>
        <w:keepLines/>
        <w:widowControl w:val="0"/>
        <w:shd w:val="clear" w:color="auto" w:fill="auto"/>
        <w:bidi w:val="0"/>
        <w:spacing w:before="0" w:after="0" w:line="240" w:lineRule="auto"/>
        <w:ind w:left="0" w:right="0" w:firstLine="720"/>
        <w:jc w:val="left"/>
      </w:pPr>
      <w:bookmarkStart w:id="1158" w:name="bookmark1158"/>
      <w:bookmarkStart w:id="1159" w:name="bookmark1159"/>
      <w:bookmarkStart w:id="1160" w:name="bookmark1160"/>
      <w:r>
        <w:rPr>
          <w:color w:val="000000"/>
          <w:spacing w:val="0"/>
          <w:w w:val="100"/>
          <w:position w:val="0"/>
          <w:sz w:val="24"/>
          <w:szCs w:val="24"/>
        </w:rPr>
        <w:t>2016</w:t>
      </w:r>
      <w:r>
        <w:rPr>
          <w:rFonts w:ascii="SimSun" w:eastAsia="SimSun" w:hAnsi="SimSun" w:cs="SimSun"/>
          <w:b/>
          <w:bCs/>
          <w:color w:val="000000"/>
          <w:spacing w:val="0"/>
          <w:w w:val="100"/>
          <w:position w:val="0"/>
          <w:sz w:val="24"/>
          <w:szCs w:val="24"/>
        </w:rPr>
        <w:t>年度</w:t>
      </w:r>
      <w:bookmarkEnd w:id="1158"/>
      <w:bookmarkEnd w:id="1159"/>
      <w:bookmarkEnd w:id="1160"/>
    </w:p>
    <w:p>
      <w:pPr>
        <w:pStyle w:val="Style32"/>
        <w:keepNext w:val="0"/>
        <w:keepLines w:val="0"/>
        <w:widowControl w:val="0"/>
        <w:shd w:val="clear" w:color="auto" w:fill="auto"/>
        <w:bidi w:val="0"/>
        <w:spacing w:before="0" w:after="240" w:line="240" w:lineRule="auto"/>
        <w:ind w:left="0" w:right="0" w:firstLine="720"/>
        <w:jc w:val="left"/>
        <w:rPr>
          <w:sz w:val="20"/>
          <w:szCs w:val="20"/>
        </w:rPr>
      </w:pPr>
      <w:r>
        <w:rPr>
          <w:rFonts w:ascii="Arial" w:eastAsia="Arial" w:hAnsi="Arial" w:cs="Arial"/>
          <w:color w:val="000000"/>
          <w:spacing w:val="0"/>
          <w:w w:val="100"/>
          <w:position w:val="0"/>
          <w:sz w:val="20"/>
          <w:szCs w:val="20"/>
        </w:rPr>
        <w:t>(</w:t>
      </w:r>
      <w:r>
        <w:rPr>
          <w:color w:val="000000"/>
          <w:spacing w:val="0"/>
          <w:w w:val="100"/>
          <w:position w:val="0"/>
          <w:sz w:val="20"/>
          <w:szCs w:val="20"/>
        </w:rPr>
        <w:t>除特别注明外，金额单位为人民币千元</w:t>
      </w:r>
      <w:r>
        <w:rPr>
          <w:rFonts w:ascii="Arial" w:eastAsia="Arial" w:hAnsi="Arial" w:cs="Arial"/>
          <w:color w:val="000000"/>
          <w:spacing w:val="0"/>
          <w:w w:val="100"/>
          <w:position w:val="0"/>
          <w:sz w:val="20"/>
          <w:szCs w:val="20"/>
        </w:rPr>
        <w:t>)</w:t>
      </w:r>
    </w:p>
    <w:p>
      <w:pPr>
        <w:pStyle w:val="Style32"/>
        <w:keepNext w:val="0"/>
        <w:keepLines w:val="0"/>
        <w:widowControl w:val="0"/>
        <w:shd w:val="clear" w:color="auto" w:fill="auto"/>
        <w:bidi w:val="0"/>
        <w:spacing w:before="0" w:after="240" w:line="240" w:lineRule="auto"/>
        <w:ind w:left="0" w:right="0" w:firstLine="0"/>
        <w:jc w:val="left"/>
        <w:rPr>
          <w:sz w:val="24"/>
          <w:szCs w:val="24"/>
        </w:rPr>
      </w:pPr>
      <w:r>
        <w:rPr>
          <w:b/>
          <w:bCs/>
          <w:color w:val="000000"/>
          <w:spacing w:val="0"/>
          <w:w w:val="100"/>
          <w:position w:val="0"/>
          <w:sz w:val="24"/>
          <w:szCs w:val="24"/>
        </w:rPr>
        <w:t>十五公允价值估计</w:t>
      </w:r>
      <w:r>
        <w:rPr>
          <w:rFonts w:ascii="Times New Roman" w:eastAsia="Times New Roman" w:hAnsi="Times New Roman" w:cs="Times New Roman"/>
          <w:color w:val="000000"/>
          <w:spacing w:val="0"/>
          <w:w w:val="100"/>
          <w:position w:val="0"/>
          <w:sz w:val="24"/>
          <w:szCs w:val="24"/>
        </w:rPr>
        <w:t>(</w:t>
      </w:r>
      <w:r>
        <w:rPr>
          <w:b/>
          <w:bCs/>
          <w:color w:val="000000"/>
          <w:spacing w:val="0"/>
          <w:w w:val="100"/>
          <w:position w:val="0"/>
          <w:sz w:val="24"/>
          <w:szCs w:val="24"/>
        </w:rPr>
        <w:t>续</w:t>
      </w:r>
      <w:r>
        <w:rPr>
          <w:rFonts w:ascii="Times New Roman" w:eastAsia="Times New Roman" w:hAnsi="Times New Roman" w:cs="Times New Roman"/>
          <w:color w:val="000000"/>
          <w:spacing w:val="0"/>
          <w:w w:val="100"/>
          <w:position w:val="0"/>
          <w:sz w:val="24"/>
          <w:szCs w:val="24"/>
        </w:rPr>
        <w:t>)</w:t>
      </w:r>
    </w:p>
    <w:p>
      <w:pPr>
        <w:pStyle w:val="Style32"/>
        <w:keepNext w:val="0"/>
        <w:keepLines w:val="0"/>
        <w:widowControl w:val="0"/>
        <w:shd w:val="clear" w:color="auto" w:fill="auto"/>
        <w:tabs>
          <w:tab w:pos="691" w:val="left"/>
        </w:tabs>
        <w:bidi w:val="0"/>
        <w:spacing w:before="0" w:after="24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(1)</w:t>
        <w:tab/>
      </w:r>
      <w:r>
        <w:rPr>
          <w:b/>
          <w:bCs/>
          <w:color w:val="000000"/>
          <w:spacing w:val="0"/>
          <w:w w:val="100"/>
          <w:position w:val="0"/>
          <w:sz w:val="24"/>
          <w:szCs w:val="24"/>
        </w:rPr>
        <w:t>持续的以公允价值后续计量的资产和负债</w:t>
      </w:r>
      <w:r>
        <w:rPr>
          <w:rFonts w:ascii="Times New Roman" w:eastAsia="Times New Roman" w:hAnsi="Times New Roman" w:cs="Times New Roman"/>
          <w:color w:val="000000"/>
          <w:spacing w:val="0"/>
          <w:w w:val="100"/>
          <w:position w:val="0"/>
          <w:sz w:val="24"/>
          <w:szCs w:val="24"/>
        </w:rPr>
        <w:t>(</w:t>
      </w:r>
      <w:r>
        <w:rPr>
          <w:b/>
          <w:bCs/>
          <w:color w:val="000000"/>
          <w:spacing w:val="0"/>
          <w:w w:val="100"/>
          <w:position w:val="0"/>
          <w:sz w:val="24"/>
          <w:szCs w:val="24"/>
        </w:rPr>
        <w:t>续</w:t>
      </w:r>
      <w:r>
        <w:rPr>
          <w:rFonts w:ascii="Times New Roman" w:eastAsia="Times New Roman" w:hAnsi="Times New Roman" w:cs="Times New Roman"/>
          <w:color w:val="000000"/>
          <w:spacing w:val="0"/>
          <w:w w:val="100"/>
          <w:position w:val="0"/>
          <w:sz w:val="24"/>
          <w:szCs w:val="24"/>
        </w:rPr>
        <w:t>)</w:t>
      </w:r>
    </w:p>
    <w:p>
      <w:pPr>
        <w:pStyle w:val="Style32"/>
        <w:keepNext w:val="0"/>
        <w:keepLines w:val="0"/>
        <w:widowControl w:val="0"/>
        <w:shd w:val="clear" w:color="auto" w:fill="auto"/>
        <w:bidi w:val="0"/>
        <w:spacing w:before="0" w:after="240" w:line="240" w:lineRule="auto"/>
        <w:ind w:left="0" w:right="0" w:firstLine="720"/>
        <w:jc w:val="left"/>
        <w:rPr>
          <w:sz w:val="24"/>
          <w:szCs w:val="24"/>
        </w:rPr>
      </w:pPr>
      <w:r>
        <w:rPr>
          <w:color w:val="000000"/>
          <w:spacing w:val="0"/>
          <w:w w:val="100"/>
          <w:position w:val="0"/>
          <w:sz w:val="24"/>
          <w:szCs w:val="24"/>
        </w:rPr>
        <w:t>上述第三层次资产和负债变动如下:</w:t>
      </w:r>
    </w:p>
    <w:tbl>
      <w:tblPr>
        <w:tblOverlap w:val="never"/>
        <w:jc w:val="center"/>
        <w:tblLayout w:type="fixed"/>
      </w:tblPr>
      <w:tblGrid>
        <w:gridCol w:w="2659"/>
        <w:gridCol w:w="2338"/>
        <w:gridCol w:w="2189"/>
        <w:gridCol w:w="2126"/>
        <w:gridCol w:w="946"/>
        <w:gridCol w:w="3312"/>
      </w:tblGrid>
      <w:tr>
        <w:trPr>
          <w:trHeight w:val="466" w:hRule="exact"/>
        </w:trPr>
        <w:tc>
          <w:tcPr>
            <w:vMerge w:val="restart"/>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30" w:lineRule="exact"/>
              <w:ind w:left="0" w:right="220" w:firstLine="0"/>
              <w:jc w:val="right"/>
              <w:rPr>
                <w:sz w:val="18"/>
                <w:szCs w:val="18"/>
              </w:rPr>
            </w:pPr>
            <w:r>
              <w:rPr>
                <w:color w:val="000000"/>
                <w:spacing w:val="0"/>
                <w:w w:val="100"/>
                <w:position w:val="0"/>
                <w:sz w:val="18"/>
                <w:szCs w:val="18"/>
              </w:rPr>
              <w:t>公允价值计量且其变动计 入当期损益的金融资产</w:t>
            </w:r>
          </w:p>
        </w:tc>
        <w:tc>
          <w:tcPr>
            <w:tcBorders/>
            <w:shd w:val="clear" w:color="auto" w:fill="FFFFFF"/>
            <w:vAlign w:val="top"/>
          </w:tcPr>
          <w:p>
            <w:pPr>
              <w:pStyle w:val="Style28"/>
              <w:keepNext w:val="0"/>
              <w:keepLines w:val="0"/>
              <w:widowControl w:val="0"/>
              <w:shd w:val="clear" w:color="auto" w:fill="auto"/>
              <w:bidi w:val="0"/>
              <w:spacing w:before="0" w:after="0" w:line="230" w:lineRule="exact"/>
              <w:ind w:left="0" w:right="280" w:firstLine="0"/>
              <w:jc w:val="right"/>
              <w:rPr>
                <w:sz w:val="18"/>
                <w:szCs w:val="18"/>
              </w:rPr>
            </w:pPr>
            <w:r>
              <w:rPr>
                <w:color w:val="000000"/>
                <w:spacing w:val="0"/>
                <w:w w:val="100"/>
                <w:position w:val="0"/>
                <w:sz w:val="18"/>
                <w:szCs w:val="18"/>
              </w:rPr>
              <w:t>其他流动资产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一年内 到期的理财产品</w:t>
            </w:r>
          </w:p>
        </w:tc>
        <w:tc>
          <w:tcPr>
            <w:gridSpan w:val="2"/>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可供出售金融资产</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以公允价值计量且其变动计入当期损益</w:t>
            </w:r>
          </w:p>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的金融负债</w:t>
            </w:r>
          </w:p>
        </w:tc>
      </w:tr>
      <w:tr>
        <w:trPr>
          <w:trHeight w:val="682" w:hRule="exact"/>
        </w:trPr>
        <w:tc>
          <w:tcPr>
            <w:vMerge/>
            <w:tcBorders/>
            <w:shd w:val="clear" w:color="auto" w:fill="FFFFFF"/>
            <w:vAlign w:val="top"/>
          </w:tcPr>
          <w:p>
            <w:pPr/>
          </w:p>
        </w:tc>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220" w:firstLine="0"/>
              <w:jc w:val="right"/>
              <w:rPr>
                <w:sz w:val="18"/>
                <w:szCs w:val="18"/>
              </w:rPr>
            </w:pPr>
            <w:r>
              <w:rPr>
                <w:color w:val="000000"/>
                <w:spacing w:val="0"/>
                <w:w w:val="100"/>
                <w:position w:val="0"/>
                <w:sz w:val="18"/>
                <w:szCs w:val="18"/>
              </w:rPr>
              <w:t>新股预约权</w:t>
            </w:r>
          </w:p>
        </w:tc>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理财产品</w:t>
            </w:r>
          </w:p>
        </w:tc>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理财产品</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50" w:lineRule="exact"/>
              <w:ind w:left="0" w:right="0" w:firstLine="0"/>
              <w:jc w:val="left"/>
              <w:rPr>
                <w:sz w:val="18"/>
                <w:szCs w:val="18"/>
              </w:rPr>
            </w:pPr>
            <w:r>
              <w:rPr>
                <w:color w:val="000000"/>
                <w:spacing w:val="0"/>
                <w:w w:val="100"/>
                <w:position w:val="0"/>
                <w:sz w:val="18"/>
                <w:szCs w:val="18"/>
              </w:rPr>
              <w:t>可供出售 权益工具</w:t>
            </w:r>
          </w:p>
        </w:tc>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投资者回售选择权</w:t>
            </w:r>
          </w:p>
        </w:tc>
      </w:tr>
      <w:tr>
        <w:trPr>
          <w:trHeight w:val="442"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日</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21,376</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1,502,959</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816,473</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240" w:firstLine="0"/>
              <w:jc w:val="right"/>
              <w:rPr>
                <w:sz w:val="18"/>
                <w:szCs w:val="18"/>
              </w:rPr>
            </w:pPr>
            <w:r>
              <w:rPr>
                <w:rFonts w:ascii="Times New Roman" w:eastAsia="Times New Roman" w:hAnsi="Times New Roman" w:cs="Times New Roman"/>
                <w:color w:val="000000"/>
                <w:spacing w:val="0"/>
                <w:w w:val="100"/>
                <w:position w:val="0"/>
                <w:sz w:val="18"/>
                <w:szCs w:val="18"/>
              </w:rPr>
              <w:t>894,743</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160" w:firstLine="0"/>
              <w:jc w:val="right"/>
              <w:rPr>
                <w:sz w:val="18"/>
                <w:szCs w:val="18"/>
              </w:rPr>
            </w:pPr>
            <w:r>
              <w:rPr>
                <w:rFonts w:ascii="Times New Roman" w:eastAsia="Times New Roman" w:hAnsi="Times New Roman" w:cs="Times New Roman"/>
                <w:color w:val="000000"/>
                <w:spacing w:val="0"/>
                <w:w w:val="100"/>
                <w:position w:val="0"/>
                <w:sz w:val="18"/>
                <w:szCs w:val="18"/>
              </w:rPr>
              <w:t>14,910</w:t>
            </w:r>
          </w:p>
        </w:tc>
      </w:tr>
      <w:tr>
        <w:trPr>
          <w:trHeight w:val="230"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购买</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17,634,660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118,030,129</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30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230"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出售</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(1,500,000)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(112,319,766)</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30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230"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转出第三层次</w:t>
            </w:r>
            <w:r>
              <w:rPr>
                <w:rFonts w:ascii="Times New Roman" w:eastAsia="Times New Roman" w:hAnsi="Times New Roman" w:cs="Times New Roman"/>
                <w:color w:val="000000"/>
                <w:spacing w:val="0"/>
                <w:w w:val="100"/>
                <w:position w:val="0"/>
                <w:sz w:val="18"/>
                <w:szCs w:val="18"/>
              </w:rPr>
              <w:t>(i)</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(894,743)</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30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230"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当期利得或损失总额</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(20,132)</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184,286</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67,958</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23,740</w:t>
            </w:r>
          </w:p>
        </w:tc>
      </w:tr>
      <w:tr>
        <w:trPr>
          <w:trHeight w:val="235"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计入损益的利得或损失</w:t>
            </w:r>
            <w:r>
              <w:rPr>
                <w:rFonts w:ascii="Times New Roman" w:eastAsia="Times New Roman" w:hAnsi="Times New Roman" w:cs="Times New Roman"/>
                <w:color w:val="000000"/>
                <w:spacing w:val="0"/>
                <w:w w:val="100"/>
                <w:position w:val="0"/>
                <w:sz w:val="18"/>
                <w:szCs w:val="18"/>
              </w:rPr>
              <w:t>(u)</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(20,132)</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(2,959)</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(215,808)</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23,740</w:t>
            </w:r>
          </w:p>
        </w:tc>
      </w:tr>
      <w:tr>
        <w:trPr>
          <w:trHeight w:val="230"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计入其他综合收益的利得或损</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26"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失</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187,245</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283,766</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16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254"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1,244</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17,821,905</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6,594,794</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160" w:firstLine="0"/>
              <w:jc w:val="right"/>
              <w:rPr>
                <w:sz w:val="18"/>
                <w:szCs w:val="18"/>
              </w:rPr>
            </w:pPr>
            <w:r>
              <w:rPr>
                <w:rFonts w:ascii="Times New Roman" w:eastAsia="Times New Roman" w:hAnsi="Times New Roman" w:cs="Times New Roman"/>
                <w:color w:val="000000"/>
                <w:spacing w:val="0"/>
                <w:w w:val="100"/>
                <w:position w:val="0"/>
                <w:sz w:val="18"/>
                <w:szCs w:val="18"/>
              </w:rPr>
              <w:t>38,650</w:t>
            </w:r>
          </w:p>
        </w:tc>
      </w:tr>
      <w:tr>
        <w:trPr>
          <w:trHeight w:val="456"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日仍持有的资</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230"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产计入</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8"/>
                <w:szCs w:val="18"/>
              </w:rPr>
              <w:t>年度损益的未实</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35"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现利得或损失的变动</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64"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――公允价值变动收益</w:t>
            </w:r>
          </w:p>
        </w:tc>
        <w:tc>
          <w:tcPr>
            <w:tcBorders>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(20,132)</w:t>
            </w:r>
          </w:p>
        </w:tc>
        <w:tc>
          <w:tcPr>
            <w:tcBorders>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22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239" w:line="1" w:lineRule="exact"/>
      </w:pPr>
    </w:p>
    <w:p>
      <w:pPr>
        <w:pStyle w:val="Style32"/>
        <w:keepNext w:val="0"/>
        <w:keepLines w:val="0"/>
        <w:widowControl w:val="0"/>
        <w:shd w:val="clear" w:color="auto" w:fill="auto"/>
        <w:bidi w:val="0"/>
        <w:spacing w:before="0" w:after="300" w:line="312" w:lineRule="exact"/>
        <w:ind w:left="1120" w:right="0" w:hanging="360"/>
        <w:jc w:val="left"/>
        <w:rPr>
          <w:sz w:val="24"/>
          <w:szCs w:val="24"/>
        </w:rPr>
      </w:pPr>
      <w:r>
        <w:rPr>
          <w:rFonts w:ascii="Times New Roman" w:eastAsia="Times New Roman" w:hAnsi="Times New Roman" w:cs="Times New Roman"/>
          <w:color w:val="000000"/>
          <w:spacing w:val="0"/>
          <w:w w:val="100"/>
          <w:position w:val="0"/>
          <w:sz w:val="24"/>
          <w:szCs w:val="24"/>
        </w:rPr>
        <w:t>(i)</w:t>
      </w:r>
      <w:r>
        <w:rPr>
          <w:color w:val="000000"/>
          <w:spacing w:val="0"/>
          <w:w w:val="100"/>
          <w:position w:val="0"/>
          <w:sz w:val="24"/>
          <w:szCs w:val="24"/>
        </w:rPr>
        <w:t>江苏银行股份有限公司股份于</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8</w:t>
      </w:r>
      <w:r>
        <w:rPr>
          <w:color w:val="000000"/>
          <w:spacing w:val="0"/>
          <w:w w:val="100"/>
          <w:position w:val="0"/>
          <w:sz w:val="24"/>
          <w:szCs w:val="24"/>
        </w:rPr>
        <w:t>月份上市后存在活跃市场报价，所以本集团将持有的江苏银行股份有限公司股权投资 自第三层次转入第一层次，以活跃市场中的报价确定其公允价值。</w:t>
      </w:r>
    </w:p>
    <w:p>
      <w:pPr>
        <w:pStyle w:val="Style32"/>
        <w:keepNext w:val="0"/>
        <w:keepLines w:val="0"/>
        <w:widowControl w:val="0"/>
        <w:shd w:val="clear" w:color="auto" w:fill="auto"/>
        <w:bidi w:val="0"/>
        <w:spacing w:before="0" w:after="240" w:line="240" w:lineRule="auto"/>
        <w:ind w:left="0" w:right="0" w:firstLine="720"/>
        <w:jc w:val="left"/>
        <w:rPr>
          <w:sz w:val="24"/>
          <w:szCs w:val="24"/>
        </w:rPr>
      </w:pPr>
      <w:r>
        <w:rPr>
          <w:rFonts w:ascii="Times New Roman" w:eastAsia="Times New Roman" w:hAnsi="Times New Roman" w:cs="Times New Roman"/>
          <w:color w:val="000000"/>
          <w:spacing w:val="0"/>
          <w:w w:val="100"/>
          <w:position w:val="0"/>
          <w:sz w:val="24"/>
          <w:szCs w:val="24"/>
        </w:rPr>
        <w:t>(ii)</w:t>
      </w:r>
      <w:r>
        <w:rPr>
          <w:color w:val="000000"/>
          <w:spacing w:val="0"/>
          <w:w w:val="100"/>
          <w:position w:val="0"/>
          <w:sz w:val="24"/>
          <w:szCs w:val="24"/>
        </w:rPr>
        <w:t>计入损益的利得或损失为计入利润表中的投资收益及公允价值变动损益。</w:t>
      </w:r>
    </w:p>
    <w:p>
      <w:pPr>
        <w:pStyle w:val="Style32"/>
        <w:keepNext w:val="0"/>
        <w:keepLines w:val="0"/>
        <w:widowControl w:val="0"/>
        <w:shd w:val="clear" w:color="auto" w:fill="auto"/>
        <w:bidi w:val="0"/>
        <w:spacing w:before="0" w:after="0" w:line="240" w:lineRule="auto"/>
        <w:ind w:left="0" w:right="0" w:firstLine="720"/>
        <w:jc w:val="left"/>
        <w:rPr>
          <w:sz w:val="24"/>
          <w:szCs w:val="24"/>
        </w:rPr>
      </w:pPr>
      <w:r>
        <w:rPr>
          <w:b/>
          <w:bCs/>
          <w:color w:val="000000"/>
          <w:spacing w:val="0"/>
          <w:w w:val="100"/>
          <w:position w:val="0"/>
          <w:sz w:val="24"/>
          <w:szCs w:val="24"/>
        </w:rPr>
        <w:t>财务报表附注</w:t>
      </w:r>
    </w:p>
    <w:p>
      <w:pPr>
        <w:pStyle w:val="Style88"/>
        <w:keepNext/>
        <w:keepLines/>
        <w:widowControl w:val="0"/>
        <w:shd w:val="clear" w:color="auto" w:fill="auto"/>
        <w:bidi w:val="0"/>
        <w:spacing w:before="0" w:after="0" w:line="240" w:lineRule="auto"/>
        <w:ind w:left="0" w:right="0" w:firstLine="720"/>
        <w:jc w:val="left"/>
      </w:pPr>
      <w:bookmarkStart w:id="1161" w:name="bookmark1161"/>
      <w:bookmarkStart w:id="1162" w:name="bookmark1162"/>
      <w:bookmarkStart w:id="1163" w:name="bookmark1163"/>
      <w:r>
        <w:rPr>
          <w:color w:val="000000"/>
          <w:spacing w:val="0"/>
          <w:w w:val="100"/>
          <w:position w:val="0"/>
          <w:sz w:val="24"/>
          <w:szCs w:val="24"/>
        </w:rPr>
        <w:t>2016</w:t>
      </w:r>
      <w:r>
        <w:rPr>
          <w:rFonts w:ascii="SimSun" w:eastAsia="SimSun" w:hAnsi="SimSun" w:cs="SimSun"/>
          <w:b/>
          <w:bCs/>
          <w:color w:val="000000"/>
          <w:spacing w:val="0"/>
          <w:w w:val="100"/>
          <w:position w:val="0"/>
          <w:sz w:val="24"/>
          <w:szCs w:val="24"/>
        </w:rPr>
        <w:t>年度</w:t>
      </w:r>
      <w:bookmarkEnd w:id="1161"/>
      <w:bookmarkEnd w:id="1162"/>
      <w:bookmarkEnd w:id="1163"/>
    </w:p>
    <w:p>
      <w:pPr>
        <w:pStyle w:val="Style32"/>
        <w:keepNext w:val="0"/>
        <w:keepLines w:val="0"/>
        <w:widowControl w:val="0"/>
        <w:shd w:val="clear" w:color="auto" w:fill="auto"/>
        <w:bidi w:val="0"/>
        <w:spacing w:before="0" w:after="240" w:line="240" w:lineRule="auto"/>
        <w:ind w:left="0" w:right="0" w:firstLine="720"/>
        <w:jc w:val="left"/>
        <w:rPr>
          <w:sz w:val="20"/>
          <w:szCs w:val="20"/>
        </w:rPr>
      </w:pPr>
      <w:r>
        <w:rPr>
          <w:rFonts w:ascii="Arial" w:eastAsia="Arial" w:hAnsi="Arial" w:cs="Arial"/>
          <w:color w:val="000000"/>
          <w:spacing w:val="0"/>
          <w:w w:val="100"/>
          <w:position w:val="0"/>
          <w:sz w:val="20"/>
          <w:szCs w:val="20"/>
        </w:rPr>
        <w:t>（</w:t>
      </w:r>
      <w:r>
        <w:rPr>
          <w:color w:val="000000"/>
          <w:spacing w:val="0"/>
          <w:w w:val="100"/>
          <w:position w:val="0"/>
          <w:sz w:val="20"/>
          <w:szCs w:val="20"/>
        </w:rPr>
        <w:t>除特别注明外，金额单位为人民币千元</w:t>
      </w:r>
      <w:r>
        <w:rPr>
          <w:rFonts w:ascii="Arial" w:eastAsia="Arial" w:hAnsi="Arial" w:cs="Arial"/>
          <w:color w:val="000000"/>
          <w:spacing w:val="0"/>
          <w:w w:val="100"/>
          <w:position w:val="0"/>
          <w:sz w:val="20"/>
          <w:szCs w:val="20"/>
        </w:rPr>
        <w:t>）</w:t>
      </w:r>
    </w:p>
    <w:p>
      <w:pPr>
        <w:pStyle w:val="Style32"/>
        <w:keepNext w:val="0"/>
        <w:keepLines w:val="0"/>
        <w:widowControl w:val="0"/>
        <w:shd w:val="clear" w:color="auto" w:fill="auto"/>
        <w:bidi w:val="0"/>
        <w:spacing w:before="0" w:after="240" w:line="240" w:lineRule="auto"/>
        <w:ind w:left="0" w:right="0" w:firstLine="0"/>
        <w:jc w:val="left"/>
        <w:rPr>
          <w:sz w:val="24"/>
          <w:szCs w:val="24"/>
        </w:rPr>
      </w:pPr>
      <w:r>
        <w:rPr>
          <w:b/>
          <w:bCs/>
          <w:color w:val="000000"/>
          <w:spacing w:val="0"/>
          <w:w w:val="100"/>
          <w:position w:val="0"/>
          <w:sz w:val="24"/>
          <w:szCs w:val="24"/>
        </w:rPr>
        <w:t>十五公允价值估计</w:t>
      </w:r>
      <w:r>
        <w:rPr>
          <w:rFonts w:ascii="Times New Roman" w:eastAsia="Times New Roman" w:hAnsi="Times New Roman" w:cs="Times New Roman"/>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4"/>
          <w:szCs w:val="24"/>
        </w:rPr>
        <w:t>）</w:t>
      </w:r>
    </w:p>
    <w:p>
      <w:pPr>
        <w:pStyle w:val="Style32"/>
        <w:keepNext w:val="0"/>
        <w:keepLines w:val="0"/>
        <w:widowControl w:val="0"/>
        <w:shd w:val="clear" w:color="auto" w:fill="auto"/>
        <w:tabs>
          <w:tab w:pos="691" w:val="left"/>
        </w:tabs>
        <w:bidi w:val="0"/>
        <w:spacing w:before="0" w:after="24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（1）</w:t>
        <w:tab/>
      </w:r>
      <w:r>
        <w:rPr>
          <w:b/>
          <w:bCs/>
          <w:color w:val="000000"/>
          <w:spacing w:val="0"/>
          <w:w w:val="100"/>
          <w:position w:val="0"/>
          <w:sz w:val="24"/>
          <w:szCs w:val="24"/>
        </w:rPr>
        <w:t>持续的以公允价值后续计量的资产和负债</w:t>
      </w:r>
      <w:r>
        <w:rPr>
          <w:rFonts w:ascii="Times New Roman" w:eastAsia="Times New Roman" w:hAnsi="Times New Roman" w:cs="Times New Roman"/>
          <w:color w:val="000000"/>
          <w:spacing w:val="0"/>
          <w:w w:val="100"/>
          <w:position w:val="0"/>
          <w:sz w:val="24"/>
          <w:szCs w:val="24"/>
        </w:rPr>
        <w:t>（</w:t>
      </w:r>
      <w:r>
        <w:rPr>
          <w:b/>
          <w:bCs/>
          <w:color w:val="000000"/>
          <w:spacing w:val="0"/>
          <w:w w:val="100"/>
          <w:position w:val="0"/>
          <w:sz w:val="24"/>
          <w:szCs w:val="24"/>
        </w:rPr>
        <w:t>续</w:t>
      </w:r>
      <w:r>
        <w:rPr>
          <w:rFonts w:ascii="Times New Roman" w:eastAsia="Times New Roman" w:hAnsi="Times New Roman" w:cs="Times New Roman"/>
          <w:color w:val="000000"/>
          <w:spacing w:val="0"/>
          <w:w w:val="100"/>
          <w:position w:val="0"/>
          <w:sz w:val="24"/>
          <w:szCs w:val="24"/>
        </w:rPr>
        <w:t>）</w:t>
      </w:r>
    </w:p>
    <w:tbl>
      <w:tblPr>
        <w:tblOverlap w:val="never"/>
        <w:jc w:val="center"/>
        <w:tblLayout w:type="fixed"/>
      </w:tblPr>
      <w:tblGrid>
        <w:gridCol w:w="2702"/>
        <w:gridCol w:w="2323"/>
        <w:gridCol w:w="2246"/>
        <w:gridCol w:w="2064"/>
        <w:gridCol w:w="864"/>
        <w:gridCol w:w="1728"/>
        <w:gridCol w:w="1666"/>
      </w:tblGrid>
      <w:tr>
        <w:trPr>
          <w:trHeight w:val="470" w:hRule="exact"/>
        </w:trPr>
        <w:tc>
          <w:tcPr>
            <w:vMerge w:val="restart"/>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200" w:firstLine="0"/>
              <w:jc w:val="right"/>
              <w:rPr>
                <w:sz w:val="18"/>
                <w:szCs w:val="18"/>
              </w:rPr>
            </w:pPr>
            <w:r>
              <w:rPr>
                <w:color w:val="000000"/>
                <w:spacing w:val="0"/>
                <w:w w:val="100"/>
                <w:position w:val="0"/>
                <w:sz w:val="18"/>
                <w:szCs w:val="18"/>
              </w:rPr>
              <w:t>公允价值计量且其变动计</w:t>
            </w:r>
          </w:p>
          <w:p>
            <w:pPr>
              <w:pStyle w:val="Style28"/>
              <w:keepNext w:val="0"/>
              <w:keepLines w:val="0"/>
              <w:widowControl w:val="0"/>
              <w:shd w:val="clear" w:color="auto" w:fill="auto"/>
              <w:bidi w:val="0"/>
              <w:spacing w:before="0" w:after="0" w:line="240" w:lineRule="auto"/>
              <w:ind w:left="0" w:right="200" w:firstLine="0"/>
              <w:jc w:val="right"/>
              <w:rPr>
                <w:sz w:val="18"/>
                <w:szCs w:val="18"/>
              </w:rPr>
            </w:pPr>
            <w:r>
              <w:rPr>
                <w:color w:val="000000"/>
                <w:spacing w:val="0"/>
                <w:w w:val="100"/>
                <w:position w:val="0"/>
                <w:sz w:val="18"/>
                <w:szCs w:val="18"/>
              </w:rPr>
              <w:t>入当期损益的金融资产</w:t>
            </w:r>
          </w:p>
        </w:tc>
        <w:tc>
          <w:tcPr>
            <w:tcBorders/>
            <w:shd w:val="clear" w:color="auto" w:fill="FFFFFF"/>
            <w:vAlign w:val="top"/>
          </w:tcPr>
          <w:p>
            <w:pPr>
              <w:pStyle w:val="Style28"/>
              <w:keepNext w:val="0"/>
              <w:keepLines w:val="0"/>
              <w:widowControl w:val="0"/>
              <w:shd w:val="clear" w:color="auto" w:fill="auto"/>
              <w:bidi w:val="0"/>
              <w:spacing w:before="0" w:after="0" w:line="235" w:lineRule="exact"/>
              <w:ind w:left="0" w:right="340" w:firstLine="0"/>
              <w:jc w:val="right"/>
              <w:rPr>
                <w:sz w:val="18"/>
                <w:szCs w:val="18"/>
              </w:rPr>
            </w:pPr>
            <w:r>
              <w:rPr>
                <w:color w:val="000000"/>
                <w:spacing w:val="0"/>
                <w:w w:val="100"/>
                <w:position w:val="0"/>
                <w:sz w:val="18"/>
                <w:szCs w:val="18"/>
              </w:rPr>
              <w:t>其他流动资产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一年内 到期的理财产品</w:t>
            </w:r>
          </w:p>
        </w:tc>
        <w:tc>
          <w:tcPr>
            <w:gridSpan w:val="2"/>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可供出售金融资产</w:t>
            </w:r>
          </w:p>
        </w:tc>
        <w:tc>
          <w:tcPr>
            <w:gridSpan w:val="2"/>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以公允价值计量且其变动计入当期损益的</w:t>
            </w:r>
          </w:p>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金融负债</w:t>
            </w:r>
          </w:p>
        </w:tc>
      </w:tr>
      <w:tr>
        <w:trPr>
          <w:trHeight w:val="586" w:hRule="exact"/>
        </w:trPr>
        <w:tc>
          <w:tcPr>
            <w:vMerge/>
            <w:tcBorders/>
            <w:shd w:val="clear" w:color="auto" w:fill="FFFFFF"/>
            <w:vAlign w:val="top"/>
          </w:tcPr>
          <w:p>
            <w:pPr/>
          </w:p>
        </w:tc>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200" w:firstLine="0"/>
              <w:jc w:val="right"/>
              <w:rPr>
                <w:sz w:val="18"/>
                <w:szCs w:val="18"/>
              </w:rPr>
            </w:pPr>
            <w:r>
              <w:rPr>
                <w:color w:val="000000"/>
                <w:spacing w:val="0"/>
                <w:w w:val="100"/>
                <w:position w:val="0"/>
                <w:sz w:val="18"/>
                <w:szCs w:val="18"/>
              </w:rPr>
              <w:t>新股预约权</w:t>
            </w:r>
          </w:p>
        </w:tc>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理财产品</w:t>
            </w:r>
          </w:p>
        </w:tc>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理财产品</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5" w:lineRule="exact"/>
              <w:ind w:left="0" w:right="0" w:firstLine="0"/>
              <w:jc w:val="left"/>
              <w:rPr>
                <w:sz w:val="18"/>
                <w:szCs w:val="18"/>
              </w:rPr>
            </w:pPr>
            <w:r>
              <w:rPr>
                <w:color w:val="000000"/>
                <w:spacing w:val="0"/>
                <w:w w:val="100"/>
                <w:position w:val="0"/>
                <w:sz w:val="18"/>
                <w:szCs w:val="18"/>
              </w:rPr>
              <w:t>可供出售 权益工具</w:t>
            </w:r>
          </w:p>
        </w:tc>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140" w:firstLine="0"/>
              <w:jc w:val="right"/>
              <w:rPr>
                <w:sz w:val="18"/>
                <w:szCs w:val="18"/>
              </w:rPr>
            </w:pPr>
            <w:r>
              <w:rPr>
                <w:color w:val="000000"/>
                <w:spacing w:val="0"/>
                <w:w w:val="100"/>
                <w:position w:val="0"/>
                <w:sz w:val="18"/>
                <w:szCs w:val="18"/>
              </w:rPr>
              <w:t>卖出期权</w:t>
            </w:r>
          </w:p>
        </w:tc>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投资者回售选择权</w:t>
            </w:r>
          </w:p>
        </w:tc>
      </w:tr>
      <w:tr>
        <w:trPr>
          <w:trHeight w:val="350"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日</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722,445</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115,144</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678,151</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140" w:firstLine="0"/>
              <w:jc w:val="right"/>
              <w:rPr>
                <w:sz w:val="18"/>
                <w:szCs w:val="18"/>
              </w:rPr>
            </w:pPr>
            <w:r>
              <w:rPr>
                <w:rFonts w:ascii="Times New Roman" w:eastAsia="Times New Roman" w:hAnsi="Times New Roman" w:cs="Times New Roman"/>
                <w:color w:val="000000"/>
                <w:spacing w:val="0"/>
                <w:w w:val="100"/>
                <w:position w:val="0"/>
                <w:sz w:val="18"/>
                <w:szCs w:val="18"/>
              </w:rPr>
              <w:t>90,400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46,800</w:t>
            </w:r>
          </w:p>
        </w:tc>
      </w:tr>
      <w:tr>
        <w:trPr>
          <w:trHeight w:val="235"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购买</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200" w:firstLine="0"/>
              <w:jc w:val="right"/>
              <w:rPr>
                <w:sz w:val="18"/>
                <w:szCs w:val="18"/>
              </w:rPr>
            </w:pPr>
            <w:r>
              <w:rPr>
                <w:rFonts w:ascii="Times New Roman" w:eastAsia="Times New Roman" w:hAnsi="Times New Roman" w:cs="Times New Roman"/>
                <w:color w:val="000000"/>
                <w:spacing w:val="0"/>
                <w:w w:val="100"/>
                <w:position w:val="0"/>
                <w:sz w:val="18"/>
                <w:szCs w:val="18"/>
              </w:rPr>
              <w:t>3,777</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1,500,000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35,734,251</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26,130</w:t>
            </w:r>
          </w:p>
        </w:tc>
      </w:tr>
      <w:tr>
        <w:trPr>
          <w:trHeight w:val="226"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出售</w:t>
            </w:r>
          </w:p>
        </w:tc>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(720,000)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(35,031,250)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140" w:firstLine="0"/>
              <w:jc w:val="right"/>
              <w:rPr>
                <w:sz w:val="18"/>
                <w:szCs w:val="18"/>
              </w:rPr>
            </w:pPr>
            <w:r>
              <w:rPr>
                <w:rFonts w:ascii="Times New Roman" w:eastAsia="Times New Roman" w:hAnsi="Times New Roman" w:cs="Times New Roman"/>
                <w:color w:val="000000"/>
                <w:spacing w:val="0"/>
                <w:w w:val="100"/>
                <w:position w:val="0"/>
                <w:sz w:val="18"/>
                <w:szCs w:val="18"/>
              </w:rPr>
              <w:t>(90,400)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18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230"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当期利得或损失总额</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17,599</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514</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(1,672)</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216,592</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(58,020)</w:t>
            </w:r>
          </w:p>
        </w:tc>
      </w:tr>
      <w:tr>
        <w:trPr>
          <w:trHeight w:val="230"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计入损益的利得或损失</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17,599</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(2,445)</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(31,392)</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(58,020)</w:t>
            </w:r>
          </w:p>
        </w:tc>
      </w:tr>
      <w:tr>
        <w:trPr>
          <w:trHeight w:val="226"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计入其他综合收益的利得或损失</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2,959</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29,720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216,592</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14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18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254"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21,376</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1,502,959</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816,473</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894,743</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14,910</w:t>
            </w:r>
          </w:p>
        </w:tc>
      </w:tr>
      <w:tr>
        <w:trPr>
          <w:trHeight w:val="456"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日仍持有的资产</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230"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计入</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8"/>
                <w:szCs w:val="18"/>
              </w:rPr>
              <w:t>年度损益的未实现</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35"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利得或损失的变动</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64"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――公允价值变动收益</w:t>
            </w:r>
          </w:p>
        </w:tc>
        <w:tc>
          <w:tcPr>
            <w:tcBorders>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17,599</w:t>
            </w:r>
          </w:p>
        </w:tc>
        <w:tc>
          <w:tcPr>
            <w:tcBorders>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34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479" w:line="1" w:lineRule="exact"/>
      </w:pPr>
    </w:p>
    <w:p>
      <w:pPr>
        <w:pStyle w:val="Style32"/>
        <w:keepNext w:val="0"/>
        <w:keepLines w:val="0"/>
        <w:widowControl w:val="0"/>
        <w:shd w:val="clear" w:color="auto" w:fill="auto"/>
        <w:bidi w:val="0"/>
        <w:spacing w:before="0" w:after="240" w:line="302" w:lineRule="exact"/>
        <w:ind w:left="720" w:right="0" w:firstLine="40"/>
        <w:jc w:val="left"/>
        <w:rPr>
          <w:sz w:val="24"/>
          <w:szCs w:val="24"/>
        </w:rPr>
        <w:sectPr>
          <w:headerReference w:type="default" r:id="rId231"/>
          <w:footerReference w:type="default" r:id="rId232"/>
          <w:headerReference w:type="even" r:id="rId233"/>
          <w:footerReference w:type="even" r:id="rId234"/>
          <w:footnotePr>
            <w:pos w:val="pageBottom"/>
            <w:numFmt w:val="decimal"/>
            <w:numRestart w:val="continuous"/>
          </w:footnotePr>
          <w:pgSz w:w="16840" w:h="11900" w:orient="landscape"/>
          <w:pgMar w:top="1322" w:right="1900" w:bottom="1703" w:left="642" w:header="0" w:footer="3" w:gutter="0"/>
          <w:cols w:space="720"/>
          <w:noEndnote/>
          <w:rtlGutter w:val="0"/>
          <w:docGrid w:linePitch="360"/>
        </w:sectPr>
      </w:pPr>
      <w:r>
        <w:rPr>
          <w:color w:val="000000"/>
          <w:spacing w:val="0"/>
          <w:w w:val="100"/>
          <w:position w:val="0"/>
          <w:sz w:val="24"/>
          <w:szCs w:val="24"/>
        </w:rPr>
        <w:t>本集团由投资部门委托外部独立评估师负责金融资产及金融负债的估值工作，上述估值结果由本集团财务部门进行独立验证及账 务处理，并基于经验证的估值结果编制与公允价值有关的披露信息。</w:t>
      </w:r>
    </w:p>
    <w:p>
      <w:pPr>
        <w:pStyle w:val="Style32"/>
        <w:keepNext w:val="0"/>
        <w:keepLines w:val="0"/>
        <w:widowControl w:val="0"/>
        <w:shd w:val="clear" w:color="auto" w:fill="auto"/>
        <w:bidi w:val="0"/>
        <w:spacing w:before="0" w:after="0" w:line="240" w:lineRule="auto"/>
        <w:ind w:left="0" w:right="0" w:firstLine="740"/>
        <w:jc w:val="left"/>
        <w:rPr>
          <w:sz w:val="24"/>
          <w:szCs w:val="24"/>
        </w:rPr>
      </w:pPr>
      <w:r>
        <w:rPr>
          <w:b/>
          <w:bCs/>
          <w:color w:val="000000"/>
          <w:spacing w:val="0"/>
          <w:w w:val="100"/>
          <w:position w:val="0"/>
          <w:sz w:val="24"/>
          <w:szCs w:val="24"/>
        </w:rPr>
        <w:t>财务报表附注</w:t>
      </w:r>
    </w:p>
    <w:p>
      <w:pPr>
        <w:pStyle w:val="Style88"/>
        <w:keepNext/>
        <w:keepLines/>
        <w:widowControl w:val="0"/>
        <w:shd w:val="clear" w:color="auto" w:fill="auto"/>
        <w:bidi w:val="0"/>
        <w:spacing w:before="0" w:after="0" w:line="240" w:lineRule="auto"/>
        <w:ind w:left="0" w:right="0" w:firstLine="740"/>
        <w:jc w:val="left"/>
      </w:pPr>
      <w:bookmarkStart w:id="1164" w:name="bookmark1164"/>
      <w:bookmarkStart w:id="1165" w:name="bookmark1165"/>
      <w:bookmarkStart w:id="1166" w:name="bookmark1166"/>
      <w:r>
        <w:rPr>
          <w:color w:val="000000"/>
          <w:spacing w:val="0"/>
          <w:w w:val="100"/>
          <w:position w:val="0"/>
          <w:sz w:val="24"/>
          <w:szCs w:val="24"/>
        </w:rPr>
        <w:t>2016</w:t>
      </w:r>
      <w:r>
        <w:rPr>
          <w:rFonts w:ascii="SimSun" w:eastAsia="SimSun" w:hAnsi="SimSun" w:cs="SimSun"/>
          <w:b/>
          <w:bCs/>
          <w:color w:val="000000"/>
          <w:spacing w:val="0"/>
          <w:w w:val="100"/>
          <w:position w:val="0"/>
          <w:sz w:val="24"/>
          <w:szCs w:val="24"/>
        </w:rPr>
        <w:t>年度</w:t>
      </w:r>
      <w:bookmarkEnd w:id="1164"/>
      <w:bookmarkEnd w:id="1165"/>
      <w:bookmarkEnd w:id="1166"/>
    </w:p>
    <w:p>
      <w:pPr>
        <w:pStyle w:val="Style32"/>
        <w:keepNext w:val="0"/>
        <w:keepLines w:val="0"/>
        <w:widowControl w:val="0"/>
        <w:shd w:val="clear" w:color="auto" w:fill="auto"/>
        <w:bidi w:val="0"/>
        <w:spacing w:before="0" w:after="260" w:line="240" w:lineRule="auto"/>
        <w:ind w:left="0" w:right="0" w:firstLine="740"/>
        <w:jc w:val="left"/>
        <w:rPr>
          <w:sz w:val="20"/>
          <w:szCs w:val="20"/>
        </w:rPr>
      </w:pPr>
      <w:r>
        <w:rPr>
          <w:color w:val="000000"/>
          <w:spacing w:val="0"/>
          <w:w w:val="100"/>
          <w:position w:val="0"/>
          <w:sz w:val="20"/>
          <w:szCs w:val="20"/>
        </w:rPr>
        <w:t>（除特别注明外，金额单位为人民币千元）</w:t>
      </w:r>
    </w:p>
    <w:p>
      <w:pPr>
        <w:pStyle w:val="Style32"/>
        <w:keepNext w:val="0"/>
        <w:keepLines w:val="0"/>
        <w:widowControl w:val="0"/>
        <w:shd w:val="clear" w:color="auto" w:fill="auto"/>
        <w:bidi w:val="0"/>
        <w:spacing w:before="0" w:after="300" w:line="240" w:lineRule="auto"/>
        <w:ind w:left="0" w:right="0" w:firstLine="0"/>
        <w:jc w:val="left"/>
        <w:rPr>
          <w:sz w:val="24"/>
          <w:szCs w:val="24"/>
        </w:rPr>
      </w:pPr>
      <w:r>
        <w:rPr>
          <w:b/>
          <w:bCs/>
          <w:color w:val="000000"/>
          <w:spacing w:val="0"/>
          <w:w w:val="100"/>
          <w:position w:val="0"/>
          <w:sz w:val="24"/>
          <w:szCs w:val="24"/>
        </w:rPr>
        <w:t>十五公允价值估计（续）</w:t>
      </w:r>
    </w:p>
    <w:p>
      <w:pPr>
        <w:pStyle w:val="Style32"/>
        <w:keepNext w:val="0"/>
        <w:keepLines w:val="0"/>
        <w:widowControl w:val="0"/>
        <w:shd w:val="clear" w:color="auto" w:fill="auto"/>
        <w:bidi w:val="0"/>
        <w:spacing w:before="0" w:after="260" w:line="240" w:lineRule="auto"/>
        <w:ind w:left="0" w:right="0" w:firstLine="0"/>
        <w:jc w:val="left"/>
        <w:rPr>
          <w:sz w:val="24"/>
          <w:szCs w:val="24"/>
        </w:rPr>
      </w:pPr>
      <w:r>
        <w:rPr>
          <w:rFonts w:ascii="Arial" w:eastAsia="Arial" w:hAnsi="Arial" w:cs="Arial"/>
          <w:color w:val="000000"/>
          <w:spacing w:val="0"/>
          <w:w w:val="100"/>
          <w:position w:val="0"/>
          <w:sz w:val="24"/>
          <w:szCs w:val="24"/>
        </w:rPr>
        <w:t xml:space="preserve">（1） </w:t>
      </w:r>
      <w:r>
        <w:rPr>
          <w:b/>
          <w:bCs/>
          <w:color w:val="000000"/>
          <w:spacing w:val="0"/>
          <w:w w:val="100"/>
          <w:position w:val="0"/>
          <w:sz w:val="24"/>
          <w:szCs w:val="24"/>
        </w:rPr>
        <w:t>持续的以公允价值后续计量的资产和负债（续）</w:t>
      </w:r>
    </w:p>
    <w:p>
      <w:pPr>
        <w:pStyle w:val="Style32"/>
        <w:keepNext w:val="0"/>
        <w:keepLines w:val="0"/>
        <w:widowControl w:val="0"/>
        <w:shd w:val="clear" w:color="auto" w:fill="auto"/>
        <w:bidi w:val="0"/>
        <w:spacing w:before="0" w:after="0" w:line="240" w:lineRule="auto"/>
        <w:ind w:left="0" w:right="0" w:firstLine="740"/>
        <w:jc w:val="left"/>
        <w:rPr>
          <w:sz w:val="24"/>
          <w:szCs w:val="24"/>
        </w:rPr>
      </w:pPr>
      <w:r>
        <w:rPr>
          <w:color w:val="000000"/>
          <w:spacing w:val="0"/>
          <w:w w:val="100"/>
          <w:position w:val="0"/>
          <w:sz w:val="24"/>
          <w:szCs w:val="24"/>
        </w:rPr>
        <w:t>第三层次公允价值计量的相关信息如下：</w:t>
      </w:r>
    </w:p>
    <w:p>
      <w:pPr>
        <w:widowControl w:val="0"/>
        <w:spacing w:line="1" w:lineRule="exact"/>
        <w:sectPr>
          <w:headerReference w:type="default" r:id="rId235"/>
          <w:footerReference w:type="default" r:id="rId236"/>
          <w:headerReference w:type="even" r:id="rId237"/>
          <w:footerReference w:type="even" r:id="rId238"/>
          <w:footnotePr>
            <w:pos w:val="pageBottom"/>
            <w:numFmt w:val="decimal"/>
            <w:numRestart w:val="continuous"/>
          </w:footnotePr>
          <w:pgSz w:w="7555" w:h="11909"/>
          <w:pgMar w:top="1354" w:right="163" w:bottom="4152" w:left="619" w:header="0" w:footer="3" w:gutter="0"/>
          <w:pgNumType w:start="311"/>
          <w:cols w:space="720"/>
          <w:noEndnote/>
          <w:rtlGutter w:val="0"/>
          <w:docGrid w:linePitch="360"/>
        </w:sectPr>
      </w:pPr>
      <w:r>
        <mc:AlternateContent>
          <mc:Choice Requires="wps">
            <w:drawing>
              <wp:anchor distT="114300" distB="0" distL="0" distR="0" simplePos="0" relativeHeight="125829502" behindDoc="0" locked="0" layoutInCell="1" allowOverlap="1">
                <wp:simplePos x="0" y="0"/>
                <wp:positionH relativeFrom="page">
                  <wp:posOffset>2541905</wp:posOffset>
                </wp:positionH>
                <wp:positionV relativeFrom="paragraph">
                  <wp:posOffset>114300</wp:posOffset>
                </wp:positionV>
                <wp:extent cx="963295" cy="301625"/>
                <wp:wrapTopAndBottom/>
                <wp:docPr id="546" name="Shape 546"/>
                <a:graphic xmlns:a="http://schemas.openxmlformats.org/drawingml/2006/main">
                  <a:graphicData uri="http://schemas.microsoft.com/office/word/2010/wordprocessingShape">
                    <wps:wsp>
                      <wps:cNvSpPr txBox="1"/>
                      <wps:spPr>
                        <a:xfrm>
                          <a:ext cx="963295" cy="301625"/>
                        </a:xfrm>
                        <a:prstGeom prst="rect"/>
                        <a:noFill/>
                      </wps:spPr>
                      <wps:txbx>
                        <w:txbxContent>
                          <w:p>
                            <w:pPr>
                              <w:pStyle w:val="Style134"/>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p>
                            <w:pPr>
                              <w:pStyle w:val="Style113"/>
                              <w:keepNext w:val="0"/>
                              <w:keepLines w:val="0"/>
                              <w:widowControl w:val="0"/>
                              <w:shd w:val="clear" w:color="auto" w:fill="auto"/>
                              <w:bidi w:val="0"/>
                              <w:spacing w:before="0" w:after="0" w:line="240" w:lineRule="auto"/>
                              <w:ind w:left="0" w:right="0" w:firstLine="0"/>
                              <w:jc w:val="right"/>
                            </w:pPr>
                            <w:r>
                              <w:rPr>
                                <w:color w:val="000000"/>
                                <w:spacing w:val="0"/>
                                <w:w w:val="100"/>
                                <w:position w:val="0"/>
                              </w:rPr>
                              <w:t>公允价值</w:t>
                            </w:r>
                          </w:p>
                        </w:txbxContent>
                      </wps:txbx>
                      <wps:bodyPr lIns="0" tIns="0" rIns="0" bIns="0">
                        <a:noAutoFit/>
                      </wps:bodyPr>
                    </wps:wsp>
                  </a:graphicData>
                </a:graphic>
              </wp:anchor>
            </w:drawing>
          </mc:Choice>
          <mc:Fallback>
            <w:pict>
              <v:shape id="_x0000_s1572" type="#_x0000_t202" style="position:absolute;margin-left:200.15000000000001pt;margin-top:9.pt;width:75.850000000000009pt;height:23.75pt;z-index:-125829251;mso-wrap-distance-left:0;mso-wrap-distance-top:9.pt;mso-wrap-distance-right:0;mso-position-horizontal-relative:page" filled="f" stroked="f">
                <v:textbox inset="0,0,0,0">
                  <w:txbxContent>
                    <w:p>
                      <w:pPr>
                        <w:pStyle w:val="Style134"/>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p>
                      <w:pPr>
                        <w:pStyle w:val="Style113"/>
                        <w:keepNext w:val="0"/>
                        <w:keepLines w:val="0"/>
                        <w:widowControl w:val="0"/>
                        <w:shd w:val="clear" w:color="auto" w:fill="auto"/>
                        <w:bidi w:val="0"/>
                        <w:spacing w:before="0" w:after="0" w:line="240" w:lineRule="auto"/>
                        <w:ind w:left="0" w:right="0" w:firstLine="0"/>
                        <w:jc w:val="right"/>
                      </w:pPr>
                      <w:r>
                        <w:rPr>
                          <w:color w:val="000000"/>
                          <w:spacing w:val="0"/>
                          <w:w w:val="100"/>
                          <w:position w:val="0"/>
                        </w:rPr>
                        <w:t>公允价值</w:t>
                      </w:r>
                    </w:p>
                  </w:txbxContent>
                </v:textbox>
                <w10:wrap type="topAndBottom" anchorx="page"/>
              </v:shape>
            </w:pict>
          </mc:Fallback>
        </mc:AlternateContent>
      </w:r>
      <w:r>
        <mc:AlternateContent>
          <mc:Choice Requires="wps">
            <w:drawing>
              <wp:anchor distT="266700" distB="0" distL="0" distR="0" simplePos="0" relativeHeight="125829504" behindDoc="0" locked="0" layoutInCell="1" allowOverlap="1">
                <wp:simplePos x="0" y="0"/>
                <wp:positionH relativeFrom="page">
                  <wp:posOffset>4227195</wp:posOffset>
                </wp:positionH>
                <wp:positionV relativeFrom="paragraph">
                  <wp:posOffset>266700</wp:posOffset>
                </wp:positionV>
                <wp:extent cx="484505" cy="149225"/>
                <wp:wrapTopAndBottom/>
                <wp:docPr id="548" name="Shape 548"/>
                <a:graphic xmlns:a="http://schemas.openxmlformats.org/drawingml/2006/main">
                  <a:graphicData uri="http://schemas.microsoft.com/office/word/2010/wordprocessingShape">
                    <wps:wsp>
                      <wps:cNvSpPr txBox="1"/>
                      <wps:spPr>
                        <a:xfrm>
                          <a:ext cx="484505" cy="149225"/>
                        </a:xfrm>
                        <a:prstGeom prst="rect"/>
                        <a:noFill/>
                      </wps:spPr>
                      <wps:txbx>
                        <w:txbxContent>
                          <w:p>
                            <w:pPr>
                              <w:pStyle w:val="Style113"/>
                              <w:keepNext w:val="0"/>
                              <w:keepLines w:val="0"/>
                              <w:widowControl w:val="0"/>
                              <w:shd w:val="clear" w:color="auto" w:fill="auto"/>
                              <w:bidi w:val="0"/>
                              <w:spacing w:before="0" w:after="0" w:line="240" w:lineRule="auto"/>
                              <w:ind w:left="0" w:right="0" w:firstLine="0"/>
                              <w:jc w:val="left"/>
                            </w:pPr>
                            <w:r>
                              <w:rPr>
                                <w:color w:val="000000"/>
                                <w:spacing w:val="0"/>
                                <w:w w:val="100"/>
                                <w:position w:val="0"/>
                              </w:rPr>
                              <w:t>估值技术</w:t>
                            </w:r>
                          </w:p>
                        </w:txbxContent>
                      </wps:txbx>
                      <wps:bodyPr wrap="none" lIns="0" tIns="0" rIns="0" bIns="0">
                        <a:noAutoFit/>
                      </wps:bodyPr>
                    </wps:wsp>
                  </a:graphicData>
                </a:graphic>
              </wp:anchor>
            </w:drawing>
          </mc:Choice>
          <mc:Fallback>
            <w:pict>
              <v:shape id="_x0000_s1574" type="#_x0000_t202" style="position:absolute;margin-left:332.85000000000002pt;margin-top:21.pt;width:38.149999999999999pt;height:11.75pt;z-index:-125829249;mso-wrap-distance-left:0;mso-wrap-distance-top:21.pt;mso-wrap-distance-right:0;mso-position-horizontal-relative:page" filled="f" stroked="f">
                <v:textbox inset="0,0,0,0">
                  <w:txbxContent>
                    <w:p>
                      <w:pPr>
                        <w:pStyle w:val="Style113"/>
                        <w:keepNext w:val="0"/>
                        <w:keepLines w:val="0"/>
                        <w:widowControl w:val="0"/>
                        <w:shd w:val="clear" w:color="auto" w:fill="auto"/>
                        <w:bidi w:val="0"/>
                        <w:spacing w:before="0" w:after="0" w:line="240" w:lineRule="auto"/>
                        <w:ind w:left="0" w:right="0" w:firstLine="0"/>
                        <w:jc w:val="left"/>
                      </w:pPr>
                      <w:r>
                        <w:rPr>
                          <w:color w:val="000000"/>
                          <w:spacing w:val="0"/>
                          <w:w w:val="100"/>
                          <w:position w:val="0"/>
                        </w:rPr>
                        <w:t>估值技术</w:t>
                      </w:r>
                    </w:p>
                  </w:txbxContent>
                </v:textbox>
                <w10:wrap type="topAndBottom" anchorx="page"/>
              </v:shape>
            </w:pict>
          </mc:Fallback>
        </mc:AlternateContent>
      </w:r>
    </w:p>
    <w:p>
      <w:pPr>
        <w:widowControl w:val="0"/>
        <w:spacing w:line="114" w:lineRule="exact"/>
        <w:rPr>
          <w:sz w:val="9"/>
          <w:szCs w:val="9"/>
        </w:rPr>
      </w:pPr>
    </w:p>
    <w:p>
      <w:pPr>
        <w:widowControl w:val="0"/>
        <w:spacing w:line="1" w:lineRule="exact"/>
        <w:sectPr>
          <w:footnotePr>
            <w:pos w:val="pageBottom"/>
            <w:numFmt w:val="decimal"/>
            <w:numRestart w:val="continuous"/>
          </w:footnotePr>
          <w:type w:val="continuous"/>
          <w:pgSz w:w="7555" w:h="11909"/>
          <w:pgMar w:top="1354" w:right="0" w:bottom="1354" w:left="0" w:header="0" w:footer="3" w:gutter="0"/>
          <w:cols w:space="720"/>
          <w:noEndnote/>
          <w:rtlGutter w:val="0"/>
          <w:docGrid w:linePitch="360"/>
        </w:sectPr>
      </w:pPr>
    </w:p>
    <w:p>
      <w:pPr>
        <w:pStyle w:val="Style25"/>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以公允价值计量且其变动计入 当期损益的金融资产</w:t>
      </w:r>
      <w:r>
        <w:rPr>
          <w:color w:val="000000"/>
          <w:spacing w:val="0"/>
          <w:w w:val="100"/>
          <w:position w:val="0"/>
          <w:sz w:val="18"/>
          <w:szCs w:val="18"/>
        </w:rPr>
        <w:t>一一</w:t>
      </w:r>
    </w:p>
    <w:tbl>
      <w:tblPr>
        <w:tblOverlap w:val="never"/>
        <w:jc w:val="right"/>
        <w:tblLayout w:type="fixed"/>
      </w:tblPr>
      <w:tblGrid>
        <w:gridCol w:w="2573"/>
        <w:gridCol w:w="3461"/>
      </w:tblGrid>
      <w:tr>
        <w:trPr>
          <w:trHeight w:val="226"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蒙特卡罗模型</w:t>
            </w:r>
          </w:p>
        </w:tc>
      </w:tr>
      <w:tr>
        <w:trPr>
          <w:trHeight w:val="240"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新股预约权</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1,244</w:t>
            </w:r>
          </w:p>
        </w:tc>
      </w:tr>
      <w:tr>
        <w:trPr>
          <w:trHeight w:val="245"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其他流动资产</w:t>
            </w:r>
            <w:r>
              <w:rPr>
                <w:color w:val="000000"/>
                <w:spacing w:val="0"/>
                <w:w w:val="100"/>
                <w:position w:val="0"/>
                <w:sz w:val="18"/>
                <w:szCs w:val="18"/>
              </w:rPr>
              <w:t>一一</w:t>
            </w:r>
          </w:p>
        </w:tc>
        <w:tc>
          <w:tcPr>
            <w:tcBorders/>
            <w:shd w:val="clear" w:color="auto" w:fill="FFFFFF"/>
            <w:vAlign w:val="top"/>
          </w:tcPr>
          <w:p>
            <w:pPr>
              <w:widowControl w:val="0"/>
              <w:rPr>
                <w:sz w:val="10"/>
                <w:szCs w:val="10"/>
              </w:rPr>
            </w:pPr>
          </w:p>
        </w:tc>
      </w:tr>
      <w:tr>
        <w:trPr>
          <w:trHeight w:val="245"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一年内到期的理财品</w:t>
            </w:r>
          </w:p>
        </w:tc>
        <w:tc>
          <w:tcPr>
            <w:tcBorders/>
            <w:shd w:val="clear" w:color="auto" w:fill="FFFFFF"/>
            <w:vAlign w:val="bottom"/>
          </w:tcPr>
          <w:p>
            <w:pPr>
              <w:pStyle w:val="Style28"/>
              <w:keepNext w:val="0"/>
              <w:keepLines w:val="0"/>
              <w:widowControl w:val="0"/>
              <w:shd w:val="clear" w:color="auto" w:fill="auto"/>
              <w:tabs>
                <w:tab w:pos="1224" w:val="left"/>
              </w:tabs>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17,821,905</w:t>
              <w:tab/>
            </w:r>
            <w:r>
              <w:rPr>
                <w:color w:val="000000"/>
                <w:spacing w:val="0"/>
                <w:w w:val="100"/>
                <w:position w:val="0"/>
                <w:sz w:val="18"/>
                <w:szCs w:val="18"/>
              </w:rPr>
              <w:t>现金流量折现模型</w:t>
            </w:r>
          </w:p>
        </w:tc>
      </w:tr>
      <w:tr>
        <w:trPr>
          <w:trHeight w:val="240"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可供出售金融资产——</w:t>
            </w:r>
          </w:p>
        </w:tc>
        <w:tc>
          <w:tcPr>
            <w:tcBorders/>
            <w:shd w:val="clear" w:color="auto" w:fill="FFFFFF"/>
            <w:vAlign w:val="top"/>
          </w:tcPr>
          <w:p>
            <w:pPr>
              <w:widowControl w:val="0"/>
              <w:rPr>
                <w:sz w:val="10"/>
                <w:szCs w:val="10"/>
              </w:rPr>
            </w:pPr>
          </w:p>
        </w:tc>
      </w:tr>
      <w:tr>
        <w:trPr>
          <w:trHeight w:val="259"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理财产品</w:t>
            </w:r>
          </w:p>
        </w:tc>
        <w:tc>
          <w:tcPr>
            <w:tcBorders/>
            <w:shd w:val="clear" w:color="auto" w:fill="FFFFFF"/>
            <w:vAlign w:val="top"/>
          </w:tcPr>
          <w:p>
            <w:pPr>
              <w:pStyle w:val="Style28"/>
              <w:keepNext w:val="0"/>
              <w:keepLines w:val="0"/>
              <w:widowControl w:val="0"/>
              <w:shd w:val="clear" w:color="auto" w:fill="auto"/>
              <w:tabs>
                <w:tab w:pos="1986" w:val="left"/>
              </w:tabs>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6,594,794</w:t>
              <w:tab/>
            </w:r>
            <w:r>
              <w:rPr>
                <w:color w:val="000000"/>
                <w:spacing w:val="0"/>
                <w:w w:val="100"/>
                <w:position w:val="0"/>
                <w:sz w:val="18"/>
                <w:szCs w:val="18"/>
              </w:rPr>
              <w:t>现金流量折现模型</w:t>
            </w:r>
          </w:p>
        </w:tc>
      </w:tr>
    </w:tbl>
    <w:p>
      <w:pPr>
        <w:widowControl w:val="0"/>
        <w:spacing w:after="179" w:line="1" w:lineRule="exact"/>
      </w:pPr>
    </w:p>
    <w:p>
      <w:pPr>
        <w:pStyle w:val="Style113"/>
        <w:keepNext w:val="0"/>
        <w:keepLines w:val="0"/>
        <w:widowControl w:val="0"/>
        <w:shd w:val="clear" w:color="auto" w:fill="auto"/>
        <w:bidi w:val="0"/>
        <w:spacing w:before="0" w:after="0" w:line="238" w:lineRule="exact"/>
        <w:ind w:left="920" w:right="0" w:hanging="180"/>
        <w:jc w:val="left"/>
        <w:sectPr>
          <w:footnotePr>
            <w:pos w:val="pageBottom"/>
            <w:numFmt w:val="decimal"/>
            <w:numRestart w:val="continuous"/>
          </w:footnotePr>
          <w:type w:val="continuous"/>
          <w:pgSz w:w="7555" w:h="11909"/>
          <w:pgMar w:top="1354" w:right="163" w:bottom="1354" w:left="619" w:header="0" w:footer="3" w:gutter="0"/>
          <w:cols w:space="720"/>
          <w:noEndnote/>
          <w:rtlGutter w:val="0"/>
          <w:docGrid w:linePitch="360"/>
        </w:sectPr>
      </w:pPr>
      <w:r>
        <mc:AlternateContent>
          <mc:Choice Requires="wps">
            <w:drawing>
              <wp:anchor distT="15240" distB="0" distL="114300" distR="1320800" simplePos="0" relativeHeight="125829506" behindDoc="0" locked="0" layoutInCell="1" allowOverlap="1">
                <wp:simplePos x="0" y="0"/>
                <wp:positionH relativeFrom="page">
                  <wp:posOffset>3161030</wp:posOffset>
                </wp:positionH>
                <wp:positionV relativeFrom="paragraph">
                  <wp:posOffset>332740</wp:posOffset>
                </wp:positionV>
                <wp:extent cx="341630" cy="143510"/>
                <wp:wrapSquare wrapText="bothSides"/>
                <wp:docPr id="550" name="Shape 550"/>
                <a:graphic xmlns:a="http://schemas.openxmlformats.org/drawingml/2006/main">
                  <a:graphicData uri="http://schemas.microsoft.com/office/word/2010/wordprocessingShape">
                    <wps:wsp>
                      <wps:cNvSpPr txBox="1"/>
                      <wps:spPr>
                        <a:xfrm>
                          <a:ext cx="341630" cy="143510"/>
                        </a:xfrm>
                        <a:prstGeom prst="rect"/>
                        <a:noFill/>
                      </wps:spPr>
                      <wps:txbx>
                        <w:txbxContent>
                          <w:p>
                            <w:pPr>
                              <w:pStyle w:val="Style134"/>
                              <w:keepNext w:val="0"/>
                              <w:keepLines w:val="0"/>
                              <w:widowControl w:val="0"/>
                              <w:shd w:val="clear" w:color="auto" w:fill="auto"/>
                              <w:bidi w:val="0"/>
                              <w:spacing w:before="0" w:after="0" w:line="240" w:lineRule="auto"/>
                              <w:ind w:left="0" w:right="0" w:firstLine="0"/>
                              <w:jc w:val="left"/>
                            </w:pPr>
                            <w:r>
                              <w:rPr>
                                <w:color w:val="000000"/>
                                <w:spacing w:val="0"/>
                                <w:w w:val="100"/>
                                <w:position w:val="0"/>
                              </w:rPr>
                              <w:t>38,650</w:t>
                            </w:r>
                          </w:p>
                        </w:txbxContent>
                      </wps:txbx>
                      <wps:bodyPr wrap="none" lIns="0" tIns="0" rIns="0" bIns="0">
                        <a:noAutoFit/>
                      </wps:bodyPr>
                    </wps:wsp>
                  </a:graphicData>
                </a:graphic>
              </wp:anchor>
            </w:drawing>
          </mc:Choice>
          <mc:Fallback>
            <w:pict>
              <v:shape id="_x0000_s1576" type="#_x0000_t202" style="position:absolute;margin-left:248.90000000000001pt;margin-top:26.199999999999999pt;width:26.900000000000002pt;height:11.300000000000001pt;z-index:-125829247;mso-wrap-distance-left:9.pt;mso-wrap-distance-top:1.2pt;mso-wrap-distance-right:104.pt;mso-position-horizontal-relative:page" filled="f" stroked="f">
                <v:textbox inset="0,0,0,0">
                  <w:txbxContent>
                    <w:p>
                      <w:pPr>
                        <w:pStyle w:val="Style134"/>
                        <w:keepNext w:val="0"/>
                        <w:keepLines w:val="0"/>
                        <w:widowControl w:val="0"/>
                        <w:shd w:val="clear" w:color="auto" w:fill="auto"/>
                        <w:bidi w:val="0"/>
                        <w:spacing w:before="0" w:after="0" w:line="240" w:lineRule="auto"/>
                        <w:ind w:left="0" w:right="0" w:firstLine="0"/>
                        <w:jc w:val="left"/>
                      </w:pPr>
                      <w:r>
                        <w:rPr>
                          <w:color w:val="000000"/>
                          <w:spacing w:val="0"/>
                          <w:w w:val="100"/>
                          <w:position w:val="0"/>
                        </w:rPr>
                        <w:t>38,650</w:t>
                      </w:r>
                    </w:p>
                  </w:txbxContent>
                </v:textbox>
                <w10:wrap type="square" anchorx="page"/>
              </v:shape>
            </w:pict>
          </mc:Fallback>
        </mc:AlternateContent>
      </w:r>
      <w:r>
        <mc:AlternateContent>
          <mc:Choice Requires="wps">
            <w:drawing>
              <wp:anchor distT="0" distB="9525" distL="952500" distR="114300" simplePos="0" relativeHeight="125829508" behindDoc="0" locked="0" layoutInCell="1" allowOverlap="1">
                <wp:simplePos x="0" y="0"/>
                <wp:positionH relativeFrom="page">
                  <wp:posOffset>3999230</wp:posOffset>
                </wp:positionH>
                <wp:positionV relativeFrom="paragraph">
                  <wp:posOffset>317500</wp:posOffset>
                </wp:positionV>
                <wp:extent cx="709930" cy="149225"/>
                <wp:wrapSquare wrapText="bothSides"/>
                <wp:docPr id="552" name="Shape 552"/>
                <a:graphic xmlns:a="http://schemas.openxmlformats.org/drawingml/2006/main">
                  <a:graphicData uri="http://schemas.microsoft.com/office/word/2010/wordprocessingShape">
                    <wps:wsp>
                      <wps:cNvSpPr txBox="1"/>
                      <wps:spPr>
                        <a:xfrm>
                          <a:ext cx="709930" cy="149225"/>
                        </a:xfrm>
                        <a:prstGeom prst="rect"/>
                        <a:noFill/>
                      </wps:spPr>
                      <wps:txbx>
                        <w:txbxContent>
                          <w:p>
                            <w:pPr>
                              <w:pStyle w:val="Style113"/>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期权定价模型</w:t>
                            </w:r>
                          </w:p>
                        </w:txbxContent>
                      </wps:txbx>
                      <wps:bodyPr wrap="none" lIns="0" tIns="0" rIns="0" bIns="0">
                        <a:noAutoFit/>
                      </wps:bodyPr>
                    </wps:wsp>
                  </a:graphicData>
                </a:graphic>
              </wp:anchor>
            </w:drawing>
          </mc:Choice>
          <mc:Fallback>
            <w:pict>
              <v:shape id="_x0000_s1578" type="#_x0000_t202" style="position:absolute;margin-left:314.90000000000003pt;margin-top:25.pt;width:55.899999999999999pt;height:11.75pt;z-index:-125829245;mso-wrap-distance-left:75.pt;mso-wrap-distance-right:9.pt;mso-wrap-distance-bottom:0.75pt;mso-position-horizontal-relative:page" filled="f" stroked="f">
                <v:textbox inset="0,0,0,0">
                  <w:txbxContent>
                    <w:p>
                      <w:pPr>
                        <w:pStyle w:val="Style113"/>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期权定价模型</w:t>
                      </w:r>
                    </w:p>
                  </w:txbxContent>
                </v:textbox>
                <w10:wrap type="square" anchorx="page"/>
              </v:shape>
            </w:pict>
          </mc:Fallback>
        </mc:AlternateContent>
      </w:r>
      <w:r>
        <w:rPr>
          <w:color w:val="000000"/>
          <w:spacing w:val="0"/>
          <w:w w:val="100"/>
          <w:position w:val="0"/>
        </w:rPr>
        <w:t>以公允价值计量且其变动计入 当期损益的金融负债</w:t>
      </w:r>
      <w:r>
        <w:rPr>
          <w:color w:val="000000"/>
          <w:spacing w:val="0"/>
          <w:w w:val="100"/>
          <w:position w:val="0"/>
        </w:rPr>
        <w:t xml:space="preserve">一一 </w:t>
      </w:r>
      <w:r>
        <w:rPr>
          <w:color w:val="000000"/>
          <w:spacing w:val="0"/>
          <w:w w:val="100"/>
          <w:position w:val="0"/>
        </w:rPr>
        <w:t>投资者回售选择权</w:t>
      </w:r>
    </w:p>
    <w:p>
      <w:pPr>
        <w:pStyle w:val="Style25"/>
        <w:keepNext w:val="0"/>
        <w:keepLines w:val="0"/>
        <w:widowControl w:val="0"/>
        <w:shd w:val="clear" w:color="auto" w:fill="auto"/>
        <w:bidi w:val="0"/>
        <w:spacing w:before="0" w:after="0" w:line="240" w:lineRule="auto"/>
        <w:ind w:left="3240" w:right="0" w:firstLine="0"/>
        <w:jc w:val="left"/>
        <w:rPr>
          <w:sz w:val="20"/>
          <w:szCs w:val="20"/>
        </w:rPr>
      </w:pPr>
      <w:r>
        <w:rPr>
          <w:color w:val="000000"/>
          <w:spacing w:val="0"/>
          <w:w w:val="100"/>
          <w:position w:val="0"/>
          <w:sz w:val="20"/>
          <w:szCs w:val="20"/>
        </w:rPr>
        <w:t>输入值</w:t>
      </w:r>
    </w:p>
    <w:tbl>
      <w:tblPr>
        <w:tblOverlap w:val="never"/>
        <w:jc w:val="center"/>
        <w:tblLayout w:type="fixed"/>
      </w:tblPr>
      <w:tblGrid>
        <w:gridCol w:w="1464"/>
        <w:gridCol w:w="1622"/>
        <w:gridCol w:w="2606"/>
        <w:gridCol w:w="1454"/>
      </w:tblGrid>
      <w:tr>
        <w:trPr>
          <w:trHeight w:val="581" w:hRule="exact"/>
        </w:trPr>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名称</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范围/加权平均值</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与公允价值之间的关系</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可观察/不可观察</w:t>
            </w:r>
          </w:p>
        </w:tc>
      </w:tr>
      <w:tr>
        <w:trPr>
          <w:trHeight w:val="941" w:hRule="exact"/>
        </w:trPr>
        <w:tc>
          <w:tcPr>
            <w:tcBorders/>
            <w:shd w:val="clear" w:color="auto" w:fill="FFFFFF"/>
            <w:vAlign w:val="bottom"/>
          </w:tcPr>
          <w:p>
            <w:pPr>
              <w:pStyle w:val="Style28"/>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无风险收益率 预计股价波动率</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-0.245%</w:t>
            </w:r>
          </w:p>
          <w:p>
            <w:pPr>
              <w:pStyle w:val="Style28"/>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66.0%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与金融资产公允价值同向变动</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不可观察</w:t>
            </w:r>
          </w:p>
        </w:tc>
      </w:tr>
      <w:tr>
        <w:trPr>
          <w:trHeight w:val="490"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预期收益率</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L0%</w:t>
            </w:r>
            <w:r>
              <w:rPr>
                <w:color w:val="000000"/>
                <w:spacing w:val="0"/>
                <w:w w:val="100"/>
                <w:position w:val="0"/>
                <w:sz w:val="18"/>
                <w:szCs w:val="18"/>
              </w:rPr>
              <w:t xml:space="preserve">至 </w:t>
            </w:r>
            <w:r>
              <w:rPr>
                <w:rFonts w:ascii="Times New Roman" w:eastAsia="Times New Roman" w:hAnsi="Times New Roman" w:cs="Times New Roman"/>
                <w:color w:val="000000"/>
                <w:spacing w:val="0"/>
                <w:w w:val="100"/>
                <w:position w:val="0"/>
                <w:sz w:val="18"/>
                <w:szCs w:val="18"/>
              </w:rPr>
              <w:t>7.8%</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与金融资产公允价值同向变动</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不可观察</w:t>
            </w:r>
          </w:p>
        </w:tc>
      </w:tr>
      <w:tr>
        <w:trPr>
          <w:trHeight w:val="710" w:hRule="exact"/>
        </w:trPr>
        <w:tc>
          <w:tcPr>
            <w:tcBorders/>
            <w:shd w:val="clear" w:color="auto" w:fill="FFFFFF"/>
            <w:vAlign w:val="top"/>
          </w:tcPr>
          <w:p>
            <w:pPr>
              <w:pStyle w:val="Style28"/>
              <w:keepNext w:val="0"/>
              <w:keepLines w:val="0"/>
              <w:widowControl w:val="0"/>
              <w:shd w:val="clear" w:color="auto" w:fill="auto"/>
              <w:bidi w:val="0"/>
              <w:spacing w:before="120" w:after="0" w:line="240" w:lineRule="auto"/>
              <w:ind w:left="0" w:right="0" w:firstLine="360"/>
              <w:jc w:val="left"/>
              <w:rPr>
                <w:sz w:val="18"/>
                <w:szCs w:val="18"/>
              </w:rPr>
            </w:pPr>
            <w:r>
              <w:rPr>
                <w:color w:val="000000"/>
                <w:spacing w:val="0"/>
                <w:w w:val="100"/>
                <w:position w:val="0"/>
                <w:sz w:val="18"/>
                <w:szCs w:val="18"/>
              </w:rPr>
              <w:t>预期收益率</w:t>
            </w:r>
          </w:p>
        </w:tc>
        <w:tc>
          <w:tcPr>
            <w:tcBorders/>
            <w:shd w:val="clear" w:color="auto" w:fill="FFFFFF"/>
            <w:vAlign w:val="top"/>
          </w:tcPr>
          <w:p>
            <w:pPr>
              <w:pStyle w:val="Style28"/>
              <w:keepNext w:val="0"/>
              <w:keepLines w:val="0"/>
              <w:widowControl w:val="0"/>
              <w:shd w:val="clear" w:color="auto" w:fill="auto"/>
              <w:bidi w:val="0"/>
              <w:spacing w:before="12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 xml:space="preserve">1.95% </w:t>
            </w:r>
            <w:r>
              <w:rPr>
                <w:color w:val="000000"/>
                <w:spacing w:val="0"/>
                <w:w w:val="100"/>
                <w:position w:val="0"/>
                <w:sz w:val="18"/>
                <w:szCs w:val="18"/>
              </w:rPr>
              <w:t xml:space="preserve">至 </w:t>
            </w:r>
            <w:r>
              <w:rPr>
                <w:rFonts w:ascii="Times New Roman" w:eastAsia="Times New Roman" w:hAnsi="Times New Roman" w:cs="Times New Roman"/>
                <w:color w:val="000000"/>
                <w:spacing w:val="0"/>
                <w:w w:val="100"/>
                <w:position w:val="0"/>
                <w:sz w:val="18"/>
                <w:szCs w:val="18"/>
              </w:rPr>
              <w:t>13.3%</w:t>
            </w:r>
          </w:p>
        </w:tc>
        <w:tc>
          <w:tcPr>
            <w:tcBorders/>
            <w:shd w:val="clear" w:color="auto" w:fill="FFFFFF"/>
            <w:vAlign w:val="top"/>
          </w:tcPr>
          <w:p>
            <w:pPr>
              <w:pStyle w:val="Style28"/>
              <w:keepNext w:val="0"/>
              <w:keepLines w:val="0"/>
              <w:widowControl w:val="0"/>
              <w:shd w:val="clear" w:color="auto" w:fill="auto"/>
              <w:bidi w:val="0"/>
              <w:spacing w:before="120" w:after="0" w:line="240" w:lineRule="auto"/>
              <w:ind w:left="0" w:right="0" w:firstLine="0"/>
              <w:jc w:val="left"/>
              <w:rPr>
                <w:sz w:val="18"/>
                <w:szCs w:val="18"/>
              </w:rPr>
            </w:pPr>
            <w:r>
              <w:rPr>
                <w:color w:val="000000"/>
                <w:spacing w:val="0"/>
                <w:w w:val="100"/>
                <w:position w:val="0"/>
                <w:sz w:val="18"/>
                <w:szCs w:val="18"/>
              </w:rPr>
              <w:t>与金融资产公允价值同向变动</w:t>
            </w:r>
          </w:p>
        </w:tc>
        <w:tc>
          <w:tcPr>
            <w:tcBorders/>
            <w:shd w:val="clear" w:color="auto" w:fill="FFFFFF"/>
            <w:vAlign w:val="top"/>
          </w:tcPr>
          <w:p>
            <w:pPr>
              <w:pStyle w:val="Style28"/>
              <w:keepNext w:val="0"/>
              <w:keepLines w:val="0"/>
              <w:widowControl w:val="0"/>
              <w:shd w:val="clear" w:color="auto" w:fill="auto"/>
              <w:bidi w:val="0"/>
              <w:spacing w:before="120" w:after="0" w:line="240" w:lineRule="auto"/>
              <w:ind w:left="0" w:right="0" w:firstLine="700"/>
              <w:jc w:val="left"/>
              <w:rPr>
                <w:sz w:val="18"/>
                <w:szCs w:val="18"/>
              </w:rPr>
            </w:pPr>
            <w:r>
              <w:rPr>
                <w:color w:val="000000"/>
                <w:spacing w:val="0"/>
                <w:w w:val="100"/>
                <w:position w:val="0"/>
                <w:sz w:val="18"/>
                <w:szCs w:val="18"/>
              </w:rPr>
              <w:t>不可观察</w:t>
            </w:r>
          </w:p>
        </w:tc>
      </w:tr>
      <w:tr>
        <w:trPr>
          <w:trHeight w:val="581"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债券风险溢价</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1.12%</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与金融负债公允价值同向变动</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不可观察</w:t>
            </w:r>
          </w:p>
        </w:tc>
      </w:tr>
    </w:tbl>
    <w:p>
      <w:pPr>
        <w:sectPr>
          <w:footnotePr>
            <w:pos w:val="pageBottom"/>
            <w:numFmt w:val="decimal"/>
            <w:numRestart w:val="continuous"/>
          </w:footnotePr>
          <w:pgSz w:w="8400" w:h="11900"/>
          <w:pgMar w:top="4174" w:right="1181" w:bottom="3974" w:left="71" w:header="0" w:footer="3" w:gutter="0"/>
          <w:cols w:space="720"/>
          <w:noEndnote/>
          <w:rtlGutter w:val="0"/>
          <w:docGrid w:linePitch="360"/>
        </w:sectPr>
      </w:pPr>
    </w:p>
    <w:p>
      <w:pPr>
        <w:pStyle w:val="Style32"/>
        <w:keepNext w:val="0"/>
        <w:keepLines w:val="0"/>
        <w:widowControl w:val="0"/>
        <w:shd w:val="clear" w:color="auto" w:fill="auto"/>
        <w:bidi w:val="0"/>
        <w:spacing w:before="0" w:after="0" w:line="240" w:lineRule="auto"/>
        <w:ind w:left="0" w:right="0" w:firstLine="740"/>
        <w:jc w:val="left"/>
        <w:rPr>
          <w:sz w:val="24"/>
          <w:szCs w:val="24"/>
        </w:rPr>
      </w:pPr>
      <w:r>
        <w:rPr>
          <w:b/>
          <w:bCs/>
          <w:color w:val="000000"/>
          <w:spacing w:val="0"/>
          <w:w w:val="100"/>
          <w:position w:val="0"/>
          <w:sz w:val="24"/>
          <w:szCs w:val="24"/>
        </w:rPr>
        <w:t>财务报表附注</w:t>
      </w:r>
    </w:p>
    <w:p>
      <w:pPr>
        <w:pStyle w:val="Style88"/>
        <w:keepNext/>
        <w:keepLines/>
        <w:widowControl w:val="0"/>
        <w:shd w:val="clear" w:color="auto" w:fill="auto"/>
        <w:bidi w:val="0"/>
        <w:spacing w:before="0" w:after="0" w:line="240" w:lineRule="auto"/>
        <w:ind w:left="0" w:right="0" w:firstLine="740"/>
        <w:jc w:val="left"/>
      </w:pPr>
      <w:bookmarkStart w:id="1167" w:name="bookmark1167"/>
      <w:bookmarkStart w:id="1168" w:name="bookmark1168"/>
      <w:bookmarkStart w:id="1169" w:name="bookmark1169"/>
      <w:r>
        <w:rPr>
          <w:color w:val="000000"/>
          <w:spacing w:val="0"/>
          <w:w w:val="100"/>
          <w:position w:val="0"/>
          <w:sz w:val="24"/>
          <w:szCs w:val="24"/>
        </w:rPr>
        <w:t>2016</w:t>
      </w:r>
      <w:r>
        <w:rPr>
          <w:rFonts w:ascii="SimSun" w:eastAsia="SimSun" w:hAnsi="SimSun" w:cs="SimSun"/>
          <w:b/>
          <w:bCs/>
          <w:color w:val="000000"/>
          <w:spacing w:val="0"/>
          <w:w w:val="100"/>
          <w:position w:val="0"/>
          <w:sz w:val="24"/>
          <w:szCs w:val="24"/>
        </w:rPr>
        <w:t>年度</w:t>
      </w:r>
      <w:bookmarkEnd w:id="1167"/>
      <w:bookmarkEnd w:id="1168"/>
      <w:bookmarkEnd w:id="1169"/>
    </w:p>
    <w:p>
      <w:pPr>
        <w:pStyle w:val="Style32"/>
        <w:keepNext w:val="0"/>
        <w:keepLines w:val="0"/>
        <w:widowControl w:val="0"/>
        <w:shd w:val="clear" w:color="auto" w:fill="auto"/>
        <w:bidi w:val="0"/>
        <w:spacing w:before="0" w:after="260" w:line="240" w:lineRule="auto"/>
        <w:ind w:left="0" w:right="0" w:firstLine="740"/>
        <w:jc w:val="left"/>
        <w:rPr>
          <w:sz w:val="20"/>
          <w:szCs w:val="20"/>
        </w:rPr>
      </w:pPr>
      <w:r>
        <w:rPr>
          <w:color w:val="000000"/>
          <w:spacing w:val="0"/>
          <w:w w:val="100"/>
          <w:position w:val="0"/>
          <w:sz w:val="20"/>
          <w:szCs w:val="20"/>
        </w:rPr>
        <w:t>（除特别注明外，金额单位为人民币千元）</w:t>
      </w:r>
    </w:p>
    <w:p>
      <w:pPr>
        <w:pStyle w:val="Style32"/>
        <w:keepNext w:val="0"/>
        <w:keepLines w:val="0"/>
        <w:widowControl w:val="0"/>
        <w:shd w:val="clear" w:color="auto" w:fill="auto"/>
        <w:bidi w:val="0"/>
        <w:spacing w:before="0" w:after="300" w:line="240" w:lineRule="auto"/>
        <w:ind w:left="0" w:right="0" w:firstLine="0"/>
        <w:jc w:val="left"/>
        <w:rPr>
          <w:sz w:val="24"/>
          <w:szCs w:val="24"/>
        </w:rPr>
      </w:pPr>
      <w:r>
        <w:rPr>
          <w:b/>
          <w:bCs/>
          <w:color w:val="000000"/>
          <w:spacing w:val="0"/>
          <w:w w:val="100"/>
          <w:position w:val="0"/>
          <w:sz w:val="24"/>
          <w:szCs w:val="24"/>
        </w:rPr>
        <w:t>十五公允价值估计（续）</w:t>
      </w:r>
    </w:p>
    <w:p>
      <w:pPr>
        <w:pStyle w:val="Style32"/>
        <w:keepNext w:val="0"/>
        <w:keepLines w:val="0"/>
        <w:widowControl w:val="0"/>
        <w:shd w:val="clear" w:color="auto" w:fill="auto"/>
        <w:bidi w:val="0"/>
        <w:spacing w:before="0" w:after="26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 xml:space="preserve">（1） </w:t>
      </w:r>
      <w:r>
        <w:rPr>
          <w:b/>
          <w:bCs/>
          <w:color w:val="000000"/>
          <w:spacing w:val="0"/>
          <w:w w:val="100"/>
          <w:position w:val="0"/>
          <w:sz w:val="24"/>
          <w:szCs w:val="24"/>
        </w:rPr>
        <w:t>持续的以公允价值后续计量的资产和负债（续）</w:t>
      </w:r>
    </w:p>
    <w:p>
      <w:pPr>
        <w:pStyle w:val="Style32"/>
        <w:keepNext w:val="0"/>
        <w:keepLines w:val="0"/>
        <w:widowControl w:val="0"/>
        <w:shd w:val="clear" w:color="auto" w:fill="auto"/>
        <w:bidi w:val="0"/>
        <w:spacing w:before="0" w:after="0" w:line="240" w:lineRule="auto"/>
        <w:ind w:left="0" w:right="0" w:firstLine="740"/>
        <w:jc w:val="left"/>
        <w:rPr>
          <w:sz w:val="24"/>
          <w:szCs w:val="24"/>
        </w:rPr>
        <w:sectPr>
          <w:footnotePr>
            <w:pos w:val="pageBottom"/>
            <w:numFmt w:val="decimal"/>
            <w:numRestart w:val="continuous"/>
          </w:footnotePr>
          <w:pgSz w:w="8400" w:h="11900"/>
          <w:pgMar w:top="1323" w:right="98" w:bottom="3180" w:left="598" w:header="0" w:footer="3" w:gutter="0"/>
          <w:cols w:space="720"/>
          <w:noEndnote/>
          <w:rtlGutter w:val="0"/>
          <w:docGrid w:linePitch="360"/>
        </w:sectPr>
      </w:pPr>
      <w:r>
        <w:rPr>
          <w:color w:val="000000"/>
          <w:spacing w:val="0"/>
          <w:w w:val="100"/>
          <w:position w:val="0"/>
          <w:sz w:val="24"/>
          <w:szCs w:val="24"/>
        </w:rPr>
        <w:t>第二层次公允价值计量的相关信息如下：</w:t>
      </w:r>
    </w:p>
    <w:p>
      <w:pPr>
        <w:widowControl w:val="0"/>
        <w:spacing w:line="240" w:lineRule="exact"/>
        <w:rPr>
          <w:sz w:val="19"/>
          <w:szCs w:val="19"/>
        </w:rPr>
      </w:pPr>
    </w:p>
    <w:p>
      <w:pPr>
        <w:widowControl w:val="0"/>
        <w:spacing w:before="2" w:after="2" w:line="240" w:lineRule="exact"/>
        <w:rPr>
          <w:sz w:val="19"/>
          <w:szCs w:val="19"/>
        </w:rPr>
      </w:pPr>
    </w:p>
    <w:p>
      <w:pPr>
        <w:widowControl w:val="0"/>
        <w:spacing w:line="1" w:lineRule="exact"/>
        <w:sectPr>
          <w:footnotePr>
            <w:pos w:val="pageBottom"/>
            <w:numFmt w:val="decimal"/>
            <w:numRestart w:val="continuous"/>
          </w:footnotePr>
          <w:type w:val="continuous"/>
          <w:pgSz w:w="8400" w:h="11900"/>
          <w:pgMar w:top="1323" w:right="0" w:bottom="3180" w:left="0" w:header="0" w:footer="3" w:gutter="0"/>
          <w:cols w:space="720"/>
          <w:noEndnote/>
          <w:rtlGutter w:val="0"/>
          <w:docGrid w:linePitch="360"/>
        </w:sectPr>
      </w:pPr>
    </w:p>
    <w:p>
      <w:pPr>
        <w:pStyle w:val="Style32"/>
        <w:keepNext w:val="0"/>
        <w:keepLines w:val="0"/>
        <w:widowControl w:val="0"/>
        <w:shd w:val="clear" w:color="auto" w:fill="auto"/>
        <w:bidi w:val="0"/>
        <w:spacing w:before="0" w:after="280" w:line="307" w:lineRule="exact"/>
        <w:ind w:left="220" w:right="0" w:hanging="220"/>
        <w:jc w:val="left"/>
        <w:rPr>
          <w:sz w:val="24"/>
          <w:szCs w:val="24"/>
        </w:rPr>
      </w:pPr>
      <w:r>
        <w:rPr>
          <w:color w:val="000000"/>
          <w:spacing w:val="0"/>
          <w:w w:val="100"/>
          <w:position w:val="0"/>
          <w:sz w:val="24"/>
          <w:szCs w:val="24"/>
        </w:rPr>
        <w:t>以公允价值计量且其变动计入 当期损益的金融资产</w:t>
      </w:r>
      <w:r>
        <w:rPr>
          <w:color w:val="000000"/>
          <w:spacing w:val="0"/>
          <w:w w:val="100"/>
          <w:position w:val="0"/>
          <w:sz w:val="24"/>
          <w:szCs w:val="24"/>
        </w:rPr>
        <w:t xml:space="preserve">一一 </w:t>
      </w:r>
      <w:r>
        <w:rPr>
          <w:color w:val="000000"/>
          <w:spacing w:val="0"/>
          <w:w w:val="100"/>
          <w:position w:val="0"/>
          <w:sz w:val="24"/>
          <w:szCs w:val="24"/>
        </w:rPr>
        <w:t>理财产品</w:t>
      </w:r>
    </w:p>
    <w:p>
      <w:pPr>
        <w:pStyle w:val="Style32"/>
        <w:keepNext w:val="0"/>
        <w:keepLines w:val="0"/>
        <w:widowControl w:val="0"/>
        <w:shd w:val="clear" w:color="auto" w:fill="auto"/>
        <w:bidi w:val="0"/>
        <w:spacing w:before="0" w:after="0" w:line="307" w:lineRule="exact"/>
        <w:ind w:left="0" w:right="0" w:firstLine="0"/>
        <w:jc w:val="left"/>
        <w:rPr>
          <w:sz w:val="24"/>
          <w:szCs w:val="24"/>
        </w:rPr>
      </w:pPr>
      <w:r>
        <w:rPr>
          <w:color w:val="000000"/>
          <w:spacing w:val="0"/>
          <w:w w:val="100"/>
          <w:position w:val="0"/>
          <w:sz w:val="24"/>
          <w:szCs w:val="24"/>
        </w:rPr>
        <w:t>可供出售金融资产</w:t>
      </w:r>
      <w:r>
        <w:rPr>
          <w:color w:val="000000"/>
          <w:spacing w:val="0"/>
          <w:w w:val="100"/>
          <w:position w:val="0"/>
          <w:sz w:val="24"/>
          <w:szCs w:val="24"/>
        </w:rPr>
        <w:t>一一</w:t>
      </w:r>
    </w:p>
    <w:p>
      <w:pPr>
        <w:pStyle w:val="Style32"/>
        <w:keepNext w:val="0"/>
        <w:keepLines w:val="0"/>
        <w:widowControl w:val="0"/>
        <w:shd w:val="clear" w:color="auto" w:fill="auto"/>
        <w:bidi w:val="0"/>
        <w:spacing w:before="0" w:after="0" w:line="307" w:lineRule="exact"/>
        <w:ind w:left="0" w:right="0" w:firstLine="220"/>
        <w:jc w:val="both"/>
        <w:rPr>
          <w:sz w:val="24"/>
          <w:szCs w:val="24"/>
        </w:rPr>
      </w:pPr>
      <w:r>
        <w:rPr>
          <w:color w:val="000000"/>
          <w:spacing w:val="0"/>
          <w:w w:val="100"/>
          <w:position w:val="0"/>
          <w:sz w:val="24"/>
          <w:szCs w:val="24"/>
        </w:rPr>
        <w:t>理财产品</w:t>
      </w:r>
    </w:p>
    <w:p>
      <w:pPr>
        <w:pStyle w:val="Style32"/>
        <w:keepNext w:val="0"/>
        <w:keepLines w:val="0"/>
        <w:widowControl w:val="0"/>
        <w:shd w:val="clear" w:color="auto" w:fill="auto"/>
        <w:bidi w:val="0"/>
        <w:spacing w:before="0" w:after="0" w:line="307" w:lineRule="exact"/>
        <w:ind w:left="0" w:right="0" w:firstLine="0"/>
        <w:jc w:val="left"/>
        <w:rPr>
          <w:sz w:val="24"/>
          <w:szCs w:val="24"/>
        </w:rPr>
      </w:pPr>
      <w:r>
        <w:rPr>
          <w:color w:val="000000"/>
          <w:spacing w:val="0"/>
          <w:w w:val="100"/>
          <w:position w:val="0"/>
          <w:sz w:val="24"/>
          <w:szCs w:val="24"/>
        </w:rPr>
        <w:t>其他非流动负债——</w:t>
      </w:r>
    </w:p>
    <w:p>
      <w:pPr>
        <w:pStyle w:val="Style32"/>
        <w:keepNext w:val="0"/>
        <w:keepLines w:val="0"/>
        <w:widowControl w:val="0"/>
        <w:shd w:val="clear" w:color="auto" w:fill="auto"/>
        <w:bidi w:val="0"/>
        <w:spacing w:before="0" w:after="0" w:line="307" w:lineRule="exact"/>
        <w:ind w:left="0" w:right="0" w:firstLine="220"/>
        <w:jc w:val="left"/>
        <w:rPr>
          <w:sz w:val="24"/>
          <w:szCs w:val="24"/>
        </w:rPr>
      </w:pPr>
      <w:r>
        <w:rPr>
          <w:color w:val="000000"/>
          <w:spacing w:val="0"/>
          <w:w w:val="100"/>
          <w:position w:val="0"/>
          <w:sz w:val="24"/>
          <w:szCs w:val="24"/>
        </w:rPr>
        <w:t>远期外汇合约</w:t>
      </w:r>
    </w:p>
    <w:p>
      <w:pPr>
        <w:pStyle w:val="Style32"/>
        <w:keepNext w:val="0"/>
        <w:keepLines w:val="0"/>
        <w:widowControl w:val="0"/>
        <w:shd w:val="clear" w:color="auto" w:fill="auto"/>
        <w:bidi w:val="0"/>
        <w:spacing w:before="0" w:after="94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日公允价值</w:t>
      </w:r>
    </w:p>
    <w:p>
      <w:pPr>
        <w:pStyle w:val="Style53"/>
        <w:keepNext w:val="0"/>
        <w:keepLines w:val="0"/>
        <w:widowControl w:val="0"/>
        <w:shd w:val="clear" w:color="auto" w:fill="auto"/>
        <w:bidi w:val="0"/>
        <w:spacing w:before="0" w:after="600" w:line="240" w:lineRule="auto"/>
        <w:ind w:left="0" w:right="0" w:firstLine="0"/>
        <w:jc w:val="right"/>
        <w:rPr>
          <w:sz w:val="24"/>
          <w:szCs w:val="24"/>
        </w:rPr>
      </w:pPr>
      <w:r>
        <w:rPr>
          <w:color w:val="000000"/>
          <w:spacing w:val="0"/>
          <w:w w:val="100"/>
          <w:position w:val="0"/>
          <w:sz w:val="24"/>
          <w:szCs w:val="24"/>
        </w:rPr>
        <w:t>2,227,389</w:t>
      </w:r>
    </w:p>
    <w:p>
      <w:pPr>
        <w:pStyle w:val="Style53"/>
        <w:keepNext w:val="0"/>
        <w:keepLines w:val="0"/>
        <w:widowControl w:val="0"/>
        <w:shd w:val="clear" w:color="auto" w:fill="auto"/>
        <w:bidi w:val="0"/>
        <w:spacing w:before="0" w:after="340" w:line="240" w:lineRule="auto"/>
        <w:ind w:left="0" w:right="0" w:firstLine="0"/>
        <w:jc w:val="right"/>
        <w:rPr>
          <w:sz w:val="24"/>
          <w:szCs w:val="24"/>
        </w:rPr>
      </w:pPr>
      <w:r>
        <w:rPr>
          <w:color w:val="000000"/>
          <w:spacing w:val="0"/>
          <w:w w:val="100"/>
          <w:position w:val="0"/>
          <w:sz w:val="24"/>
          <w:szCs w:val="24"/>
        </w:rPr>
        <w:t>851,451</w:t>
      </w:r>
    </w:p>
    <w:p>
      <w:pPr>
        <w:pStyle w:val="Style53"/>
        <w:keepNext w:val="0"/>
        <w:keepLines w:val="0"/>
        <w:widowControl w:val="0"/>
        <w:shd w:val="clear" w:color="auto" w:fill="auto"/>
        <w:bidi w:val="0"/>
        <w:spacing w:before="0" w:after="0" w:line="240" w:lineRule="auto"/>
        <w:ind w:left="0" w:right="0" w:firstLine="0"/>
        <w:jc w:val="right"/>
        <w:rPr>
          <w:sz w:val="24"/>
          <w:szCs w:val="24"/>
        </w:rPr>
        <w:sectPr>
          <w:footnotePr>
            <w:pos w:val="pageBottom"/>
            <w:numFmt w:val="decimal"/>
            <w:numRestart w:val="continuous"/>
          </w:footnotePr>
          <w:type w:val="continuous"/>
          <w:pgSz w:w="8400" w:h="11900"/>
          <w:pgMar w:top="1323" w:right="98" w:bottom="3180" w:left="1347" w:header="0" w:footer="3" w:gutter="0"/>
          <w:cols w:num="2" w:space="811"/>
          <w:noEndnote/>
          <w:rtlGutter w:val="0"/>
          <w:docGrid w:linePitch="360"/>
        </w:sectPr>
      </w:pPr>
      <w:r>
        <w:rPr>
          <w:color w:val="000000"/>
          <w:spacing w:val="0"/>
          <w:w w:val="100"/>
          <w:position w:val="0"/>
          <w:sz w:val="24"/>
          <w:szCs w:val="24"/>
        </w:rPr>
        <w:t>15,005</w:t>
      </w:r>
    </w:p>
    <w:p>
      <w:pPr>
        <w:widowControl w:val="0"/>
        <w:spacing w:line="159" w:lineRule="exact"/>
        <w:rPr>
          <w:sz w:val="13"/>
          <w:szCs w:val="13"/>
        </w:rPr>
      </w:pPr>
    </w:p>
    <w:p>
      <w:pPr>
        <w:widowControl w:val="0"/>
        <w:spacing w:line="1" w:lineRule="exact"/>
        <w:sectPr>
          <w:footnotePr>
            <w:pos w:val="pageBottom"/>
            <w:numFmt w:val="decimal"/>
            <w:numRestart w:val="continuous"/>
          </w:footnotePr>
          <w:type w:val="continuous"/>
          <w:pgSz w:w="8400" w:h="11900"/>
          <w:pgMar w:top="1323" w:right="0" w:bottom="1323" w:left="0" w:header="0" w:footer="3" w:gutter="0"/>
          <w:cols w:space="720"/>
          <w:noEndnote/>
          <w:rtlGutter w:val="0"/>
          <w:docGrid w:linePitch="360"/>
        </w:sectPr>
      </w:pPr>
    </w:p>
    <w:p>
      <w:pPr>
        <w:pStyle w:val="Style32"/>
        <w:keepNext w:val="0"/>
        <w:keepLines w:val="0"/>
        <w:widowControl w:val="0"/>
        <w:shd w:val="clear" w:color="auto" w:fill="auto"/>
        <w:tabs>
          <w:tab w:pos="691" w:val="left"/>
        </w:tabs>
        <w:bidi w:val="0"/>
        <w:spacing w:before="0" w:after="30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（2）</w:t>
        <w:tab/>
      </w:r>
      <w:r>
        <w:rPr>
          <w:b/>
          <w:bCs/>
          <w:color w:val="000000"/>
          <w:spacing w:val="0"/>
          <w:w w:val="100"/>
          <w:position w:val="0"/>
          <w:sz w:val="24"/>
          <w:szCs w:val="24"/>
        </w:rPr>
        <w:t>非持续的以公允价值计量的资产</w:t>
      </w:r>
    </w:p>
    <w:p>
      <w:pPr>
        <w:pStyle w:val="Style32"/>
        <w:keepNext w:val="0"/>
        <w:keepLines w:val="0"/>
        <w:widowControl w:val="0"/>
        <w:shd w:val="clear" w:color="auto" w:fill="auto"/>
        <w:bidi w:val="0"/>
        <w:spacing w:before="0" w:after="0" w:line="240" w:lineRule="auto"/>
        <w:ind w:left="0" w:right="0" w:firstLine="740"/>
        <w:jc w:val="left"/>
        <w:rPr>
          <w:sz w:val="24"/>
          <w:szCs w:val="24"/>
        </w:rPr>
        <w:sectPr>
          <w:footnotePr>
            <w:pos w:val="pageBottom"/>
            <w:numFmt w:val="decimal"/>
            <w:numRestart w:val="continuous"/>
          </w:footnotePr>
          <w:type w:val="continuous"/>
          <w:pgSz w:w="8400" w:h="11900"/>
          <w:pgMar w:top="1323" w:right="98" w:bottom="1323" w:left="598" w:header="0" w:footer="3" w:gutter="0"/>
          <w:cols w:space="720"/>
          <w:noEndnote/>
          <w:rtlGutter w:val="0"/>
          <w:docGrid w:linePitch="360"/>
        </w:sectPr>
      </w:pPr>
      <w:r>
        <w:rPr>
          <w:color w:val="000000"/>
          <w:spacing w:val="0"/>
          <w:w w:val="100"/>
          <w:position w:val="0"/>
          <w:sz w:val="24"/>
          <w:szCs w:val="24"/>
        </w:rPr>
        <w:t>本集团无非持续的以公允价值计量的资产。</w:t>
      </w:r>
    </w:p>
    <w:tbl>
      <w:tblPr>
        <w:tblOverlap w:val="never"/>
        <w:jc w:val="left"/>
        <w:tblLayout w:type="fixed"/>
      </w:tblPr>
      <w:tblGrid>
        <w:gridCol w:w="2160"/>
        <w:gridCol w:w="2914"/>
        <w:gridCol w:w="998"/>
      </w:tblGrid>
      <w:tr>
        <w:trPr>
          <w:trHeight w:val="302"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1180" w:right="0" w:firstLine="0"/>
              <w:jc w:val="left"/>
              <w:rPr>
                <w:sz w:val="24"/>
                <w:szCs w:val="24"/>
              </w:rPr>
            </w:pPr>
            <w:r>
              <w:rPr>
                <w:color w:val="000000"/>
                <w:spacing w:val="0"/>
                <w:w w:val="100"/>
                <w:position w:val="0"/>
                <w:sz w:val="24"/>
                <w:szCs w:val="24"/>
              </w:rPr>
              <w:t>可观察输入值</w:t>
            </w:r>
          </w:p>
        </w:tc>
        <w:tc>
          <w:tcPr>
            <w:tcBorders/>
            <w:shd w:val="clear" w:color="auto" w:fill="FFFFFF"/>
            <w:vAlign w:val="top"/>
          </w:tcPr>
          <w:p>
            <w:pPr>
              <w:widowControl w:val="0"/>
              <w:rPr>
                <w:sz w:val="10"/>
                <w:szCs w:val="10"/>
              </w:rPr>
            </w:pPr>
          </w:p>
        </w:tc>
      </w:tr>
      <w:tr>
        <w:trPr>
          <w:trHeight w:val="763"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40"/>
              <w:jc w:val="left"/>
              <w:rPr>
                <w:sz w:val="24"/>
                <w:szCs w:val="24"/>
              </w:rPr>
            </w:pPr>
            <w:r>
              <w:rPr>
                <w:color w:val="000000"/>
                <w:spacing w:val="0"/>
                <w:w w:val="100"/>
                <w:position w:val="0"/>
                <w:sz w:val="24"/>
                <w:szCs w:val="24"/>
              </w:rPr>
              <w:t>估值技术</w:t>
            </w:r>
          </w:p>
        </w:tc>
        <w:tc>
          <w:tcPr>
            <w:gridSpan w:val="2"/>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名称范围/加权平均值</w:t>
            </w:r>
          </w:p>
        </w:tc>
      </w:tr>
      <w:tr>
        <w:trPr>
          <w:trHeight w:val="1056"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现金流量折现模型</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rPr>
                <w:sz w:val="24"/>
                <w:szCs w:val="24"/>
              </w:rPr>
            </w:pPr>
            <w:r>
              <w:rPr>
                <w:color w:val="000000"/>
                <w:spacing w:val="0"/>
                <w:w w:val="100"/>
                <w:position w:val="0"/>
                <w:sz w:val="24"/>
                <w:szCs w:val="24"/>
              </w:rPr>
              <w:t>欧元/美元汇率</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1.0533</w:t>
            </w:r>
          </w:p>
        </w:tc>
      </w:tr>
      <w:tr>
        <w:trPr>
          <w:trHeight w:val="763"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现金流量折现模型</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60"/>
              <w:jc w:val="left"/>
              <w:rPr>
                <w:sz w:val="24"/>
                <w:szCs w:val="24"/>
              </w:rPr>
            </w:pPr>
            <w:r>
              <w:rPr>
                <w:color w:val="000000"/>
                <w:spacing w:val="0"/>
                <w:w w:val="100"/>
                <w:position w:val="0"/>
                <w:sz w:val="24"/>
                <w:szCs w:val="24"/>
              </w:rPr>
              <w:t>基金份额</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152</w:t>
            </w:r>
          </w:p>
        </w:tc>
      </w:tr>
      <w:tr>
        <w:trPr>
          <w:trHeight w:val="446"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现金流量折现模型</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left"/>
              <w:rPr>
                <w:sz w:val="24"/>
                <w:szCs w:val="24"/>
              </w:rPr>
            </w:pPr>
            <w:r>
              <w:rPr>
                <w:color w:val="000000"/>
                <w:spacing w:val="0"/>
                <w:w w:val="100"/>
                <w:position w:val="0"/>
                <w:sz w:val="24"/>
                <w:szCs w:val="24"/>
              </w:rPr>
              <w:t>美元/港币汇率</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7.7551</w:t>
            </w:r>
          </w:p>
        </w:tc>
      </w:tr>
    </w:tbl>
    <w:p>
      <w:pPr>
        <w:sectPr>
          <w:headerReference w:type="default" r:id="rId239"/>
          <w:footerReference w:type="default" r:id="rId240"/>
          <w:headerReference w:type="even" r:id="rId241"/>
          <w:footerReference w:type="even" r:id="rId242"/>
          <w:footnotePr>
            <w:pos w:val="pageBottom"/>
            <w:numFmt w:val="decimal"/>
            <w:numRestart w:val="continuous"/>
          </w:footnotePr>
          <w:pgSz w:w="8400" w:h="11900"/>
          <w:pgMar w:top="4189" w:right="285" w:bottom="4181" w:left="411" w:header="3761" w:footer="3" w:gutter="0"/>
          <w:pgNumType w:start="303"/>
          <w:cols w:space="720"/>
          <w:noEndnote/>
          <w:rtlGutter w:val="0"/>
          <w:docGrid w:linePitch="360"/>
        </w:sectPr>
      </w:pPr>
    </w:p>
    <w:p>
      <w:pPr>
        <w:pStyle w:val="Style32"/>
        <w:keepNext w:val="0"/>
        <w:keepLines w:val="0"/>
        <w:widowControl w:val="0"/>
        <w:shd w:val="clear" w:color="auto" w:fill="auto"/>
        <w:bidi w:val="0"/>
        <w:spacing w:before="0" w:after="0" w:line="240" w:lineRule="auto"/>
        <w:ind w:left="0" w:right="0" w:firstLine="740"/>
        <w:jc w:val="left"/>
        <w:rPr>
          <w:sz w:val="24"/>
          <w:szCs w:val="24"/>
        </w:rPr>
      </w:pPr>
      <w:r>
        <w:rPr>
          <w:b/>
          <w:bCs/>
          <w:color w:val="000000"/>
          <w:spacing w:val="0"/>
          <w:w w:val="100"/>
          <w:position w:val="0"/>
          <w:sz w:val="24"/>
          <w:szCs w:val="24"/>
        </w:rPr>
        <w:t>财务报表附注</w:t>
      </w:r>
    </w:p>
    <w:p>
      <w:pPr>
        <w:pStyle w:val="Style88"/>
        <w:keepNext/>
        <w:keepLines/>
        <w:widowControl w:val="0"/>
        <w:shd w:val="clear" w:color="auto" w:fill="auto"/>
        <w:bidi w:val="0"/>
        <w:spacing w:before="0" w:after="0" w:line="240" w:lineRule="auto"/>
        <w:ind w:left="0" w:right="0" w:firstLine="740"/>
        <w:jc w:val="left"/>
      </w:pPr>
      <w:bookmarkStart w:id="1170" w:name="bookmark1170"/>
      <w:bookmarkStart w:id="1171" w:name="bookmark1171"/>
      <w:bookmarkStart w:id="1172" w:name="bookmark1172"/>
      <w:r>
        <w:rPr>
          <w:color w:val="000000"/>
          <w:spacing w:val="0"/>
          <w:w w:val="100"/>
          <w:position w:val="0"/>
          <w:sz w:val="24"/>
          <w:szCs w:val="24"/>
        </w:rPr>
        <w:t>2016</w:t>
      </w:r>
      <w:r>
        <w:rPr>
          <w:rFonts w:ascii="SimSun" w:eastAsia="SimSun" w:hAnsi="SimSun" w:cs="SimSun"/>
          <w:b/>
          <w:bCs/>
          <w:color w:val="000000"/>
          <w:spacing w:val="0"/>
          <w:w w:val="100"/>
          <w:position w:val="0"/>
          <w:sz w:val="24"/>
          <w:szCs w:val="24"/>
        </w:rPr>
        <w:t>年度</w:t>
      </w:r>
      <w:bookmarkEnd w:id="1170"/>
      <w:bookmarkEnd w:id="1171"/>
      <w:bookmarkEnd w:id="1172"/>
    </w:p>
    <w:p>
      <w:pPr>
        <w:pStyle w:val="Style32"/>
        <w:keepNext w:val="0"/>
        <w:keepLines w:val="0"/>
        <w:widowControl w:val="0"/>
        <w:shd w:val="clear" w:color="auto" w:fill="auto"/>
        <w:bidi w:val="0"/>
        <w:spacing w:before="0" w:after="260" w:line="240" w:lineRule="auto"/>
        <w:ind w:left="0" w:right="0" w:firstLine="740"/>
        <w:jc w:val="left"/>
        <w:rPr>
          <w:sz w:val="24"/>
          <w:szCs w:val="24"/>
        </w:rPr>
      </w:pPr>
      <w:r>
        <w:rPr>
          <w:rFonts w:ascii="Arial" w:eastAsia="Arial" w:hAnsi="Arial" w:cs="Arial"/>
          <w:color w:val="000000"/>
          <w:spacing w:val="0"/>
          <w:w w:val="100"/>
          <w:position w:val="0"/>
          <w:sz w:val="20"/>
          <w:szCs w:val="20"/>
        </w:rPr>
        <w:t>（</w:t>
      </w:r>
      <w:r>
        <w:rPr>
          <w:color w:val="000000"/>
          <w:spacing w:val="0"/>
          <w:w w:val="100"/>
          <w:position w:val="0"/>
          <w:sz w:val="20"/>
          <w:szCs w:val="20"/>
        </w:rPr>
        <w:t>除特别注明外，金额单位为人民币千元</w:t>
      </w:r>
      <w:r>
        <w:rPr>
          <w:color w:val="000000"/>
          <w:spacing w:val="0"/>
          <w:w w:val="100"/>
          <w:position w:val="0"/>
          <w:sz w:val="24"/>
          <w:szCs w:val="24"/>
        </w:rPr>
        <w:t>）</w:t>
      </w:r>
    </w:p>
    <w:p>
      <w:pPr>
        <w:pStyle w:val="Style32"/>
        <w:keepNext w:val="0"/>
        <w:keepLines w:val="0"/>
        <w:widowControl w:val="0"/>
        <w:shd w:val="clear" w:color="auto" w:fill="auto"/>
        <w:bidi w:val="0"/>
        <w:spacing w:before="0" w:after="260" w:line="240" w:lineRule="auto"/>
        <w:ind w:left="0" w:right="0" w:firstLine="0"/>
        <w:jc w:val="left"/>
        <w:rPr>
          <w:sz w:val="24"/>
          <w:szCs w:val="24"/>
        </w:rPr>
      </w:pPr>
      <w:r>
        <w:rPr>
          <w:b/>
          <w:bCs/>
          <w:color w:val="000000"/>
          <w:spacing w:val="0"/>
          <w:w w:val="100"/>
          <w:position w:val="0"/>
          <w:sz w:val="24"/>
          <w:szCs w:val="24"/>
        </w:rPr>
        <w:t>十五公允价值估计</w:t>
      </w:r>
      <w:r>
        <w:rPr>
          <w:rFonts w:ascii="Times New Roman" w:eastAsia="Times New Roman" w:hAnsi="Times New Roman" w:cs="Times New Roman"/>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4"/>
          <w:szCs w:val="24"/>
        </w:rPr>
        <w:t>）</w:t>
      </w:r>
    </w:p>
    <w:p>
      <w:pPr>
        <w:pStyle w:val="Style32"/>
        <w:keepNext w:val="0"/>
        <w:keepLines w:val="0"/>
        <w:widowControl w:val="0"/>
        <w:shd w:val="clear" w:color="auto" w:fill="auto"/>
        <w:tabs>
          <w:tab w:pos="715" w:val="left"/>
        </w:tabs>
        <w:bidi w:val="0"/>
        <w:spacing w:before="0" w:after="26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（3）</w:t>
        <w:tab/>
      </w:r>
      <w:r>
        <w:rPr>
          <w:b/>
          <w:bCs/>
          <w:color w:val="000000"/>
          <w:spacing w:val="0"/>
          <w:w w:val="100"/>
          <w:position w:val="0"/>
          <w:sz w:val="24"/>
          <w:szCs w:val="24"/>
        </w:rPr>
        <w:t>不以公允价值作为后续计量但披露其公允价值的资产和负债</w:t>
      </w:r>
    </w:p>
    <w:p>
      <w:pPr>
        <w:pStyle w:val="Style32"/>
        <w:keepNext w:val="0"/>
        <w:keepLines w:val="0"/>
        <w:widowControl w:val="0"/>
        <w:shd w:val="clear" w:color="auto" w:fill="auto"/>
        <w:bidi w:val="0"/>
        <w:spacing w:before="0" w:after="260" w:line="314" w:lineRule="exact"/>
        <w:ind w:left="740" w:right="0" w:firstLine="20"/>
        <w:jc w:val="both"/>
        <w:rPr>
          <w:sz w:val="24"/>
          <w:szCs w:val="24"/>
        </w:rPr>
      </w:pPr>
      <w:r>
        <w:rPr>
          <w:color w:val="000000"/>
          <w:spacing w:val="0"/>
          <w:w w:val="100"/>
          <w:position w:val="0"/>
          <w:sz w:val="24"/>
          <w:szCs w:val="24"/>
        </w:rPr>
        <w:t>本集团以摊余成本计量的金融资产和金融负债主要包括：发放贷款及垫款、应 收票据、应收账款、应收利息、其他应收款、长期应收款、短期借款、应付票 据、应付账款、应付利息、其他应付款、一年内到期的长期借款、长期借款和 应付债券。</w:t>
      </w:r>
    </w:p>
    <w:p>
      <w:pPr>
        <w:pStyle w:val="Style32"/>
        <w:keepNext w:val="0"/>
        <w:keepLines w:val="0"/>
        <w:widowControl w:val="0"/>
        <w:shd w:val="clear" w:color="auto" w:fill="auto"/>
        <w:bidi w:val="0"/>
        <w:spacing w:before="0" w:after="260" w:line="322" w:lineRule="exact"/>
        <w:ind w:left="740" w:right="0" w:firstLine="20"/>
        <w:jc w:val="both"/>
        <w:rPr>
          <w:sz w:val="24"/>
          <w:szCs w:val="24"/>
        </w:rPr>
      </w:pPr>
      <w:r>
        <w:rPr>
          <w:color w:val="000000"/>
          <w:spacing w:val="0"/>
          <w:w w:val="100"/>
          <w:position w:val="0"/>
          <w:sz w:val="24"/>
          <w:szCs w:val="24"/>
        </w:rPr>
        <w:t>本集团不以公允价值作为后续计量的金融资产和金融负债的账面价值与公允价 值差异不重大。</w:t>
      </w:r>
    </w:p>
    <w:p>
      <w:pPr>
        <w:pStyle w:val="Style32"/>
        <w:keepNext w:val="0"/>
        <w:keepLines w:val="0"/>
        <w:widowControl w:val="0"/>
        <w:shd w:val="clear" w:color="auto" w:fill="auto"/>
        <w:bidi w:val="0"/>
        <w:spacing w:before="0" w:after="300" w:line="240" w:lineRule="auto"/>
        <w:ind w:left="0" w:right="0" w:firstLine="0"/>
        <w:jc w:val="left"/>
        <w:rPr>
          <w:sz w:val="24"/>
          <w:szCs w:val="24"/>
        </w:rPr>
      </w:pPr>
      <w:r>
        <w:rPr>
          <w:b/>
          <w:bCs/>
          <w:color w:val="000000"/>
          <w:spacing w:val="0"/>
          <w:w w:val="100"/>
          <w:position w:val="0"/>
          <w:sz w:val="24"/>
          <w:szCs w:val="24"/>
        </w:rPr>
        <w:t>十六资本管理</w:t>
      </w:r>
    </w:p>
    <w:p>
      <w:pPr>
        <w:pStyle w:val="Style32"/>
        <w:keepNext w:val="0"/>
        <w:keepLines w:val="0"/>
        <w:widowControl w:val="0"/>
        <w:shd w:val="clear" w:color="auto" w:fill="auto"/>
        <w:bidi w:val="0"/>
        <w:spacing w:before="0" w:after="260" w:line="317" w:lineRule="exact"/>
        <w:ind w:left="740" w:right="0" w:firstLine="20"/>
        <w:jc w:val="both"/>
        <w:rPr>
          <w:sz w:val="24"/>
          <w:szCs w:val="24"/>
        </w:rPr>
      </w:pPr>
      <w:r>
        <w:rPr>
          <w:color w:val="000000"/>
          <w:spacing w:val="0"/>
          <w:w w:val="100"/>
          <w:position w:val="0"/>
          <w:sz w:val="24"/>
          <w:szCs w:val="24"/>
        </w:rPr>
        <w:t>本集团资本管理政策的目标是为了保障本集团能够持续经营，从而为股东提供 回报，并使其他利益相关者获益，同时维持最佳的资本结构以降低资本成本。</w:t>
      </w:r>
    </w:p>
    <w:p>
      <w:pPr>
        <w:pStyle w:val="Style32"/>
        <w:keepNext w:val="0"/>
        <w:keepLines w:val="0"/>
        <w:widowControl w:val="0"/>
        <w:shd w:val="clear" w:color="auto" w:fill="auto"/>
        <w:bidi w:val="0"/>
        <w:spacing w:before="0" w:after="300" w:line="302" w:lineRule="exact"/>
        <w:ind w:left="740" w:right="0" w:firstLine="20"/>
        <w:jc w:val="both"/>
        <w:rPr>
          <w:sz w:val="24"/>
          <w:szCs w:val="24"/>
        </w:rPr>
      </w:pPr>
      <w:r>
        <w:rPr>
          <w:color w:val="000000"/>
          <w:spacing w:val="0"/>
          <w:w w:val="100"/>
          <w:position w:val="0"/>
          <w:sz w:val="24"/>
          <w:szCs w:val="24"/>
        </w:rPr>
        <w:t>为了维持或调整资本结构，本集团可能会调整支付给股东的股利金额、向股东 返还资本、发行新股或出售资产以减低债务。</w:t>
      </w:r>
    </w:p>
    <w:p>
      <w:pPr>
        <w:pStyle w:val="Style32"/>
        <w:keepNext w:val="0"/>
        <w:keepLines w:val="0"/>
        <w:widowControl w:val="0"/>
        <w:shd w:val="clear" w:color="auto" w:fill="auto"/>
        <w:bidi w:val="0"/>
        <w:spacing w:before="0" w:after="260" w:line="307" w:lineRule="exact"/>
        <w:ind w:left="740" w:right="0" w:firstLine="20"/>
        <w:jc w:val="both"/>
        <w:rPr>
          <w:sz w:val="24"/>
          <w:szCs w:val="24"/>
        </w:rPr>
      </w:pPr>
      <w:r>
        <w:rPr>
          <w:color w:val="000000"/>
          <w:spacing w:val="0"/>
          <w:w w:val="100"/>
          <w:position w:val="0"/>
          <w:sz w:val="24"/>
          <w:szCs w:val="24"/>
        </w:rPr>
        <w:t>本集团的总资本为合并资产负债表中所列示的股东权益。本集团不受制于外部 强制性资本要求，利用资产负债率监控资本。</w:t>
      </w:r>
    </w:p>
    <w:p>
      <w:pPr>
        <w:pStyle w:val="Style32"/>
        <w:keepNext w:val="0"/>
        <w:keepLines w:val="0"/>
        <w:widowControl w:val="0"/>
        <w:shd w:val="clear" w:color="auto" w:fill="auto"/>
        <w:bidi w:val="0"/>
        <w:spacing w:before="0" w:after="300" w:line="314" w:lineRule="exact"/>
        <w:ind w:left="0" w:right="0" w:firstLine="740"/>
        <w:jc w:val="both"/>
        <w:rPr>
          <w:sz w:val="24"/>
          <w:szCs w:val="24"/>
        </w:rPr>
      </w:pPr>
      <w:r>
        <w:rPr>
          <w:color w:val="000000"/>
          <w:spacing w:val="0"/>
          <w:w w:val="100"/>
          <w:position w:val="0"/>
          <w:sz w:val="24"/>
          <w:szCs w:val="24"/>
        </w:rPr>
        <w:t>于</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日及</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日，本集团的资产负债率列示如下：</w:t>
      </w:r>
    </w:p>
    <w:p>
      <w:pPr>
        <w:pStyle w:val="Style53"/>
        <w:keepNext w:val="0"/>
        <w:keepLines w:val="0"/>
        <w:widowControl w:val="0"/>
        <w:shd w:val="clear" w:color="auto" w:fill="auto"/>
        <w:tabs>
          <w:tab w:pos="2832" w:val="left"/>
        </w:tabs>
        <w:bidi w:val="0"/>
        <w:spacing w:before="0" w:after="260" w:line="276" w:lineRule="auto"/>
        <w:ind w:left="0" w:right="0" w:firstLine="0"/>
        <w:jc w:val="right"/>
        <w:rPr>
          <w:sz w:val="24"/>
          <w:szCs w:val="24"/>
        </w:rPr>
      </w:pPr>
      <w:r>
        <w:rPr>
          <w:color w:val="000000"/>
          <w:spacing w:val="0"/>
          <w:w w:val="100"/>
          <w:position w:val="0"/>
          <w:sz w:val="24"/>
          <w:szCs w:val="24"/>
        </w:rPr>
        <w:t>2016</w:t>
      </w:r>
      <w:r>
        <w:rPr>
          <w:rFonts w:ascii="SimSun" w:eastAsia="SimSun" w:hAnsi="SimSun" w:cs="SimSun"/>
          <w:color w:val="000000"/>
          <w:spacing w:val="0"/>
          <w:w w:val="100"/>
          <w:position w:val="0"/>
          <w:sz w:val="24"/>
          <w:szCs w:val="24"/>
        </w:rPr>
        <w:t>年</w:t>
      </w:r>
      <w:r>
        <w:rPr>
          <w:color w:val="000000"/>
          <w:spacing w:val="0"/>
          <w:w w:val="100"/>
          <w:position w:val="0"/>
          <w:sz w:val="24"/>
          <w:szCs w:val="24"/>
        </w:rPr>
        <w:t>12</w:t>
      </w:r>
      <w:r>
        <w:rPr>
          <w:rFonts w:ascii="SimSun" w:eastAsia="SimSun" w:hAnsi="SimSun" w:cs="SimSun"/>
          <w:color w:val="000000"/>
          <w:spacing w:val="0"/>
          <w:w w:val="100"/>
          <w:position w:val="0"/>
          <w:sz w:val="24"/>
          <w:szCs w:val="24"/>
        </w:rPr>
        <w:t>月</w:t>
      </w:r>
      <w:r>
        <w:rPr>
          <w:color w:val="000000"/>
          <w:spacing w:val="0"/>
          <w:w w:val="100"/>
          <w:position w:val="0"/>
          <w:sz w:val="24"/>
          <w:szCs w:val="24"/>
        </w:rPr>
        <w:t>31</w:t>
      </w:r>
      <w:r>
        <w:rPr>
          <w:rFonts w:ascii="SimSun" w:eastAsia="SimSun" w:hAnsi="SimSun" w:cs="SimSun"/>
          <w:color w:val="000000"/>
          <w:spacing w:val="0"/>
          <w:w w:val="100"/>
          <w:position w:val="0"/>
          <w:sz w:val="24"/>
          <w:szCs w:val="24"/>
        </w:rPr>
        <w:t>日</w:t>
        <w:tab/>
      </w:r>
      <w:r>
        <w:rPr>
          <w:color w:val="000000"/>
          <w:spacing w:val="0"/>
          <w:w w:val="100"/>
          <w:position w:val="0"/>
          <w:sz w:val="24"/>
          <w:szCs w:val="24"/>
        </w:rPr>
        <w:t>2015</w:t>
      </w:r>
      <w:r>
        <w:rPr>
          <w:rFonts w:ascii="SimSun" w:eastAsia="SimSun" w:hAnsi="SimSun" w:cs="SimSun"/>
          <w:color w:val="000000"/>
          <w:spacing w:val="0"/>
          <w:w w:val="100"/>
          <w:position w:val="0"/>
          <w:sz w:val="24"/>
          <w:szCs w:val="24"/>
        </w:rPr>
        <w:t>年</w:t>
      </w:r>
      <w:r>
        <w:rPr>
          <w:color w:val="000000"/>
          <w:spacing w:val="0"/>
          <w:w w:val="100"/>
          <w:position w:val="0"/>
          <w:sz w:val="24"/>
          <w:szCs w:val="24"/>
        </w:rPr>
        <w:t>12</w:t>
      </w:r>
      <w:r>
        <w:rPr>
          <w:rFonts w:ascii="SimSun" w:eastAsia="SimSun" w:hAnsi="SimSun" w:cs="SimSun"/>
          <w:color w:val="000000"/>
          <w:spacing w:val="0"/>
          <w:w w:val="100"/>
          <w:position w:val="0"/>
          <w:sz w:val="24"/>
          <w:szCs w:val="24"/>
        </w:rPr>
        <w:t>月</w:t>
      </w:r>
      <w:r>
        <w:rPr>
          <w:color w:val="000000"/>
          <w:spacing w:val="0"/>
          <w:w w:val="100"/>
          <w:position w:val="0"/>
          <w:sz w:val="24"/>
          <w:szCs w:val="24"/>
        </w:rPr>
        <w:t>31</w:t>
      </w:r>
      <w:r>
        <w:rPr>
          <w:rFonts w:ascii="SimSun" w:eastAsia="SimSun" w:hAnsi="SimSun" w:cs="SimSun"/>
          <w:color w:val="000000"/>
          <w:spacing w:val="0"/>
          <w:w w:val="100"/>
          <w:position w:val="0"/>
          <w:sz w:val="24"/>
          <w:szCs w:val="24"/>
        </w:rPr>
        <w:t>日</w:t>
      </w:r>
    </w:p>
    <w:p>
      <w:pPr>
        <w:pStyle w:val="Style53"/>
        <w:keepNext w:val="0"/>
        <w:keepLines w:val="0"/>
        <w:widowControl w:val="0"/>
        <w:shd w:val="clear" w:color="auto" w:fill="auto"/>
        <w:tabs>
          <w:tab w:pos="5214" w:val="left"/>
          <w:tab w:pos="8113" w:val="left"/>
        </w:tabs>
        <w:bidi w:val="0"/>
        <w:spacing w:before="0" w:after="260" w:line="314" w:lineRule="exact"/>
        <w:ind w:left="0" w:right="0" w:firstLine="740"/>
        <w:jc w:val="both"/>
        <w:rPr>
          <w:sz w:val="24"/>
          <w:szCs w:val="24"/>
        </w:rPr>
        <w:sectPr>
          <w:headerReference w:type="default" r:id="rId243"/>
          <w:footerReference w:type="default" r:id="rId244"/>
          <w:headerReference w:type="even" r:id="rId245"/>
          <w:footerReference w:type="even" r:id="rId246"/>
          <w:footnotePr>
            <w:pos w:val="pageBottom"/>
            <w:numFmt w:val="decimal"/>
            <w:numRestart w:val="continuous"/>
          </w:footnotePr>
          <w:pgSz w:w="11900" w:h="16840"/>
          <w:pgMar w:top="1354" w:right="1259" w:bottom="1599" w:left="1613" w:header="0" w:footer="3" w:gutter="0"/>
          <w:cols w:space="720"/>
          <w:noEndnote/>
          <w:rtlGutter w:val="0"/>
          <w:docGrid w:linePitch="360"/>
        </w:sectPr>
      </w:pPr>
      <w:r>
        <w:rPr>
          <w:rFonts w:ascii="SimSun" w:eastAsia="SimSun" w:hAnsi="SimSun" w:cs="SimSun"/>
          <w:color w:val="000000"/>
          <w:spacing w:val="0"/>
          <w:w w:val="100"/>
          <w:position w:val="0"/>
          <w:sz w:val="24"/>
          <w:szCs w:val="24"/>
        </w:rPr>
        <w:t>资产负债率</w:t>
        <w:tab/>
      </w:r>
      <w:r>
        <w:rPr>
          <w:color w:val="000000"/>
          <w:spacing w:val="0"/>
          <w:w w:val="100"/>
          <w:position w:val="0"/>
          <w:sz w:val="24"/>
          <w:szCs w:val="24"/>
        </w:rPr>
        <w:t>49.02%</w:t>
        <w:tab/>
        <w:t>63.75%</w:t>
      </w:r>
    </w:p>
    <w:p>
      <w:pPr>
        <w:pStyle w:val="Style32"/>
        <w:keepNext w:val="0"/>
        <w:keepLines w:val="0"/>
        <w:widowControl w:val="0"/>
        <w:shd w:val="clear" w:color="auto" w:fill="auto"/>
        <w:bidi w:val="0"/>
        <w:spacing w:before="0" w:after="0" w:line="240" w:lineRule="auto"/>
        <w:ind w:left="0" w:right="0" w:firstLine="820"/>
        <w:jc w:val="left"/>
        <w:rPr>
          <w:sz w:val="24"/>
          <w:szCs w:val="24"/>
        </w:rPr>
      </w:pPr>
      <w:r>
        <w:rPr>
          <w:b/>
          <w:bCs/>
          <w:color w:val="000000"/>
          <w:spacing w:val="0"/>
          <w:w w:val="100"/>
          <w:position w:val="0"/>
          <w:sz w:val="24"/>
          <w:szCs w:val="24"/>
        </w:rPr>
        <w:t>财务报表附注</w:t>
      </w:r>
    </w:p>
    <w:p>
      <w:pPr>
        <w:pStyle w:val="Style88"/>
        <w:keepNext/>
        <w:keepLines/>
        <w:widowControl w:val="0"/>
        <w:shd w:val="clear" w:color="auto" w:fill="auto"/>
        <w:bidi w:val="0"/>
        <w:spacing w:before="0" w:after="0" w:line="240" w:lineRule="auto"/>
        <w:ind w:left="0" w:right="0" w:firstLine="820"/>
        <w:jc w:val="left"/>
      </w:pPr>
      <w:bookmarkStart w:id="1173" w:name="bookmark1173"/>
      <w:bookmarkStart w:id="1174" w:name="bookmark1174"/>
      <w:bookmarkStart w:id="1175" w:name="bookmark1175"/>
      <w:r>
        <w:rPr>
          <w:color w:val="000000"/>
          <w:spacing w:val="0"/>
          <w:w w:val="100"/>
          <w:position w:val="0"/>
          <w:sz w:val="24"/>
          <w:szCs w:val="24"/>
        </w:rPr>
        <w:t>2016</w:t>
      </w:r>
      <w:r>
        <w:rPr>
          <w:rFonts w:ascii="SimSun" w:eastAsia="SimSun" w:hAnsi="SimSun" w:cs="SimSun"/>
          <w:b/>
          <w:bCs/>
          <w:color w:val="000000"/>
          <w:spacing w:val="0"/>
          <w:w w:val="100"/>
          <w:position w:val="0"/>
          <w:sz w:val="24"/>
          <w:szCs w:val="24"/>
        </w:rPr>
        <w:t>年度</w:t>
      </w:r>
      <w:bookmarkEnd w:id="1173"/>
      <w:bookmarkEnd w:id="1174"/>
      <w:bookmarkEnd w:id="1175"/>
    </w:p>
    <w:p>
      <w:pPr>
        <w:pStyle w:val="Style32"/>
        <w:keepNext w:val="0"/>
        <w:keepLines w:val="0"/>
        <w:widowControl w:val="0"/>
        <w:shd w:val="clear" w:color="auto" w:fill="auto"/>
        <w:bidi w:val="0"/>
        <w:spacing w:before="0" w:after="0" w:line="240" w:lineRule="auto"/>
        <w:ind w:left="0" w:right="0" w:firstLine="820"/>
        <w:jc w:val="left"/>
        <w:rPr>
          <w:sz w:val="20"/>
          <w:szCs w:val="20"/>
        </w:rPr>
        <w:sectPr>
          <w:headerReference w:type="default" r:id="rId247"/>
          <w:footerReference w:type="default" r:id="rId248"/>
          <w:headerReference w:type="even" r:id="rId249"/>
          <w:footerReference w:type="even" r:id="rId250"/>
          <w:footnotePr>
            <w:pos w:val="pageBottom"/>
            <w:numFmt w:val="decimal"/>
            <w:numRestart w:val="continuous"/>
          </w:footnotePr>
          <w:pgSz w:w="11900" w:h="16840"/>
          <w:pgMar w:top="1354" w:right="1259" w:bottom="1599" w:left="1613" w:header="0" w:footer="3" w:gutter="0"/>
          <w:cols w:space="720"/>
          <w:noEndnote/>
          <w:rtlGutter w:val="0"/>
          <w:docGrid w:linePitch="360"/>
        </w:sectPr>
      </w:pPr>
      <w:r>
        <w:rPr>
          <w:rFonts w:ascii="Arial" w:eastAsia="Arial" w:hAnsi="Arial" w:cs="Arial"/>
          <w:color w:val="000000"/>
          <w:spacing w:val="0"/>
          <w:w w:val="100"/>
          <w:position w:val="0"/>
          <w:sz w:val="20"/>
          <w:szCs w:val="20"/>
        </w:rPr>
        <w:t>（</w:t>
      </w:r>
      <w:r>
        <w:rPr>
          <w:color w:val="000000"/>
          <w:spacing w:val="0"/>
          <w:w w:val="100"/>
          <w:position w:val="0"/>
          <w:sz w:val="20"/>
          <w:szCs w:val="20"/>
        </w:rPr>
        <w:t>除特别注明外，金额单位为人民币千元</w:t>
      </w:r>
      <w:r>
        <w:rPr>
          <w:rFonts w:ascii="Arial" w:eastAsia="Arial" w:hAnsi="Arial" w:cs="Arial"/>
          <w:color w:val="000000"/>
          <w:spacing w:val="0"/>
          <w:w w:val="100"/>
          <w:position w:val="0"/>
          <w:sz w:val="20"/>
          <w:szCs w:val="20"/>
        </w:rPr>
        <w:t>）</w:t>
      </w:r>
    </w:p>
    <w:p>
      <w:pPr>
        <w:pStyle w:val="Style32"/>
        <w:keepNext w:val="0"/>
        <w:keepLines w:val="0"/>
        <w:widowControl w:val="0"/>
        <w:shd w:val="clear" w:color="auto" w:fill="auto"/>
        <w:bidi w:val="0"/>
        <w:spacing w:before="0" w:after="0" w:line="240" w:lineRule="auto"/>
        <w:ind w:left="0" w:right="0" w:firstLine="680"/>
        <w:jc w:val="left"/>
        <w:rPr>
          <w:sz w:val="24"/>
          <w:szCs w:val="24"/>
        </w:rPr>
      </w:pPr>
      <w:r>
        <w:rPr>
          <w:b/>
          <w:bCs/>
          <w:color w:val="000000"/>
          <w:spacing w:val="0"/>
          <w:w w:val="100"/>
          <w:position w:val="0"/>
          <w:sz w:val="24"/>
          <w:szCs w:val="24"/>
        </w:rPr>
        <w:t>财务报表附注</w:t>
      </w:r>
    </w:p>
    <w:p>
      <w:pPr>
        <w:pStyle w:val="Style88"/>
        <w:keepNext/>
        <w:keepLines/>
        <w:widowControl w:val="0"/>
        <w:shd w:val="clear" w:color="auto" w:fill="auto"/>
        <w:bidi w:val="0"/>
        <w:spacing w:before="0" w:after="0" w:line="240" w:lineRule="auto"/>
        <w:ind w:left="0" w:right="0" w:firstLine="680"/>
        <w:jc w:val="left"/>
      </w:pPr>
      <w:bookmarkStart w:id="1176" w:name="bookmark1176"/>
      <w:bookmarkStart w:id="1177" w:name="bookmark1177"/>
      <w:bookmarkStart w:id="1178" w:name="bookmark1178"/>
      <w:r>
        <w:rPr>
          <w:color w:val="000000"/>
          <w:spacing w:val="0"/>
          <w:w w:val="100"/>
          <w:position w:val="0"/>
          <w:sz w:val="24"/>
          <w:szCs w:val="24"/>
        </w:rPr>
        <w:t>2016</w:t>
      </w:r>
      <w:r>
        <w:rPr>
          <w:rFonts w:ascii="SimSun" w:eastAsia="SimSun" w:hAnsi="SimSun" w:cs="SimSun"/>
          <w:b/>
          <w:bCs/>
          <w:color w:val="000000"/>
          <w:spacing w:val="0"/>
          <w:w w:val="100"/>
          <w:position w:val="0"/>
          <w:sz w:val="24"/>
          <w:szCs w:val="24"/>
        </w:rPr>
        <w:t>年度</w:t>
      </w:r>
      <w:bookmarkEnd w:id="1176"/>
      <w:bookmarkEnd w:id="1177"/>
      <w:bookmarkEnd w:id="1178"/>
    </w:p>
    <w:p>
      <w:pPr>
        <w:pStyle w:val="Style32"/>
        <w:keepNext w:val="0"/>
        <w:keepLines w:val="0"/>
        <w:widowControl w:val="0"/>
        <w:shd w:val="clear" w:color="auto" w:fill="auto"/>
        <w:bidi w:val="0"/>
        <w:spacing w:before="0" w:after="220" w:line="240" w:lineRule="auto"/>
        <w:ind w:left="0" w:right="0" w:firstLine="680"/>
        <w:jc w:val="left"/>
        <w:rPr>
          <w:sz w:val="20"/>
          <w:szCs w:val="20"/>
        </w:rPr>
      </w:pPr>
      <w:r>
        <w:rPr>
          <w:rFonts w:ascii="Arial" w:eastAsia="Arial" w:hAnsi="Arial" w:cs="Arial"/>
          <w:color w:val="000000"/>
          <w:spacing w:val="0"/>
          <w:w w:val="100"/>
          <w:position w:val="0"/>
          <w:sz w:val="20"/>
          <w:szCs w:val="20"/>
        </w:rPr>
        <w:t>（</w:t>
      </w:r>
      <w:r>
        <w:rPr>
          <w:color w:val="000000"/>
          <w:spacing w:val="0"/>
          <w:w w:val="100"/>
          <w:position w:val="0"/>
          <w:sz w:val="20"/>
          <w:szCs w:val="20"/>
        </w:rPr>
        <w:t>除特别注明外，金额单位为人民币千元</w:t>
      </w:r>
      <w:r>
        <w:rPr>
          <w:rFonts w:ascii="Arial" w:eastAsia="Arial" w:hAnsi="Arial" w:cs="Arial"/>
          <w:color w:val="000000"/>
          <w:spacing w:val="0"/>
          <w:w w:val="100"/>
          <w:position w:val="0"/>
          <w:sz w:val="20"/>
          <w:szCs w:val="20"/>
        </w:rPr>
        <w:t>）</w:t>
      </w:r>
    </w:p>
    <w:p>
      <w:pPr>
        <w:pStyle w:val="Style32"/>
        <w:keepNext w:val="0"/>
        <w:keepLines w:val="0"/>
        <w:widowControl w:val="0"/>
        <w:shd w:val="clear" w:color="auto" w:fill="auto"/>
        <w:bidi w:val="0"/>
        <w:spacing w:before="0" w:after="300" w:line="240" w:lineRule="auto"/>
        <w:ind w:left="0" w:right="0" w:firstLine="0"/>
        <w:jc w:val="left"/>
        <w:rPr>
          <w:sz w:val="24"/>
          <w:szCs w:val="24"/>
        </w:rPr>
      </w:pPr>
      <w:r>
        <mc:AlternateContent>
          <mc:Choice Requires="wps">
            <w:drawing>
              <wp:anchor distT="0" distB="0" distL="88900" distR="88900" simplePos="0" relativeHeight="125829510" behindDoc="0" locked="0" layoutInCell="1" allowOverlap="1">
                <wp:simplePos x="0" y="0"/>
                <wp:positionH relativeFrom="page">
                  <wp:posOffset>1115060</wp:posOffset>
                </wp:positionH>
                <wp:positionV relativeFrom="paragraph">
                  <wp:posOffset>12700</wp:posOffset>
                </wp:positionV>
                <wp:extent cx="328930" cy="570230"/>
                <wp:wrapSquare wrapText="bothSides"/>
                <wp:docPr id="574" name="Shape 574"/>
                <a:graphic xmlns:a="http://schemas.openxmlformats.org/drawingml/2006/main">
                  <a:graphicData uri="http://schemas.microsoft.com/office/word/2010/wordprocessingShape">
                    <wps:wsp>
                      <wps:cNvSpPr txBox="1"/>
                      <wps:spPr>
                        <a:xfrm>
                          <a:ext cx="328930" cy="570230"/>
                        </a:xfrm>
                        <a:prstGeom prst="rect"/>
                        <a:noFill/>
                      </wps:spPr>
                      <wps:txbx>
                        <w:txbxContent>
                          <w:p>
                            <w:pPr>
                              <w:pStyle w:val="Style32"/>
                              <w:keepNext w:val="0"/>
                              <w:keepLines w:val="0"/>
                              <w:widowControl w:val="0"/>
                              <w:shd w:val="clear" w:color="auto" w:fill="auto"/>
                              <w:bidi w:val="0"/>
                              <w:spacing w:before="0" w:after="320" w:line="240" w:lineRule="auto"/>
                              <w:ind w:left="0" w:right="0" w:firstLine="0"/>
                              <w:jc w:val="left"/>
                              <w:rPr>
                                <w:sz w:val="24"/>
                                <w:szCs w:val="24"/>
                              </w:rPr>
                            </w:pPr>
                            <w:r>
                              <w:rPr>
                                <w:b/>
                                <w:bCs/>
                                <w:color w:val="000000"/>
                                <w:spacing w:val="0"/>
                                <w:w w:val="100"/>
                                <w:position w:val="0"/>
                                <w:sz w:val="24"/>
                                <w:szCs w:val="24"/>
                              </w:rPr>
                              <w:t>十七</w:t>
                            </w:r>
                          </w:p>
                          <w:p>
                            <w:pPr>
                              <w:pStyle w:val="Style53"/>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⑴</w:t>
                            </w:r>
                          </w:p>
                        </w:txbxContent>
                      </wps:txbx>
                      <wps:bodyPr lIns="0" tIns="0" rIns="0" bIns="0">
                        <a:noAutoFit/>
                      </wps:bodyPr>
                    </wps:wsp>
                  </a:graphicData>
                </a:graphic>
              </wp:anchor>
            </w:drawing>
          </mc:Choice>
          <mc:Fallback>
            <w:pict>
              <v:shape id="_x0000_s1600" type="#_x0000_t202" style="position:absolute;margin-left:87.799999999999997pt;margin-top:1.pt;width:25.900000000000002pt;height:44.899999999999999pt;z-index:-125829243;mso-wrap-distance-left:7.pt;mso-wrap-distance-right:7.pt;mso-position-horizontal-relative:page" filled="f" stroked="f">
                <v:textbox inset="0,0,0,0">
                  <w:txbxContent>
                    <w:p>
                      <w:pPr>
                        <w:pStyle w:val="Style32"/>
                        <w:keepNext w:val="0"/>
                        <w:keepLines w:val="0"/>
                        <w:widowControl w:val="0"/>
                        <w:shd w:val="clear" w:color="auto" w:fill="auto"/>
                        <w:bidi w:val="0"/>
                        <w:spacing w:before="0" w:after="320" w:line="240" w:lineRule="auto"/>
                        <w:ind w:left="0" w:right="0" w:firstLine="0"/>
                        <w:jc w:val="left"/>
                        <w:rPr>
                          <w:sz w:val="24"/>
                          <w:szCs w:val="24"/>
                        </w:rPr>
                      </w:pPr>
                      <w:r>
                        <w:rPr>
                          <w:b/>
                          <w:bCs/>
                          <w:color w:val="000000"/>
                          <w:spacing w:val="0"/>
                          <w:w w:val="100"/>
                          <w:position w:val="0"/>
                          <w:sz w:val="24"/>
                          <w:szCs w:val="24"/>
                        </w:rPr>
                        <w:t>十七</w:t>
                      </w:r>
                    </w:p>
                    <w:p>
                      <w:pPr>
                        <w:pStyle w:val="Style53"/>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⑴</w:t>
                      </w:r>
                    </w:p>
                  </w:txbxContent>
                </v:textbox>
                <w10:wrap type="square" anchorx="page"/>
              </v:shape>
            </w:pict>
          </mc:Fallback>
        </mc:AlternateContent>
      </w:r>
      <w:r>
        <w:rPr>
          <w:b/>
          <w:bCs/>
          <w:color w:val="000000"/>
          <w:spacing w:val="0"/>
          <w:w w:val="100"/>
          <w:position w:val="0"/>
          <w:sz w:val="24"/>
          <w:szCs w:val="24"/>
        </w:rPr>
        <w:t xml:space="preserve">公司财务报表附注 </w:t>
      </w:r>
      <w:r>
        <w:rPr>
          <w:b/>
          <w:bCs/>
          <w:color w:val="000000"/>
          <w:spacing w:val="0"/>
          <w:w w:val="100"/>
          <w:position w:val="0"/>
          <w:sz w:val="24"/>
          <w:szCs w:val="24"/>
        </w:rPr>
        <w:t>应收账款</w:t>
      </w:r>
    </w:p>
    <w:p>
      <w:pPr>
        <w:pStyle w:val="Style53"/>
        <w:keepNext w:val="0"/>
        <w:keepLines w:val="0"/>
        <w:widowControl w:val="0"/>
        <w:shd w:val="clear" w:color="auto" w:fill="auto"/>
        <w:bidi w:val="0"/>
        <w:spacing w:before="0" w:after="300" w:line="240" w:lineRule="auto"/>
        <w:ind w:left="0" w:right="0" w:firstLine="0"/>
        <w:jc w:val="right"/>
        <w:rPr>
          <w:sz w:val="24"/>
          <w:szCs w:val="24"/>
        </w:rPr>
      </w:pPr>
      <w:r>
        <w:rPr>
          <w:color w:val="000000"/>
          <w:spacing w:val="0"/>
          <w:w w:val="100"/>
          <w:position w:val="0"/>
          <w:sz w:val="24"/>
          <w:szCs w:val="24"/>
        </w:rPr>
        <w:t>2016</w:t>
      </w:r>
      <w:r>
        <w:rPr>
          <w:rFonts w:ascii="SimSun" w:eastAsia="SimSun" w:hAnsi="SimSun" w:cs="SimSun"/>
          <w:color w:val="000000"/>
          <w:spacing w:val="0"/>
          <w:w w:val="100"/>
          <w:position w:val="0"/>
          <w:sz w:val="24"/>
          <w:szCs w:val="24"/>
        </w:rPr>
        <w:t>年</w:t>
      </w:r>
      <w:r>
        <w:rPr>
          <w:color w:val="000000"/>
          <w:spacing w:val="0"/>
          <w:w w:val="100"/>
          <w:position w:val="0"/>
          <w:sz w:val="24"/>
          <w:szCs w:val="24"/>
        </w:rPr>
        <w:t>12</w:t>
      </w:r>
      <w:r>
        <w:rPr>
          <w:rFonts w:ascii="SimSun" w:eastAsia="SimSun" w:hAnsi="SimSun" w:cs="SimSun"/>
          <w:color w:val="000000"/>
          <w:spacing w:val="0"/>
          <w:w w:val="100"/>
          <w:position w:val="0"/>
          <w:sz w:val="24"/>
          <w:szCs w:val="24"/>
        </w:rPr>
        <w:t>月</w:t>
      </w:r>
      <w:r>
        <w:rPr>
          <w:color w:val="000000"/>
          <w:spacing w:val="0"/>
          <w:w w:val="100"/>
          <w:position w:val="0"/>
          <w:sz w:val="24"/>
          <w:szCs w:val="24"/>
        </w:rPr>
        <w:t>31</w:t>
      </w:r>
      <w:r>
        <w:rPr>
          <w:rFonts w:ascii="SimSun" w:eastAsia="SimSun" w:hAnsi="SimSun" w:cs="SimSun"/>
          <w:color w:val="000000"/>
          <w:spacing w:val="0"/>
          <w:w w:val="100"/>
          <w:position w:val="0"/>
          <w:sz w:val="24"/>
          <w:szCs w:val="24"/>
        </w:rPr>
        <w:t xml:space="preserve">日 </w:t>
      </w:r>
      <w:r>
        <w:rPr>
          <w:color w:val="000000"/>
          <w:spacing w:val="0"/>
          <w:w w:val="100"/>
          <w:position w:val="0"/>
          <w:sz w:val="24"/>
          <w:szCs w:val="24"/>
        </w:rPr>
        <w:t>2015</w:t>
      </w:r>
      <w:r>
        <w:rPr>
          <w:rFonts w:ascii="SimSun" w:eastAsia="SimSun" w:hAnsi="SimSun" w:cs="SimSun"/>
          <w:color w:val="000000"/>
          <w:spacing w:val="0"/>
          <w:w w:val="100"/>
          <w:position w:val="0"/>
          <w:sz w:val="24"/>
          <w:szCs w:val="24"/>
        </w:rPr>
        <w:t>年</w:t>
      </w:r>
      <w:r>
        <w:rPr>
          <w:color w:val="000000"/>
          <w:spacing w:val="0"/>
          <w:w w:val="100"/>
          <w:position w:val="0"/>
          <w:sz w:val="24"/>
          <w:szCs w:val="24"/>
        </w:rPr>
        <w:t>12</w:t>
      </w:r>
      <w:r>
        <w:rPr>
          <w:rFonts w:ascii="SimSun" w:eastAsia="SimSun" w:hAnsi="SimSun" w:cs="SimSun"/>
          <w:color w:val="000000"/>
          <w:spacing w:val="0"/>
          <w:w w:val="100"/>
          <w:position w:val="0"/>
          <w:sz w:val="24"/>
          <w:szCs w:val="24"/>
        </w:rPr>
        <w:t>月</w:t>
      </w:r>
      <w:r>
        <w:rPr>
          <w:color w:val="000000"/>
          <w:spacing w:val="0"/>
          <w:w w:val="100"/>
          <w:position w:val="0"/>
          <w:sz w:val="24"/>
          <w:szCs w:val="24"/>
        </w:rPr>
        <w:t>31</w:t>
      </w:r>
      <w:r>
        <w:rPr>
          <w:rFonts w:ascii="SimSun" w:eastAsia="SimSun" w:hAnsi="SimSun" w:cs="SimSun"/>
          <w:color w:val="000000"/>
          <w:spacing w:val="0"/>
          <w:w w:val="100"/>
          <w:position w:val="0"/>
          <w:sz w:val="24"/>
          <w:szCs w:val="24"/>
        </w:rPr>
        <w:t>日</w:t>
      </w:r>
    </w:p>
    <w:tbl>
      <w:tblPr>
        <w:tblOverlap w:val="never"/>
        <w:jc w:val="left"/>
        <w:tblLayout w:type="fixed"/>
      </w:tblPr>
      <w:tblGrid>
        <w:gridCol w:w="2995"/>
        <w:gridCol w:w="2971"/>
        <w:gridCol w:w="2405"/>
      </w:tblGrid>
      <w:tr>
        <w:trPr>
          <w:trHeight w:val="317" w:hRule="exact"/>
        </w:trPr>
        <w:tc>
          <w:tcPr>
            <w:tcBorders/>
            <w:shd w:val="clear" w:color="auto" w:fill="FFFFFF"/>
            <w:vAlign w:val="bottom"/>
          </w:tcPr>
          <w:p>
            <w:pPr>
              <w:pStyle w:val="Style28"/>
              <w:keepNext w:val="0"/>
              <w:keepLines w:val="0"/>
              <w:framePr w:w="8371" w:h="4512" w:hSpace="653" w:wrap="notBeside" w:vAnchor="text" w:hAnchor="text" w:x="654" w:y="1"/>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应收账款</w:t>
            </w:r>
          </w:p>
        </w:tc>
        <w:tc>
          <w:tcPr>
            <w:tcBorders/>
            <w:shd w:val="clear" w:color="auto" w:fill="FFFFFF"/>
            <w:vAlign w:val="bottom"/>
          </w:tcPr>
          <w:p>
            <w:pPr>
              <w:pStyle w:val="Style28"/>
              <w:keepNext w:val="0"/>
              <w:keepLines w:val="0"/>
              <w:framePr w:w="8371" w:h="4512" w:hSpace="653" w:wrap="notBeside" w:vAnchor="text" w:hAnchor="text" w:x="654" w:y="1"/>
              <w:widowControl w:val="0"/>
              <w:shd w:val="clear" w:color="auto" w:fill="auto"/>
              <w:bidi w:val="0"/>
              <w:spacing w:before="0" w:after="0" w:line="240" w:lineRule="auto"/>
              <w:ind w:left="1420" w:right="0" w:firstLine="0"/>
              <w:jc w:val="left"/>
              <w:rPr>
                <w:sz w:val="24"/>
                <w:szCs w:val="24"/>
              </w:rPr>
            </w:pPr>
            <w:r>
              <w:rPr>
                <w:rFonts w:ascii="Times New Roman" w:eastAsia="Times New Roman" w:hAnsi="Times New Roman" w:cs="Times New Roman"/>
                <w:color w:val="000000"/>
                <w:spacing w:val="0"/>
                <w:w w:val="100"/>
                <w:position w:val="0"/>
                <w:sz w:val="24"/>
                <w:szCs w:val="24"/>
              </w:rPr>
              <w:t>15,381,979</w:t>
            </w:r>
          </w:p>
        </w:tc>
        <w:tc>
          <w:tcPr>
            <w:tcBorders/>
            <w:shd w:val="clear" w:color="auto" w:fill="FFFFFF"/>
            <w:vAlign w:val="bottom"/>
          </w:tcPr>
          <w:p>
            <w:pPr>
              <w:pStyle w:val="Style28"/>
              <w:keepNext w:val="0"/>
              <w:keepLines w:val="0"/>
              <w:framePr w:w="8371" w:h="4512" w:hSpace="653" w:wrap="notBeside" w:vAnchor="text" w:hAnchor="text" w:x="654" w:y="1"/>
              <w:widowControl w:val="0"/>
              <w:shd w:val="clear" w:color="auto" w:fill="auto"/>
              <w:bidi w:val="0"/>
              <w:spacing w:before="0" w:after="0" w:line="240" w:lineRule="auto"/>
              <w:ind w:left="1180" w:right="0" w:firstLine="0"/>
              <w:jc w:val="both"/>
              <w:rPr>
                <w:sz w:val="24"/>
                <w:szCs w:val="24"/>
              </w:rPr>
            </w:pPr>
            <w:r>
              <w:rPr>
                <w:rFonts w:ascii="Times New Roman" w:eastAsia="Times New Roman" w:hAnsi="Times New Roman" w:cs="Times New Roman"/>
                <w:color w:val="000000"/>
                <w:spacing w:val="0"/>
                <w:w w:val="100"/>
                <w:position w:val="0"/>
                <w:sz w:val="24"/>
                <w:szCs w:val="24"/>
              </w:rPr>
              <w:t>24,698,333</w:t>
            </w:r>
          </w:p>
        </w:tc>
      </w:tr>
      <w:tr>
        <w:trPr>
          <w:trHeight w:val="298" w:hRule="exact"/>
        </w:trPr>
        <w:tc>
          <w:tcPr>
            <w:tcBorders/>
            <w:shd w:val="clear" w:color="auto" w:fill="FFFFFF"/>
            <w:vAlign w:val="bottom"/>
          </w:tcPr>
          <w:p>
            <w:pPr>
              <w:pStyle w:val="Style28"/>
              <w:keepNext w:val="0"/>
              <w:keepLines w:val="0"/>
              <w:framePr w:w="8371" w:h="4512" w:hSpace="653" w:wrap="notBeside" w:vAnchor="text" w:hAnchor="text" w:x="654" w:y="1"/>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减：坏账准备</w:t>
            </w:r>
          </w:p>
        </w:tc>
        <w:tc>
          <w:tcPr>
            <w:tcBorders/>
            <w:shd w:val="clear" w:color="auto" w:fill="FFFFFF"/>
            <w:vAlign w:val="bottom"/>
          </w:tcPr>
          <w:p>
            <w:pPr>
              <w:pStyle w:val="Style28"/>
              <w:keepNext w:val="0"/>
              <w:keepLines w:val="0"/>
              <w:framePr w:w="8371" w:h="4512" w:hSpace="653" w:wrap="notBeside" w:vAnchor="text" w:hAnchor="text" w:x="654" w:y="1"/>
              <w:widowControl w:val="0"/>
              <w:shd w:val="clear" w:color="auto" w:fill="auto"/>
              <w:bidi w:val="0"/>
              <w:spacing w:before="0" w:after="0" w:line="240" w:lineRule="auto"/>
              <w:ind w:left="0" w:right="360" w:firstLine="0"/>
              <w:jc w:val="right"/>
              <w:rPr>
                <w:sz w:val="24"/>
                <w:szCs w:val="24"/>
              </w:rPr>
            </w:pPr>
            <w:r>
              <w:rPr>
                <w:rFonts w:ascii="Times New Roman" w:eastAsia="Times New Roman" w:hAnsi="Times New Roman" w:cs="Times New Roman"/>
                <w:color w:val="000000"/>
                <w:spacing w:val="0"/>
                <w:w w:val="100"/>
                <w:position w:val="0"/>
                <w:sz w:val="24"/>
                <w:szCs w:val="24"/>
              </w:rPr>
              <w:t>(6,644)</w:t>
            </w:r>
          </w:p>
        </w:tc>
        <w:tc>
          <w:tcPr>
            <w:tcBorders/>
            <w:shd w:val="clear" w:color="auto" w:fill="FFFFFF"/>
            <w:vAlign w:val="bottom"/>
          </w:tcPr>
          <w:p>
            <w:pPr>
              <w:pStyle w:val="Style28"/>
              <w:keepNext w:val="0"/>
              <w:keepLines w:val="0"/>
              <w:framePr w:w="8371" w:h="4512" w:hSpace="653" w:wrap="notBeside" w:vAnchor="text" w:hAnchor="text" w:x="654" w:y="1"/>
              <w:widowControl w:val="0"/>
              <w:shd w:val="clear" w:color="auto" w:fill="auto"/>
              <w:bidi w:val="0"/>
              <w:spacing w:before="0" w:after="0" w:line="240" w:lineRule="auto"/>
              <w:ind w:left="1620" w:right="0" w:firstLine="0"/>
              <w:jc w:val="left"/>
              <w:rPr>
                <w:sz w:val="24"/>
                <w:szCs w:val="24"/>
              </w:rPr>
            </w:pPr>
            <w:r>
              <w:rPr>
                <w:rFonts w:ascii="Times New Roman" w:eastAsia="Times New Roman" w:hAnsi="Times New Roman" w:cs="Times New Roman"/>
                <w:color w:val="000000"/>
                <w:spacing w:val="0"/>
                <w:w w:val="100"/>
                <w:position w:val="0"/>
                <w:sz w:val="24"/>
                <w:szCs w:val="24"/>
              </w:rPr>
              <w:t>(9,138)</w:t>
            </w:r>
          </w:p>
        </w:tc>
      </w:tr>
      <w:tr>
        <w:trPr>
          <w:trHeight w:val="293" w:hRule="exact"/>
        </w:trPr>
        <w:tc>
          <w:tcPr>
            <w:tcBorders/>
            <w:shd w:val="clear" w:color="auto" w:fill="FFFFFF"/>
            <w:vAlign w:val="top"/>
          </w:tcPr>
          <w:p>
            <w:pPr>
              <w:framePr w:w="8371" w:h="4512" w:hSpace="653" w:wrap="notBeside" w:vAnchor="text" w:hAnchor="text" w:x="654" w:y="1"/>
              <w:widowControl w:val="0"/>
              <w:rPr>
                <w:sz w:val="10"/>
                <w:szCs w:val="10"/>
              </w:rPr>
            </w:pPr>
          </w:p>
        </w:tc>
        <w:tc>
          <w:tcPr>
            <w:tcBorders>
              <w:top w:val="single" w:sz="4"/>
            </w:tcBorders>
            <w:shd w:val="clear" w:color="auto" w:fill="FFFFFF"/>
            <w:vAlign w:val="bottom"/>
          </w:tcPr>
          <w:p>
            <w:pPr>
              <w:pStyle w:val="Style28"/>
              <w:keepNext w:val="0"/>
              <w:keepLines w:val="0"/>
              <w:framePr w:w="8371" w:h="4512" w:hSpace="653" w:wrap="notBeside" w:vAnchor="text" w:hAnchor="text" w:x="654" w:y="1"/>
              <w:widowControl w:val="0"/>
              <w:shd w:val="clear" w:color="auto" w:fill="auto"/>
              <w:bidi w:val="0"/>
              <w:spacing w:before="0" w:after="0" w:line="240" w:lineRule="auto"/>
              <w:ind w:left="1420" w:right="0" w:firstLine="0"/>
              <w:jc w:val="left"/>
              <w:rPr>
                <w:sz w:val="24"/>
                <w:szCs w:val="24"/>
              </w:rPr>
            </w:pPr>
            <w:r>
              <w:rPr>
                <w:rFonts w:ascii="Times New Roman" w:eastAsia="Times New Roman" w:hAnsi="Times New Roman" w:cs="Times New Roman"/>
                <w:color w:val="000000"/>
                <w:spacing w:val="0"/>
                <w:w w:val="100"/>
                <w:position w:val="0"/>
                <w:sz w:val="24"/>
                <w:szCs w:val="24"/>
              </w:rPr>
              <w:t>15,375,335</w:t>
            </w:r>
          </w:p>
        </w:tc>
        <w:tc>
          <w:tcPr>
            <w:tcBorders>
              <w:top w:val="single" w:sz="4"/>
            </w:tcBorders>
            <w:shd w:val="clear" w:color="auto" w:fill="FFFFFF"/>
            <w:vAlign w:val="bottom"/>
          </w:tcPr>
          <w:p>
            <w:pPr>
              <w:pStyle w:val="Style28"/>
              <w:keepNext w:val="0"/>
              <w:keepLines w:val="0"/>
              <w:framePr w:w="8371" w:h="4512" w:hSpace="653" w:wrap="notBeside" w:vAnchor="text" w:hAnchor="text" w:x="654" w:y="1"/>
              <w:widowControl w:val="0"/>
              <w:shd w:val="clear" w:color="auto" w:fill="auto"/>
              <w:bidi w:val="0"/>
              <w:spacing w:before="0" w:after="0" w:line="240" w:lineRule="auto"/>
              <w:ind w:left="1180" w:right="0" w:firstLine="0"/>
              <w:jc w:val="both"/>
              <w:rPr>
                <w:sz w:val="24"/>
                <w:szCs w:val="24"/>
              </w:rPr>
            </w:pPr>
            <w:r>
              <w:rPr>
                <w:rFonts w:ascii="Times New Roman" w:eastAsia="Times New Roman" w:hAnsi="Times New Roman" w:cs="Times New Roman"/>
                <w:color w:val="000000"/>
                <w:spacing w:val="0"/>
                <w:w w:val="100"/>
                <w:position w:val="0"/>
                <w:sz w:val="24"/>
                <w:szCs w:val="24"/>
              </w:rPr>
              <w:t>24,689,195</w:t>
            </w:r>
          </w:p>
        </w:tc>
      </w:tr>
      <w:tr>
        <w:trPr>
          <w:trHeight w:val="696" w:hRule="exact"/>
        </w:trPr>
        <w:tc>
          <w:tcPr>
            <w:tcBorders/>
            <w:shd w:val="clear" w:color="auto" w:fill="FFFFFF"/>
            <w:vAlign w:val="center"/>
          </w:tcPr>
          <w:p>
            <w:pPr>
              <w:pStyle w:val="Style28"/>
              <w:keepNext w:val="0"/>
              <w:keepLines w:val="0"/>
              <w:framePr w:w="8371" w:h="4512" w:hSpace="653" w:wrap="notBeside" w:vAnchor="text" w:hAnchor="text" w:x="654" w:y="1"/>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应收账款账龄分析如下：</w:t>
            </w:r>
          </w:p>
        </w:tc>
        <w:tc>
          <w:tcPr>
            <w:tcBorders>
              <w:top w:val="single" w:sz="4"/>
            </w:tcBorders>
            <w:shd w:val="clear" w:color="auto" w:fill="FFFFFF"/>
            <w:vAlign w:val="top"/>
          </w:tcPr>
          <w:p>
            <w:pPr>
              <w:framePr w:w="8371" w:h="4512" w:hSpace="653" w:wrap="notBeside" w:vAnchor="text" w:hAnchor="text" w:x="654" w:y="1"/>
              <w:widowControl w:val="0"/>
              <w:rPr>
                <w:sz w:val="10"/>
                <w:szCs w:val="10"/>
              </w:rPr>
            </w:pPr>
          </w:p>
        </w:tc>
        <w:tc>
          <w:tcPr>
            <w:tcBorders>
              <w:top w:val="single" w:sz="4"/>
            </w:tcBorders>
            <w:shd w:val="clear" w:color="auto" w:fill="FFFFFF"/>
            <w:vAlign w:val="top"/>
          </w:tcPr>
          <w:p>
            <w:pPr>
              <w:framePr w:w="8371" w:h="4512" w:hSpace="653" w:wrap="notBeside" w:vAnchor="text" w:hAnchor="text" w:x="654" w:y="1"/>
              <w:widowControl w:val="0"/>
              <w:rPr>
                <w:sz w:val="10"/>
                <w:szCs w:val="10"/>
              </w:rPr>
            </w:pPr>
          </w:p>
        </w:tc>
      </w:tr>
      <w:tr>
        <w:trPr>
          <w:trHeight w:val="590" w:hRule="exact"/>
        </w:trPr>
        <w:tc>
          <w:tcPr>
            <w:tcBorders/>
            <w:shd w:val="clear" w:color="auto" w:fill="FFFFFF"/>
            <w:vAlign w:val="top"/>
          </w:tcPr>
          <w:p>
            <w:pPr>
              <w:framePr w:w="8371" w:h="4512" w:hSpace="653" w:wrap="notBeside" w:vAnchor="text" w:hAnchor="text" w:x="654" w:y="1"/>
              <w:widowControl w:val="0"/>
              <w:rPr>
                <w:sz w:val="10"/>
                <w:szCs w:val="10"/>
              </w:rPr>
            </w:pPr>
          </w:p>
        </w:tc>
        <w:tc>
          <w:tcPr>
            <w:tcBorders/>
            <w:shd w:val="clear" w:color="auto" w:fill="FFFFFF"/>
            <w:vAlign w:val="center"/>
          </w:tcPr>
          <w:p>
            <w:pPr>
              <w:pStyle w:val="Style28"/>
              <w:keepNext w:val="0"/>
              <w:keepLines w:val="0"/>
              <w:framePr w:w="8371" w:h="4512" w:hSpace="653" w:wrap="notBeside" w:vAnchor="text" w:hAnchor="text" w:x="654" w:y="1"/>
              <w:widowControl w:val="0"/>
              <w:shd w:val="clear" w:color="auto" w:fill="auto"/>
              <w:bidi w:val="0"/>
              <w:spacing w:before="0" w:after="0" w:line="240" w:lineRule="auto"/>
              <w:ind w:left="0" w:right="0" w:firstLine="580"/>
              <w:jc w:val="left"/>
              <w:rPr>
                <w:sz w:val="24"/>
                <w:szCs w:val="24"/>
              </w:rPr>
            </w:pP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w:t>
            </w:r>
          </w:p>
        </w:tc>
        <w:tc>
          <w:tcPr>
            <w:tcBorders/>
            <w:shd w:val="clear" w:color="auto" w:fill="FFFFFF"/>
            <w:vAlign w:val="center"/>
          </w:tcPr>
          <w:p>
            <w:pPr>
              <w:pStyle w:val="Style28"/>
              <w:keepNext w:val="0"/>
              <w:keepLines w:val="0"/>
              <w:framePr w:w="8371" w:h="4512" w:hSpace="653" w:wrap="notBeside" w:vAnchor="text" w:hAnchor="text" w:x="654" w:y="1"/>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2015</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w:t>
            </w:r>
          </w:p>
        </w:tc>
      </w:tr>
      <w:tr>
        <w:trPr>
          <w:trHeight w:val="446" w:hRule="exact"/>
        </w:trPr>
        <w:tc>
          <w:tcPr>
            <w:tcBorders/>
            <w:shd w:val="clear" w:color="auto" w:fill="FFFFFF"/>
            <w:vAlign w:val="bottom"/>
          </w:tcPr>
          <w:p>
            <w:pPr>
              <w:pStyle w:val="Style28"/>
              <w:keepNext w:val="0"/>
              <w:keepLines w:val="0"/>
              <w:framePr w:w="8371" w:h="4512" w:hSpace="653" w:wrap="notBeside" w:vAnchor="text" w:hAnchor="text" w:x="654" w:y="1"/>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一年以内</w:t>
            </w:r>
          </w:p>
        </w:tc>
        <w:tc>
          <w:tcPr>
            <w:tcBorders/>
            <w:shd w:val="clear" w:color="auto" w:fill="FFFFFF"/>
            <w:vAlign w:val="bottom"/>
          </w:tcPr>
          <w:p>
            <w:pPr>
              <w:pStyle w:val="Style28"/>
              <w:keepNext w:val="0"/>
              <w:keepLines w:val="0"/>
              <w:framePr w:w="8371" w:h="4512" w:hSpace="653" w:wrap="notBeside" w:vAnchor="text" w:hAnchor="text" w:x="654" w:y="1"/>
              <w:widowControl w:val="0"/>
              <w:shd w:val="clear" w:color="auto" w:fill="auto"/>
              <w:bidi w:val="0"/>
              <w:spacing w:before="0" w:after="0" w:line="240" w:lineRule="auto"/>
              <w:ind w:left="1420" w:right="0" w:firstLine="0"/>
              <w:jc w:val="left"/>
              <w:rPr>
                <w:sz w:val="24"/>
                <w:szCs w:val="24"/>
              </w:rPr>
            </w:pPr>
            <w:r>
              <w:rPr>
                <w:rFonts w:ascii="Times New Roman" w:eastAsia="Times New Roman" w:hAnsi="Times New Roman" w:cs="Times New Roman"/>
                <w:color w:val="000000"/>
                <w:spacing w:val="0"/>
                <w:w w:val="100"/>
                <w:position w:val="0"/>
                <w:sz w:val="24"/>
                <w:szCs w:val="24"/>
              </w:rPr>
              <w:t>15,367,363</w:t>
            </w:r>
          </w:p>
        </w:tc>
        <w:tc>
          <w:tcPr>
            <w:tcBorders/>
            <w:shd w:val="clear" w:color="auto" w:fill="FFFFFF"/>
            <w:vAlign w:val="bottom"/>
          </w:tcPr>
          <w:p>
            <w:pPr>
              <w:pStyle w:val="Style28"/>
              <w:keepNext w:val="0"/>
              <w:keepLines w:val="0"/>
              <w:framePr w:w="8371" w:h="4512" w:hSpace="653" w:wrap="notBeside" w:vAnchor="text" w:hAnchor="text" w:x="654" w:y="1"/>
              <w:widowControl w:val="0"/>
              <w:shd w:val="clear" w:color="auto" w:fill="auto"/>
              <w:bidi w:val="0"/>
              <w:spacing w:before="0" w:after="0" w:line="240" w:lineRule="auto"/>
              <w:ind w:left="1180" w:right="0" w:firstLine="0"/>
              <w:jc w:val="both"/>
              <w:rPr>
                <w:sz w:val="24"/>
                <w:szCs w:val="24"/>
              </w:rPr>
            </w:pPr>
            <w:r>
              <w:rPr>
                <w:rFonts w:ascii="Times New Roman" w:eastAsia="Times New Roman" w:hAnsi="Times New Roman" w:cs="Times New Roman"/>
                <w:color w:val="000000"/>
                <w:spacing w:val="0"/>
                <w:w w:val="100"/>
                <w:position w:val="0"/>
                <w:sz w:val="24"/>
                <w:szCs w:val="24"/>
              </w:rPr>
              <w:t>24,663,224</w:t>
            </w:r>
          </w:p>
        </w:tc>
      </w:tr>
      <w:tr>
        <w:trPr>
          <w:trHeight w:val="312" w:hRule="exact"/>
        </w:trPr>
        <w:tc>
          <w:tcPr>
            <w:tcBorders/>
            <w:shd w:val="clear" w:color="auto" w:fill="FFFFFF"/>
            <w:vAlign w:val="bottom"/>
          </w:tcPr>
          <w:p>
            <w:pPr>
              <w:pStyle w:val="Style28"/>
              <w:keepNext w:val="0"/>
              <w:keepLines w:val="0"/>
              <w:framePr w:w="8371" w:h="4512" w:hSpace="653" w:wrap="notBeside" w:vAnchor="text" w:hAnchor="text" w:x="654" w:y="1"/>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一到二年</w:t>
            </w:r>
          </w:p>
        </w:tc>
        <w:tc>
          <w:tcPr>
            <w:tcBorders/>
            <w:shd w:val="clear" w:color="auto" w:fill="FFFFFF"/>
            <w:vAlign w:val="bottom"/>
          </w:tcPr>
          <w:p>
            <w:pPr>
              <w:pStyle w:val="Style28"/>
              <w:keepNext w:val="0"/>
              <w:keepLines w:val="0"/>
              <w:framePr w:w="8371" w:h="4512" w:hSpace="653" w:wrap="notBeside" w:vAnchor="text" w:hAnchor="text" w:x="654" w:y="1"/>
              <w:widowControl w:val="0"/>
              <w:shd w:val="clear" w:color="auto" w:fill="auto"/>
              <w:bidi w:val="0"/>
              <w:spacing w:before="0" w:after="0" w:line="240" w:lineRule="auto"/>
              <w:ind w:left="1900" w:right="0" w:firstLine="0"/>
              <w:jc w:val="left"/>
              <w:rPr>
                <w:sz w:val="24"/>
                <w:szCs w:val="24"/>
              </w:rPr>
            </w:pPr>
            <w:r>
              <w:rPr>
                <w:rFonts w:ascii="Times New Roman" w:eastAsia="Times New Roman" w:hAnsi="Times New Roman" w:cs="Times New Roman"/>
                <w:color w:val="000000"/>
                <w:spacing w:val="0"/>
                <w:w w:val="100"/>
                <w:position w:val="0"/>
                <w:sz w:val="24"/>
                <w:szCs w:val="24"/>
              </w:rPr>
              <w:t>8,672</w:t>
            </w:r>
          </w:p>
        </w:tc>
        <w:tc>
          <w:tcPr>
            <w:tcBorders/>
            <w:shd w:val="clear" w:color="auto" w:fill="FFFFFF"/>
            <w:vAlign w:val="bottom"/>
          </w:tcPr>
          <w:p>
            <w:pPr>
              <w:pStyle w:val="Style28"/>
              <w:keepNext w:val="0"/>
              <w:keepLines w:val="0"/>
              <w:framePr w:w="8371" w:h="4512" w:hSpace="653" w:wrap="notBeside" w:vAnchor="text" w:hAnchor="text" w:x="654" w:y="1"/>
              <w:widowControl w:val="0"/>
              <w:shd w:val="clear" w:color="auto" w:fill="auto"/>
              <w:bidi w:val="0"/>
              <w:spacing w:before="0" w:after="0" w:line="240" w:lineRule="auto"/>
              <w:ind w:left="1620" w:right="0" w:firstLine="0"/>
              <w:jc w:val="both"/>
              <w:rPr>
                <w:sz w:val="24"/>
                <w:szCs w:val="24"/>
              </w:rPr>
            </w:pPr>
            <w:r>
              <w:rPr>
                <w:rFonts w:ascii="Times New Roman" w:eastAsia="Times New Roman" w:hAnsi="Times New Roman" w:cs="Times New Roman"/>
                <w:color w:val="000000"/>
                <w:spacing w:val="0"/>
                <w:w w:val="100"/>
                <w:position w:val="0"/>
                <w:sz w:val="24"/>
                <w:szCs w:val="24"/>
              </w:rPr>
              <w:t>17,540</w:t>
            </w:r>
          </w:p>
        </w:tc>
      </w:tr>
      <w:tr>
        <w:trPr>
          <w:trHeight w:val="322" w:hRule="exact"/>
        </w:trPr>
        <w:tc>
          <w:tcPr>
            <w:tcBorders/>
            <w:shd w:val="clear" w:color="auto" w:fill="FFFFFF"/>
            <w:vAlign w:val="bottom"/>
          </w:tcPr>
          <w:p>
            <w:pPr>
              <w:pStyle w:val="Style28"/>
              <w:keepNext w:val="0"/>
              <w:keepLines w:val="0"/>
              <w:framePr w:w="8371" w:h="4512" w:hSpace="653" w:wrap="notBeside" w:vAnchor="text" w:hAnchor="text" w:x="654" w:y="1"/>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二到三年</w:t>
            </w:r>
          </w:p>
        </w:tc>
        <w:tc>
          <w:tcPr>
            <w:tcBorders/>
            <w:shd w:val="clear" w:color="auto" w:fill="FFFFFF"/>
            <w:vAlign w:val="bottom"/>
          </w:tcPr>
          <w:p>
            <w:pPr>
              <w:pStyle w:val="Style28"/>
              <w:keepNext w:val="0"/>
              <w:keepLines w:val="0"/>
              <w:framePr w:w="8371" w:h="4512" w:hSpace="653" w:wrap="notBeside" w:vAnchor="text" w:hAnchor="text" w:x="654" w:y="1"/>
              <w:widowControl w:val="0"/>
              <w:shd w:val="clear" w:color="auto" w:fill="auto"/>
              <w:bidi w:val="0"/>
              <w:spacing w:before="0" w:after="0" w:line="240" w:lineRule="auto"/>
              <w:ind w:left="1900" w:right="0" w:firstLine="0"/>
              <w:jc w:val="left"/>
              <w:rPr>
                <w:sz w:val="24"/>
                <w:szCs w:val="24"/>
              </w:rPr>
            </w:pPr>
            <w:r>
              <w:rPr>
                <w:rFonts w:ascii="Times New Roman" w:eastAsia="Times New Roman" w:hAnsi="Times New Roman" w:cs="Times New Roman"/>
                <w:color w:val="000000"/>
                <w:spacing w:val="0"/>
                <w:w w:val="100"/>
                <w:position w:val="0"/>
                <w:sz w:val="24"/>
                <w:szCs w:val="24"/>
              </w:rPr>
              <w:t>3,062</w:t>
            </w:r>
          </w:p>
        </w:tc>
        <w:tc>
          <w:tcPr>
            <w:tcBorders/>
            <w:shd w:val="clear" w:color="auto" w:fill="FFFFFF"/>
            <w:vAlign w:val="bottom"/>
          </w:tcPr>
          <w:p>
            <w:pPr>
              <w:pStyle w:val="Style28"/>
              <w:keepNext w:val="0"/>
              <w:keepLines w:val="0"/>
              <w:framePr w:w="8371" w:h="4512" w:hSpace="653" w:wrap="notBeside" w:vAnchor="text" w:hAnchor="text" w:x="654" w:y="1"/>
              <w:widowControl w:val="0"/>
              <w:shd w:val="clear" w:color="auto" w:fill="auto"/>
              <w:bidi w:val="0"/>
              <w:spacing w:before="0" w:after="0" w:line="240" w:lineRule="auto"/>
              <w:ind w:left="1620" w:right="0" w:firstLine="0"/>
              <w:jc w:val="both"/>
              <w:rPr>
                <w:sz w:val="24"/>
                <w:szCs w:val="24"/>
              </w:rPr>
            </w:pPr>
            <w:r>
              <w:rPr>
                <w:rFonts w:ascii="Times New Roman" w:eastAsia="Times New Roman" w:hAnsi="Times New Roman" w:cs="Times New Roman"/>
                <w:color w:val="000000"/>
                <w:spacing w:val="0"/>
                <w:w w:val="100"/>
                <w:position w:val="0"/>
                <w:sz w:val="24"/>
                <w:szCs w:val="24"/>
              </w:rPr>
              <w:t>14,232</w:t>
            </w:r>
          </w:p>
        </w:tc>
      </w:tr>
      <w:tr>
        <w:trPr>
          <w:trHeight w:val="302" w:hRule="exact"/>
        </w:trPr>
        <w:tc>
          <w:tcPr>
            <w:tcBorders/>
            <w:shd w:val="clear" w:color="auto" w:fill="FFFFFF"/>
            <w:vAlign w:val="bottom"/>
          </w:tcPr>
          <w:p>
            <w:pPr>
              <w:pStyle w:val="Style28"/>
              <w:keepNext w:val="0"/>
              <w:keepLines w:val="0"/>
              <w:framePr w:w="8371" w:h="4512" w:hSpace="653" w:wrap="notBeside" w:vAnchor="text" w:hAnchor="text" w:x="654" w:y="1"/>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三到四年</w:t>
            </w:r>
          </w:p>
        </w:tc>
        <w:tc>
          <w:tcPr>
            <w:tcBorders/>
            <w:shd w:val="clear" w:color="auto" w:fill="FFFFFF"/>
            <w:vAlign w:val="bottom"/>
          </w:tcPr>
          <w:p>
            <w:pPr>
              <w:pStyle w:val="Style28"/>
              <w:keepNext w:val="0"/>
              <w:keepLines w:val="0"/>
              <w:framePr w:w="8371" w:h="4512" w:hSpace="653" w:wrap="notBeside" w:vAnchor="text" w:hAnchor="text" w:x="654" w:y="1"/>
              <w:widowControl w:val="0"/>
              <w:shd w:val="clear" w:color="auto" w:fill="auto"/>
              <w:bidi w:val="0"/>
              <w:spacing w:before="0" w:after="0" w:line="240" w:lineRule="auto"/>
              <w:ind w:left="2140" w:right="0" w:firstLine="0"/>
              <w:jc w:val="left"/>
              <w:rPr>
                <w:sz w:val="24"/>
                <w:szCs w:val="24"/>
              </w:rPr>
            </w:pPr>
            <w:r>
              <w:rPr>
                <w:rFonts w:ascii="Times New Roman" w:eastAsia="Times New Roman" w:hAnsi="Times New Roman" w:cs="Times New Roman"/>
                <w:color w:val="000000"/>
                <w:spacing w:val="0"/>
                <w:w w:val="100"/>
                <w:position w:val="0"/>
                <w:sz w:val="24"/>
                <w:szCs w:val="24"/>
              </w:rPr>
              <w:t>388</w:t>
            </w:r>
          </w:p>
        </w:tc>
        <w:tc>
          <w:tcPr>
            <w:tcBorders/>
            <w:shd w:val="clear" w:color="auto" w:fill="FFFFFF"/>
            <w:vAlign w:val="bottom"/>
          </w:tcPr>
          <w:p>
            <w:pPr>
              <w:pStyle w:val="Style28"/>
              <w:keepNext w:val="0"/>
              <w:keepLines w:val="0"/>
              <w:framePr w:w="8371" w:h="4512" w:hSpace="653" w:wrap="notBeside" w:vAnchor="text" w:hAnchor="text" w:x="654" w:y="1"/>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2,126</w:t>
            </w:r>
          </w:p>
        </w:tc>
      </w:tr>
      <w:tr>
        <w:trPr>
          <w:trHeight w:val="312" w:hRule="exact"/>
        </w:trPr>
        <w:tc>
          <w:tcPr>
            <w:tcBorders/>
            <w:shd w:val="clear" w:color="auto" w:fill="FFFFFF"/>
            <w:vAlign w:val="bottom"/>
          </w:tcPr>
          <w:p>
            <w:pPr>
              <w:pStyle w:val="Style28"/>
              <w:keepNext w:val="0"/>
              <w:keepLines w:val="0"/>
              <w:framePr w:w="8371" w:h="4512" w:hSpace="653" w:wrap="notBeside" w:vAnchor="text" w:hAnchor="text" w:x="654" w:y="1"/>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四到五年</w:t>
            </w:r>
          </w:p>
        </w:tc>
        <w:tc>
          <w:tcPr>
            <w:tcBorders/>
            <w:shd w:val="clear" w:color="auto" w:fill="FFFFFF"/>
            <w:vAlign w:val="bottom"/>
          </w:tcPr>
          <w:p>
            <w:pPr>
              <w:pStyle w:val="Style28"/>
              <w:keepNext w:val="0"/>
              <w:keepLines w:val="0"/>
              <w:framePr w:w="8371" w:h="4512" w:hSpace="653" w:wrap="notBeside" w:vAnchor="text" w:hAnchor="text" w:x="654" w:y="1"/>
              <w:widowControl w:val="0"/>
              <w:shd w:val="clear" w:color="auto" w:fill="auto"/>
              <w:bidi w:val="0"/>
              <w:spacing w:before="0" w:after="0" w:line="240" w:lineRule="auto"/>
              <w:ind w:left="1900" w:right="0" w:firstLine="0"/>
              <w:jc w:val="left"/>
              <w:rPr>
                <w:sz w:val="24"/>
                <w:szCs w:val="24"/>
              </w:rPr>
            </w:pPr>
            <w:r>
              <w:rPr>
                <w:rFonts w:ascii="Times New Roman" w:eastAsia="Times New Roman" w:hAnsi="Times New Roman" w:cs="Times New Roman"/>
                <w:color w:val="000000"/>
                <w:spacing w:val="0"/>
                <w:w w:val="100"/>
                <w:position w:val="0"/>
                <w:sz w:val="24"/>
                <w:szCs w:val="24"/>
              </w:rPr>
              <w:t>1,821</w:t>
            </w:r>
          </w:p>
        </w:tc>
        <w:tc>
          <w:tcPr>
            <w:tcBorders/>
            <w:shd w:val="clear" w:color="auto" w:fill="FFFFFF"/>
            <w:vAlign w:val="bottom"/>
          </w:tcPr>
          <w:p>
            <w:pPr>
              <w:pStyle w:val="Style28"/>
              <w:keepNext w:val="0"/>
              <w:keepLines w:val="0"/>
              <w:framePr w:w="8371" w:h="4512" w:hSpace="653" w:wrap="notBeside" w:vAnchor="text" w:hAnchor="text" w:x="654" w:y="1"/>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1,055</w:t>
            </w:r>
          </w:p>
        </w:tc>
      </w:tr>
      <w:tr>
        <w:trPr>
          <w:trHeight w:val="312" w:hRule="exact"/>
        </w:trPr>
        <w:tc>
          <w:tcPr>
            <w:tcBorders/>
            <w:shd w:val="clear" w:color="auto" w:fill="FFFFFF"/>
            <w:vAlign w:val="top"/>
          </w:tcPr>
          <w:p>
            <w:pPr>
              <w:pStyle w:val="Style28"/>
              <w:keepNext w:val="0"/>
              <w:keepLines w:val="0"/>
              <w:framePr w:w="8371" w:h="4512" w:hSpace="653" w:wrap="notBeside" w:vAnchor="text" w:hAnchor="text" w:x="654" w:y="1"/>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五年以上</w:t>
            </w:r>
          </w:p>
        </w:tc>
        <w:tc>
          <w:tcPr>
            <w:tcBorders/>
            <w:shd w:val="clear" w:color="auto" w:fill="FFFFFF"/>
            <w:vAlign w:val="top"/>
          </w:tcPr>
          <w:p>
            <w:pPr>
              <w:pStyle w:val="Style28"/>
              <w:keepNext w:val="0"/>
              <w:keepLines w:val="0"/>
              <w:framePr w:w="8371" w:h="4512" w:hSpace="653" w:wrap="notBeside" w:vAnchor="text" w:hAnchor="text" w:x="654" w:y="1"/>
              <w:widowControl w:val="0"/>
              <w:shd w:val="clear" w:color="auto" w:fill="auto"/>
              <w:bidi w:val="0"/>
              <w:spacing w:before="0" w:after="0" w:line="240" w:lineRule="auto"/>
              <w:ind w:left="2140" w:right="0" w:firstLine="0"/>
              <w:jc w:val="left"/>
              <w:rPr>
                <w:sz w:val="24"/>
                <w:szCs w:val="24"/>
              </w:rPr>
            </w:pPr>
            <w:r>
              <w:rPr>
                <w:rFonts w:ascii="Times New Roman" w:eastAsia="Times New Roman" w:hAnsi="Times New Roman" w:cs="Times New Roman"/>
                <w:color w:val="000000"/>
                <w:spacing w:val="0"/>
                <w:w w:val="100"/>
                <w:position w:val="0"/>
                <w:sz w:val="24"/>
                <w:szCs w:val="24"/>
              </w:rPr>
              <w:t>673</w:t>
            </w:r>
          </w:p>
        </w:tc>
        <w:tc>
          <w:tcPr>
            <w:tcBorders/>
            <w:shd w:val="clear" w:color="auto" w:fill="FFFFFF"/>
            <w:vAlign w:val="top"/>
          </w:tcPr>
          <w:p>
            <w:pPr>
              <w:pStyle w:val="Style28"/>
              <w:keepNext w:val="0"/>
              <w:keepLines w:val="0"/>
              <w:framePr w:w="8371" w:h="4512" w:hSpace="653" w:wrap="notBeside" w:vAnchor="text" w:hAnchor="text" w:x="654" w:y="1"/>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156</w:t>
            </w:r>
          </w:p>
        </w:tc>
      </w:tr>
      <w:tr>
        <w:trPr>
          <w:trHeight w:val="312" w:hRule="exact"/>
        </w:trPr>
        <w:tc>
          <w:tcPr>
            <w:tcBorders/>
            <w:shd w:val="clear" w:color="auto" w:fill="FFFFFF"/>
            <w:vAlign w:val="top"/>
          </w:tcPr>
          <w:p>
            <w:pPr>
              <w:framePr w:w="8371" w:h="4512" w:hSpace="653" w:wrap="notBeside" w:vAnchor="text" w:hAnchor="text" w:x="654" w:y="1"/>
              <w:widowControl w:val="0"/>
              <w:rPr>
                <w:sz w:val="10"/>
                <w:szCs w:val="10"/>
              </w:rPr>
            </w:pPr>
          </w:p>
        </w:tc>
        <w:tc>
          <w:tcPr>
            <w:tcBorders>
              <w:top w:val="single" w:sz="4"/>
              <w:bottom w:val="single" w:sz="4"/>
            </w:tcBorders>
            <w:shd w:val="clear" w:color="auto" w:fill="FFFFFF"/>
            <w:vAlign w:val="bottom"/>
          </w:tcPr>
          <w:p>
            <w:pPr>
              <w:pStyle w:val="Style28"/>
              <w:keepNext w:val="0"/>
              <w:keepLines w:val="0"/>
              <w:framePr w:w="8371" w:h="4512" w:hSpace="653" w:wrap="notBeside" w:vAnchor="text" w:hAnchor="text" w:x="654" w:y="1"/>
              <w:widowControl w:val="0"/>
              <w:shd w:val="clear" w:color="auto" w:fill="auto"/>
              <w:bidi w:val="0"/>
              <w:spacing w:before="0" w:after="0" w:line="240" w:lineRule="auto"/>
              <w:ind w:left="1420" w:right="0" w:firstLine="0"/>
              <w:jc w:val="left"/>
              <w:rPr>
                <w:sz w:val="24"/>
                <w:szCs w:val="24"/>
              </w:rPr>
            </w:pPr>
            <w:r>
              <w:rPr>
                <w:rFonts w:ascii="Times New Roman" w:eastAsia="Times New Roman" w:hAnsi="Times New Roman" w:cs="Times New Roman"/>
                <w:color w:val="000000"/>
                <w:spacing w:val="0"/>
                <w:w w:val="100"/>
                <w:position w:val="0"/>
                <w:sz w:val="24"/>
                <w:szCs w:val="24"/>
              </w:rPr>
              <w:t>15,381,979</w:t>
            </w:r>
          </w:p>
        </w:tc>
        <w:tc>
          <w:tcPr>
            <w:tcBorders>
              <w:top w:val="single" w:sz="4"/>
              <w:bottom w:val="single" w:sz="4"/>
            </w:tcBorders>
            <w:shd w:val="clear" w:color="auto" w:fill="FFFFFF"/>
            <w:vAlign w:val="bottom"/>
          </w:tcPr>
          <w:p>
            <w:pPr>
              <w:pStyle w:val="Style28"/>
              <w:keepNext w:val="0"/>
              <w:keepLines w:val="0"/>
              <w:framePr w:w="8371" w:h="4512" w:hSpace="653" w:wrap="notBeside" w:vAnchor="text" w:hAnchor="text" w:x="654" w:y="1"/>
              <w:widowControl w:val="0"/>
              <w:shd w:val="clear" w:color="auto" w:fill="auto"/>
              <w:bidi w:val="0"/>
              <w:spacing w:before="0" w:after="0" w:line="240" w:lineRule="auto"/>
              <w:ind w:left="1180" w:right="0" w:firstLine="0"/>
              <w:jc w:val="both"/>
              <w:rPr>
                <w:sz w:val="24"/>
                <w:szCs w:val="24"/>
              </w:rPr>
            </w:pPr>
            <w:r>
              <w:rPr>
                <w:rFonts w:ascii="Times New Roman" w:eastAsia="Times New Roman" w:hAnsi="Times New Roman" w:cs="Times New Roman"/>
                <w:color w:val="000000"/>
                <w:spacing w:val="0"/>
                <w:w w:val="100"/>
                <w:position w:val="0"/>
                <w:sz w:val="24"/>
                <w:szCs w:val="24"/>
              </w:rPr>
              <w:t>24,698,333</w:t>
            </w:r>
          </w:p>
        </w:tc>
      </w:tr>
    </w:tbl>
    <w:p>
      <w:pPr>
        <w:pStyle w:val="Style25"/>
        <w:keepNext w:val="0"/>
        <w:keepLines w:val="0"/>
        <w:framePr w:w="302" w:h="350" w:hSpace="8722" w:wrap="notBeside" w:vAnchor="text" w:hAnchor="text" w:y="1139"/>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(a)</w:t>
      </w:r>
    </w:p>
    <w:p>
      <w:pPr>
        <w:widowControl w:val="0"/>
        <w:spacing w:line="1" w:lineRule="exact"/>
      </w:pPr>
    </w:p>
    <w:p>
      <w:pPr>
        <w:pStyle w:val="Style32"/>
        <w:keepNext w:val="0"/>
        <w:keepLines w:val="0"/>
        <w:widowControl w:val="0"/>
        <w:shd w:val="clear" w:color="auto" w:fill="auto"/>
        <w:bidi w:val="0"/>
        <w:spacing w:before="0" w:after="260" w:line="326" w:lineRule="exact"/>
        <w:ind w:left="680" w:right="0" w:firstLine="20"/>
        <w:jc w:val="left"/>
        <w:rPr>
          <w:sz w:val="24"/>
          <w:szCs w:val="24"/>
        </w:rPr>
        <w:sectPr>
          <w:headerReference w:type="default" r:id="rId251"/>
          <w:footerReference w:type="default" r:id="rId252"/>
          <w:headerReference w:type="even" r:id="rId253"/>
          <w:footerReference w:type="even" r:id="rId254"/>
          <w:footnotePr>
            <w:pos w:val="pageBottom"/>
            <w:numFmt w:val="decimal"/>
            <w:numRestart w:val="continuous"/>
          </w:footnotePr>
          <w:pgSz w:w="11900" w:h="16840"/>
          <w:pgMar w:top="1354" w:right="1115" w:bottom="1354" w:left="1761" w:header="0" w:footer="3" w:gutter="0"/>
          <w:cols w:space="720"/>
          <w:noEndnote/>
          <w:rtlGutter w:val="0"/>
          <w:docGrid w:linePitch="360"/>
        </w:sectPr>
      </w:pPr>
      <w:r>
        <w:rPr>
          <w:color w:val="000000"/>
          <w:spacing w:val="0"/>
          <w:w w:val="100"/>
          <w:position w:val="0"/>
          <w:sz w:val="24"/>
          <w:szCs w:val="24"/>
        </w:rPr>
        <w:t>于</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日，本公司无已逾期未减值的应收账款</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 xml:space="preserve">31 </w:t>
      </w:r>
      <w:r>
        <w:rPr>
          <w:color w:val="000000"/>
          <w:spacing w:val="0"/>
          <w:w w:val="100"/>
          <w:position w:val="0"/>
          <w:sz w:val="24"/>
          <w:szCs w:val="24"/>
        </w:rPr>
        <w:t>日：无</w:t>
      </w:r>
      <w:r>
        <w:rPr>
          <w:color w:val="000000"/>
          <w:spacing w:val="0"/>
          <w:w w:val="100"/>
          <w:position w:val="0"/>
          <w:sz w:val="24"/>
          <w:szCs w:val="24"/>
        </w:rPr>
        <w:t>）</w:t>
      </w:r>
      <w:r>
        <w:rPr>
          <w:color w:val="000000"/>
          <w:spacing w:val="0"/>
          <w:w w:val="100"/>
          <w:position w:val="0"/>
          <w:sz w:val="24"/>
          <w:szCs w:val="24"/>
        </w:rPr>
        <w:t>。</w:t>
      </w:r>
    </w:p>
    <w:p>
      <w:pPr>
        <w:pStyle w:val="Style32"/>
        <w:keepNext w:val="0"/>
        <w:keepLines w:val="0"/>
        <w:widowControl w:val="0"/>
        <w:shd w:val="clear" w:color="auto" w:fill="auto"/>
        <w:bidi w:val="0"/>
        <w:spacing w:before="0" w:after="0" w:line="240" w:lineRule="auto"/>
        <w:ind w:left="0" w:right="0" w:firstLine="740"/>
        <w:jc w:val="left"/>
        <w:rPr>
          <w:sz w:val="24"/>
          <w:szCs w:val="24"/>
        </w:rPr>
      </w:pPr>
      <w:r>
        <w:rPr>
          <w:b/>
          <w:bCs/>
          <w:color w:val="000000"/>
          <w:spacing w:val="0"/>
          <w:w w:val="100"/>
          <w:position w:val="0"/>
          <w:sz w:val="24"/>
          <w:szCs w:val="24"/>
        </w:rPr>
        <w:t>财务报表附注</w:t>
      </w:r>
    </w:p>
    <w:p>
      <w:pPr>
        <w:pStyle w:val="Style88"/>
        <w:keepNext/>
        <w:keepLines/>
        <w:widowControl w:val="0"/>
        <w:shd w:val="clear" w:color="auto" w:fill="auto"/>
        <w:bidi w:val="0"/>
        <w:spacing w:before="0" w:after="0" w:line="240" w:lineRule="auto"/>
        <w:ind w:left="0" w:right="0" w:firstLine="740"/>
        <w:jc w:val="left"/>
      </w:pPr>
      <w:bookmarkStart w:id="1179" w:name="bookmark1179"/>
      <w:bookmarkStart w:id="1180" w:name="bookmark1180"/>
      <w:bookmarkStart w:id="1181" w:name="bookmark1181"/>
      <w:r>
        <w:rPr>
          <w:color w:val="000000"/>
          <w:spacing w:val="0"/>
          <w:w w:val="100"/>
          <w:position w:val="0"/>
          <w:sz w:val="24"/>
          <w:szCs w:val="24"/>
        </w:rPr>
        <w:t>2016</w:t>
      </w:r>
      <w:r>
        <w:rPr>
          <w:rFonts w:ascii="SimSun" w:eastAsia="SimSun" w:hAnsi="SimSun" w:cs="SimSun"/>
          <w:b/>
          <w:bCs/>
          <w:color w:val="000000"/>
          <w:spacing w:val="0"/>
          <w:w w:val="100"/>
          <w:position w:val="0"/>
          <w:sz w:val="24"/>
          <w:szCs w:val="24"/>
        </w:rPr>
        <w:t>年度</w:t>
      </w:r>
      <w:bookmarkEnd w:id="1179"/>
      <w:bookmarkEnd w:id="1180"/>
      <w:bookmarkEnd w:id="1181"/>
    </w:p>
    <w:p>
      <w:pPr>
        <w:pStyle w:val="Style32"/>
        <w:keepNext w:val="0"/>
        <w:keepLines w:val="0"/>
        <w:widowControl w:val="0"/>
        <w:shd w:val="clear" w:color="auto" w:fill="auto"/>
        <w:bidi w:val="0"/>
        <w:spacing w:before="0" w:after="260" w:line="240" w:lineRule="auto"/>
        <w:ind w:left="0" w:right="0" w:firstLine="740"/>
        <w:jc w:val="left"/>
        <w:rPr>
          <w:sz w:val="20"/>
          <w:szCs w:val="20"/>
        </w:rPr>
      </w:pPr>
      <w:r>
        <w:rPr>
          <w:rFonts w:ascii="Arial" w:eastAsia="Arial" w:hAnsi="Arial" w:cs="Arial"/>
          <w:color w:val="000000"/>
          <w:spacing w:val="0"/>
          <w:w w:val="100"/>
          <w:position w:val="0"/>
          <w:sz w:val="20"/>
          <w:szCs w:val="20"/>
        </w:rPr>
        <w:t>(</w:t>
      </w:r>
      <w:r>
        <w:rPr>
          <w:color w:val="000000"/>
          <w:spacing w:val="0"/>
          <w:w w:val="100"/>
          <w:position w:val="0"/>
          <w:sz w:val="20"/>
          <w:szCs w:val="20"/>
        </w:rPr>
        <w:t>除特别注明外，金额单位为人民币千元</w:t>
      </w:r>
      <w:r>
        <w:rPr>
          <w:rFonts w:ascii="Arial" w:eastAsia="Arial" w:hAnsi="Arial" w:cs="Arial"/>
          <w:color w:val="000000"/>
          <w:spacing w:val="0"/>
          <w:w w:val="100"/>
          <w:position w:val="0"/>
          <w:sz w:val="20"/>
          <w:szCs w:val="20"/>
        </w:rPr>
        <w:t>)</w:t>
      </w:r>
    </w:p>
    <w:p>
      <w:pPr>
        <w:pStyle w:val="Style32"/>
        <w:keepNext w:val="0"/>
        <w:keepLines w:val="0"/>
        <w:widowControl w:val="0"/>
        <w:shd w:val="clear" w:color="auto" w:fill="auto"/>
        <w:bidi w:val="0"/>
        <w:spacing w:before="0" w:after="260" w:line="240" w:lineRule="auto"/>
        <w:ind w:left="0" w:right="0" w:firstLine="0"/>
        <w:jc w:val="left"/>
        <w:rPr>
          <w:sz w:val="24"/>
          <w:szCs w:val="24"/>
        </w:rPr>
      </w:pPr>
      <w:r>
        <w:rPr>
          <w:b/>
          <w:bCs/>
          <w:color w:val="000000"/>
          <w:spacing w:val="0"/>
          <w:w w:val="100"/>
          <w:position w:val="0"/>
          <w:sz w:val="24"/>
          <w:szCs w:val="24"/>
        </w:rPr>
        <w:t>十七公司财务报表附注</w:t>
      </w:r>
      <w:r>
        <w:rPr>
          <w:rFonts w:ascii="Times New Roman" w:eastAsia="Times New Roman" w:hAnsi="Times New Roman" w:cs="Times New Roman"/>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4"/>
          <w:szCs w:val="24"/>
        </w:rPr>
        <w:t>)</w:t>
      </w:r>
    </w:p>
    <w:p>
      <w:pPr>
        <w:pStyle w:val="Style53"/>
        <w:keepNext w:val="0"/>
        <w:keepLines w:val="0"/>
        <w:widowControl w:val="0"/>
        <w:shd w:val="clear" w:color="auto" w:fill="auto"/>
        <w:tabs>
          <w:tab w:pos="646" w:val="left"/>
        </w:tabs>
        <w:bidi w:val="0"/>
        <w:spacing w:before="0" w:after="260" w:line="240" w:lineRule="auto"/>
        <w:ind w:left="0" w:right="0" w:firstLine="0"/>
        <w:jc w:val="left"/>
        <w:rPr>
          <w:sz w:val="24"/>
          <w:szCs w:val="24"/>
        </w:rPr>
      </w:pPr>
      <w:r>
        <w:rPr>
          <w:color w:val="000000"/>
          <w:spacing w:val="0"/>
          <w:w w:val="100"/>
          <w:position w:val="0"/>
          <w:sz w:val="24"/>
          <w:szCs w:val="24"/>
        </w:rPr>
        <w:t>(1)</w:t>
        <w:tab/>
      </w:r>
      <w:r>
        <w:rPr>
          <w:rFonts w:ascii="SimSun" w:eastAsia="SimSun" w:hAnsi="SimSun" w:cs="SimSun"/>
          <w:b/>
          <w:bCs/>
          <w:color w:val="000000"/>
          <w:spacing w:val="0"/>
          <w:w w:val="100"/>
          <w:position w:val="0"/>
          <w:sz w:val="24"/>
          <w:szCs w:val="24"/>
        </w:rPr>
        <w:t>应收账款</w:t>
      </w:r>
      <w:r>
        <w:rPr>
          <w:color w:val="000000"/>
          <w:spacing w:val="0"/>
          <w:w w:val="100"/>
          <w:position w:val="0"/>
          <w:sz w:val="24"/>
          <w:szCs w:val="24"/>
        </w:rPr>
        <w:t>(</w:t>
      </w:r>
      <w:r>
        <w:rPr>
          <w:rFonts w:ascii="SimSun" w:eastAsia="SimSun" w:hAnsi="SimSun" w:cs="SimSun"/>
          <w:b/>
          <w:bCs/>
          <w:color w:val="000000"/>
          <w:spacing w:val="0"/>
          <w:w w:val="100"/>
          <w:position w:val="0"/>
          <w:sz w:val="24"/>
          <w:szCs w:val="24"/>
        </w:rPr>
        <w:t>续</w:t>
      </w:r>
      <w:r>
        <w:rPr>
          <w:color w:val="000000"/>
          <w:spacing w:val="0"/>
          <w:w w:val="100"/>
          <w:position w:val="0"/>
          <w:sz w:val="24"/>
          <w:szCs w:val="24"/>
        </w:rPr>
        <w:t>)</w:t>
      </w:r>
    </w:p>
    <w:p>
      <w:pPr>
        <w:pStyle w:val="Style32"/>
        <w:keepNext w:val="0"/>
        <w:keepLines w:val="0"/>
        <w:widowControl w:val="0"/>
        <w:shd w:val="clear" w:color="auto" w:fill="auto"/>
        <w:tabs>
          <w:tab w:pos="646" w:val="left"/>
        </w:tabs>
        <w:bidi w:val="0"/>
        <w:spacing w:before="0" w:after="26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(b)</w:t>
        <w:tab/>
      </w:r>
      <w:r>
        <w:rPr>
          <w:color w:val="000000"/>
          <w:spacing w:val="0"/>
          <w:w w:val="100"/>
          <w:position w:val="0"/>
          <w:sz w:val="24"/>
          <w:szCs w:val="24"/>
        </w:rPr>
        <w:t>应收账款按类别分析如下:</w:t>
      </w:r>
    </w:p>
    <w:p>
      <w:pPr>
        <w:pStyle w:val="Style25"/>
        <w:keepNext w:val="0"/>
        <w:keepLines w:val="0"/>
        <w:widowControl w:val="0"/>
        <w:shd w:val="clear" w:color="auto" w:fill="auto"/>
        <w:tabs>
          <w:tab w:pos="3370" w:val="left"/>
        </w:tabs>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tab/>
      </w: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tbl>
      <w:tblPr>
        <w:tblOverlap w:val="never"/>
        <w:jc w:val="right"/>
        <w:tblLayout w:type="fixed"/>
      </w:tblPr>
      <w:tblGrid>
        <w:gridCol w:w="1766"/>
        <w:gridCol w:w="1051"/>
        <w:gridCol w:w="782"/>
        <w:gridCol w:w="787"/>
        <w:gridCol w:w="619"/>
        <w:gridCol w:w="1104"/>
        <w:gridCol w:w="797"/>
        <w:gridCol w:w="1291"/>
      </w:tblGrid>
      <w:tr>
        <w:trPr>
          <w:trHeight w:val="245" w:hRule="exact"/>
        </w:trPr>
        <w:tc>
          <w:tcPr>
            <w:vMerge w:val="restart"/>
            <w:tcBorders>
              <w:top w:val="single" w:sz="4"/>
            </w:tcBorders>
            <w:shd w:val="clear" w:color="auto" w:fill="FFFFFF"/>
            <w:vAlign w:val="top"/>
          </w:tcPr>
          <w:p>
            <w:pPr>
              <w:widowControl w:val="0"/>
              <w:rPr>
                <w:sz w:val="10"/>
                <w:szCs w:val="10"/>
              </w:rPr>
            </w:pPr>
          </w:p>
        </w:tc>
        <w:tc>
          <w:tcPr>
            <w:gridSpan w:val="2"/>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账面余额</w:t>
            </w:r>
          </w:p>
        </w:tc>
        <w:tc>
          <w:tcPr>
            <w:gridSpan w:val="2"/>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60" w:right="0" w:firstLine="0"/>
              <w:jc w:val="center"/>
              <w:rPr>
                <w:sz w:val="18"/>
                <w:szCs w:val="18"/>
              </w:rPr>
            </w:pPr>
            <w:r>
              <w:rPr>
                <w:color w:val="000000"/>
                <w:spacing w:val="0"/>
                <w:w w:val="100"/>
                <w:position w:val="0"/>
                <w:sz w:val="18"/>
                <w:szCs w:val="18"/>
              </w:rPr>
              <w:t>坏账准备</w:t>
            </w:r>
          </w:p>
        </w:tc>
        <w:tc>
          <w:tcPr>
            <w:gridSpan w:val="2"/>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坏账准备</w:t>
            </w:r>
          </w:p>
        </w:tc>
      </w:tr>
      <w:tr>
        <w:trPr>
          <w:trHeight w:val="576" w:hRule="exact"/>
        </w:trPr>
        <w:tc>
          <w:tcPr>
            <w:vMerge/>
            <w:tcBorders/>
            <w:shd w:val="clear" w:color="auto" w:fill="FFFFFF"/>
            <w:vAlign w:val="top"/>
          </w:tcPr>
          <w:p>
            <w:pPr/>
          </w:p>
        </w:tc>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金额</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占总额</w:t>
            </w:r>
          </w:p>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比例</w:t>
            </w:r>
          </w:p>
        </w:tc>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金额</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5" w:lineRule="exact"/>
              <w:ind w:left="0" w:right="0" w:firstLine="0"/>
              <w:jc w:val="left"/>
              <w:rPr>
                <w:sz w:val="18"/>
                <w:szCs w:val="18"/>
              </w:rPr>
            </w:pPr>
            <w:r>
              <w:rPr>
                <w:color w:val="000000"/>
                <w:spacing w:val="0"/>
                <w:w w:val="100"/>
                <w:position w:val="0"/>
                <w:sz w:val="18"/>
                <w:szCs w:val="18"/>
              </w:rPr>
              <w:t>计提 比例</w:t>
            </w:r>
          </w:p>
        </w:tc>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金额</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160" w:firstLine="0"/>
              <w:jc w:val="right"/>
              <w:rPr>
                <w:sz w:val="18"/>
                <w:szCs w:val="18"/>
              </w:rPr>
            </w:pPr>
            <w:r>
              <w:rPr>
                <w:color w:val="000000"/>
                <w:spacing w:val="0"/>
                <w:w w:val="100"/>
                <w:position w:val="0"/>
                <w:sz w:val="18"/>
                <w:szCs w:val="18"/>
              </w:rPr>
              <w:t>占总额</w:t>
            </w:r>
          </w:p>
          <w:p>
            <w:pPr>
              <w:pStyle w:val="Style28"/>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比例</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5" w:lineRule="exact"/>
              <w:ind w:left="0" w:right="0" w:firstLine="0"/>
              <w:jc w:val="right"/>
              <w:rPr>
                <w:sz w:val="18"/>
                <w:szCs w:val="18"/>
              </w:rPr>
            </w:pPr>
            <w:r>
              <w:rPr>
                <w:color w:val="000000"/>
                <w:spacing w:val="0"/>
                <w:w w:val="100"/>
                <w:position w:val="0"/>
                <w:sz w:val="18"/>
                <w:szCs w:val="18"/>
              </w:rPr>
              <w:t>计提 金额比例</w:t>
            </w:r>
          </w:p>
        </w:tc>
      </w:tr>
      <w:tr>
        <w:trPr>
          <w:trHeight w:val="581" w:hRule="exact"/>
        </w:trPr>
        <w:tc>
          <w:tcPr>
            <w:tcBorders/>
            <w:shd w:val="clear" w:color="auto" w:fill="FFFFFF"/>
            <w:vAlign w:val="bottom"/>
          </w:tcPr>
          <w:p>
            <w:pPr>
              <w:pStyle w:val="Style28"/>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按组合计提坏账准备 应收节能补贴组合</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749</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756</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30"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应收其他款项组合</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15,381,230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(6,644)</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24,697,577</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c>
          <w:tcPr>
            <w:tcBorders/>
            <w:shd w:val="clear" w:color="auto" w:fill="FFFFFF"/>
            <w:vAlign w:val="bottom"/>
          </w:tcPr>
          <w:p>
            <w:pPr>
              <w:pStyle w:val="Style28"/>
              <w:keepNext w:val="0"/>
              <w:keepLines w:val="0"/>
              <w:widowControl w:val="0"/>
              <w:shd w:val="clear" w:color="auto" w:fill="auto"/>
              <w:tabs>
                <w:tab w:pos="1096" w:val="left"/>
              </w:tabs>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(9,138)</w:t>
              <w:tab/>
              <w:t>-</w:t>
            </w:r>
          </w:p>
        </w:tc>
      </w:tr>
      <w:tr>
        <w:trPr>
          <w:trHeight w:val="264" w:hRule="exact"/>
        </w:trPr>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15,381,979</w:t>
            </w:r>
          </w:p>
        </w:tc>
        <w:tc>
          <w:tcPr>
            <w:tcBorders>
              <w:top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(6,644)</w:t>
            </w:r>
          </w:p>
        </w:tc>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24,698,333</w:t>
            </w:r>
          </w:p>
        </w:tc>
        <w:tc>
          <w:tcPr>
            <w:tcBorders>
              <w:top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(9,138)</w:t>
            </w:r>
          </w:p>
        </w:tc>
      </w:tr>
    </w:tbl>
    <w:p>
      <w:pPr>
        <w:widowControl w:val="0"/>
        <w:spacing w:after="179" w:line="1" w:lineRule="exact"/>
      </w:pPr>
    </w:p>
    <w:p>
      <w:pPr>
        <w:pStyle w:val="Style32"/>
        <w:keepNext w:val="0"/>
        <w:keepLines w:val="0"/>
        <w:widowControl w:val="0"/>
        <w:numPr>
          <w:ilvl w:val="0"/>
          <w:numId w:val="99"/>
        </w:numPr>
        <w:shd w:val="clear" w:color="auto" w:fill="auto"/>
        <w:tabs>
          <w:tab w:pos="646" w:val="left"/>
        </w:tabs>
        <w:bidi w:val="0"/>
        <w:spacing w:before="0" w:after="0" w:line="240" w:lineRule="auto"/>
        <w:ind w:left="0" w:right="0" w:firstLine="0"/>
        <w:jc w:val="left"/>
        <w:rPr>
          <w:sz w:val="24"/>
          <w:szCs w:val="24"/>
        </w:rPr>
      </w:pPr>
      <w:bookmarkStart w:id="1182" w:name="bookmark1182"/>
      <w:bookmarkEnd w:id="1182"/>
      <w:r>
        <w:rPr>
          <w:color w:val="000000"/>
          <w:spacing w:val="0"/>
          <w:w w:val="100"/>
          <w:position w:val="0"/>
          <w:sz w:val="24"/>
          <w:szCs w:val="24"/>
        </w:rPr>
        <w:t>按应收其他款项组合计提坏账准备的应收账款中，采用账龄分析法的组合分</w:t>
      </w:r>
    </w:p>
    <w:p>
      <w:pPr>
        <w:pStyle w:val="Style32"/>
        <w:keepNext w:val="0"/>
        <w:keepLines w:val="0"/>
        <w:widowControl w:val="0"/>
        <w:shd w:val="clear" w:color="auto" w:fill="auto"/>
        <w:bidi w:val="0"/>
        <w:spacing w:before="0" w:after="260" w:line="240" w:lineRule="auto"/>
        <w:ind w:left="0" w:right="0" w:firstLine="740"/>
        <w:jc w:val="left"/>
        <w:rPr>
          <w:sz w:val="24"/>
          <w:szCs w:val="24"/>
        </w:rPr>
      </w:pPr>
      <w:r>
        <w:rPr>
          <w:color w:val="000000"/>
          <w:spacing w:val="0"/>
          <w:w w:val="100"/>
          <w:position w:val="0"/>
          <w:sz w:val="24"/>
          <w:szCs w:val="24"/>
        </w:rPr>
        <w:t>析如下:</w:t>
      </w:r>
    </w:p>
    <w:tbl>
      <w:tblPr>
        <w:tblOverlap w:val="never"/>
        <w:jc w:val="right"/>
        <w:tblLayout w:type="fixed"/>
      </w:tblPr>
      <w:tblGrid>
        <w:gridCol w:w="1128"/>
        <w:gridCol w:w="1834"/>
        <w:gridCol w:w="1349"/>
        <w:gridCol w:w="811"/>
        <w:gridCol w:w="1531"/>
        <w:gridCol w:w="1123"/>
        <w:gridCol w:w="461"/>
      </w:tblGrid>
      <w:tr>
        <w:trPr>
          <w:trHeight w:val="235" w:hRule="exact"/>
        </w:trPr>
        <w:tc>
          <w:tcPr>
            <w:vMerge w:val="restart"/>
            <w:tcBorders/>
            <w:shd w:val="clear" w:color="auto" w:fill="FFFFFF"/>
            <w:vAlign w:val="top"/>
          </w:tcPr>
          <w:p>
            <w:pPr>
              <w:widowControl w:val="0"/>
              <w:rPr>
                <w:sz w:val="10"/>
                <w:szCs w:val="10"/>
              </w:rPr>
            </w:pPr>
          </w:p>
        </w:tc>
        <w:tc>
          <w:tcPr>
            <w:gridSpan w:val="3"/>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tc>
        <w:tc>
          <w:tcPr>
            <w:gridSpan w:val="3"/>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tc>
      </w:tr>
      <w:tr>
        <w:trPr>
          <w:trHeight w:val="245" w:hRule="exact"/>
        </w:trPr>
        <w:tc>
          <w:tcPr>
            <w:vMerge/>
            <w:tcBorders/>
            <w:shd w:val="clear" w:color="auto" w:fill="FFFFFF"/>
            <w:vAlign w:val="top"/>
          </w:tcPr>
          <w:p>
            <w:pP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账面余额</w:t>
            </w:r>
          </w:p>
        </w:tc>
        <w:tc>
          <w:tcPr>
            <w:gridSpan w:val="2"/>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坏账准备</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账面余额</w:t>
            </w:r>
          </w:p>
        </w:tc>
        <w:tc>
          <w:tcPr>
            <w:gridSpan w:val="2"/>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坏账准备</w:t>
            </w:r>
          </w:p>
        </w:tc>
      </w:tr>
      <w:tr>
        <w:trPr>
          <w:trHeight w:val="586" w:hRule="exact"/>
        </w:trPr>
        <w:tc>
          <w:tcPr>
            <w:vMerge/>
            <w:tcBorders/>
            <w:shd w:val="clear" w:color="auto" w:fill="FFFFFF"/>
            <w:vAlign w:val="top"/>
          </w:tcPr>
          <w:p>
            <w:pPr/>
          </w:p>
        </w:tc>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金额</w:t>
            </w:r>
          </w:p>
        </w:tc>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金额</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exact"/>
              <w:ind w:left="140" w:right="0" w:firstLine="40"/>
              <w:jc w:val="both"/>
              <w:rPr>
                <w:sz w:val="18"/>
                <w:szCs w:val="18"/>
              </w:rPr>
            </w:pPr>
            <w:r>
              <w:rPr>
                <w:color w:val="000000"/>
                <w:spacing w:val="0"/>
                <w:w w:val="100"/>
                <w:position w:val="0"/>
                <w:sz w:val="18"/>
                <w:szCs w:val="18"/>
              </w:rPr>
              <w:t>计提 比例</w:t>
            </w:r>
          </w:p>
        </w:tc>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300" w:firstLine="0"/>
              <w:jc w:val="right"/>
              <w:rPr>
                <w:sz w:val="18"/>
                <w:szCs w:val="18"/>
              </w:rPr>
            </w:pPr>
            <w:r>
              <w:rPr>
                <w:color w:val="000000"/>
                <w:spacing w:val="0"/>
                <w:w w:val="100"/>
                <w:position w:val="0"/>
                <w:sz w:val="18"/>
                <w:szCs w:val="18"/>
              </w:rPr>
              <w:t>金额</w:t>
            </w:r>
          </w:p>
        </w:tc>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金额</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计提 比例</w:t>
            </w:r>
          </w:p>
        </w:tc>
      </w:tr>
      <w:tr>
        <w:trPr>
          <w:trHeight w:val="350"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一年以内</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15,367,363</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(3,732)</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24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24,662,468</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(3,111)</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230"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一到二年</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8,672</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(867)</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17,540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(1,754)</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r>
      <w:tr>
        <w:trPr>
          <w:trHeight w:val="230"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二到三年</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3,062</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(612)</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14,232</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(2,846)</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r>
      <w:tr>
        <w:trPr>
          <w:trHeight w:val="240"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三到四年</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388</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(117)</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2,126</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(638)</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r>
      <w:tr>
        <w:trPr>
          <w:trHeight w:val="226"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四到五年</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1,072</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(643)</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1,055</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(633)</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r>
      <w:tr>
        <w:trPr>
          <w:trHeight w:val="221"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五年以上</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673</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(673)</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300" w:firstLine="0"/>
              <w:jc w:val="right"/>
              <w:rPr>
                <w:sz w:val="18"/>
                <w:szCs w:val="18"/>
              </w:rPr>
            </w:pPr>
            <w:r>
              <w:rPr>
                <w:rFonts w:ascii="Times New Roman" w:eastAsia="Times New Roman" w:hAnsi="Times New Roman" w:cs="Times New Roman"/>
                <w:color w:val="000000"/>
                <w:spacing w:val="0"/>
                <w:w w:val="100"/>
                <w:position w:val="0"/>
                <w:sz w:val="18"/>
                <w:szCs w:val="18"/>
              </w:rPr>
              <w:t>156</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(156)</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269" w:hRule="exact"/>
        </w:trPr>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15,381,230</w:t>
            </w:r>
          </w:p>
        </w:tc>
        <w:tc>
          <w:tcPr>
            <w:tcBorders>
              <w:top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(6,644)</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24,697,577</w:t>
            </w:r>
          </w:p>
        </w:tc>
        <w:tc>
          <w:tcPr>
            <w:tcBorders>
              <w:top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(9,138)</w:t>
            </w:r>
          </w:p>
        </w:tc>
        <w:tc>
          <w:tcPr>
            <w:tcBorders/>
            <w:shd w:val="clear" w:color="auto" w:fill="FFFFFF"/>
            <w:vAlign w:val="top"/>
          </w:tcPr>
          <w:p>
            <w:pPr>
              <w:widowControl w:val="0"/>
              <w:rPr>
                <w:sz w:val="10"/>
                <w:szCs w:val="10"/>
              </w:rPr>
            </w:pPr>
          </w:p>
        </w:tc>
      </w:tr>
    </w:tbl>
    <w:p>
      <w:pPr>
        <w:widowControl w:val="0"/>
        <w:spacing w:after="179" w:line="1" w:lineRule="exact"/>
      </w:pPr>
    </w:p>
    <w:p>
      <w:pPr>
        <w:pStyle w:val="Style32"/>
        <w:keepNext w:val="0"/>
        <w:keepLines w:val="0"/>
        <w:widowControl w:val="0"/>
        <w:numPr>
          <w:ilvl w:val="0"/>
          <w:numId w:val="99"/>
        </w:numPr>
        <w:shd w:val="clear" w:color="auto" w:fill="auto"/>
        <w:tabs>
          <w:tab w:pos="646" w:val="left"/>
        </w:tabs>
        <w:bidi w:val="0"/>
        <w:spacing w:before="0" w:after="260" w:line="240" w:lineRule="auto"/>
        <w:ind w:left="0" w:right="0" w:firstLine="0"/>
        <w:jc w:val="left"/>
        <w:rPr>
          <w:sz w:val="24"/>
          <w:szCs w:val="24"/>
        </w:rPr>
      </w:pPr>
      <w:bookmarkStart w:id="1183" w:name="bookmark1183"/>
      <w:bookmarkEnd w:id="1183"/>
      <w:r>
        <w:rPr>
          <w:color w:val="000000"/>
          <w:spacing w:val="0"/>
          <w:w w:val="100"/>
          <w:position w:val="0"/>
          <w:sz w:val="24"/>
          <w:szCs w:val="24"/>
        </w:rPr>
        <w:t>本年度实际核销的应收账款约为人民币</w:t>
      </w:r>
      <w:r>
        <w:rPr>
          <w:rFonts w:ascii="Times New Roman" w:eastAsia="Times New Roman" w:hAnsi="Times New Roman" w:cs="Times New Roman"/>
          <w:color w:val="000000"/>
          <w:spacing w:val="0"/>
          <w:w w:val="100"/>
          <w:position w:val="0"/>
          <w:sz w:val="24"/>
          <w:szCs w:val="24"/>
        </w:rPr>
        <w:t>8</w:t>
      </w:r>
      <w:r>
        <w:rPr>
          <w:color w:val="000000"/>
          <w:spacing w:val="0"/>
          <w:w w:val="100"/>
          <w:position w:val="0"/>
          <w:sz w:val="24"/>
          <w:szCs w:val="24"/>
        </w:rPr>
        <w:t>万元，无重要的应收账款被核销。</w:t>
      </w:r>
    </w:p>
    <w:p>
      <w:pPr>
        <w:pStyle w:val="Style32"/>
        <w:keepNext w:val="0"/>
        <w:keepLines w:val="0"/>
        <w:widowControl w:val="0"/>
        <w:numPr>
          <w:ilvl w:val="0"/>
          <w:numId w:val="99"/>
        </w:numPr>
        <w:shd w:val="clear" w:color="auto" w:fill="auto"/>
        <w:tabs>
          <w:tab w:pos="646" w:val="left"/>
        </w:tabs>
        <w:bidi w:val="0"/>
        <w:spacing w:before="0" w:after="260" w:line="312" w:lineRule="exact"/>
        <w:ind w:left="740" w:right="0" w:hanging="740"/>
        <w:jc w:val="both"/>
        <w:rPr>
          <w:sz w:val="24"/>
          <w:szCs w:val="24"/>
        </w:rPr>
      </w:pPr>
      <w:bookmarkStart w:id="1184" w:name="bookmark1184"/>
      <w:bookmarkEnd w:id="1184"/>
      <w:r>
        <w:rPr>
          <w:color w:val="000000"/>
          <w:spacing w:val="0"/>
          <w:w w:val="100"/>
          <w:position w:val="0"/>
          <w:sz w:val="24"/>
          <w:szCs w:val="24"/>
        </w:rPr>
        <w:t>于</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日，按欠款方归集的余额前五名的应收账款汇总分析如 下:</w:t>
      </w:r>
    </w:p>
    <w:p>
      <w:pPr>
        <w:pStyle w:val="Style32"/>
        <w:keepNext w:val="0"/>
        <w:keepLines w:val="0"/>
        <w:widowControl w:val="0"/>
        <w:shd w:val="clear" w:color="auto" w:fill="auto"/>
        <w:tabs>
          <w:tab w:pos="7555" w:val="left"/>
        </w:tabs>
        <w:bidi w:val="0"/>
        <w:spacing w:before="0" w:after="260" w:line="317" w:lineRule="exact"/>
        <w:ind w:left="5520" w:right="0" w:firstLine="0"/>
        <w:jc w:val="right"/>
        <w:rPr>
          <w:sz w:val="24"/>
          <w:szCs w:val="24"/>
        </w:rPr>
      </w:pPr>
      <w:r>
        <w:rPr>
          <w:color w:val="000000"/>
          <w:spacing w:val="0"/>
          <w:w w:val="100"/>
          <w:position w:val="0"/>
          <w:sz w:val="24"/>
          <w:szCs w:val="24"/>
        </w:rPr>
        <w:t>坏账准占应收账款余 余额 备金额</w:t>
        <w:tab/>
        <w:t>额总额比例</w:t>
      </w:r>
    </w:p>
    <w:p>
      <w:pPr>
        <w:widowControl w:val="0"/>
        <w:spacing w:line="1" w:lineRule="exact"/>
      </w:pPr>
      <w:r>
        <mc:AlternateContent>
          <mc:Choice Requires="wps">
            <w:drawing>
              <wp:anchor distT="101600" distB="36195" distL="0" distR="0" simplePos="0" relativeHeight="125829512" behindDoc="0" locked="0" layoutInCell="1" allowOverlap="1">
                <wp:simplePos x="0" y="0"/>
                <wp:positionH relativeFrom="page">
                  <wp:posOffset>1563370</wp:posOffset>
                </wp:positionH>
                <wp:positionV relativeFrom="paragraph">
                  <wp:posOffset>101600</wp:posOffset>
                </wp:positionV>
                <wp:extent cx="1852930" cy="186055"/>
                <wp:wrapTopAndBottom/>
                <wp:docPr id="584" name="Shape 584"/>
                <a:graphic xmlns:a="http://schemas.openxmlformats.org/drawingml/2006/main">
                  <a:graphicData uri="http://schemas.microsoft.com/office/word/2010/wordprocessingShape">
                    <wps:wsp>
                      <wps:cNvSpPr txBox="1"/>
                      <wps:spPr>
                        <a:xfrm>
                          <a:ext cx="1852930" cy="186055"/>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余额前五名的应收账款总额</w:t>
                            </w:r>
                          </w:p>
                        </w:txbxContent>
                      </wps:txbx>
                      <wps:bodyPr wrap="none" lIns="0" tIns="0" rIns="0" bIns="0">
                        <a:noAutoFit/>
                      </wps:bodyPr>
                    </wps:wsp>
                  </a:graphicData>
                </a:graphic>
              </wp:anchor>
            </w:drawing>
          </mc:Choice>
          <mc:Fallback>
            <w:pict>
              <v:shape id="_x0000_s1610" type="#_x0000_t202" style="position:absolute;margin-left:123.10000000000001pt;margin-top:8.pt;width:145.90000000000001pt;height:14.65pt;z-index:-125829241;mso-wrap-distance-left:0;mso-wrap-distance-top:8.pt;mso-wrap-distance-right:0;mso-wrap-distance-bottom:2.8500000000000001pt;mso-position-horizontal-relative:page" filled="f" stroked="f">
                <v:textbox inset="0,0,0,0">
                  <w:txbxContent>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余额前五名的应收账款总额</w:t>
                      </w:r>
                    </w:p>
                  </w:txbxContent>
                </v:textbox>
                <w10:wrap type="topAndBottom" anchorx="page"/>
              </v:shape>
            </w:pict>
          </mc:Fallback>
        </mc:AlternateContent>
      </w:r>
      <w:r>
        <mc:AlternateContent>
          <mc:Choice Requires="wps">
            <w:drawing>
              <wp:anchor distT="110490" distB="0" distL="0" distR="0" simplePos="0" relativeHeight="125829514" behindDoc="0" locked="0" layoutInCell="1" allowOverlap="1">
                <wp:simplePos x="0" y="0"/>
                <wp:positionH relativeFrom="page">
                  <wp:posOffset>4294505</wp:posOffset>
                </wp:positionH>
                <wp:positionV relativeFrom="paragraph">
                  <wp:posOffset>110490</wp:posOffset>
                </wp:positionV>
                <wp:extent cx="2411095" cy="213360"/>
                <wp:wrapTopAndBottom/>
                <wp:docPr id="586" name="Shape 586"/>
                <a:graphic xmlns:a="http://schemas.openxmlformats.org/drawingml/2006/main">
                  <a:graphicData uri="http://schemas.microsoft.com/office/word/2010/wordprocessingShape">
                    <wps:wsp>
                      <wps:cNvSpPr txBox="1"/>
                      <wps:spPr>
                        <a:xfrm>
                          <a:ext cx="2411095" cy="213360"/>
                        </a:xfrm>
                        <a:prstGeom prst="rect"/>
                        <a:noFill/>
                      </wps:spPr>
                      <wps:txbx>
                        <w:txbxContent>
                          <w:p>
                            <w:pPr>
                              <w:pStyle w:val="Style53"/>
                              <w:keepNext w:val="0"/>
                              <w:keepLines w:val="0"/>
                              <w:widowControl w:val="0"/>
                              <w:pBdr>
                                <w:bottom w:val="single" w:sz="4" w:space="0" w:color="auto"/>
                              </w:pBdr>
                              <w:shd w:val="clear" w:color="auto" w:fill="auto"/>
                              <w:tabs>
                                <w:tab w:pos="2006" w:val="left"/>
                                <w:tab w:pos="3125" w:val="left"/>
                              </w:tabs>
                              <w:bidi w:val="0"/>
                              <w:spacing w:before="0" w:after="0" w:line="240" w:lineRule="auto"/>
                              <w:ind w:left="0" w:right="0" w:firstLine="0"/>
                              <w:jc w:val="left"/>
                              <w:rPr>
                                <w:sz w:val="24"/>
                                <w:szCs w:val="24"/>
                              </w:rPr>
                            </w:pPr>
                            <w:r>
                              <w:rPr>
                                <w:color w:val="000000"/>
                                <w:spacing w:val="0"/>
                                <w:w w:val="100"/>
                                <w:position w:val="0"/>
                                <w:sz w:val="24"/>
                                <w:szCs w:val="24"/>
                              </w:rPr>
                              <w:t>3,458,226</w:t>
                              <w:tab/>
                              <w:t>-</w:t>
                              <w:tab/>
                              <w:t>22.5%</w:t>
                            </w:r>
                          </w:p>
                        </w:txbxContent>
                      </wps:txbx>
                      <wps:bodyPr wrap="none" lIns="0" tIns="0" rIns="0" bIns="0">
                        <a:noAutoFit/>
                      </wps:bodyPr>
                    </wps:wsp>
                  </a:graphicData>
                </a:graphic>
              </wp:anchor>
            </w:drawing>
          </mc:Choice>
          <mc:Fallback>
            <w:pict>
              <v:shape id="_x0000_s1612" type="#_x0000_t202" style="position:absolute;margin-left:338.15000000000003pt;margin-top:8.7000000000000011pt;width:189.84999999999999pt;height:16.800000000000001pt;z-index:-125829239;mso-wrap-distance-left:0;mso-wrap-distance-top:8.7000000000000011pt;mso-wrap-distance-right:0;mso-position-horizontal-relative:page" filled="f" stroked="f">
                <v:textbox inset="0,0,0,0">
                  <w:txbxContent>
                    <w:p>
                      <w:pPr>
                        <w:pStyle w:val="Style53"/>
                        <w:keepNext w:val="0"/>
                        <w:keepLines w:val="0"/>
                        <w:widowControl w:val="0"/>
                        <w:pBdr>
                          <w:bottom w:val="single" w:sz="4" w:space="0" w:color="auto"/>
                        </w:pBdr>
                        <w:shd w:val="clear" w:color="auto" w:fill="auto"/>
                        <w:tabs>
                          <w:tab w:pos="2006" w:val="left"/>
                          <w:tab w:pos="3125" w:val="left"/>
                        </w:tabs>
                        <w:bidi w:val="0"/>
                        <w:spacing w:before="0" w:after="0" w:line="240" w:lineRule="auto"/>
                        <w:ind w:left="0" w:right="0" w:firstLine="0"/>
                        <w:jc w:val="left"/>
                        <w:rPr>
                          <w:sz w:val="24"/>
                          <w:szCs w:val="24"/>
                        </w:rPr>
                      </w:pPr>
                      <w:r>
                        <w:rPr>
                          <w:color w:val="000000"/>
                          <w:spacing w:val="0"/>
                          <w:w w:val="100"/>
                          <w:position w:val="0"/>
                          <w:sz w:val="24"/>
                          <w:szCs w:val="24"/>
                        </w:rPr>
                        <w:t>3,458,226</w:t>
                        <w:tab/>
                        <w:t>-</w:t>
                        <w:tab/>
                        <w:t>22.5%</w:t>
                      </w:r>
                    </w:p>
                  </w:txbxContent>
                </v:textbox>
                <w10:wrap type="topAndBottom" anchorx="page"/>
              </v:shape>
            </w:pict>
          </mc:Fallback>
        </mc:AlternateContent>
      </w:r>
    </w:p>
    <w:p>
      <w:pPr>
        <w:pStyle w:val="Style32"/>
        <w:keepNext w:val="0"/>
        <w:keepLines w:val="0"/>
        <w:widowControl w:val="0"/>
        <w:shd w:val="clear" w:color="auto" w:fill="auto"/>
        <w:bidi w:val="0"/>
        <w:spacing w:before="0" w:after="0" w:line="240" w:lineRule="auto"/>
        <w:ind w:left="0" w:right="0" w:firstLine="780"/>
        <w:jc w:val="left"/>
        <w:rPr>
          <w:sz w:val="24"/>
          <w:szCs w:val="24"/>
        </w:rPr>
      </w:pPr>
      <w:r>
        <w:rPr>
          <w:b/>
          <w:bCs/>
          <w:color w:val="000000"/>
          <w:spacing w:val="0"/>
          <w:w w:val="100"/>
          <w:position w:val="0"/>
          <w:sz w:val="24"/>
          <w:szCs w:val="24"/>
        </w:rPr>
        <w:t>财务报表附注</w:t>
      </w:r>
    </w:p>
    <w:p>
      <w:pPr>
        <w:pStyle w:val="Style88"/>
        <w:keepNext/>
        <w:keepLines/>
        <w:widowControl w:val="0"/>
        <w:shd w:val="clear" w:color="auto" w:fill="auto"/>
        <w:bidi w:val="0"/>
        <w:spacing w:before="0" w:after="0" w:line="240" w:lineRule="auto"/>
        <w:ind w:left="0" w:right="0" w:firstLine="780"/>
        <w:jc w:val="left"/>
      </w:pPr>
      <w:bookmarkStart w:id="1185" w:name="bookmark1185"/>
      <w:bookmarkStart w:id="1186" w:name="bookmark1186"/>
      <w:bookmarkStart w:id="1187" w:name="bookmark1187"/>
      <w:r>
        <w:rPr>
          <w:color w:val="000000"/>
          <w:spacing w:val="0"/>
          <w:w w:val="100"/>
          <w:position w:val="0"/>
          <w:sz w:val="24"/>
          <w:szCs w:val="24"/>
        </w:rPr>
        <w:t>2016</w:t>
      </w:r>
      <w:r>
        <w:rPr>
          <w:rFonts w:ascii="SimSun" w:eastAsia="SimSun" w:hAnsi="SimSun" w:cs="SimSun"/>
          <w:b/>
          <w:bCs/>
          <w:color w:val="000000"/>
          <w:spacing w:val="0"/>
          <w:w w:val="100"/>
          <w:position w:val="0"/>
          <w:sz w:val="24"/>
          <w:szCs w:val="24"/>
        </w:rPr>
        <w:t>年度</w:t>
      </w:r>
      <w:bookmarkEnd w:id="1185"/>
      <w:bookmarkEnd w:id="1186"/>
      <w:bookmarkEnd w:id="1187"/>
    </w:p>
    <w:p>
      <w:pPr>
        <w:pStyle w:val="Style32"/>
        <w:keepNext w:val="0"/>
        <w:keepLines w:val="0"/>
        <w:widowControl w:val="0"/>
        <w:shd w:val="clear" w:color="auto" w:fill="auto"/>
        <w:bidi w:val="0"/>
        <w:spacing w:before="0" w:after="240" w:line="240" w:lineRule="auto"/>
        <w:ind w:left="0" w:right="0" w:firstLine="780"/>
        <w:jc w:val="left"/>
        <w:rPr>
          <w:sz w:val="20"/>
          <w:szCs w:val="20"/>
        </w:rPr>
      </w:pPr>
      <w:r>
        <w:rPr>
          <w:rFonts w:ascii="Arial" w:eastAsia="Arial" w:hAnsi="Arial" w:cs="Arial"/>
          <w:color w:val="000000"/>
          <w:spacing w:val="0"/>
          <w:w w:val="100"/>
          <w:position w:val="0"/>
          <w:sz w:val="20"/>
          <w:szCs w:val="20"/>
        </w:rPr>
        <w:t>（</w:t>
      </w:r>
      <w:r>
        <w:rPr>
          <w:color w:val="000000"/>
          <w:spacing w:val="0"/>
          <w:w w:val="100"/>
          <w:position w:val="0"/>
          <w:sz w:val="20"/>
          <w:szCs w:val="20"/>
        </w:rPr>
        <w:t>除特别注明外，金额单位为人民币千元</w:t>
      </w:r>
      <w:r>
        <w:rPr>
          <w:rFonts w:ascii="Arial" w:eastAsia="Arial" w:hAnsi="Arial" w:cs="Arial"/>
          <w:color w:val="000000"/>
          <w:spacing w:val="0"/>
          <w:w w:val="100"/>
          <w:position w:val="0"/>
          <w:sz w:val="20"/>
          <w:szCs w:val="20"/>
        </w:rPr>
        <w:t>）</w:t>
      </w:r>
    </w:p>
    <w:p>
      <w:pPr>
        <w:pStyle w:val="Style32"/>
        <w:keepNext w:val="0"/>
        <w:keepLines w:val="0"/>
        <w:widowControl w:val="0"/>
        <w:shd w:val="clear" w:color="auto" w:fill="auto"/>
        <w:bidi w:val="0"/>
        <w:spacing w:before="0" w:after="240" w:line="240" w:lineRule="auto"/>
        <w:ind w:left="0" w:right="0" w:firstLine="0"/>
        <w:jc w:val="left"/>
        <w:rPr>
          <w:sz w:val="24"/>
          <w:szCs w:val="24"/>
        </w:rPr>
      </w:pPr>
      <w:r>
        <w:rPr>
          <w:b/>
          <w:bCs/>
          <w:color w:val="000000"/>
          <w:spacing w:val="0"/>
          <w:w w:val="100"/>
          <w:position w:val="0"/>
          <w:sz w:val="24"/>
          <w:szCs w:val="24"/>
        </w:rPr>
        <w:t>十七公司财务报表附注</w:t>
      </w:r>
      <w:r>
        <w:rPr>
          <w:rFonts w:ascii="Times New Roman" w:eastAsia="Times New Roman" w:hAnsi="Times New Roman" w:cs="Times New Roman"/>
          <w:color w:val="000000"/>
          <w:spacing w:val="0"/>
          <w:w w:val="100"/>
          <w:position w:val="0"/>
          <w:sz w:val="24"/>
          <w:szCs w:val="24"/>
        </w:rPr>
        <w:t>（</w:t>
      </w:r>
      <w:r>
        <w:rPr>
          <w:b/>
          <w:bCs/>
          <w:color w:val="000000"/>
          <w:spacing w:val="0"/>
          <w:w w:val="100"/>
          <w:position w:val="0"/>
          <w:sz w:val="24"/>
          <w:szCs w:val="24"/>
        </w:rPr>
        <w:t>续</w:t>
      </w:r>
      <w:r>
        <w:rPr>
          <w:rFonts w:ascii="Times New Roman" w:eastAsia="Times New Roman" w:hAnsi="Times New Roman" w:cs="Times New Roman"/>
          <w:color w:val="000000"/>
          <w:spacing w:val="0"/>
          <w:w w:val="100"/>
          <w:position w:val="0"/>
          <w:sz w:val="24"/>
          <w:szCs w:val="24"/>
        </w:rPr>
        <w:t>）</w:t>
      </w:r>
    </w:p>
    <w:p>
      <w:pPr>
        <w:pStyle w:val="Style53"/>
        <w:keepNext w:val="0"/>
        <w:keepLines w:val="0"/>
        <w:widowControl w:val="0"/>
        <w:shd w:val="clear" w:color="auto" w:fill="auto"/>
        <w:tabs>
          <w:tab w:pos="712" w:val="left"/>
        </w:tabs>
        <w:bidi w:val="0"/>
        <w:spacing w:before="0" w:after="240" w:line="322" w:lineRule="exact"/>
        <w:ind w:left="0" w:right="0" w:firstLine="0"/>
        <w:jc w:val="left"/>
        <w:rPr>
          <w:sz w:val="24"/>
          <w:szCs w:val="24"/>
        </w:rPr>
      </w:pPr>
      <w:r>
        <w:rPr>
          <w:color w:val="000000"/>
          <w:spacing w:val="0"/>
          <w:w w:val="100"/>
          <w:position w:val="0"/>
          <w:sz w:val="24"/>
          <w:szCs w:val="24"/>
        </w:rPr>
        <w:t>（1）</w:t>
        <w:tab/>
      </w:r>
      <w:r>
        <w:rPr>
          <w:rFonts w:ascii="SimSun" w:eastAsia="SimSun" w:hAnsi="SimSun" w:cs="SimSun"/>
          <w:b/>
          <w:bCs/>
          <w:color w:val="000000"/>
          <w:spacing w:val="0"/>
          <w:w w:val="100"/>
          <w:position w:val="0"/>
          <w:sz w:val="24"/>
          <w:szCs w:val="24"/>
        </w:rPr>
        <w:t>应收账款</w:t>
      </w:r>
      <w:r>
        <w:rPr>
          <w:color w:val="000000"/>
          <w:spacing w:val="0"/>
          <w:w w:val="100"/>
          <w:position w:val="0"/>
          <w:sz w:val="24"/>
          <w:szCs w:val="24"/>
        </w:rPr>
        <w:t>（</w:t>
      </w:r>
      <w:r>
        <w:rPr>
          <w:rFonts w:ascii="SimSun" w:eastAsia="SimSun" w:hAnsi="SimSun" w:cs="SimSun"/>
          <w:b/>
          <w:bCs/>
          <w:color w:val="000000"/>
          <w:spacing w:val="0"/>
          <w:w w:val="100"/>
          <w:position w:val="0"/>
          <w:sz w:val="24"/>
          <w:szCs w:val="24"/>
        </w:rPr>
        <w:t>续</w:t>
      </w:r>
      <w:r>
        <w:rPr>
          <w:rFonts w:ascii="SimSun" w:eastAsia="SimSun" w:hAnsi="SimSun" w:cs="SimSun"/>
          <w:color w:val="000000"/>
          <w:spacing w:val="0"/>
          <w:w w:val="100"/>
          <w:position w:val="0"/>
          <w:sz w:val="24"/>
          <w:szCs w:val="24"/>
        </w:rPr>
        <w:t>）</w:t>
      </w:r>
    </w:p>
    <w:p>
      <w:pPr>
        <w:pStyle w:val="Style32"/>
        <w:keepNext w:val="0"/>
        <w:keepLines w:val="0"/>
        <w:widowControl w:val="0"/>
        <w:shd w:val="clear" w:color="auto" w:fill="auto"/>
        <w:tabs>
          <w:tab w:pos="712" w:val="left"/>
        </w:tabs>
        <w:bidi w:val="0"/>
        <w:spacing w:before="0" w:after="240" w:line="322" w:lineRule="exact"/>
        <w:ind w:left="0" w:right="0" w:firstLine="0"/>
        <w:jc w:val="left"/>
        <w:rPr>
          <w:sz w:val="24"/>
          <w:szCs w:val="24"/>
        </w:rPr>
      </w:pPr>
      <w:bookmarkStart w:id="1188" w:name="bookmark1188"/>
      <w:r>
        <w:rPr>
          <w:rFonts w:ascii="Times New Roman" w:eastAsia="Times New Roman" w:hAnsi="Times New Roman" w:cs="Times New Roman"/>
          <w:color w:val="000000"/>
          <w:spacing w:val="0"/>
          <w:w w:val="100"/>
          <w:position w:val="0"/>
          <w:sz w:val="24"/>
          <w:szCs w:val="24"/>
        </w:rPr>
        <w:t>（</w:t>
      </w:r>
      <w:bookmarkEnd w:id="1188"/>
      <w:r>
        <w:rPr>
          <w:rFonts w:ascii="Times New Roman" w:eastAsia="Times New Roman" w:hAnsi="Times New Roman" w:cs="Times New Roman"/>
          <w:color w:val="000000"/>
          <w:spacing w:val="0"/>
          <w:w w:val="100"/>
          <w:position w:val="0"/>
          <w:sz w:val="24"/>
          <w:szCs w:val="24"/>
        </w:rPr>
        <w:t>f）</w:t>
        <w:tab/>
      </w:r>
      <w:r>
        <w:rPr>
          <w:color w:val="000000"/>
          <w:spacing w:val="0"/>
          <w:w w:val="100"/>
          <w:position w:val="0"/>
          <w:sz w:val="24"/>
          <w:szCs w:val="24"/>
        </w:rPr>
        <w:t>本年度无因金融资产转移而终止确认的应收账款</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sz w:val="24"/>
          <w:szCs w:val="24"/>
        </w:rPr>
        <w:t>年：无</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w:t>
      </w:r>
    </w:p>
    <w:p>
      <w:pPr>
        <w:pStyle w:val="Style32"/>
        <w:keepNext w:val="0"/>
        <w:keepLines w:val="0"/>
        <w:widowControl w:val="0"/>
        <w:shd w:val="clear" w:color="auto" w:fill="auto"/>
        <w:tabs>
          <w:tab w:pos="712" w:val="left"/>
        </w:tabs>
        <w:bidi w:val="0"/>
        <w:spacing w:before="0" w:after="240" w:line="322" w:lineRule="exact"/>
        <w:ind w:left="780" w:right="0" w:hanging="780"/>
        <w:jc w:val="left"/>
        <w:rPr>
          <w:sz w:val="24"/>
          <w:szCs w:val="24"/>
        </w:rPr>
      </w:pPr>
      <w:bookmarkStart w:id="1189" w:name="bookmark1189"/>
      <w:r>
        <w:rPr>
          <w:rFonts w:ascii="Times New Roman" w:eastAsia="Times New Roman" w:hAnsi="Times New Roman" w:cs="Times New Roman"/>
          <w:color w:val="000000"/>
          <w:spacing w:val="0"/>
          <w:w w:val="100"/>
          <w:position w:val="0"/>
          <w:sz w:val="24"/>
          <w:szCs w:val="24"/>
        </w:rPr>
        <w:t>（</w:t>
      </w:r>
      <w:bookmarkEnd w:id="1189"/>
      <w:r>
        <w:rPr>
          <w:rFonts w:ascii="Times New Roman" w:eastAsia="Times New Roman" w:hAnsi="Times New Roman" w:cs="Times New Roman"/>
          <w:color w:val="000000"/>
          <w:spacing w:val="0"/>
          <w:w w:val="100"/>
          <w:position w:val="0"/>
          <w:sz w:val="24"/>
          <w:szCs w:val="24"/>
        </w:rPr>
        <w:t>g）</w:t>
        <w:tab/>
      </w:r>
      <w:r>
        <w:rPr>
          <w:color w:val="000000"/>
          <w:spacing w:val="0"/>
          <w:w w:val="100"/>
          <w:position w:val="0"/>
          <w:sz w:val="24"/>
          <w:szCs w:val="24"/>
        </w:rPr>
        <w:t>本公司本年度无向金融机构以不附追索权的方式转让的应收账款</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sz w:val="24"/>
          <w:szCs w:val="24"/>
        </w:rPr>
        <w:t>年: 无</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w:t>
      </w:r>
    </w:p>
    <w:p>
      <w:pPr>
        <w:pStyle w:val="Style32"/>
        <w:keepNext w:val="0"/>
        <w:keepLines w:val="0"/>
        <w:widowControl w:val="0"/>
        <w:shd w:val="clear" w:color="auto" w:fill="auto"/>
        <w:tabs>
          <w:tab w:pos="712" w:val="left"/>
        </w:tabs>
        <w:bidi w:val="0"/>
        <w:spacing w:before="0" w:after="30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（2）</w:t>
        <w:tab/>
      </w:r>
      <w:r>
        <w:rPr>
          <w:b/>
          <w:bCs/>
          <w:color w:val="000000"/>
          <w:spacing w:val="0"/>
          <w:w w:val="100"/>
          <w:position w:val="0"/>
          <w:sz w:val="24"/>
          <w:szCs w:val="24"/>
        </w:rPr>
        <w:t>其他应收款</w:t>
      </w:r>
    </w:p>
    <w:tbl>
      <w:tblPr>
        <w:tblOverlap w:val="never"/>
        <w:jc w:val="center"/>
        <w:tblLayout w:type="fixed"/>
      </w:tblPr>
      <w:tblGrid>
        <w:gridCol w:w="4008"/>
        <w:gridCol w:w="2827"/>
        <w:gridCol w:w="2285"/>
      </w:tblGrid>
      <w:tr>
        <w:trPr>
          <w:trHeight w:val="437"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00"/>
              <w:jc w:val="both"/>
              <w:rPr>
                <w:sz w:val="24"/>
                <w:szCs w:val="24"/>
              </w:rPr>
            </w:pP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2015</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w:t>
            </w:r>
          </w:p>
        </w:tc>
      </w:tr>
      <w:tr>
        <w:trPr>
          <w:trHeight w:val="456"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80"/>
              <w:jc w:val="left"/>
              <w:rPr>
                <w:sz w:val="24"/>
                <w:szCs w:val="24"/>
              </w:rPr>
            </w:pPr>
            <w:r>
              <w:rPr>
                <w:color w:val="000000"/>
                <w:spacing w:val="0"/>
                <w:w w:val="100"/>
                <w:position w:val="0"/>
                <w:sz w:val="24"/>
                <w:szCs w:val="24"/>
              </w:rPr>
              <w:t>集团内部往来款项</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540" w:right="0" w:firstLine="0"/>
              <w:jc w:val="both"/>
              <w:rPr>
                <w:sz w:val="24"/>
                <w:szCs w:val="24"/>
              </w:rPr>
            </w:pPr>
            <w:r>
              <w:rPr>
                <w:rFonts w:ascii="Times New Roman" w:eastAsia="Times New Roman" w:hAnsi="Times New Roman" w:cs="Times New Roman"/>
                <w:color w:val="000000"/>
                <w:spacing w:val="0"/>
                <w:w w:val="100"/>
                <w:position w:val="0"/>
                <w:sz w:val="24"/>
                <w:szCs w:val="24"/>
              </w:rPr>
              <w:t>7,030,093</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200" w:right="0" w:firstLine="0"/>
              <w:jc w:val="both"/>
              <w:rPr>
                <w:sz w:val="24"/>
                <w:szCs w:val="24"/>
              </w:rPr>
            </w:pPr>
            <w:r>
              <w:rPr>
                <w:rFonts w:ascii="Times New Roman" w:eastAsia="Times New Roman" w:hAnsi="Times New Roman" w:cs="Times New Roman"/>
                <w:color w:val="000000"/>
                <w:spacing w:val="0"/>
                <w:w w:val="100"/>
                <w:position w:val="0"/>
                <w:sz w:val="24"/>
                <w:szCs w:val="24"/>
              </w:rPr>
              <w:t>4,507,566</w:t>
            </w:r>
          </w:p>
        </w:tc>
      </w:tr>
      <w:tr>
        <w:trPr>
          <w:trHeight w:val="317"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80"/>
              <w:jc w:val="left"/>
              <w:rPr>
                <w:sz w:val="24"/>
                <w:szCs w:val="24"/>
              </w:rPr>
            </w:pPr>
            <w:r>
              <w:rPr>
                <w:color w:val="000000"/>
                <w:spacing w:val="0"/>
                <w:w w:val="100"/>
                <w:position w:val="0"/>
                <w:sz w:val="24"/>
                <w:szCs w:val="24"/>
              </w:rPr>
              <w:t>保本保收益理财产品</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540" w:right="0" w:firstLine="0"/>
              <w:jc w:val="both"/>
              <w:rPr>
                <w:sz w:val="24"/>
                <w:szCs w:val="24"/>
              </w:rPr>
            </w:pPr>
            <w:r>
              <w:rPr>
                <w:rFonts w:ascii="Times New Roman" w:eastAsia="Times New Roman" w:hAnsi="Times New Roman" w:cs="Times New Roman"/>
                <w:color w:val="000000"/>
                <w:spacing w:val="0"/>
                <w:w w:val="100"/>
                <w:position w:val="0"/>
                <w:sz w:val="24"/>
                <w:szCs w:val="24"/>
              </w:rPr>
              <w:t>2,900,000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200" w:right="0" w:firstLine="0"/>
              <w:jc w:val="both"/>
              <w:rPr>
                <w:sz w:val="24"/>
                <w:szCs w:val="24"/>
              </w:rPr>
            </w:pPr>
            <w:r>
              <w:rPr>
                <w:rFonts w:ascii="Times New Roman" w:eastAsia="Times New Roman" w:hAnsi="Times New Roman" w:cs="Times New Roman"/>
                <w:color w:val="000000"/>
                <w:spacing w:val="0"/>
                <w:w w:val="100"/>
                <w:position w:val="0"/>
                <w:sz w:val="24"/>
                <w:szCs w:val="24"/>
              </w:rPr>
              <w:t>2,030,000</w:t>
            </w:r>
          </w:p>
        </w:tc>
      </w:tr>
      <w:tr>
        <w:trPr>
          <w:trHeight w:val="298"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80"/>
              <w:jc w:val="left"/>
              <w:rPr>
                <w:sz w:val="24"/>
                <w:szCs w:val="24"/>
              </w:rPr>
            </w:pPr>
            <w:r>
              <w:rPr>
                <w:color w:val="000000"/>
                <w:spacing w:val="0"/>
                <w:w w:val="100"/>
                <w:position w:val="0"/>
                <w:sz w:val="24"/>
                <w:szCs w:val="24"/>
              </w:rPr>
              <w:t>员工借款</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840" w:right="0" w:firstLine="0"/>
              <w:jc w:val="both"/>
              <w:rPr>
                <w:sz w:val="24"/>
                <w:szCs w:val="24"/>
              </w:rPr>
            </w:pPr>
            <w:r>
              <w:rPr>
                <w:rFonts w:ascii="Times New Roman" w:eastAsia="Times New Roman" w:hAnsi="Times New Roman" w:cs="Times New Roman"/>
                <w:color w:val="000000"/>
                <w:spacing w:val="0"/>
                <w:w w:val="100"/>
                <w:position w:val="0"/>
                <w:sz w:val="24"/>
                <w:szCs w:val="24"/>
              </w:rPr>
              <w:t>12,691</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500" w:right="0" w:firstLine="0"/>
              <w:jc w:val="both"/>
              <w:rPr>
                <w:sz w:val="24"/>
                <w:szCs w:val="24"/>
              </w:rPr>
            </w:pPr>
            <w:r>
              <w:rPr>
                <w:rFonts w:ascii="Times New Roman" w:eastAsia="Times New Roman" w:hAnsi="Times New Roman" w:cs="Times New Roman"/>
                <w:color w:val="000000"/>
                <w:spacing w:val="0"/>
                <w:w w:val="100"/>
                <w:position w:val="0"/>
                <w:sz w:val="24"/>
                <w:szCs w:val="24"/>
              </w:rPr>
              <w:t>15,409</w:t>
            </w:r>
          </w:p>
        </w:tc>
      </w:tr>
      <w:tr>
        <w:trPr>
          <w:trHeight w:val="326"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80"/>
              <w:jc w:val="left"/>
              <w:rPr>
                <w:sz w:val="24"/>
                <w:szCs w:val="24"/>
              </w:rPr>
            </w:pPr>
            <w:r>
              <w:rPr>
                <w:color w:val="000000"/>
                <w:spacing w:val="0"/>
                <w:w w:val="100"/>
                <w:position w:val="0"/>
                <w:sz w:val="24"/>
                <w:szCs w:val="24"/>
              </w:rPr>
              <w:t>押金及保证金</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240" w:firstLine="0"/>
              <w:jc w:val="right"/>
              <w:rPr>
                <w:sz w:val="24"/>
                <w:szCs w:val="24"/>
              </w:rPr>
            </w:pPr>
            <w:r>
              <w:rPr>
                <w:rFonts w:ascii="Times New Roman" w:eastAsia="Times New Roman" w:hAnsi="Times New Roman" w:cs="Times New Roman"/>
                <w:color w:val="000000"/>
                <w:spacing w:val="0"/>
                <w:w w:val="100"/>
                <w:position w:val="0"/>
                <w:sz w:val="24"/>
                <w:szCs w:val="24"/>
              </w:rPr>
              <w:t>7,897</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620" w:right="0" w:firstLine="0"/>
              <w:jc w:val="both"/>
              <w:rPr>
                <w:sz w:val="24"/>
                <w:szCs w:val="24"/>
              </w:rPr>
            </w:pPr>
            <w:r>
              <w:rPr>
                <w:rFonts w:ascii="Times New Roman" w:eastAsia="Times New Roman" w:hAnsi="Times New Roman" w:cs="Times New Roman"/>
                <w:color w:val="000000"/>
                <w:spacing w:val="0"/>
                <w:w w:val="100"/>
                <w:position w:val="0"/>
                <w:sz w:val="24"/>
                <w:szCs w:val="24"/>
              </w:rPr>
              <w:t>4,405</w:t>
            </w:r>
          </w:p>
        </w:tc>
      </w:tr>
      <w:tr>
        <w:trPr>
          <w:trHeight w:val="302"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80"/>
              <w:jc w:val="left"/>
              <w:rPr>
                <w:sz w:val="24"/>
                <w:szCs w:val="24"/>
              </w:rPr>
            </w:pPr>
            <w:r>
              <w:rPr>
                <w:color w:val="000000"/>
                <w:spacing w:val="0"/>
                <w:w w:val="100"/>
                <w:position w:val="0"/>
                <w:sz w:val="24"/>
                <w:szCs w:val="24"/>
              </w:rPr>
              <w:t>其他</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840" w:right="0" w:firstLine="0"/>
              <w:jc w:val="both"/>
              <w:rPr>
                <w:sz w:val="24"/>
                <w:szCs w:val="24"/>
              </w:rPr>
            </w:pPr>
            <w:r>
              <w:rPr>
                <w:rFonts w:ascii="Times New Roman" w:eastAsia="Times New Roman" w:hAnsi="Times New Roman" w:cs="Times New Roman"/>
                <w:color w:val="000000"/>
                <w:spacing w:val="0"/>
                <w:w w:val="100"/>
                <w:position w:val="0"/>
                <w:sz w:val="24"/>
                <w:szCs w:val="24"/>
              </w:rPr>
              <w:t>69,530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500" w:right="0" w:firstLine="0"/>
              <w:jc w:val="both"/>
              <w:rPr>
                <w:sz w:val="24"/>
                <w:szCs w:val="24"/>
              </w:rPr>
            </w:pPr>
            <w:r>
              <w:rPr>
                <w:rFonts w:ascii="Times New Roman" w:eastAsia="Times New Roman" w:hAnsi="Times New Roman" w:cs="Times New Roman"/>
                <w:color w:val="000000"/>
                <w:spacing w:val="0"/>
                <w:w w:val="100"/>
                <w:position w:val="0"/>
                <w:sz w:val="24"/>
                <w:szCs w:val="24"/>
              </w:rPr>
              <w:t>44,167</w:t>
            </w:r>
          </w:p>
        </w:tc>
      </w:tr>
      <w:tr>
        <w:trPr>
          <w:trHeight w:val="437" w:hRule="exact"/>
        </w:trPr>
        <w:tc>
          <w:tcPr>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1420" w:right="0" w:firstLine="0"/>
              <w:jc w:val="both"/>
              <w:rPr>
                <w:sz w:val="24"/>
                <w:szCs w:val="24"/>
              </w:rPr>
            </w:pPr>
            <w:r>
              <w:rPr>
                <w:rFonts w:ascii="Times New Roman" w:eastAsia="Times New Roman" w:hAnsi="Times New Roman" w:cs="Times New Roman"/>
                <w:color w:val="000000"/>
                <w:spacing w:val="0"/>
                <w:w w:val="100"/>
                <w:position w:val="0"/>
                <w:sz w:val="24"/>
                <w:szCs w:val="24"/>
              </w:rPr>
              <w:t>10,020,211</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1200" w:right="0" w:firstLine="0"/>
              <w:jc w:val="both"/>
              <w:rPr>
                <w:sz w:val="24"/>
                <w:szCs w:val="24"/>
              </w:rPr>
            </w:pPr>
            <w:r>
              <w:rPr>
                <w:rFonts w:ascii="Times New Roman" w:eastAsia="Times New Roman" w:hAnsi="Times New Roman" w:cs="Times New Roman"/>
                <w:color w:val="000000"/>
                <w:spacing w:val="0"/>
                <w:w w:val="100"/>
                <w:position w:val="0"/>
                <w:sz w:val="24"/>
                <w:szCs w:val="24"/>
              </w:rPr>
              <w:t>6,601,547</w:t>
            </w:r>
          </w:p>
        </w:tc>
      </w:tr>
      <w:tr>
        <w:trPr>
          <w:trHeight w:val="437"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80"/>
              <w:jc w:val="left"/>
              <w:rPr>
                <w:sz w:val="24"/>
                <w:szCs w:val="24"/>
              </w:rPr>
            </w:pPr>
            <w:r>
              <w:rPr>
                <w:color w:val="000000"/>
                <w:spacing w:val="0"/>
                <w:w w:val="100"/>
                <w:position w:val="0"/>
                <w:sz w:val="24"/>
                <w:szCs w:val="24"/>
              </w:rPr>
              <w:t>减：坏账准备</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840" w:right="0" w:firstLine="0"/>
              <w:jc w:val="left"/>
              <w:rPr>
                <w:sz w:val="24"/>
                <w:szCs w:val="24"/>
              </w:rPr>
            </w:pPr>
            <w:r>
              <w:rPr>
                <w:rFonts w:ascii="Times New Roman" w:eastAsia="Times New Roman" w:hAnsi="Times New Roman" w:cs="Times New Roman"/>
                <w:color w:val="000000"/>
                <w:spacing w:val="0"/>
                <w:w w:val="100"/>
                <w:position w:val="0"/>
                <w:sz w:val="24"/>
                <w:szCs w:val="24"/>
              </w:rPr>
              <w:t>(7,016)</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500" w:right="0" w:firstLine="0"/>
              <w:jc w:val="both"/>
              <w:rPr>
                <w:sz w:val="24"/>
                <w:szCs w:val="24"/>
              </w:rPr>
            </w:pPr>
            <w:r>
              <w:rPr>
                <w:rFonts w:ascii="Times New Roman" w:eastAsia="Times New Roman" w:hAnsi="Times New Roman" w:cs="Times New Roman"/>
                <w:color w:val="000000"/>
                <w:spacing w:val="0"/>
                <w:w w:val="100"/>
                <w:position w:val="0"/>
                <w:sz w:val="24"/>
                <w:szCs w:val="24"/>
              </w:rPr>
              <w:t>(5,408)</w:t>
            </w:r>
          </w:p>
        </w:tc>
      </w:tr>
      <w:tr>
        <w:trPr>
          <w:trHeight w:val="293" w:hRule="exact"/>
        </w:trPr>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420" w:right="0" w:firstLine="0"/>
              <w:jc w:val="both"/>
              <w:rPr>
                <w:sz w:val="24"/>
                <w:szCs w:val="24"/>
              </w:rPr>
            </w:pPr>
            <w:r>
              <w:rPr>
                <w:rFonts w:ascii="Times New Roman" w:eastAsia="Times New Roman" w:hAnsi="Times New Roman" w:cs="Times New Roman"/>
                <w:color w:val="000000"/>
                <w:spacing w:val="0"/>
                <w:w w:val="100"/>
                <w:position w:val="0"/>
                <w:sz w:val="24"/>
                <w:szCs w:val="24"/>
              </w:rPr>
              <w:t>10,013,195</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200" w:right="0" w:firstLine="0"/>
              <w:jc w:val="both"/>
              <w:rPr>
                <w:sz w:val="24"/>
                <w:szCs w:val="24"/>
              </w:rPr>
            </w:pPr>
            <w:r>
              <w:rPr>
                <w:rFonts w:ascii="Times New Roman" w:eastAsia="Times New Roman" w:hAnsi="Times New Roman" w:cs="Times New Roman"/>
                <w:color w:val="000000"/>
                <w:spacing w:val="0"/>
                <w:w w:val="100"/>
                <w:position w:val="0"/>
                <w:sz w:val="24"/>
                <w:szCs w:val="24"/>
              </w:rPr>
              <w:t>6,596,139</w:t>
            </w:r>
          </w:p>
        </w:tc>
      </w:tr>
      <w:tr>
        <w:trPr>
          <w:trHeight w:val="739" w:hRule="exact"/>
        </w:trPr>
        <w:tc>
          <w:tcPr>
            <w:tcBorders/>
            <w:shd w:val="clear" w:color="auto" w:fill="FFFFFF"/>
            <w:vAlign w:val="center"/>
          </w:tcPr>
          <w:p>
            <w:pPr>
              <w:pStyle w:val="Style28"/>
              <w:keepNext w:val="0"/>
              <w:keepLines w:val="0"/>
              <w:widowControl w:val="0"/>
              <w:shd w:val="clear" w:color="auto" w:fill="auto"/>
              <w:tabs>
                <w:tab w:pos="730" w:val="left"/>
              </w:tabs>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（a）</w:t>
              <w:tab/>
            </w:r>
            <w:r>
              <w:rPr>
                <w:color w:val="000000"/>
                <w:spacing w:val="0"/>
                <w:w w:val="100"/>
                <w:position w:val="0"/>
                <w:sz w:val="24"/>
                <w:szCs w:val="24"/>
              </w:rPr>
              <w:t>其他应收款账龄分析如下：</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600"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240" w:firstLine="0"/>
              <w:jc w:val="right"/>
              <w:rPr>
                <w:sz w:val="24"/>
                <w:szCs w:val="24"/>
              </w:rPr>
            </w:pP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2015</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w:t>
            </w:r>
          </w:p>
        </w:tc>
      </w:tr>
      <w:tr>
        <w:trPr>
          <w:trHeight w:val="446"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80"/>
              <w:jc w:val="left"/>
              <w:rPr>
                <w:sz w:val="24"/>
                <w:szCs w:val="24"/>
              </w:rPr>
            </w:pPr>
            <w:r>
              <w:rPr>
                <w:color w:val="000000"/>
                <w:spacing w:val="0"/>
                <w:w w:val="100"/>
                <w:position w:val="0"/>
                <w:sz w:val="24"/>
                <w:szCs w:val="24"/>
              </w:rPr>
              <w:t>一年以内</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540" w:right="0" w:firstLine="0"/>
              <w:jc w:val="both"/>
              <w:rPr>
                <w:sz w:val="24"/>
                <w:szCs w:val="24"/>
              </w:rPr>
            </w:pPr>
            <w:r>
              <w:rPr>
                <w:rFonts w:ascii="Times New Roman" w:eastAsia="Times New Roman" w:hAnsi="Times New Roman" w:cs="Times New Roman"/>
                <w:color w:val="000000"/>
                <w:spacing w:val="0"/>
                <w:w w:val="100"/>
                <w:position w:val="0"/>
                <w:sz w:val="24"/>
                <w:szCs w:val="24"/>
              </w:rPr>
              <w:t>9,998,528</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200" w:right="0" w:firstLine="0"/>
              <w:jc w:val="both"/>
              <w:rPr>
                <w:sz w:val="24"/>
                <w:szCs w:val="24"/>
              </w:rPr>
            </w:pPr>
            <w:r>
              <w:rPr>
                <w:rFonts w:ascii="Times New Roman" w:eastAsia="Times New Roman" w:hAnsi="Times New Roman" w:cs="Times New Roman"/>
                <w:color w:val="000000"/>
                <w:spacing w:val="0"/>
                <w:w w:val="100"/>
                <w:position w:val="0"/>
                <w:sz w:val="24"/>
                <w:szCs w:val="24"/>
              </w:rPr>
              <w:t>6,584,191</w:t>
            </w:r>
          </w:p>
        </w:tc>
      </w:tr>
      <w:tr>
        <w:trPr>
          <w:trHeight w:val="312"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80"/>
              <w:jc w:val="left"/>
              <w:rPr>
                <w:sz w:val="24"/>
                <w:szCs w:val="24"/>
              </w:rPr>
            </w:pPr>
            <w:r>
              <w:rPr>
                <w:color w:val="000000"/>
                <w:spacing w:val="0"/>
                <w:w w:val="100"/>
                <w:position w:val="0"/>
                <w:sz w:val="24"/>
                <w:szCs w:val="24"/>
              </w:rPr>
              <w:t>一到二年</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840" w:right="0" w:firstLine="0"/>
              <w:jc w:val="both"/>
              <w:rPr>
                <w:sz w:val="24"/>
                <w:szCs w:val="24"/>
              </w:rPr>
            </w:pPr>
            <w:r>
              <w:rPr>
                <w:rFonts w:ascii="Times New Roman" w:eastAsia="Times New Roman" w:hAnsi="Times New Roman" w:cs="Times New Roman"/>
                <w:color w:val="000000"/>
                <w:spacing w:val="0"/>
                <w:w w:val="100"/>
                <w:position w:val="0"/>
                <w:sz w:val="24"/>
                <w:szCs w:val="24"/>
              </w:rPr>
              <w:t>15,481</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500" w:right="0" w:firstLine="0"/>
              <w:jc w:val="both"/>
              <w:rPr>
                <w:sz w:val="24"/>
                <w:szCs w:val="24"/>
              </w:rPr>
            </w:pPr>
            <w:r>
              <w:rPr>
                <w:rFonts w:ascii="Times New Roman" w:eastAsia="Times New Roman" w:hAnsi="Times New Roman" w:cs="Times New Roman"/>
                <w:color w:val="000000"/>
                <w:spacing w:val="0"/>
                <w:w w:val="100"/>
                <w:position w:val="0"/>
                <w:sz w:val="24"/>
                <w:szCs w:val="24"/>
              </w:rPr>
              <w:t>12,645</w:t>
            </w:r>
          </w:p>
        </w:tc>
      </w:tr>
      <w:tr>
        <w:trPr>
          <w:trHeight w:val="302"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80"/>
              <w:jc w:val="left"/>
              <w:rPr>
                <w:sz w:val="24"/>
                <w:szCs w:val="24"/>
              </w:rPr>
            </w:pPr>
            <w:r>
              <w:rPr>
                <w:color w:val="000000"/>
                <w:spacing w:val="0"/>
                <w:w w:val="100"/>
                <w:position w:val="0"/>
                <w:sz w:val="24"/>
                <w:szCs w:val="24"/>
              </w:rPr>
              <w:t>二到三年</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940" w:right="0" w:firstLine="0"/>
              <w:jc w:val="both"/>
              <w:rPr>
                <w:sz w:val="24"/>
                <w:szCs w:val="24"/>
              </w:rPr>
            </w:pPr>
            <w:r>
              <w:rPr>
                <w:rFonts w:ascii="Times New Roman" w:eastAsia="Times New Roman" w:hAnsi="Times New Roman" w:cs="Times New Roman"/>
                <w:color w:val="000000"/>
                <w:spacing w:val="0"/>
                <w:w w:val="100"/>
                <w:position w:val="0"/>
                <w:sz w:val="24"/>
                <w:szCs w:val="24"/>
              </w:rPr>
              <w:t>3,501</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620" w:right="0" w:firstLine="0"/>
              <w:jc w:val="both"/>
              <w:rPr>
                <w:sz w:val="24"/>
                <w:szCs w:val="24"/>
              </w:rPr>
            </w:pPr>
            <w:r>
              <w:rPr>
                <w:rFonts w:ascii="Times New Roman" w:eastAsia="Times New Roman" w:hAnsi="Times New Roman" w:cs="Times New Roman"/>
                <w:color w:val="000000"/>
                <w:spacing w:val="0"/>
                <w:w w:val="100"/>
                <w:position w:val="0"/>
                <w:sz w:val="24"/>
                <w:szCs w:val="24"/>
              </w:rPr>
              <w:t>2,002</w:t>
            </w:r>
          </w:p>
        </w:tc>
      </w:tr>
      <w:tr>
        <w:trPr>
          <w:trHeight w:val="322"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80"/>
              <w:jc w:val="left"/>
              <w:rPr>
                <w:sz w:val="24"/>
                <w:szCs w:val="24"/>
              </w:rPr>
            </w:pPr>
            <w:r>
              <w:rPr>
                <w:color w:val="000000"/>
                <w:spacing w:val="0"/>
                <w:w w:val="100"/>
                <w:position w:val="0"/>
                <w:sz w:val="24"/>
                <w:szCs w:val="24"/>
              </w:rPr>
              <w:t>三到四年</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940" w:right="0" w:firstLine="0"/>
              <w:jc w:val="both"/>
              <w:rPr>
                <w:sz w:val="24"/>
                <w:szCs w:val="24"/>
              </w:rPr>
            </w:pPr>
            <w:r>
              <w:rPr>
                <w:rFonts w:ascii="Times New Roman" w:eastAsia="Times New Roman" w:hAnsi="Times New Roman" w:cs="Times New Roman"/>
                <w:color w:val="000000"/>
                <w:spacing w:val="0"/>
                <w:w w:val="100"/>
                <w:position w:val="0"/>
                <w:sz w:val="24"/>
                <w:szCs w:val="24"/>
              </w:rPr>
              <w:t>1,506</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620" w:right="0" w:firstLine="0"/>
              <w:jc w:val="both"/>
              <w:rPr>
                <w:sz w:val="24"/>
                <w:szCs w:val="24"/>
              </w:rPr>
            </w:pPr>
            <w:r>
              <w:rPr>
                <w:rFonts w:ascii="Times New Roman" w:eastAsia="Times New Roman" w:hAnsi="Times New Roman" w:cs="Times New Roman"/>
                <w:color w:val="000000"/>
                <w:spacing w:val="0"/>
                <w:w w:val="100"/>
                <w:position w:val="0"/>
                <w:sz w:val="24"/>
                <w:szCs w:val="24"/>
              </w:rPr>
              <w:t>1,018</w:t>
            </w:r>
          </w:p>
        </w:tc>
      </w:tr>
      <w:tr>
        <w:trPr>
          <w:trHeight w:val="302"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80"/>
              <w:jc w:val="left"/>
              <w:rPr>
                <w:sz w:val="24"/>
                <w:szCs w:val="24"/>
              </w:rPr>
            </w:pPr>
            <w:r>
              <w:rPr>
                <w:color w:val="000000"/>
                <w:spacing w:val="0"/>
                <w:w w:val="100"/>
                <w:position w:val="0"/>
                <w:sz w:val="24"/>
                <w:szCs w:val="24"/>
              </w:rPr>
              <w:t>四到五年</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240" w:firstLine="0"/>
              <w:jc w:val="right"/>
              <w:rPr>
                <w:sz w:val="24"/>
                <w:szCs w:val="24"/>
              </w:rPr>
            </w:pPr>
            <w:r>
              <w:rPr>
                <w:rFonts w:ascii="Times New Roman" w:eastAsia="Times New Roman" w:hAnsi="Times New Roman" w:cs="Times New Roman"/>
                <w:color w:val="000000"/>
                <w:spacing w:val="0"/>
                <w:w w:val="100"/>
                <w:position w:val="0"/>
                <w:sz w:val="24"/>
                <w:szCs w:val="24"/>
              </w:rPr>
              <w:t>752</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620" w:right="0" w:firstLine="0"/>
              <w:jc w:val="both"/>
              <w:rPr>
                <w:sz w:val="24"/>
                <w:szCs w:val="24"/>
              </w:rPr>
            </w:pPr>
            <w:r>
              <w:rPr>
                <w:rFonts w:ascii="Times New Roman" w:eastAsia="Times New Roman" w:hAnsi="Times New Roman" w:cs="Times New Roman"/>
                <w:color w:val="000000"/>
                <w:spacing w:val="0"/>
                <w:w w:val="100"/>
                <w:position w:val="0"/>
                <w:sz w:val="24"/>
                <w:szCs w:val="24"/>
              </w:rPr>
              <w:t>1,466</w:t>
            </w:r>
          </w:p>
        </w:tc>
      </w:tr>
      <w:tr>
        <w:trPr>
          <w:trHeight w:val="317"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80"/>
              <w:jc w:val="left"/>
              <w:rPr>
                <w:sz w:val="24"/>
                <w:szCs w:val="24"/>
              </w:rPr>
            </w:pPr>
            <w:r>
              <w:rPr>
                <w:color w:val="000000"/>
                <w:spacing w:val="0"/>
                <w:w w:val="100"/>
                <w:position w:val="0"/>
                <w:sz w:val="24"/>
                <w:szCs w:val="24"/>
              </w:rPr>
              <w:t>五年以上</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240" w:firstLine="0"/>
              <w:jc w:val="right"/>
              <w:rPr>
                <w:sz w:val="24"/>
                <w:szCs w:val="24"/>
              </w:rPr>
            </w:pPr>
            <w:r>
              <w:rPr>
                <w:rFonts w:ascii="Times New Roman" w:eastAsia="Times New Roman" w:hAnsi="Times New Roman" w:cs="Times New Roman"/>
                <w:color w:val="000000"/>
                <w:spacing w:val="0"/>
                <w:w w:val="100"/>
                <w:position w:val="0"/>
                <w:sz w:val="24"/>
                <w:szCs w:val="24"/>
              </w:rPr>
              <w:t>443</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225</w:t>
            </w:r>
          </w:p>
        </w:tc>
      </w:tr>
      <w:tr>
        <w:trPr>
          <w:trHeight w:val="307" w:hRule="exact"/>
        </w:trPr>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420" w:right="0" w:firstLine="0"/>
              <w:jc w:val="both"/>
              <w:rPr>
                <w:sz w:val="24"/>
                <w:szCs w:val="24"/>
              </w:rPr>
            </w:pPr>
            <w:r>
              <w:rPr>
                <w:rFonts w:ascii="Times New Roman" w:eastAsia="Times New Roman" w:hAnsi="Times New Roman" w:cs="Times New Roman"/>
                <w:color w:val="000000"/>
                <w:spacing w:val="0"/>
                <w:w w:val="100"/>
                <w:position w:val="0"/>
                <w:sz w:val="24"/>
                <w:szCs w:val="24"/>
              </w:rPr>
              <w:t>10,020,211</w:t>
            </w:r>
          </w:p>
        </w:tc>
        <w:tc>
          <w:tcPr>
            <w:tcBorders>
              <w:top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200" w:right="0" w:firstLine="0"/>
              <w:jc w:val="both"/>
              <w:rPr>
                <w:sz w:val="24"/>
                <w:szCs w:val="24"/>
              </w:rPr>
            </w:pPr>
            <w:r>
              <w:rPr>
                <w:rFonts w:ascii="Times New Roman" w:eastAsia="Times New Roman" w:hAnsi="Times New Roman" w:cs="Times New Roman"/>
                <w:color w:val="000000"/>
                <w:spacing w:val="0"/>
                <w:w w:val="100"/>
                <w:position w:val="0"/>
                <w:sz w:val="24"/>
                <w:szCs w:val="24"/>
              </w:rPr>
              <w:t>6,601,547</w:t>
            </w:r>
          </w:p>
        </w:tc>
      </w:tr>
    </w:tbl>
    <w:p>
      <w:pPr>
        <w:widowControl w:val="0"/>
        <w:spacing w:after="239" w:line="1" w:lineRule="exact"/>
      </w:pPr>
    </w:p>
    <w:p>
      <w:pPr>
        <w:pStyle w:val="Style32"/>
        <w:keepNext w:val="0"/>
        <w:keepLines w:val="0"/>
        <w:widowControl w:val="0"/>
        <w:shd w:val="clear" w:color="auto" w:fill="auto"/>
        <w:bidi w:val="0"/>
        <w:spacing w:before="0" w:after="240" w:line="336" w:lineRule="exact"/>
        <w:ind w:left="780" w:right="0" w:firstLine="0"/>
        <w:jc w:val="both"/>
        <w:rPr>
          <w:sz w:val="24"/>
          <w:szCs w:val="24"/>
        </w:rPr>
        <w:sectPr>
          <w:footnotePr>
            <w:pos w:val="pageBottom"/>
            <w:numFmt w:val="decimal"/>
            <w:numRestart w:val="continuous"/>
          </w:footnotePr>
          <w:pgSz w:w="11900" w:h="16840"/>
          <w:pgMar w:top="1326" w:right="1182" w:bottom="3241" w:left="1598" w:header="0" w:footer="3" w:gutter="0"/>
          <w:cols w:space="720"/>
          <w:noEndnote/>
          <w:rtlGutter w:val="0"/>
          <w:docGrid w:linePitch="360"/>
        </w:sectPr>
      </w:pPr>
      <w:r>
        <w:rPr>
          <w:color w:val="000000"/>
          <w:spacing w:val="0"/>
          <w:w w:val="100"/>
          <w:position w:val="0"/>
          <w:sz w:val="24"/>
          <w:szCs w:val="24"/>
        </w:rPr>
        <w:t>于</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日，无已逾期但未减值的其他应收款</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 无</w:t>
      </w:r>
      <w:r>
        <w:rPr>
          <w:color w:val="000000"/>
          <w:spacing w:val="0"/>
          <w:w w:val="100"/>
          <w:position w:val="0"/>
          <w:sz w:val="24"/>
          <w:szCs w:val="24"/>
        </w:rPr>
        <w:t>）</w:t>
      </w:r>
      <w:r>
        <w:rPr>
          <w:color w:val="000000"/>
          <w:spacing w:val="0"/>
          <w:w w:val="100"/>
          <w:position w:val="0"/>
          <w:sz w:val="24"/>
          <w:szCs w:val="24"/>
        </w:rPr>
        <w:t>。</w:t>
      </w:r>
    </w:p>
    <w:p>
      <w:pPr>
        <w:widowControl w:val="0"/>
        <w:spacing w:line="219" w:lineRule="exact"/>
        <w:rPr>
          <w:sz w:val="18"/>
          <w:szCs w:val="18"/>
        </w:rPr>
      </w:pPr>
    </w:p>
    <w:p>
      <w:pPr>
        <w:widowControl w:val="0"/>
        <w:spacing w:line="1" w:lineRule="exact"/>
        <w:sectPr>
          <w:footnotePr>
            <w:pos w:val="pageBottom"/>
            <w:numFmt w:val="decimal"/>
            <w:numRestart w:val="continuous"/>
          </w:footnotePr>
          <w:pgSz w:w="11900" w:h="16840"/>
          <w:pgMar w:top="1085" w:right="713" w:bottom="1129" w:left="1698" w:header="0" w:footer="3" w:gutter="0"/>
          <w:cols w:space="720"/>
          <w:noEndnote/>
          <w:rtlGutter w:val="0"/>
          <w:docGrid w:linePitch="360"/>
        </w:sectPr>
      </w:pPr>
    </w:p>
    <w:p>
      <w:pPr>
        <w:pStyle w:val="Style32"/>
        <w:keepNext w:val="0"/>
        <w:keepLines w:val="0"/>
        <w:framePr w:w="518" w:h="1488" w:wrap="none" w:vAnchor="text" w:hAnchor="page" w:x="1704" w:y="1134"/>
        <w:widowControl w:val="0"/>
        <w:shd w:val="clear" w:color="auto" w:fill="auto"/>
        <w:bidi w:val="0"/>
        <w:spacing w:before="0" w:after="320" w:line="240" w:lineRule="auto"/>
        <w:ind w:left="0" w:right="0" w:firstLine="0"/>
        <w:jc w:val="left"/>
        <w:rPr>
          <w:sz w:val="24"/>
          <w:szCs w:val="24"/>
        </w:rPr>
      </w:pPr>
      <w:r>
        <w:rPr>
          <w:b/>
          <w:bCs/>
          <w:color w:val="000000"/>
          <w:spacing w:val="0"/>
          <w:w w:val="100"/>
          <w:position w:val="0"/>
          <w:sz w:val="24"/>
          <w:szCs w:val="24"/>
        </w:rPr>
        <w:t>十七</w:t>
      </w:r>
    </w:p>
    <w:p>
      <w:pPr>
        <w:pStyle w:val="Style53"/>
        <w:keepNext w:val="0"/>
        <w:keepLines w:val="0"/>
        <w:framePr w:w="518" w:h="1488" w:wrap="none" w:vAnchor="text" w:hAnchor="page" w:x="1704" w:y="1134"/>
        <w:widowControl w:val="0"/>
        <w:shd w:val="clear" w:color="auto" w:fill="auto"/>
        <w:bidi w:val="0"/>
        <w:spacing w:before="0" w:after="240" w:line="240" w:lineRule="auto"/>
        <w:ind w:left="0" w:right="0" w:firstLine="0"/>
        <w:jc w:val="both"/>
        <w:rPr>
          <w:sz w:val="24"/>
          <w:szCs w:val="24"/>
        </w:rPr>
      </w:pPr>
      <w:r>
        <w:rPr>
          <w:rFonts w:ascii="SimSun" w:eastAsia="SimSun" w:hAnsi="SimSun" w:cs="SimSun"/>
          <w:color w:val="000000"/>
          <w:spacing w:val="0"/>
          <w:w w:val="100"/>
          <w:position w:val="0"/>
          <w:sz w:val="24"/>
          <w:szCs w:val="24"/>
        </w:rPr>
        <w:t>⑵</w:t>
      </w:r>
    </w:p>
    <w:p>
      <w:pPr>
        <w:pStyle w:val="Style53"/>
        <w:keepNext w:val="0"/>
        <w:keepLines w:val="0"/>
        <w:framePr w:w="518" w:h="1488" w:wrap="none" w:vAnchor="text" w:hAnchor="page" w:x="1704" w:y="1134"/>
        <w:widowControl w:val="0"/>
        <w:shd w:val="clear" w:color="auto" w:fill="auto"/>
        <w:bidi w:val="0"/>
        <w:spacing w:before="0" w:after="280" w:line="240" w:lineRule="auto"/>
        <w:ind w:left="0" w:right="0" w:firstLine="0"/>
        <w:jc w:val="both"/>
        <w:rPr>
          <w:sz w:val="24"/>
          <w:szCs w:val="24"/>
        </w:rPr>
      </w:pPr>
      <w:r>
        <w:rPr>
          <w:color w:val="000000"/>
          <w:spacing w:val="0"/>
          <w:w w:val="100"/>
          <w:position w:val="0"/>
          <w:sz w:val="24"/>
          <w:szCs w:val="24"/>
        </w:rPr>
        <w:t>(b)</w:t>
      </w:r>
    </w:p>
    <w:p>
      <w:pPr>
        <w:pStyle w:val="Style32"/>
        <w:keepNext w:val="0"/>
        <w:keepLines w:val="0"/>
        <w:framePr w:w="3586" w:h="2602" w:wrap="none" w:vAnchor="text" w:hAnchor="page" w:x="2419" w:y="21"/>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财务报表附注</w:t>
      </w:r>
    </w:p>
    <w:p>
      <w:pPr>
        <w:pStyle w:val="Style88"/>
        <w:keepNext/>
        <w:keepLines/>
        <w:framePr w:w="3586" w:h="2602" w:wrap="none" w:vAnchor="text" w:hAnchor="page" w:x="2419" w:y="21"/>
        <w:widowControl w:val="0"/>
        <w:shd w:val="clear" w:color="auto" w:fill="auto"/>
        <w:bidi w:val="0"/>
        <w:spacing w:before="0" w:after="0" w:line="240" w:lineRule="auto"/>
        <w:ind w:left="0" w:right="0" w:firstLine="0"/>
        <w:jc w:val="left"/>
      </w:pPr>
      <w:bookmarkStart w:id="1190" w:name="bookmark1190"/>
      <w:bookmarkStart w:id="1191" w:name="bookmark1191"/>
      <w:bookmarkStart w:id="1192" w:name="bookmark1192"/>
      <w:r>
        <w:rPr>
          <w:color w:val="000000"/>
          <w:spacing w:val="0"/>
          <w:w w:val="100"/>
          <w:position w:val="0"/>
          <w:sz w:val="24"/>
          <w:szCs w:val="24"/>
        </w:rPr>
        <w:t>2016</w:t>
      </w:r>
      <w:r>
        <w:rPr>
          <w:rFonts w:ascii="SimSun" w:eastAsia="SimSun" w:hAnsi="SimSun" w:cs="SimSun"/>
          <w:b/>
          <w:bCs/>
          <w:color w:val="000000"/>
          <w:spacing w:val="0"/>
          <w:w w:val="100"/>
          <w:position w:val="0"/>
          <w:sz w:val="24"/>
          <w:szCs w:val="24"/>
        </w:rPr>
        <w:t>年度</w:t>
      </w:r>
      <w:bookmarkEnd w:id="1190"/>
      <w:bookmarkEnd w:id="1191"/>
      <w:bookmarkEnd w:id="1192"/>
    </w:p>
    <w:p>
      <w:pPr>
        <w:pStyle w:val="Style32"/>
        <w:keepNext w:val="0"/>
        <w:keepLines w:val="0"/>
        <w:framePr w:w="3586" w:h="2602" w:wrap="none" w:vAnchor="text" w:hAnchor="page" w:x="2419" w:y="21"/>
        <w:widowControl w:val="0"/>
        <w:shd w:val="clear" w:color="auto" w:fill="auto"/>
        <w:bidi w:val="0"/>
        <w:spacing w:before="0" w:after="280" w:line="240" w:lineRule="auto"/>
        <w:ind w:left="0" w:right="0" w:firstLine="0"/>
        <w:jc w:val="left"/>
        <w:rPr>
          <w:sz w:val="20"/>
          <w:szCs w:val="20"/>
        </w:rPr>
      </w:pPr>
      <w:r>
        <w:rPr>
          <w:rFonts w:ascii="Arial" w:eastAsia="Arial" w:hAnsi="Arial" w:cs="Arial"/>
          <w:color w:val="000000"/>
          <w:spacing w:val="0"/>
          <w:w w:val="100"/>
          <w:position w:val="0"/>
          <w:sz w:val="20"/>
          <w:szCs w:val="20"/>
        </w:rPr>
        <w:t>（</w:t>
      </w:r>
      <w:r>
        <w:rPr>
          <w:color w:val="000000"/>
          <w:spacing w:val="0"/>
          <w:w w:val="100"/>
          <w:position w:val="0"/>
          <w:sz w:val="20"/>
          <w:szCs w:val="20"/>
        </w:rPr>
        <w:t>除特别注明外，金额单位为人民币千元</w:t>
      </w:r>
      <w:r>
        <w:rPr>
          <w:rFonts w:ascii="Arial" w:eastAsia="Arial" w:hAnsi="Arial" w:cs="Arial"/>
          <w:color w:val="000000"/>
          <w:spacing w:val="0"/>
          <w:w w:val="100"/>
          <w:position w:val="0"/>
          <w:sz w:val="20"/>
          <w:szCs w:val="20"/>
        </w:rPr>
        <w:t>）</w:t>
      </w:r>
    </w:p>
    <w:p>
      <w:pPr>
        <w:pStyle w:val="Style32"/>
        <w:keepNext w:val="0"/>
        <w:keepLines w:val="0"/>
        <w:framePr w:w="3586" w:h="2602" w:wrap="none" w:vAnchor="text" w:hAnchor="page" w:x="2419" w:y="21"/>
        <w:widowControl w:val="0"/>
        <w:shd w:val="clear" w:color="auto" w:fill="auto"/>
        <w:bidi w:val="0"/>
        <w:spacing w:before="0" w:after="280" w:line="240" w:lineRule="auto"/>
        <w:ind w:left="0" w:right="0" w:firstLine="0"/>
        <w:jc w:val="left"/>
        <w:rPr>
          <w:sz w:val="24"/>
          <w:szCs w:val="24"/>
        </w:rPr>
      </w:pPr>
      <w:r>
        <w:rPr>
          <w:b/>
          <w:bCs/>
          <w:color w:val="000000"/>
          <w:spacing w:val="0"/>
          <w:w w:val="100"/>
          <w:position w:val="0"/>
          <w:sz w:val="24"/>
          <w:szCs w:val="24"/>
        </w:rPr>
        <w:t>公司财务报表附注</w:t>
      </w:r>
      <w:r>
        <w:rPr>
          <w:rFonts w:ascii="Times New Roman" w:eastAsia="Times New Roman" w:hAnsi="Times New Roman" w:cs="Times New Roman"/>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4"/>
          <w:szCs w:val="24"/>
        </w:rPr>
        <w:t>）</w:t>
      </w:r>
    </w:p>
    <w:p>
      <w:pPr>
        <w:pStyle w:val="Style32"/>
        <w:keepNext w:val="0"/>
        <w:keepLines w:val="0"/>
        <w:framePr w:w="3586" w:h="2602" w:wrap="none" w:vAnchor="text" w:hAnchor="page" w:x="2419" w:y="21"/>
        <w:widowControl w:val="0"/>
        <w:shd w:val="clear" w:color="auto" w:fill="auto"/>
        <w:bidi w:val="0"/>
        <w:spacing w:before="0" w:after="280" w:line="240" w:lineRule="auto"/>
        <w:ind w:left="0" w:right="0" w:firstLine="0"/>
        <w:jc w:val="left"/>
        <w:rPr>
          <w:sz w:val="24"/>
          <w:szCs w:val="24"/>
        </w:rPr>
      </w:pPr>
      <w:r>
        <w:rPr>
          <w:b/>
          <w:bCs/>
          <w:color w:val="000000"/>
          <w:spacing w:val="0"/>
          <w:w w:val="100"/>
          <w:position w:val="0"/>
          <w:sz w:val="24"/>
          <w:szCs w:val="24"/>
        </w:rPr>
        <w:t>其他应收款</w:t>
      </w:r>
      <w:r>
        <w:rPr>
          <w:rFonts w:ascii="Times New Roman" w:eastAsia="Times New Roman" w:hAnsi="Times New Roman" w:cs="Times New Roman"/>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4"/>
          <w:szCs w:val="24"/>
        </w:rPr>
        <w:t>）</w:t>
      </w:r>
    </w:p>
    <w:p>
      <w:pPr>
        <w:pStyle w:val="Style32"/>
        <w:keepNext w:val="0"/>
        <w:keepLines w:val="0"/>
        <w:framePr w:w="3586" w:h="2602" w:wrap="none" w:vAnchor="text" w:hAnchor="page" w:x="2419" w:y="21"/>
        <w:widowControl w:val="0"/>
        <w:shd w:val="clear" w:color="auto" w:fill="auto"/>
        <w:bidi w:val="0"/>
        <w:spacing w:before="0" w:after="280" w:line="240" w:lineRule="auto"/>
        <w:ind w:left="0" w:right="0" w:firstLine="0"/>
        <w:jc w:val="left"/>
        <w:rPr>
          <w:sz w:val="24"/>
          <w:szCs w:val="24"/>
        </w:rPr>
      </w:pPr>
      <w:r>
        <w:rPr>
          <w:color w:val="000000"/>
          <w:spacing w:val="0"/>
          <w:w w:val="100"/>
          <w:position w:val="0"/>
          <w:sz w:val="24"/>
          <w:szCs w:val="24"/>
        </w:rPr>
        <w:t>其他应收款按类别分析如下：</w:t>
      </w:r>
    </w:p>
    <w:p>
      <w:pPr>
        <w:pStyle w:val="Style53"/>
        <w:keepNext w:val="0"/>
        <w:keepLines w:val="0"/>
        <w:framePr w:w="307" w:h="350" w:wrap="none" w:vAnchor="text" w:hAnchor="page" w:x="1699" w:y="5871"/>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(c)</w:t>
      </w:r>
    </w:p>
    <w:tbl>
      <w:tblPr>
        <w:tblOverlap w:val="never"/>
        <w:jc w:val="left"/>
        <w:tblLayout w:type="fixed"/>
      </w:tblPr>
      <w:tblGrid>
        <w:gridCol w:w="1843"/>
        <w:gridCol w:w="1200"/>
        <w:gridCol w:w="610"/>
        <w:gridCol w:w="1080"/>
        <w:gridCol w:w="734"/>
        <w:gridCol w:w="1738"/>
        <w:gridCol w:w="979"/>
        <w:gridCol w:w="590"/>
      </w:tblGrid>
      <w:tr>
        <w:trPr>
          <w:trHeight w:val="230" w:hRule="exact"/>
        </w:trPr>
        <w:tc>
          <w:tcPr>
            <w:vMerge w:val="restart"/>
            <w:tcBorders/>
            <w:shd w:val="clear" w:color="auto" w:fill="FFFFFF"/>
            <w:vAlign w:val="top"/>
          </w:tcPr>
          <w:p>
            <w:pPr>
              <w:framePr w:w="8774" w:h="6806" w:vSpace="250" w:wrap="none" w:vAnchor="text" w:hAnchor="page" w:x="2414" w:y="3078"/>
              <w:widowControl w:val="0"/>
              <w:rPr>
                <w:sz w:val="10"/>
                <w:szCs w:val="10"/>
              </w:rPr>
            </w:pPr>
          </w:p>
        </w:tc>
        <w:tc>
          <w:tcPr>
            <w:gridSpan w:val="2"/>
            <w:tcBorders>
              <w:top w:val="single" w:sz="4"/>
            </w:tcBorders>
            <w:shd w:val="clear" w:color="auto" w:fill="FFFFFF"/>
            <w:vAlign w:val="top"/>
          </w:tcPr>
          <w:p>
            <w:pPr>
              <w:pStyle w:val="Style28"/>
              <w:keepNext w:val="0"/>
              <w:keepLines w:val="0"/>
              <w:framePr w:w="8774" w:h="6806" w:vSpace="250" w:wrap="none" w:vAnchor="text" w:hAnchor="page" w:x="2414" w:y="3078"/>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gridSpan w:val="2"/>
            <w:tcBorders>
              <w:top w:val="single" w:sz="4"/>
            </w:tcBorders>
            <w:shd w:val="clear" w:color="auto" w:fill="FFFFFF"/>
            <w:vAlign w:val="top"/>
          </w:tcPr>
          <w:p>
            <w:pPr>
              <w:pStyle w:val="Style28"/>
              <w:keepNext w:val="0"/>
              <w:keepLines w:val="0"/>
              <w:framePr w:w="8774" w:h="6806" w:vSpace="250" w:wrap="none" w:vAnchor="text" w:hAnchor="page" w:x="2414" w:y="3078"/>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tcBorders>
              <w:top w:val="single" w:sz="4"/>
            </w:tcBorders>
            <w:shd w:val="clear" w:color="auto" w:fill="FFFFFF"/>
            <w:vAlign w:val="top"/>
          </w:tcPr>
          <w:p>
            <w:pPr>
              <w:pStyle w:val="Style28"/>
              <w:keepNext w:val="0"/>
              <w:keepLines w:val="0"/>
              <w:framePr w:w="8774" w:h="6806" w:vSpace="250" w:wrap="none" w:vAnchor="text" w:hAnchor="page" w:x="2414" w:y="3078"/>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账面余额</w:t>
            </w:r>
          </w:p>
        </w:tc>
        <w:tc>
          <w:tcPr>
            <w:gridSpan w:val="2"/>
            <w:tcBorders>
              <w:top w:val="single" w:sz="4"/>
            </w:tcBorders>
            <w:shd w:val="clear" w:color="auto" w:fill="FFFFFF"/>
            <w:vAlign w:val="top"/>
          </w:tcPr>
          <w:p>
            <w:pPr>
              <w:pStyle w:val="Style28"/>
              <w:keepNext w:val="0"/>
              <w:keepLines w:val="0"/>
              <w:framePr w:w="8774" w:h="6806" w:vSpace="250" w:wrap="none" w:vAnchor="text" w:hAnchor="page" w:x="2414" w:y="3078"/>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r>
      <w:tr>
        <w:trPr>
          <w:trHeight w:val="576" w:hRule="exact"/>
        </w:trPr>
        <w:tc>
          <w:tcPr>
            <w:vMerge/>
            <w:tcBorders/>
            <w:shd w:val="clear" w:color="auto" w:fill="FFFFFF"/>
            <w:vAlign w:val="top"/>
          </w:tcPr>
          <w:p>
            <w:pPr>
              <w:framePr w:w="8774" w:h="6806" w:vSpace="250" w:wrap="none" w:vAnchor="text" w:hAnchor="page" w:x="2414" w:y="3078"/>
            </w:pPr>
          </w:p>
        </w:tc>
        <w:tc>
          <w:tcPr>
            <w:tcBorders>
              <w:top w:val="single" w:sz="4"/>
            </w:tcBorders>
            <w:shd w:val="clear" w:color="auto" w:fill="FFFFFF"/>
            <w:vAlign w:val="center"/>
          </w:tcPr>
          <w:p>
            <w:pPr>
              <w:pStyle w:val="Style28"/>
              <w:keepNext w:val="0"/>
              <w:keepLines w:val="0"/>
              <w:framePr w:w="8774" w:h="6806" w:vSpace="250" w:wrap="none" w:vAnchor="text" w:hAnchor="page" w:x="2414" w:y="3078"/>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金额</w:t>
            </w:r>
          </w:p>
        </w:tc>
        <w:tc>
          <w:tcPr>
            <w:tcBorders>
              <w:top w:val="single" w:sz="4"/>
            </w:tcBorders>
            <w:shd w:val="clear" w:color="auto" w:fill="FFFFFF"/>
            <w:vAlign w:val="top"/>
          </w:tcPr>
          <w:p>
            <w:pPr>
              <w:pStyle w:val="Style28"/>
              <w:keepNext w:val="0"/>
              <w:keepLines w:val="0"/>
              <w:framePr w:w="8774" w:h="6806" w:vSpace="250" w:wrap="none" w:vAnchor="text" w:hAnchor="page" w:x="2414" w:y="3078"/>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占总额</w:t>
            </w:r>
          </w:p>
          <w:p>
            <w:pPr>
              <w:pStyle w:val="Style28"/>
              <w:keepNext w:val="0"/>
              <w:keepLines w:val="0"/>
              <w:framePr w:w="8774" w:h="6806" w:vSpace="250" w:wrap="none" w:vAnchor="text" w:hAnchor="page" w:x="2414" w:y="3078"/>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比例</w:t>
            </w:r>
          </w:p>
        </w:tc>
        <w:tc>
          <w:tcPr>
            <w:tcBorders>
              <w:top w:val="single" w:sz="4"/>
            </w:tcBorders>
            <w:shd w:val="clear" w:color="auto" w:fill="FFFFFF"/>
            <w:vAlign w:val="center"/>
          </w:tcPr>
          <w:p>
            <w:pPr>
              <w:pStyle w:val="Style28"/>
              <w:keepNext w:val="0"/>
              <w:keepLines w:val="0"/>
              <w:framePr w:w="8774" w:h="6806" w:vSpace="250" w:wrap="none" w:vAnchor="text" w:hAnchor="page" w:x="2414" w:y="3078"/>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金额</w:t>
            </w:r>
          </w:p>
        </w:tc>
        <w:tc>
          <w:tcPr>
            <w:tcBorders>
              <w:top w:val="single" w:sz="4"/>
            </w:tcBorders>
            <w:shd w:val="clear" w:color="auto" w:fill="FFFFFF"/>
            <w:vAlign w:val="top"/>
          </w:tcPr>
          <w:p>
            <w:pPr>
              <w:pStyle w:val="Style28"/>
              <w:keepNext w:val="0"/>
              <w:keepLines w:val="0"/>
              <w:framePr w:w="8774" w:h="6806" w:vSpace="250" w:wrap="none" w:vAnchor="text" w:hAnchor="page" w:x="2414" w:y="3078"/>
              <w:widowControl w:val="0"/>
              <w:shd w:val="clear" w:color="auto" w:fill="auto"/>
              <w:bidi w:val="0"/>
              <w:spacing w:before="0" w:after="0" w:line="245" w:lineRule="exact"/>
              <w:ind w:left="0" w:right="0" w:firstLine="0"/>
              <w:jc w:val="right"/>
              <w:rPr>
                <w:sz w:val="18"/>
                <w:szCs w:val="18"/>
              </w:rPr>
            </w:pPr>
            <w:r>
              <w:rPr>
                <w:color w:val="000000"/>
                <w:spacing w:val="0"/>
                <w:w w:val="100"/>
                <w:position w:val="0"/>
                <w:sz w:val="18"/>
                <w:szCs w:val="18"/>
              </w:rPr>
              <w:t>计提 比例</w:t>
            </w:r>
          </w:p>
        </w:tc>
        <w:tc>
          <w:tcPr>
            <w:tcBorders>
              <w:top w:val="single" w:sz="4"/>
            </w:tcBorders>
            <w:shd w:val="clear" w:color="auto" w:fill="FFFFFF"/>
            <w:vAlign w:val="top"/>
          </w:tcPr>
          <w:p>
            <w:pPr>
              <w:pStyle w:val="Style28"/>
              <w:keepNext w:val="0"/>
              <w:keepLines w:val="0"/>
              <w:framePr w:w="8774" w:h="6806" w:vSpace="250" w:wrap="none" w:vAnchor="text" w:hAnchor="page" w:x="2414" w:y="3078"/>
              <w:widowControl w:val="0"/>
              <w:shd w:val="clear" w:color="auto" w:fill="auto"/>
              <w:tabs>
                <w:tab w:pos="773" w:val="left"/>
              </w:tabs>
              <w:bidi w:val="0"/>
              <w:spacing w:before="0" w:after="0" w:line="235" w:lineRule="exact"/>
              <w:ind w:left="0" w:right="0" w:firstLine="0"/>
              <w:jc w:val="right"/>
              <w:rPr>
                <w:sz w:val="18"/>
                <w:szCs w:val="18"/>
              </w:rPr>
            </w:pPr>
            <w:r>
              <w:rPr>
                <w:color w:val="000000"/>
                <w:spacing w:val="0"/>
                <w:w w:val="100"/>
                <w:position w:val="0"/>
                <w:sz w:val="18"/>
                <w:szCs w:val="18"/>
              </w:rPr>
              <w:t>占总额 金额</w:t>
              <w:tab/>
              <w:t>比例</w:t>
            </w:r>
          </w:p>
        </w:tc>
        <w:tc>
          <w:tcPr>
            <w:tcBorders>
              <w:top w:val="single" w:sz="4"/>
            </w:tcBorders>
            <w:shd w:val="clear" w:color="auto" w:fill="FFFFFF"/>
            <w:vAlign w:val="center"/>
          </w:tcPr>
          <w:p>
            <w:pPr>
              <w:pStyle w:val="Style28"/>
              <w:keepNext w:val="0"/>
              <w:keepLines w:val="0"/>
              <w:framePr w:w="8774" w:h="6806" w:vSpace="250" w:wrap="none" w:vAnchor="text" w:hAnchor="page" w:x="2414" w:y="3078"/>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金额</w:t>
            </w:r>
          </w:p>
        </w:tc>
        <w:tc>
          <w:tcPr>
            <w:tcBorders>
              <w:top w:val="single" w:sz="4"/>
            </w:tcBorders>
            <w:shd w:val="clear" w:color="auto" w:fill="FFFFFF"/>
            <w:vAlign w:val="top"/>
          </w:tcPr>
          <w:p>
            <w:pPr>
              <w:pStyle w:val="Style28"/>
              <w:keepNext w:val="0"/>
              <w:keepLines w:val="0"/>
              <w:framePr w:w="8774" w:h="6806" w:vSpace="250" w:wrap="none" w:vAnchor="text" w:hAnchor="page" w:x="2414" w:y="3078"/>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计提 比例</w:t>
            </w:r>
          </w:p>
        </w:tc>
      </w:tr>
      <w:tr>
        <w:trPr>
          <w:trHeight w:val="336" w:hRule="exact"/>
        </w:trPr>
        <w:tc>
          <w:tcPr>
            <w:tcBorders/>
            <w:shd w:val="clear" w:color="auto" w:fill="FFFFFF"/>
            <w:vAlign w:val="bottom"/>
          </w:tcPr>
          <w:p>
            <w:pPr>
              <w:pStyle w:val="Style28"/>
              <w:keepNext w:val="0"/>
              <w:keepLines w:val="0"/>
              <w:framePr w:w="8774" w:h="6806" w:vSpace="250" w:wrap="none" w:vAnchor="text" w:hAnchor="page" w:x="2414" w:y="3078"/>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按组合计提坏账准备</w:t>
            </w:r>
          </w:p>
        </w:tc>
        <w:tc>
          <w:tcPr>
            <w:tcBorders/>
            <w:shd w:val="clear" w:color="auto" w:fill="FFFFFF"/>
            <w:vAlign w:val="top"/>
          </w:tcPr>
          <w:p>
            <w:pPr>
              <w:framePr w:w="8774" w:h="6806" w:vSpace="250" w:wrap="none" w:vAnchor="text" w:hAnchor="page" w:x="2414" w:y="3078"/>
              <w:widowControl w:val="0"/>
              <w:rPr>
                <w:sz w:val="10"/>
                <w:szCs w:val="10"/>
              </w:rPr>
            </w:pPr>
          </w:p>
        </w:tc>
        <w:tc>
          <w:tcPr>
            <w:tcBorders/>
            <w:shd w:val="clear" w:color="auto" w:fill="FFFFFF"/>
            <w:vAlign w:val="top"/>
          </w:tcPr>
          <w:p>
            <w:pPr>
              <w:framePr w:w="8774" w:h="6806" w:vSpace="250" w:wrap="none" w:vAnchor="text" w:hAnchor="page" w:x="2414" w:y="3078"/>
              <w:widowControl w:val="0"/>
              <w:rPr>
                <w:sz w:val="10"/>
                <w:szCs w:val="10"/>
              </w:rPr>
            </w:pPr>
          </w:p>
        </w:tc>
        <w:tc>
          <w:tcPr>
            <w:tcBorders/>
            <w:shd w:val="clear" w:color="auto" w:fill="FFFFFF"/>
            <w:vAlign w:val="top"/>
          </w:tcPr>
          <w:p>
            <w:pPr>
              <w:framePr w:w="8774" w:h="6806" w:vSpace="250" w:wrap="none" w:vAnchor="text" w:hAnchor="page" w:x="2414" w:y="3078"/>
              <w:widowControl w:val="0"/>
              <w:rPr>
                <w:sz w:val="10"/>
                <w:szCs w:val="10"/>
              </w:rPr>
            </w:pPr>
          </w:p>
        </w:tc>
        <w:tc>
          <w:tcPr>
            <w:tcBorders/>
            <w:shd w:val="clear" w:color="auto" w:fill="FFFFFF"/>
            <w:vAlign w:val="top"/>
          </w:tcPr>
          <w:p>
            <w:pPr>
              <w:framePr w:w="8774" w:h="6806" w:vSpace="250" w:wrap="none" w:vAnchor="text" w:hAnchor="page" w:x="2414" w:y="3078"/>
              <w:widowControl w:val="0"/>
              <w:rPr>
                <w:sz w:val="10"/>
                <w:szCs w:val="10"/>
              </w:rPr>
            </w:pPr>
          </w:p>
        </w:tc>
        <w:tc>
          <w:tcPr>
            <w:tcBorders/>
            <w:shd w:val="clear" w:color="auto" w:fill="FFFFFF"/>
            <w:vAlign w:val="top"/>
          </w:tcPr>
          <w:p>
            <w:pPr>
              <w:framePr w:w="8774" w:h="6806" w:vSpace="250" w:wrap="none" w:vAnchor="text" w:hAnchor="page" w:x="2414" w:y="3078"/>
              <w:widowControl w:val="0"/>
              <w:rPr>
                <w:sz w:val="10"/>
                <w:szCs w:val="10"/>
              </w:rPr>
            </w:pPr>
          </w:p>
        </w:tc>
        <w:tc>
          <w:tcPr>
            <w:tcBorders/>
            <w:shd w:val="clear" w:color="auto" w:fill="FFFFFF"/>
            <w:vAlign w:val="top"/>
          </w:tcPr>
          <w:p>
            <w:pPr>
              <w:framePr w:w="8774" w:h="6806" w:vSpace="250" w:wrap="none" w:vAnchor="text" w:hAnchor="page" w:x="2414" w:y="3078"/>
              <w:widowControl w:val="0"/>
              <w:rPr>
                <w:sz w:val="10"/>
                <w:szCs w:val="10"/>
              </w:rPr>
            </w:pPr>
          </w:p>
        </w:tc>
        <w:tc>
          <w:tcPr>
            <w:tcBorders/>
            <w:shd w:val="clear" w:color="auto" w:fill="FFFFFF"/>
            <w:vAlign w:val="top"/>
          </w:tcPr>
          <w:p>
            <w:pPr>
              <w:framePr w:w="8774" w:h="6806" w:vSpace="250" w:wrap="none" w:vAnchor="text" w:hAnchor="page" w:x="2414" w:y="3078"/>
              <w:widowControl w:val="0"/>
              <w:rPr>
                <w:sz w:val="10"/>
                <w:szCs w:val="10"/>
              </w:rPr>
            </w:pPr>
          </w:p>
        </w:tc>
      </w:tr>
      <w:tr>
        <w:trPr>
          <w:trHeight w:val="235" w:hRule="exact"/>
        </w:trPr>
        <w:tc>
          <w:tcPr>
            <w:tcBorders/>
            <w:shd w:val="clear" w:color="auto" w:fill="FFFFFF"/>
            <w:vAlign w:val="top"/>
          </w:tcPr>
          <w:p>
            <w:pPr>
              <w:pStyle w:val="Style28"/>
              <w:keepNext w:val="0"/>
              <w:keepLines w:val="0"/>
              <w:framePr w:w="8774" w:h="6806" w:vSpace="250" w:wrap="none" w:vAnchor="text" w:hAnchor="page" w:x="2414" w:y="3078"/>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应收关联方非经常</w:t>
            </w:r>
          </w:p>
        </w:tc>
        <w:tc>
          <w:tcPr>
            <w:tcBorders/>
            <w:shd w:val="clear" w:color="auto" w:fill="FFFFFF"/>
            <w:vAlign w:val="top"/>
          </w:tcPr>
          <w:p>
            <w:pPr>
              <w:framePr w:w="8774" w:h="6806" w:vSpace="250" w:wrap="none" w:vAnchor="text" w:hAnchor="page" w:x="2414" w:y="3078"/>
              <w:widowControl w:val="0"/>
              <w:rPr>
                <w:sz w:val="10"/>
                <w:szCs w:val="10"/>
              </w:rPr>
            </w:pPr>
          </w:p>
        </w:tc>
        <w:tc>
          <w:tcPr>
            <w:tcBorders/>
            <w:shd w:val="clear" w:color="auto" w:fill="FFFFFF"/>
            <w:vAlign w:val="top"/>
          </w:tcPr>
          <w:p>
            <w:pPr>
              <w:framePr w:w="8774" w:h="6806" w:vSpace="250" w:wrap="none" w:vAnchor="text" w:hAnchor="page" w:x="2414" w:y="3078"/>
              <w:widowControl w:val="0"/>
              <w:rPr>
                <w:sz w:val="10"/>
                <w:szCs w:val="10"/>
              </w:rPr>
            </w:pPr>
          </w:p>
        </w:tc>
        <w:tc>
          <w:tcPr>
            <w:tcBorders/>
            <w:shd w:val="clear" w:color="auto" w:fill="FFFFFF"/>
            <w:vAlign w:val="top"/>
          </w:tcPr>
          <w:p>
            <w:pPr>
              <w:framePr w:w="8774" w:h="6806" w:vSpace="250" w:wrap="none" w:vAnchor="text" w:hAnchor="page" w:x="2414" w:y="3078"/>
              <w:widowControl w:val="0"/>
              <w:rPr>
                <w:sz w:val="10"/>
                <w:szCs w:val="10"/>
              </w:rPr>
            </w:pPr>
          </w:p>
        </w:tc>
        <w:tc>
          <w:tcPr>
            <w:tcBorders/>
            <w:shd w:val="clear" w:color="auto" w:fill="FFFFFF"/>
            <w:vAlign w:val="top"/>
          </w:tcPr>
          <w:p>
            <w:pPr>
              <w:framePr w:w="8774" w:h="6806" w:vSpace="250" w:wrap="none" w:vAnchor="text" w:hAnchor="page" w:x="2414" w:y="3078"/>
              <w:widowControl w:val="0"/>
              <w:rPr>
                <w:sz w:val="10"/>
                <w:szCs w:val="10"/>
              </w:rPr>
            </w:pPr>
          </w:p>
        </w:tc>
        <w:tc>
          <w:tcPr>
            <w:tcBorders/>
            <w:shd w:val="clear" w:color="auto" w:fill="FFFFFF"/>
            <w:vAlign w:val="top"/>
          </w:tcPr>
          <w:p>
            <w:pPr>
              <w:framePr w:w="8774" w:h="6806" w:vSpace="250" w:wrap="none" w:vAnchor="text" w:hAnchor="page" w:x="2414" w:y="3078"/>
              <w:widowControl w:val="0"/>
              <w:rPr>
                <w:sz w:val="10"/>
                <w:szCs w:val="10"/>
              </w:rPr>
            </w:pPr>
          </w:p>
        </w:tc>
        <w:tc>
          <w:tcPr>
            <w:tcBorders/>
            <w:shd w:val="clear" w:color="auto" w:fill="FFFFFF"/>
            <w:vAlign w:val="top"/>
          </w:tcPr>
          <w:p>
            <w:pPr>
              <w:framePr w:w="8774" w:h="6806" w:vSpace="250" w:wrap="none" w:vAnchor="text" w:hAnchor="page" w:x="2414" w:y="3078"/>
              <w:widowControl w:val="0"/>
              <w:rPr>
                <w:sz w:val="10"/>
                <w:szCs w:val="10"/>
              </w:rPr>
            </w:pPr>
          </w:p>
        </w:tc>
        <w:tc>
          <w:tcPr>
            <w:tcBorders/>
            <w:shd w:val="clear" w:color="auto" w:fill="FFFFFF"/>
            <w:vAlign w:val="top"/>
          </w:tcPr>
          <w:p>
            <w:pPr>
              <w:framePr w:w="8774" w:h="6806" w:vSpace="250" w:wrap="none" w:vAnchor="text" w:hAnchor="page" w:x="2414" w:y="3078"/>
              <w:widowControl w:val="0"/>
              <w:rPr>
                <w:sz w:val="10"/>
                <w:szCs w:val="10"/>
              </w:rPr>
            </w:pPr>
          </w:p>
        </w:tc>
      </w:tr>
      <w:tr>
        <w:trPr>
          <w:trHeight w:val="230" w:hRule="exact"/>
        </w:trPr>
        <w:tc>
          <w:tcPr>
            <w:tcBorders/>
            <w:shd w:val="clear" w:color="auto" w:fill="FFFFFF"/>
            <w:vAlign w:val="center"/>
          </w:tcPr>
          <w:p>
            <w:pPr>
              <w:pStyle w:val="Style28"/>
              <w:keepNext w:val="0"/>
              <w:keepLines w:val="0"/>
              <w:framePr w:w="8774" w:h="6806" w:vSpace="250" w:wrap="none" w:vAnchor="text" w:hAnchor="page" w:x="2414" w:y="3078"/>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性交易款项</w:t>
            </w:r>
          </w:p>
        </w:tc>
        <w:tc>
          <w:tcPr>
            <w:tcBorders/>
            <w:shd w:val="clear" w:color="auto" w:fill="FFFFFF"/>
            <w:vAlign w:val="center"/>
          </w:tcPr>
          <w:p>
            <w:pPr>
              <w:pStyle w:val="Style28"/>
              <w:keepNext w:val="0"/>
              <w:keepLines w:val="0"/>
              <w:framePr w:w="8774" w:h="6806" w:vSpace="250" w:wrap="none" w:vAnchor="text" w:hAnchor="page" w:x="2414" w:y="3078"/>
              <w:widowControl w:val="0"/>
              <w:shd w:val="clear" w:color="auto" w:fill="auto"/>
              <w:bidi w:val="0"/>
              <w:spacing w:before="0" w:after="0" w:line="240" w:lineRule="auto"/>
              <w:ind w:left="0" w:right="0" w:firstLine="84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center"/>
          </w:tcPr>
          <w:p>
            <w:pPr>
              <w:pStyle w:val="Style28"/>
              <w:keepNext w:val="0"/>
              <w:keepLines w:val="0"/>
              <w:framePr w:w="8774" w:h="6806" w:vSpace="250" w:wrap="none" w:vAnchor="text" w:hAnchor="page" w:x="2414" w:y="3078"/>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8"/>
              <w:keepNext w:val="0"/>
              <w:keepLines w:val="0"/>
              <w:framePr w:w="8774" w:h="6806" w:vSpace="250" w:wrap="none" w:vAnchor="text" w:hAnchor="page" w:x="2414" w:y="3078"/>
              <w:widowControl w:val="0"/>
              <w:shd w:val="clear" w:color="auto" w:fill="auto"/>
              <w:bidi w:val="0"/>
              <w:spacing w:before="0" w:after="0" w:line="240" w:lineRule="auto"/>
              <w:ind w:left="0" w:right="0" w:firstLine="80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center"/>
          </w:tcPr>
          <w:p>
            <w:pPr>
              <w:pStyle w:val="Style28"/>
              <w:keepNext w:val="0"/>
              <w:keepLines w:val="0"/>
              <w:framePr w:w="8774" w:h="6806" w:vSpace="250" w:wrap="none" w:vAnchor="text" w:hAnchor="page" w:x="2414" w:y="3078"/>
              <w:widowControl w:val="0"/>
              <w:shd w:val="clear" w:color="auto" w:fill="auto"/>
              <w:bidi w:val="0"/>
              <w:spacing w:before="0" w:after="0" w:line="240" w:lineRule="auto"/>
              <w:ind w:left="0" w:right="14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center"/>
          </w:tcPr>
          <w:p>
            <w:pPr>
              <w:pStyle w:val="Style28"/>
              <w:keepNext w:val="0"/>
              <w:keepLines w:val="0"/>
              <w:framePr w:w="8774" w:h="6806" w:vSpace="250" w:wrap="none" w:vAnchor="text" w:hAnchor="page" w:x="2414" w:y="3078"/>
              <w:widowControl w:val="0"/>
              <w:shd w:val="clear" w:color="auto" w:fill="auto"/>
              <w:bidi w:val="0"/>
              <w:spacing w:before="0" w:after="0" w:line="240" w:lineRule="auto"/>
              <w:ind w:left="0" w:right="0" w:firstLine="740"/>
              <w:jc w:val="left"/>
              <w:rPr>
                <w:sz w:val="20"/>
                <w:szCs w:val="20"/>
              </w:rPr>
            </w:pPr>
            <w:r>
              <w:rPr>
                <w:rFonts w:ascii="Times New Roman" w:eastAsia="Times New Roman" w:hAnsi="Times New Roman" w:cs="Times New Roman"/>
                <w:color w:val="000000"/>
                <w:spacing w:val="0"/>
                <w:w w:val="100"/>
                <w:position w:val="0"/>
                <w:sz w:val="20"/>
                <w:szCs w:val="20"/>
              </w:rPr>
              <w:t>- -</w:t>
            </w:r>
          </w:p>
        </w:tc>
        <w:tc>
          <w:tcPr>
            <w:tcBorders/>
            <w:shd w:val="clear" w:color="auto" w:fill="FFFFFF"/>
            <w:vAlign w:val="center"/>
          </w:tcPr>
          <w:p>
            <w:pPr>
              <w:pStyle w:val="Style28"/>
              <w:keepNext w:val="0"/>
              <w:keepLines w:val="0"/>
              <w:framePr w:w="8774" w:h="6806" w:vSpace="250" w:wrap="none" w:vAnchor="text" w:hAnchor="page" w:x="2414" w:y="3078"/>
              <w:widowControl w:val="0"/>
              <w:shd w:val="clear" w:color="auto" w:fill="auto"/>
              <w:bidi w:val="0"/>
              <w:spacing w:before="0" w:after="0" w:line="240" w:lineRule="auto"/>
              <w:ind w:left="0" w:right="16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center"/>
          </w:tcPr>
          <w:p>
            <w:pPr>
              <w:pStyle w:val="Style28"/>
              <w:keepNext w:val="0"/>
              <w:keepLines w:val="0"/>
              <w:framePr w:w="8774" w:h="6806" w:vSpace="250" w:wrap="none" w:vAnchor="text" w:hAnchor="page" w:x="2414" w:y="3078"/>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r>
      <w:tr>
        <w:trPr>
          <w:trHeight w:val="240" w:hRule="exact"/>
        </w:trPr>
        <w:tc>
          <w:tcPr>
            <w:tcBorders/>
            <w:shd w:val="clear" w:color="auto" w:fill="FFFFFF"/>
            <w:vAlign w:val="top"/>
          </w:tcPr>
          <w:p>
            <w:pPr>
              <w:pStyle w:val="Style28"/>
              <w:keepNext w:val="0"/>
              <w:keepLines w:val="0"/>
              <w:framePr w:w="8774" w:h="6806" w:vSpace="250" w:wrap="none" w:vAnchor="text" w:hAnchor="page" w:x="2414" w:y="3078"/>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应收保本保收益理</w:t>
            </w:r>
          </w:p>
        </w:tc>
        <w:tc>
          <w:tcPr>
            <w:tcBorders/>
            <w:shd w:val="clear" w:color="auto" w:fill="FFFFFF"/>
            <w:vAlign w:val="top"/>
          </w:tcPr>
          <w:p>
            <w:pPr>
              <w:framePr w:w="8774" w:h="6806" w:vSpace="250" w:wrap="none" w:vAnchor="text" w:hAnchor="page" w:x="2414" w:y="3078"/>
              <w:widowControl w:val="0"/>
              <w:rPr>
                <w:sz w:val="10"/>
                <w:szCs w:val="10"/>
              </w:rPr>
            </w:pPr>
          </w:p>
        </w:tc>
        <w:tc>
          <w:tcPr>
            <w:tcBorders/>
            <w:shd w:val="clear" w:color="auto" w:fill="FFFFFF"/>
            <w:vAlign w:val="top"/>
          </w:tcPr>
          <w:p>
            <w:pPr>
              <w:framePr w:w="8774" w:h="6806" w:vSpace="250" w:wrap="none" w:vAnchor="text" w:hAnchor="page" w:x="2414" w:y="3078"/>
              <w:widowControl w:val="0"/>
              <w:rPr>
                <w:sz w:val="10"/>
                <w:szCs w:val="10"/>
              </w:rPr>
            </w:pPr>
          </w:p>
        </w:tc>
        <w:tc>
          <w:tcPr>
            <w:tcBorders/>
            <w:shd w:val="clear" w:color="auto" w:fill="FFFFFF"/>
            <w:vAlign w:val="top"/>
          </w:tcPr>
          <w:p>
            <w:pPr>
              <w:framePr w:w="8774" w:h="6806" w:vSpace="250" w:wrap="none" w:vAnchor="text" w:hAnchor="page" w:x="2414" w:y="3078"/>
              <w:widowControl w:val="0"/>
              <w:rPr>
                <w:sz w:val="10"/>
                <w:szCs w:val="10"/>
              </w:rPr>
            </w:pPr>
          </w:p>
        </w:tc>
        <w:tc>
          <w:tcPr>
            <w:tcBorders/>
            <w:shd w:val="clear" w:color="auto" w:fill="FFFFFF"/>
            <w:vAlign w:val="top"/>
          </w:tcPr>
          <w:p>
            <w:pPr>
              <w:framePr w:w="8774" w:h="6806" w:vSpace="250" w:wrap="none" w:vAnchor="text" w:hAnchor="page" w:x="2414" w:y="3078"/>
              <w:widowControl w:val="0"/>
              <w:rPr>
                <w:sz w:val="10"/>
                <w:szCs w:val="10"/>
              </w:rPr>
            </w:pPr>
          </w:p>
        </w:tc>
        <w:tc>
          <w:tcPr>
            <w:tcBorders/>
            <w:shd w:val="clear" w:color="auto" w:fill="FFFFFF"/>
            <w:vAlign w:val="top"/>
          </w:tcPr>
          <w:p>
            <w:pPr>
              <w:framePr w:w="8774" w:h="6806" w:vSpace="250" w:wrap="none" w:vAnchor="text" w:hAnchor="page" w:x="2414" w:y="3078"/>
              <w:widowControl w:val="0"/>
              <w:rPr>
                <w:sz w:val="10"/>
                <w:szCs w:val="10"/>
              </w:rPr>
            </w:pPr>
          </w:p>
        </w:tc>
        <w:tc>
          <w:tcPr>
            <w:tcBorders/>
            <w:shd w:val="clear" w:color="auto" w:fill="FFFFFF"/>
            <w:vAlign w:val="top"/>
          </w:tcPr>
          <w:p>
            <w:pPr>
              <w:framePr w:w="8774" w:h="6806" w:vSpace="250" w:wrap="none" w:vAnchor="text" w:hAnchor="page" w:x="2414" w:y="3078"/>
              <w:widowControl w:val="0"/>
              <w:rPr>
                <w:sz w:val="10"/>
                <w:szCs w:val="10"/>
              </w:rPr>
            </w:pPr>
          </w:p>
        </w:tc>
        <w:tc>
          <w:tcPr>
            <w:tcBorders/>
            <w:shd w:val="clear" w:color="auto" w:fill="FFFFFF"/>
            <w:vAlign w:val="top"/>
          </w:tcPr>
          <w:p>
            <w:pPr>
              <w:framePr w:w="8774" w:h="6806" w:vSpace="250" w:wrap="none" w:vAnchor="text" w:hAnchor="page" w:x="2414" w:y="3078"/>
              <w:widowControl w:val="0"/>
              <w:rPr>
                <w:sz w:val="10"/>
                <w:szCs w:val="10"/>
              </w:rPr>
            </w:pPr>
          </w:p>
        </w:tc>
      </w:tr>
      <w:tr>
        <w:trPr>
          <w:trHeight w:val="250" w:hRule="exact"/>
        </w:trPr>
        <w:tc>
          <w:tcPr>
            <w:tcBorders/>
            <w:shd w:val="clear" w:color="auto" w:fill="FFFFFF"/>
            <w:vAlign w:val="bottom"/>
          </w:tcPr>
          <w:p>
            <w:pPr>
              <w:pStyle w:val="Style28"/>
              <w:keepNext w:val="0"/>
              <w:keepLines w:val="0"/>
              <w:framePr w:w="8774" w:h="6806" w:vSpace="250" w:wrap="none" w:vAnchor="text" w:hAnchor="page" w:x="2414" w:y="3078"/>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财产品组合</w:t>
            </w:r>
          </w:p>
        </w:tc>
        <w:tc>
          <w:tcPr>
            <w:tcBorders/>
            <w:shd w:val="clear" w:color="auto" w:fill="FFFFFF"/>
            <w:vAlign w:val="bottom"/>
          </w:tcPr>
          <w:p>
            <w:pPr>
              <w:pStyle w:val="Style28"/>
              <w:keepNext w:val="0"/>
              <w:keepLines w:val="0"/>
              <w:framePr w:w="8774" w:h="6806" w:vSpace="250" w:wrap="none" w:vAnchor="text" w:hAnchor="page" w:x="2414" w:y="3078"/>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2,900,000</w:t>
            </w:r>
          </w:p>
        </w:tc>
        <w:tc>
          <w:tcPr>
            <w:tcBorders/>
            <w:shd w:val="clear" w:color="auto" w:fill="FFFFFF"/>
            <w:vAlign w:val="bottom"/>
          </w:tcPr>
          <w:p>
            <w:pPr>
              <w:pStyle w:val="Style28"/>
              <w:keepNext w:val="0"/>
              <w:keepLines w:val="0"/>
              <w:framePr w:w="8774" w:h="6806" w:vSpace="250" w:wrap="none" w:vAnchor="text" w:hAnchor="page" w:x="2414" w:y="3078"/>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29%</w:t>
            </w:r>
          </w:p>
        </w:tc>
        <w:tc>
          <w:tcPr>
            <w:tcBorders/>
            <w:shd w:val="clear" w:color="auto" w:fill="FFFFFF"/>
            <w:vAlign w:val="bottom"/>
          </w:tcPr>
          <w:p>
            <w:pPr>
              <w:pStyle w:val="Style28"/>
              <w:keepNext w:val="0"/>
              <w:keepLines w:val="0"/>
              <w:framePr w:w="8774" w:h="6806" w:vSpace="250" w:wrap="none" w:vAnchor="text" w:hAnchor="page" w:x="2414" w:y="3078"/>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framePr w:w="8774" w:h="6806" w:vSpace="250" w:wrap="none" w:vAnchor="text" w:hAnchor="page" w:x="2414" w:y="3078"/>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framePr w:w="8774" w:h="6806" w:vSpace="250" w:wrap="none" w:vAnchor="text" w:hAnchor="page" w:x="2414" w:y="3078"/>
              <w:widowControl w:val="0"/>
              <w:shd w:val="clear" w:color="auto" w:fill="auto"/>
              <w:tabs>
                <w:tab w:pos="1142" w:val="left"/>
              </w:tabs>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2,030,000</w:t>
              <w:tab/>
              <w:t>31%</w:t>
            </w:r>
          </w:p>
        </w:tc>
        <w:tc>
          <w:tcPr>
            <w:tcBorders/>
            <w:shd w:val="clear" w:color="auto" w:fill="FFFFFF"/>
            <w:vAlign w:val="bottom"/>
          </w:tcPr>
          <w:p>
            <w:pPr>
              <w:pStyle w:val="Style28"/>
              <w:keepNext w:val="0"/>
              <w:keepLines w:val="0"/>
              <w:framePr w:w="8774" w:h="6806" w:vSpace="250" w:wrap="none" w:vAnchor="text" w:hAnchor="page" w:x="2414" w:y="3078"/>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framePr w:w="8774" w:h="6806" w:vSpace="250" w:wrap="none" w:vAnchor="text" w:hAnchor="page" w:x="2414" w:y="3078"/>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221" w:hRule="exact"/>
        </w:trPr>
        <w:tc>
          <w:tcPr>
            <w:tcBorders/>
            <w:shd w:val="clear" w:color="auto" w:fill="FFFFFF"/>
            <w:vAlign w:val="bottom"/>
          </w:tcPr>
          <w:p>
            <w:pPr>
              <w:pStyle w:val="Style28"/>
              <w:keepNext w:val="0"/>
              <w:keepLines w:val="0"/>
              <w:framePr w:w="8774" w:h="6806" w:vSpace="250" w:wrap="none" w:vAnchor="text" w:hAnchor="page" w:x="2414" w:y="3078"/>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应收其他款项组合</w:t>
            </w:r>
          </w:p>
        </w:tc>
        <w:tc>
          <w:tcPr>
            <w:tcBorders/>
            <w:shd w:val="clear" w:color="auto" w:fill="FFFFFF"/>
            <w:vAlign w:val="bottom"/>
          </w:tcPr>
          <w:p>
            <w:pPr>
              <w:pStyle w:val="Style28"/>
              <w:keepNext w:val="0"/>
              <w:keepLines w:val="0"/>
              <w:framePr w:w="8774" w:h="6806" w:vSpace="250" w:wrap="none" w:vAnchor="text" w:hAnchor="page" w:x="2414" w:y="3078"/>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7,120,211</w:t>
            </w:r>
          </w:p>
        </w:tc>
        <w:tc>
          <w:tcPr>
            <w:tcBorders/>
            <w:shd w:val="clear" w:color="auto" w:fill="FFFFFF"/>
            <w:vAlign w:val="bottom"/>
          </w:tcPr>
          <w:p>
            <w:pPr>
              <w:pStyle w:val="Style28"/>
              <w:keepNext w:val="0"/>
              <w:keepLines w:val="0"/>
              <w:framePr w:w="8774" w:h="6806" w:vSpace="250" w:wrap="none" w:vAnchor="text" w:hAnchor="page" w:x="2414" w:y="3078"/>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71%</w:t>
            </w:r>
          </w:p>
        </w:tc>
        <w:tc>
          <w:tcPr>
            <w:tcBorders/>
            <w:shd w:val="clear" w:color="auto" w:fill="FFFFFF"/>
            <w:vAlign w:val="bottom"/>
          </w:tcPr>
          <w:p>
            <w:pPr>
              <w:pStyle w:val="Style28"/>
              <w:keepNext w:val="0"/>
              <w:keepLines w:val="0"/>
              <w:framePr w:w="8774" w:h="6806" w:vSpace="250" w:wrap="none" w:vAnchor="text" w:hAnchor="page" w:x="2414" w:y="3078"/>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(7,016)</w:t>
            </w:r>
          </w:p>
        </w:tc>
        <w:tc>
          <w:tcPr>
            <w:tcBorders/>
            <w:shd w:val="clear" w:color="auto" w:fill="FFFFFF"/>
            <w:vAlign w:val="bottom"/>
          </w:tcPr>
          <w:p>
            <w:pPr>
              <w:pStyle w:val="Style28"/>
              <w:keepNext w:val="0"/>
              <w:keepLines w:val="0"/>
              <w:framePr w:w="8774" w:h="6806" w:vSpace="250" w:wrap="none" w:vAnchor="text" w:hAnchor="page" w:x="2414" w:y="3078"/>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0.1%</w:t>
            </w:r>
          </w:p>
        </w:tc>
        <w:tc>
          <w:tcPr>
            <w:tcBorders/>
            <w:shd w:val="clear" w:color="auto" w:fill="FFFFFF"/>
            <w:vAlign w:val="bottom"/>
          </w:tcPr>
          <w:p>
            <w:pPr>
              <w:pStyle w:val="Style28"/>
              <w:keepNext w:val="0"/>
              <w:keepLines w:val="0"/>
              <w:framePr w:w="8774" w:h="6806" w:vSpace="250" w:wrap="none" w:vAnchor="text" w:hAnchor="page" w:x="2414" w:y="3078"/>
              <w:widowControl w:val="0"/>
              <w:shd w:val="clear" w:color="auto" w:fill="auto"/>
              <w:tabs>
                <w:tab w:pos="1142" w:val="left"/>
              </w:tabs>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4,571,547</w:t>
              <w:tab/>
              <w:t>69%</w:t>
            </w:r>
          </w:p>
        </w:tc>
        <w:tc>
          <w:tcPr>
            <w:tcBorders/>
            <w:shd w:val="clear" w:color="auto" w:fill="FFFFFF"/>
            <w:vAlign w:val="bottom"/>
          </w:tcPr>
          <w:p>
            <w:pPr>
              <w:pStyle w:val="Style28"/>
              <w:keepNext w:val="0"/>
              <w:keepLines w:val="0"/>
              <w:framePr w:w="8774" w:h="6806" w:vSpace="250" w:wrap="none" w:vAnchor="text" w:hAnchor="page" w:x="2414" w:y="3078"/>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(5,408)</w:t>
            </w:r>
          </w:p>
        </w:tc>
        <w:tc>
          <w:tcPr>
            <w:tcBorders/>
            <w:shd w:val="clear" w:color="auto" w:fill="FFFFFF"/>
            <w:vAlign w:val="bottom"/>
          </w:tcPr>
          <w:p>
            <w:pPr>
              <w:pStyle w:val="Style28"/>
              <w:keepNext w:val="0"/>
              <w:keepLines w:val="0"/>
              <w:framePr w:w="8774" w:h="6806" w:vSpace="250" w:wrap="none" w:vAnchor="text" w:hAnchor="page" w:x="2414" w:y="3078"/>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0.1%</w:t>
            </w:r>
          </w:p>
        </w:tc>
      </w:tr>
      <w:tr>
        <w:trPr>
          <w:trHeight w:val="250" w:hRule="exact"/>
        </w:trPr>
        <w:tc>
          <w:tcPr>
            <w:tcBorders/>
            <w:shd w:val="clear" w:color="auto" w:fill="FFFFFF"/>
            <w:vAlign w:val="top"/>
          </w:tcPr>
          <w:p>
            <w:pPr>
              <w:framePr w:w="8774" w:h="6806" w:vSpace="250" w:wrap="none" w:vAnchor="text" w:hAnchor="page" w:x="2414" w:y="3078"/>
              <w:widowControl w:val="0"/>
              <w:rPr>
                <w:sz w:val="10"/>
                <w:szCs w:val="10"/>
              </w:rPr>
            </w:pPr>
          </w:p>
        </w:tc>
        <w:tc>
          <w:tcPr>
            <w:tcBorders>
              <w:top w:val="single" w:sz="4"/>
            </w:tcBorders>
            <w:shd w:val="clear" w:color="auto" w:fill="FFFFFF"/>
            <w:vAlign w:val="bottom"/>
          </w:tcPr>
          <w:p>
            <w:pPr>
              <w:pStyle w:val="Style28"/>
              <w:keepNext w:val="0"/>
              <w:keepLines w:val="0"/>
              <w:framePr w:w="8774" w:h="6806" w:vSpace="250" w:wrap="none" w:vAnchor="text" w:hAnchor="page" w:x="2414" w:y="3078"/>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10,020,211</w:t>
            </w:r>
          </w:p>
        </w:tc>
        <w:tc>
          <w:tcPr>
            <w:tcBorders>
              <w:top w:val="single" w:sz="4"/>
            </w:tcBorders>
            <w:shd w:val="clear" w:color="auto" w:fill="FFFFFF"/>
            <w:vAlign w:val="bottom"/>
          </w:tcPr>
          <w:p>
            <w:pPr>
              <w:pStyle w:val="Style28"/>
              <w:keepNext w:val="0"/>
              <w:keepLines w:val="0"/>
              <w:framePr w:w="8774" w:h="6806" w:vSpace="250" w:wrap="none" w:vAnchor="text" w:hAnchor="page" w:x="2414" w:y="3078"/>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tcBorders>
            <w:shd w:val="clear" w:color="auto" w:fill="FFFFFF"/>
            <w:vAlign w:val="bottom"/>
          </w:tcPr>
          <w:p>
            <w:pPr>
              <w:pStyle w:val="Style28"/>
              <w:keepNext w:val="0"/>
              <w:keepLines w:val="0"/>
              <w:framePr w:w="8774" w:h="6806" w:vSpace="250" w:wrap="none" w:vAnchor="text" w:hAnchor="page" w:x="2414" w:y="3078"/>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(7,016)</w:t>
            </w:r>
          </w:p>
        </w:tc>
        <w:tc>
          <w:tcPr>
            <w:tcBorders>
              <w:top w:val="single" w:sz="4"/>
            </w:tcBorders>
            <w:shd w:val="clear" w:color="auto" w:fill="FFFFFF"/>
            <w:vAlign w:val="top"/>
          </w:tcPr>
          <w:p>
            <w:pPr>
              <w:framePr w:w="8774" w:h="6806" w:vSpace="250" w:wrap="none" w:vAnchor="text" w:hAnchor="page" w:x="2414" w:y="3078"/>
              <w:widowControl w:val="0"/>
              <w:rPr>
                <w:sz w:val="10"/>
                <w:szCs w:val="10"/>
              </w:rPr>
            </w:pPr>
          </w:p>
        </w:tc>
        <w:tc>
          <w:tcPr>
            <w:tcBorders>
              <w:top w:val="single" w:sz="4"/>
            </w:tcBorders>
            <w:shd w:val="clear" w:color="auto" w:fill="FFFFFF"/>
            <w:vAlign w:val="bottom"/>
          </w:tcPr>
          <w:p>
            <w:pPr>
              <w:pStyle w:val="Style28"/>
              <w:keepNext w:val="0"/>
              <w:keepLines w:val="0"/>
              <w:framePr w:w="8774" w:h="6806" w:vSpace="250" w:wrap="none" w:vAnchor="text" w:hAnchor="page" w:x="2414" w:y="3078"/>
              <w:widowControl w:val="0"/>
              <w:shd w:val="clear" w:color="auto" w:fill="auto"/>
              <w:tabs>
                <w:tab w:pos="1061" w:val="left"/>
              </w:tabs>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6,601,547</w:t>
              <w:tab/>
              <w:t>100%</w:t>
            </w:r>
          </w:p>
        </w:tc>
        <w:tc>
          <w:tcPr>
            <w:tcBorders>
              <w:top w:val="single" w:sz="4"/>
            </w:tcBorders>
            <w:shd w:val="clear" w:color="auto" w:fill="FFFFFF"/>
            <w:vAlign w:val="bottom"/>
          </w:tcPr>
          <w:p>
            <w:pPr>
              <w:pStyle w:val="Style28"/>
              <w:keepNext w:val="0"/>
              <w:keepLines w:val="0"/>
              <w:framePr w:w="8774" w:h="6806" w:vSpace="250" w:wrap="none" w:vAnchor="text" w:hAnchor="page" w:x="2414" w:y="3078"/>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(5,408)</w:t>
            </w:r>
          </w:p>
        </w:tc>
        <w:tc>
          <w:tcPr>
            <w:tcBorders>
              <w:top w:val="single" w:sz="4"/>
            </w:tcBorders>
            <w:shd w:val="clear" w:color="auto" w:fill="FFFFFF"/>
            <w:vAlign w:val="top"/>
          </w:tcPr>
          <w:p>
            <w:pPr>
              <w:framePr w:w="8774" w:h="6806" w:vSpace="250" w:wrap="none" w:vAnchor="text" w:hAnchor="page" w:x="2414" w:y="3078"/>
              <w:widowControl w:val="0"/>
              <w:rPr>
                <w:sz w:val="10"/>
                <w:szCs w:val="10"/>
              </w:rPr>
            </w:pPr>
          </w:p>
        </w:tc>
      </w:tr>
      <w:tr>
        <w:trPr>
          <w:trHeight w:val="557" w:hRule="exact"/>
        </w:trPr>
        <w:tc>
          <w:tcPr>
            <w:gridSpan w:val="5"/>
            <w:tcBorders>
              <w:top w:val="single" w:sz="4"/>
            </w:tcBorders>
            <w:shd w:val="clear" w:color="auto" w:fill="FFFFFF"/>
            <w:vAlign w:val="bottom"/>
          </w:tcPr>
          <w:p>
            <w:pPr>
              <w:pStyle w:val="Style28"/>
              <w:keepNext w:val="0"/>
              <w:keepLines w:val="0"/>
              <w:framePr w:w="8774" w:h="6806" w:vSpace="250" w:wrap="none" w:vAnchor="text" w:hAnchor="page" w:x="2414" w:y="3078"/>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按应收其他款项组合计提坏账准备的其他应收款中，</w:t>
            </w:r>
          </w:p>
        </w:tc>
        <w:tc>
          <w:tcPr>
            <w:gridSpan w:val="3"/>
            <w:tcBorders>
              <w:top w:val="single" w:sz="4"/>
            </w:tcBorders>
            <w:shd w:val="clear" w:color="auto" w:fill="FFFFFF"/>
            <w:vAlign w:val="bottom"/>
          </w:tcPr>
          <w:p>
            <w:pPr>
              <w:pStyle w:val="Style28"/>
              <w:keepNext w:val="0"/>
              <w:keepLines w:val="0"/>
              <w:framePr w:w="8774" w:h="6806" w:vSpace="250" w:wrap="none" w:vAnchor="text" w:hAnchor="page" w:x="2414" w:y="3078"/>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采用账龄分析法的组合分析如</w:t>
            </w:r>
          </w:p>
        </w:tc>
      </w:tr>
      <w:tr>
        <w:trPr>
          <w:trHeight w:val="422" w:hRule="exact"/>
        </w:trPr>
        <w:tc>
          <w:tcPr>
            <w:tcBorders/>
            <w:shd w:val="clear" w:color="auto" w:fill="FFFFFF"/>
            <w:vAlign w:val="top"/>
          </w:tcPr>
          <w:p>
            <w:pPr>
              <w:pStyle w:val="Style28"/>
              <w:keepNext w:val="0"/>
              <w:keepLines w:val="0"/>
              <w:framePr w:w="8774" w:h="6806" w:vSpace="250" w:wrap="none" w:vAnchor="text" w:hAnchor="page" w:x="2414" w:y="3078"/>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下：</w:t>
            </w:r>
          </w:p>
        </w:tc>
        <w:tc>
          <w:tcPr>
            <w:tcBorders/>
            <w:shd w:val="clear" w:color="auto" w:fill="FFFFFF"/>
            <w:vAlign w:val="top"/>
          </w:tcPr>
          <w:p>
            <w:pPr>
              <w:framePr w:w="8774" w:h="6806" w:vSpace="250" w:wrap="none" w:vAnchor="text" w:hAnchor="page" w:x="2414" w:y="3078"/>
              <w:widowControl w:val="0"/>
              <w:rPr>
                <w:sz w:val="10"/>
                <w:szCs w:val="10"/>
              </w:rPr>
            </w:pPr>
          </w:p>
        </w:tc>
        <w:tc>
          <w:tcPr>
            <w:tcBorders/>
            <w:shd w:val="clear" w:color="auto" w:fill="FFFFFF"/>
            <w:vAlign w:val="top"/>
          </w:tcPr>
          <w:p>
            <w:pPr>
              <w:framePr w:w="8774" w:h="6806" w:vSpace="250" w:wrap="none" w:vAnchor="text" w:hAnchor="page" w:x="2414" w:y="3078"/>
              <w:widowControl w:val="0"/>
              <w:rPr>
                <w:sz w:val="10"/>
                <w:szCs w:val="10"/>
              </w:rPr>
            </w:pPr>
          </w:p>
        </w:tc>
        <w:tc>
          <w:tcPr>
            <w:tcBorders/>
            <w:shd w:val="clear" w:color="auto" w:fill="FFFFFF"/>
            <w:vAlign w:val="top"/>
          </w:tcPr>
          <w:p>
            <w:pPr>
              <w:framePr w:w="8774" w:h="6806" w:vSpace="250" w:wrap="none" w:vAnchor="text" w:hAnchor="page" w:x="2414" w:y="3078"/>
              <w:widowControl w:val="0"/>
              <w:rPr>
                <w:sz w:val="10"/>
                <w:szCs w:val="10"/>
              </w:rPr>
            </w:pPr>
          </w:p>
        </w:tc>
        <w:tc>
          <w:tcPr>
            <w:tcBorders/>
            <w:shd w:val="clear" w:color="auto" w:fill="FFFFFF"/>
            <w:vAlign w:val="top"/>
          </w:tcPr>
          <w:p>
            <w:pPr>
              <w:framePr w:w="8774" w:h="6806" w:vSpace="250" w:wrap="none" w:vAnchor="text" w:hAnchor="page" w:x="2414" w:y="3078"/>
              <w:widowControl w:val="0"/>
              <w:rPr>
                <w:sz w:val="10"/>
                <w:szCs w:val="10"/>
              </w:rPr>
            </w:pPr>
          </w:p>
        </w:tc>
        <w:tc>
          <w:tcPr>
            <w:tcBorders/>
            <w:shd w:val="clear" w:color="auto" w:fill="FFFFFF"/>
            <w:vAlign w:val="top"/>
          </w:tcPr>
          <w:p>
            <w:pPr>
              <w:framePr w:w="8774" w:h="6806" w:vSpace="250" w:wrap="none" w:vAnchor="text" w:hAnchor="page" w:x="2414" w:y="3078"/>
              <w:widowControl w:val="0"/>
              <w:rPr>
                <w:sz w:val="10"/>
                <w:szCs w:val="10"/>
              </w:rPr>
            </w:pPr>
          </w:p>
        </w:tc>
        <w:tc>
          <w:tcPr>
            <w:tcBorders/>
            <w:shd w:val="clear" w:color="auto" w:fill="FFFFFF"/>
            <w:vAlign w:val="top"/>
          </w:tcPr>
          <w:p>
            <w:pPr>
              <w:framePr w:w="8774" w:h="6806" w:vSpace="250" w:wrap="none" w:vAnchor="text" w:hAnchor="page" w:x="2414" w:y="3078"/>
              <w:widowControl w:val="0"/>
              <w:rPr>
                <w:sz w:val="10"/>
                <w:szCs w:val="10"/>
              </w:rPr>
            </w:pPr>
          </w:p>
        </w:tc>
        <w:tc>
          <w:tcPr>
            <w:tcBorders/>
            <w:shd w:val="clear" w:color="auto" w:fill="FFFFFF"/>
            <w:vAlign w:val="top"/>
          </w:tcPr>
          <w:p>
            <w:pPr>
              <w:framePr w:w="8774" w:h="6806" w:vSpace="250" w:wrap="none" w:vAnchor="text" w:hAnchor="page" w:x="2414" w:y="3078"/>
              <w:widowControl w:val="0"/>
              <w:rPr>
                <w:sz w:val="10"/>
                <w:szCs w:val="10"/>
              </w:rPr>
            </w:pPr>
          </w:p>
        </w:tc>
      </w:tr>
      <w:tr>
        <w:trPr>
          <w:trHeight w:val="379" w:hRule="exact"/>
        </w:trPr>
        <w:tc>
          <w:tcPr>
            <w:tcBorders/>
            <w:shd w:val="clear" w:color="auto" w:fill="FFFFFF"/>
            <w:vAlign w:val="top"/>
          </w:tcPr>
          <w:p>
            <w:pPr>
              <w:framePr w:w="8774" w:h="6806" w:vSpace="250" w:wrap="none" w:vAnchor="text" w:hAnchor="page" w:x="2414" w:y="3078"/>
              <w:widowControl w:val="0"/>
              <w:rPr>
                <w:sz w:val="10"/>
                <w:szCs w:val="10"/>
              </w:rPr>
            </w:pPr>
          </w:p>
        </w:tc>
        <w:tc>
          <w:tcPr>
            <w:gridSpan w:val="3"/>
            <w:tcBorders/>
            <w:shd w:val="clear" w:color="auto" w:fill="FFFFFF"/>
            <w:vAlign w:val="bottom"/>
          </w:tcPr>
          <w:p>
            <w:pPr>
              <w:pStyle w:val="Style28"/>
              <w:keepNext w:val="0"/>
              <w:keepLines w:val="0"/>
              <w:framePr w:w="8774" w:h="6806" w:vSpace="250" w:wrap="none" w:vAnchor="text" w:hAnchor="page" w:x="2414" w:y="3078"/>
              <w:widowControl w:val="0"/>
              <w:shd w:val="clear" w:color="auto" w:fill="auto"/>
              <w:bidi w:val="0"/>
              <w:spacing w:before="0" w:after="0" w:line="240" w:lineRule="auto"/>
              <w:ind w:left="0" w:right="0" w:firstLine="900"/>
              <w:jc w:val="left"/>
              <w:rPr>
                <w:sz w:val="20"/>
                <w:szCs w:val="20"/>
              </w:rPr>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w:t>
            </w:r>
          </w:p>
        </w:tc>
        <w:tc>
          <w:tcPr>
            <w:tcBorders/>
            <w:shd w:val="clear" w:color="auto" w:fill="FFFFFF"/>
            <w:vAlign w:val="top"/>
          </w:tcPr>
          <w:p>
            <w:pPr>
              <w:framePr w:w="8774" w:h="6806" w:vSpace="250" w:wrap="none" w:vAnchor="text" w:hAnchor="page" w:x="2414" w:y="3078"/>
              <w:widowControl w:val="0"/>
              <w:rPr>
                <w:sz w:val="10"/>
                <w:szCs w:val="10"/>
              </w:rPr>
            </w:pPr>
          </w:p>
        </w:tc>
        <w:tc>
          <w:tcPr>
            <w:gridSpan w:val="2"/>
            <w:tcBorders/>
            <w:shd w:val="clear" w:color="auto" w:fill="FFFFFF"/>
            <w:vAlign w:val="bottom"/>
          </w:tcPr>
          <w:p>
            <w:pPr>
              <w:pStyle w:val="Style28"/>
              <w:keepNext w:val="0"/>
              <w:keepLines w:val="0"/>
              <w:framePr w:w="8774" w:h="6806" w:vSpace="250" w:wrap="none" w:vAnchor="text" w:hAnchor="page" w:x="2414" w:y="3078"/>
              <w:widowControl w:val="0"/>
              <w:shd w:val="clear" w:color="auto" w:fill="auto"/>
              <w:bidi w:val="0"/>
              <w:spacing w:before="0" w:after="0" w:line="240" w:lineRule="auto"/>
              <w:ind w:left="0" w:right="0" w:firstLine="840"/>
              <w:jc w:val="left"/>
              <w:rPr>
                <w:sz w:val="20"/>
                <w:szCs w:val="20"/>
              </w:rPr>
            </w:pPr>
            <w:r>
              <w:rPr>
                <w:rFonts w:ascii="Times New Roman" w:eastAsia="Times New Roman" w:hAnsi="Times New Roman" w:cs="Times New Roman"/>
                <w:color w:val="000000"/>
                <w:spacing w:val="0"/>
                <w:w w:val="100"/>
                <w:position w:val="0"/>
                <w:sz w:val="20"/>
                <w:szCs w:val="20"/>
              </w:rPr>
              <w:t>2015</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w:t>
            </w:r>
          </w:p>
        </w:tc>
        <w:tc>
          <w:tcPr>
            <w:tcBorders/>
            <w:shd w:val="clear" w:color="auto" w:fill="FFFFFF"/>
            <w:vAlign w:val="top"/>
          </w:tcPr>
          <w:p>
            <w:pPr>
              <w:framePr w:w="8774" w:h="6806" w:vSpace="250" w:wrap="none" w:vAnchor="text" w:hAnchor="page" w:x="2414" w:y="3078"/>
              <w:widowControl w:val="0"/>
              <w:rPr>
                <w:sz w:val="10"/>
                <w:szCs w:val="10"/>
              </w:rPr>
            </w:pPr>
          </w:p>
        </w:tc>
      </w:tr>
      <w:tr>
        <w:trPr>
          <w:trHeight w:val="269" w:hRule="exact"/>
        </w:trPr>
        <w:tc>
          <w:tcPr>
            <w:tcBorders/>
            <w:shd w:val="clear" w:color="auto" w:fill="FFFFFF"/>
            <w:vAlign w:val="top"/>
          </w:tcPr>
          <w:p>
            <w:pPr>
              <w:framePr w:w="8774" w:h="6806" w:vSpace="250" w:wrap="none" w:vAnchor="text" w:hAnchor="page" w:x="2414" w:y="3078"/>
              <w:widowControl w:val="0"/>
              <w:rPr>
                <w:sz w:val="10"/>
                <w:szCs w:val="10"/>
              </w:rPr>
            </w:pPr>
          </w:p>
        </w:tc>
        <w:tc>
          <w:tcPr>
            <w:tcBorders>
              <w:top w:val="single" w:sz="4"/>
            </w:tcBorders>
            <w:shd w:val="clear" w:color="auto" w:fill="FFFFFF"/>
            <w:vAlign w:val="bottom"/>
          </w:tcPr>
          <w:p>
            <w:pPr>
              <w:pStyle w:val="Style28"/>
              <w:keepNext w:val="0"/>
              <w:keepLines w:val="0"/>
              <w:framePr w:w="8774" w:h="6806" w:vSpace="250" w:wrap="none" w:vAnchor="text" w:hAnchor="page" w:x="2414" w:y="3078"/>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账面余额</w:t>
            </w:r>
          </w:p>
        </w:tc>
        <w:tc>
          <w:tcPr>
            <w:tcBorders>
              <w:top w:val="single" w:sz="4"/>
            </w:tcBorders>
            <w:shd w:val="clear" w:color="auto" w:fill="FFFFFF"/>
            <w:vAlign w:val="top"/>
          </w:tcPr>
          <w:p>
            <w:pPr>
              <w:framePr w:w="8774" w:h="6806" w:vSpace="250" w:wrap="none" w:vAnchor="text" w:hAnchor="page" w:x="2414" w:y="3078"/>
              <w:widowControl w:val="0"/>
              <w:rPr>
                <w:sz w:val="10"/>
                <w:szCs w:val="10"/>
              </w:rPr>
            </w:pPr>
          </w:p>
        </w:tc>
        <w:tc>
          <w:tcPr>
            <w:tcBorders>
              <w:top w:val="single" w:sz="4"/>
            </w:tcBorders>
            <w:shd w:val="clear" w:color="auto" w:fill="FFFFFF"/>
            <w:vAlign w:val="bottom"/>
          </w:tcPr>
          <w:p>
            <w:pPr>
              <w:pStyle w:val="Style28"/>
              <w:keepNext w:val="0"/>
              <w:keepLines w:val="0"/>
              <w:framePr w:w="8774" w:h="6806" w:vSpace="250" w:wrap="none" w:vAnchor="text" w:hAnchor="page" w:x="2414" w:y="3078"/>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坏账准备</w:t>
            </w:r>
          </w:p>
        </w:tc>
        <w:tc>
          <w:tcPr>
            <w:tcBorders>
              <w:top w:val="single" w:sz="4"/>
            </w:tcBorders>
            <w:shd w:val="clear" w:color="auto" w:fill="FFFFFF"/>
            <w:vAlign w:val="top"/>
          </w:tcPr>
          <w:p>
            <w:pPr>
              <w:framePr w:w="8774" w:h="6806" w:vSpace="250" w:wrap="none" w:vAnchor="text" w:hAnchor="page" w:x="2414" w:y="3078"/>
              <w:widowControl w:val="0"/>
              <w:rPr>
                <w:sz w:val="10"/>
                <w:szCs w:val="10"/>
              </w:rPr>
            </w:pPr>
          </w:p>
        </w:tc>
        <w:tc>
          <w:tcPr>
            <w:tcBorders>
              <w:top w:val="single" w:sz="4"/>
            </w:tcBorders>
            <w:shd w:val="clear" w:color="auto" w:fill="FFFFFF"/>
            <w:vAlign w:val="bottom"/>
          </w:tcPr>
          <w:p>
            <w:pPr>
              <w:pStyle w:val="Style28"/>
              <w:keepNext w:val="0"/>
              <w:keepLines w:val="0"/>
              <w:framePr w:w="8774" w:h="6806" w:vSpace="250" w:wrap="none" w:vAnchor="text" w:hAnchor="page" w:x="2414" w:y="3078"/>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账面余额</w:t>
            </w:r>
          </w:p>
        </w:tc>
        <w:tc>
          <w:tcPr>
            <w:tcBorders>
              <w:top w:val="single" w:sz="4"/>
            </w:tcBorders>
            <w:shd w:val="clear" w:color="auto" w:fill="FFFFFF"/>
            <w:vAlign w:val="bottom"/>
          </w:tcPr>
          <w:p>
            <w:pPr>
              <w:pStyle w:val="Style28"/>
              <w:keepNext w:val="0"/>
              <w:keepLines w:val="0"/>
              <w:framePr w:w="8774" w:h="6806" w:vSpace="250" w:wrap="none" w:vAnchor="text" w:hAnchor="page" w:x="2414" w:y="3078"/>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坏账准备</w:t>
            </w:r>
          </w:p>
        </w:tc>
        <w:tc>
          <w:tcPr>
            <w:tcBorders>
              <w:top w:val="single" w:sz="4"/>
            </w:tcBorders>
            <w:shd w:val="clear" w:color="auto" w:fill="FFFFFF"/>
            <w:vAlign w:val="top"/>
          </w:tcPr>
          <w:p>
            <w:pPr>
              <w:framePr w:w="8774" w:h="6806" w:vSpace="250" w:wrap="none" w:vAnchor="text" w:hAnchor="page" w:x="2414" w:y="3078"/>
              <w:widowControl w:val="0"/>
              <w:rPr>
                <w:sz w:val="10"/>
                <w:szCs w:val="10"/>
              </w:rPr>
            </w:pPr>
          </w:p>
        </w:tc>
      </w:tr>
      <w:tr>
        <w:trPr>
          <w:trHeight w:val="269" w:hRule="exact"/>
        </w:trPr>
        <w:tc>
          <w:tcPr>
            <w:tcBorders/>
            <w:shd w:val="clear" w:color="auto" w:fill="FFFFFF"/>
            <w:vAlign w:val="top"/>
          </w:tcPr>
          <w:p>
            <w:pPr>
              <w:framePr w:w="8774" w:h="6806" w:vSpace="250" w:wrap="none" w:vAnchor="text" w:hAnchor="page" w:x="2414" w:y="3078"/>
              <w:widowControl w:val="0"/>
              <w:rPr>
                <w:sz w:val="10"/>
                <w:szCs w:val="10"/>
              </w:rPr>
            </w:pPr>
          </w:p>
        </w:tc>
        <w:tc>
          <w:tcPr>
            <w:tcBorders>
              <w:top w:val="single" w:sz="4"/>
            </w:tcBorders>
            <w:shd w:val="clear" w:color="auto" w:fill="FFFFFF"/>
            <w:vAlign w:val="top"/>
          </w:tcPr>
          <w:p>
            <w:pPr>
              <w:framePr w:w="8774" w:h="6806" w:vSpace="250" w:wrap="none" w:vAnchor="text" w:hAnchor="page" w:x="2414" w:y="3078"/>
              <w:widowControl w:val="0"/>
              <w:rPr>
                <w:sz w:val="10"/>
                <w:szCs w:val="10"/>
              </w:rPr>
            </w:pPr>
          </w:p>
        </w:tc>
        <w:tc>
          <w:tcPr>
            <w:tcBorders>
              <w:top w:val="single" w:sz="4"/>
            </w:tcBorders>
            <w:shd w:val="clear" w:color="auto" w:fill="FFFFFF"/>
            <w:vAlign w:val="top"/>
          </w:tcPr>
          <w:p>
            <w:pPr>
              <w:framePr w:w="8774" w:h="6806" w:vSpace="250" w:wrap="none" w:vAnchor="text" w:hAnchor="page" w:x="2414" w:y="3078"/>
              <w:widowControl w:val="0"/>
              <w:rPr>
                <w:sz w:val="10"/>
                <w:szCs w:val="10"/>
              </w:rPr>
            </w:pPr>
          </w:p>
        </w:tc>
        <w:tc>
          <w:tcPr>
            <w:tcBorders>
              <w:top w:val="single" w:sz="4"/>
            </w:tcBorders>
            <w:shd w:val="clear" w:color="auto" w:fill="FFFFFF"/>
            <w:vAlign w:val="top"/>
          </w:tcPr>
          <w:p>
            <w:pPr>
              <w:framePr w:w="8774" w:h="6806" w:vSpace="250" w:wrap="none" w:vAnchor="text" w:hAnchor="page" w:x="2414" w:y="3078"/>
              <w:widowControl w:val="0"/>
              <w:rPr>
                <w:sz w:val="10"/>
                <w:szCs w:val="10"/>
              </w:rPr>
            </w:pPr>
          </w:p>
        </w:tc>
        <w:tc>
          <w:tcPr>
            <w:tcBorders>
              <w:top w:val="single" w:sz="4"/>
            </w:tcBorders>
            <w:shd w:val="clear" w:color="auto" w:fill="FFFFFF"/>
            <w:vAlign w:val="bottom"/>
          </w:tcPr>
          <w:p>
            <w:pPr>
              <w:pStyle w:val="Style28"/>
              <w:keepNext w:val="0"/>
              <w:keepLines w:val="0"/>
              <w:framePr w:w="8774" w:h="6806" w:vSpace="250" w:wrap="none" w:vAnchor="text" w:hAnchor="page" w:x="2414" w:y="3078"/>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计提</w:t>
            </w:r>
          </w:p>
        </w:tc>
        <w:tc>
          <w:tcPr>
            <w:tcBorders>
              <w:top w:val="single" w:sz="4"/>
            </w:tcBorders>
            <w:shd w:val="clear" w:color="auto" w:fill="FFFFFF"/>
            <w:vAlign w:val="top"/>
          </w:tcPr>
          <w:p>
            <w:pPr>
              <w:framePr w:w="8774" w:h="6806" w:vSpace="250" w:wrap="none" w:vAnchor="text" w:hAnchor="page" w:x="2414" w:y="3078"/>
              <w:widowControl w:val="0"/>
              <w:rPr>
                <w:sz w:val="10"/>
                <w:szCs w:val="10"/>
              </w:rPr>
            </w:pPr>
          </w:p>
        </w:tc>
        <w:tc>
          <w:tcPr>
            <w:tcBorders>
              <w:top w:val="single" w:sz="4"/>
            </w:tcBorders>
            <w:shd w:val="clear" w:color="auto" w:fill="FFFFFF"/>
            <w:vAlign w:val="top"/>
          </w:tcPr>
          <w:p>
            <w:pPr>
              <w:framePr w:w="8774" w:h="6806" w:vSpace="250" w:wrap="none" w:vAnchor="text" w:hAnchor="page" w:x="2414" w:y="3078"/>
              <w:widowControl w:val="0"/>
              <w:rPr>
                <w:sz w:val="10"/>
                <w:szCs w:val="10"/>
              </w:rPr>
            </w:pPr>
          </w:p>
        </w:tc>
        <w:tc>
          <w:tcPr>
            <w:tcBorders>
              <w:top w:val="single" w:sz="4"/>
            </w:tcBorders>
            <w:shd w:val="clear" w:color="auto" w:fill="FFFFFF"/>
            <w:vAlign w:val="bottom"/>
          </w:tcPr>
          <w:p>
            <w:pPr>
              <w:pStyle w:val="Style28"/>
              <w:keepNext w:val="0"/>
              <w:keepLines w:val="0"/>
              <w:framePr w:w="8774" w:h="6806" w:vSpace="250" w:wrap="none" w:vAnchor="text" w:hAnchor="page" w:x="2414" w:y="3078"/>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计提</w:t>
            </w:r>
          </w:p>
        </w:tc>
      </w:tr>
      <w:tr>
        <w:trPr>
          <w:trHeight w:val="384" w:hRule="exact"/>
        </w:trPr>
        <w:tc>
          <w:tcPr>
            <w:tcBorders/>
            <w:shd w:val="clear" w:color="auto" w:fill="FFFFFF"/>
            <w:vAlign w:val="top"/>
          </w:tcPr>
          <w:p>
            <w:pPr>
              <w:framePr w:w="8774" w:h="6806" w:vSpace="250" w:wrap="none" w:vAnchor="text" w:hAnchor="page" w:x="2414" w:y="3078"/>
              <w:widowControl w:val="0"/>
              <w:rPr>
                <w:sz w:val="10"/>
                <w:szCs w:val="10"/>
              </w:rPr>
            </w:pPr>
          </w:p>
        </w:tc>
        <w:tc>
          <w:tcPr>
            <w:tcBorders/>
            <w:shd w:val="clear" w:color="auto" w:fill="FFFFFF"/>
            <w:vAlign w:val="top"/>
          </w:tcPr>
          <w:p>
            <w:pPr>
              <w:pStyle w:val="Style28"/>
              <w:keepNext w:val="0"/>
              <w:keepLines w:val="0"/>
              <w:framePr w:w="8774" w:h="6806" w:vSpace="250" w:wrap="none" w:vAnchor="text" w:hAnchor="page" w:x="2414" w:y="3078"/>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金额</w:t>
            </w:r>
          </w:p>
        </w:tc>
        <w:tc>
          <w:tcPr>
            <w:tcBorders/>
            <w:shd w:val="clear" w:color="auto" w:fill="FFFFFF"/>
            <w:vAlign w:val="top"/>
          </w:tcPr>
          <w:p>
            <w:pPr>
              <w:framePr w:w="8774" w:h="6806" w:vSpace="250" w:wrap="none" w:vAnchor="text" w:hAnchor="page" w:x="2414" w:y="3078"/>
              <w:widowControl w:val="0"/>
              <w:rPr>
                <w:sz w:val="10"/>
                <w:szCs w:val="10"/>
              </w:rPr>
            </w:pPr>
          </w:p>
        </w:tc>
        <w:tc>
          <w:tcPr>
            <w:tcBorders/>
            <w:shd w:val="clear" w:color="auto" w:fill="FFFFFF"/>
            <w:vAlign w:val="top"/>
          </w:tcPr>
          <w:p>
            <w:pPr>
              <w:pStyle w:val="Style28"/>
              <w:keepNext w:val="0"/>
              <w:keepLines w:val="0"/>
              <w:framePr w:w="8774" w:h="6806" w:vSpace="250" w:wrap="none" w:vAnchor="text" w:hAnchor="page" w:x="2414" w:y="3078"/>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金额</w:t>
            </w:r>
          </w:p>
        </w:tc>
        <w:tc>
          <w:tcPr>
            <w:tcBorders/>
            <w:shd w:val="clear" w:color="auto" w:fill="FFFFFF"/>
            <w:vAlign w:val="top"/>
          </w:tcPr>
          <w:p>
            <w:pPr>
              <w:pStyle w:val="Style28"/>
              <w:keepNext w:val="0"/>
              <w:keepLines w:val="0"/>
              <w:framePr w:w="8774" w:h="6806" w:vSpace="250" w:wrap="none" w:vAnchor="text" w:hAnchor="page" w:x="2414" w:y="3078"/>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比例</w:t>
            </w:r>
          </w:p>
        </w:tc>
        <w:tc>
          <w:tcPr>
            <w:tcBorders/>
            <w:shd w:val="clear" w:color="auto" w:fill="FFFFFF"/>
            <w:vAlign w:val="top"/>
          </w:tcPr>
          <w:p>
            <w:pPr>
              <w:pStyle w:val="Style28"/>
              <w:keepNext w:val="0"/>
              <w:keepLines w:val="0"/>
              <w:framePr w:w="8774" w:h="6806" w:vSpace="250" w:wrap="none" w:vAnchor="text" w:hAnchor="page" w:x="2414" w:y="3078"/>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金额</w:t>
            </w:r>
          </w:p>
        </w:tc>
        <w:tc>
          <w:tcPr>
            <w:tcBorders/>
            <w:shd w:val="clear" w:color="auto" w:fill="FFFFFF"/>
            <w:vAlign w:val="top"/>
          </w:tcPr>
          <w:p>
            <w:pPr>
              <w:pStyle w:val="Style28"/>
              <w:keepNext w:val="0"/>
              <w:keepLines w:val="0"/>
              <w:framePr w:w="8774" w:h="6806" w:vSpace="250" w:wrap="none" w:vAnchor="text" w:hAnchor="page" w:x="2414" w:y="3078"/>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金额</w:t>
            </w:r>
          </w:p>
        </w:tc>
        <w:tc>
          <w:tcPr>
            <w:tcBorders/>
            <w:shd w:val="clear" w:color="auto" w:fill="FFFFFF"/>
            <w:vAlign w:val="top"/>
          </w:tcPr>
          <w:p>
            <w:pPr>
              <w:pStyle w:val="Style28"/>
              <w:keepNext w:val="0"/>
              <w:keepLines w:val="0"/>
              <w:framePr w:w="8774" w:h="6806" w:vSpace="250" w:wrap="none" w:vAnchor="text" w:hAnchor="page" w:x="2414" w:y="3078"/>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比例</w:t>
            </w:r>
          </w:p>
        </w:tc>
      </w:tr>
      <w:tr>
        <w:trPr>
          <w:trHeight w:val="379" w:hRule="exact"/>
        </w:trPr>
        <w:tc>
          <w:tcPr>
            <w:tcBorders/>
            <w:shd w:val="clear" w:color="auto" w:fill="FFFFFF"/>
            <w:vAlign w:val="bottom"/>
          </w:tcPr>
          <w:p>
            <w:pPr>
              <w:pStyle w:val="Style28"/>
              <w:keepNext w:val="0"/>
              <w:keepLines w:val="0"/>
              <w:framePr w:w="8774" w:h="6806" w:vSpace="250" w:wrap="none" w:vAnchor="text" w:hAnchor="page" w:x="2414" w:y="3078"/>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一年以内</w:t>
            </w:r>
          </w:p>
        </w:tc>
        <w:tc>
          <w:tcPr>
            <w:tcBorders/>
            <w:shd w:val="clear" w:color="auto" w:fill="FFFFFF"/>
            <w:vAlign w:val="bottom"/>
          </w:tcPr>
          <w:p>
            <w:pPr>
              <w:pStyle w:val="Style28"/>
              <w:keepNext w:val="0"/>
              <w:keepLines w:val="0"/>
              <w:framePr w:w="8774" w:h="6806" w:vSpace="250" w:wrap="none" w:vAnchor="text" w:hAnchor="page" w:x="2414" w:y="3078"/>
              <w:widowControl w:val="0"/>
              <w:shd w:val="clear" w:color="auto" w:fill="auto"/>
              <w:bidi w:val="0"/>
              <w:spacing w:before="0" w:after="0" w:line="240" w:lineRule="auto"/>
              <w:ind w:left="0" w:right="0" w:firstLine="340"/>
              <w:jc w:val="both"/>
              <w:rPr>
                <w:sz w:val="20"/>
                <w:szCs w:val="20"/>
              </w:rPr>
            </w:pPr>
            <w:r>
              <w:rPr>
                <w:rFonts w:ascii="Times New Roman" w:eastAsia="Times New Roman" w:hAnsi="Times New Roman" w:cs="Times New Roman"/>
                <w:color w:val="000000"/>
                <w:spacing w:val="0"/>
                <w:w w:val="100"/>
                <w:position w:val="0"/>
                <w:sz w:val="20"/>
                <w:szCs w:val="20"/>
              </w:rPr>
              <w:t>7,098,528</w:t>
            </w:r>
          </w:p>
        </w:tc>
        <w:tc>
          <w:tcPr>
            <w:tcBorders/>
            <w:shd w:val="clear" w:color="auto" w:fill="FFFFFF"/>
            <w:vAlign w:val="top"/>
          </w:tcPr>
          <w:p>
            <w:pPr>
              <w:framePr w:w="8774" w:h="6806" w:vSpace="250" w:wrap="none" w:vAnchor="text" w:hAnchor="page" w:x="2414" w:y="3078"/>
              <w:widowControl w:val="0"/>
              <w:rPr>
                <w:sz w:val="10"/>
                <w:szCs w:val="10"/>
              </w:rPr>
            </w:pPr>
          </w:p>
        </w:tc>
        <w:tc>
          <w:tcPr>
            <w:tcBorders/>
            <w:shd w:val="clear" w:color="auto" w:fill="FFFFFF"/>
            <w:vAlign w:val="bottom"/>
          </w:tcPr>
          <w:p>
            <w:pPr>
              <w:pStyle w:val="Style28"/>
              <w:keepNext w:val="0"/>
              <w:keepLines w:val="0"/>
              <w:framePr w:w="8774" w:h="6806" w:vSpace="250" w:wrap="none" w:vAnchor="text" w:hAnchor="page" w:x="2414" w:y="3078"/>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(3,422)</w:t>
            </w:r>
          </w:p>
        </w:tc>
        <w:tc>
          <w:tcPr>
            <w:tcBorders/>
            <w:shd w:val="clear" w:color="auto" w:fill="FFFFFF"/>
            <w:vAlign w:val="bottom"/>
          </w:tcPr>
          <w:p>
            <w:pPr>
              <w:pStyle w:val="Style28"/>
              <w:keepNext w:val="0"/>
              <w:keepLines w:val="0"/>
              <w:framePr w:w="8774" w:h="6806" w:vSpace="250" w:wrap="none" w:vAnchor="text" w:hAnchor="page" w:x="2414" w:y="3078"/>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0.05%</w:t>
            </w:r>
          </w:p>
        </w:tc>
        <w:tc>
          <w:tcPr>
            <w:tcBorders/>
            <w:shd w:val="clear" w:color="auto" w:fill="FFFFFF"/>
            <w:vAlign w:val="bottom"/>
          </w:tcPr>
          <w:p>
            <w:pPr>
              <w:pStyle w:val="Style28"/>
              <w:keepNext w:val="0"/>
              <w:keepLines w:val="0"/>
              <w:framePr w:w="8774" w:h="6806" w:vSpace="250" w:wrap="none" w:vAnchor="text" w:hAnchor="page" w:x="2414" w:y="3078"/>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4,554,191</w:t>
            </w:r>
          </w:p>
        </w:tc>
        <w:tc>
          <w:tcPr>
            <w:tcBorders/>
            <w:shd w:val="clear" w:color="auto" w:fill="FFFFFF"/>
            <w:vAlign w:val="bottom"/>
          </w:tcPr>
          <w:p>
            <w:pPr>
              <w:pStyle w:val="Style28"/>
              <w:keepNext w:val="0"/>
              <w:keepLines w:val="0"/>
              <w:framePr w:w="8774" w:h="6806" w:vSpace="250" w:wrap="none" w:vAnchor="text" w:hAnchor="page" w:x="2414" w:y="3078"/>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(2,333)</w:t>
            </w:r>
          </w:p>
        </w:tc>
        <w:tc>
          <w:tcPr>
            <w:tcBorders/>
            <w:shd w:val="clear" w:color="auto" w:fill="FFFFFF"/>
            <w:vAlign w:val="bottom"/>
          </w:tcPr>
          <w:p>
            <w:pPr>
              <w:pStyle w:val="Style28"/>
              <w:keepNext w:val="0"/>
              <w:keepLines w:val="0"/>
              <w:framePr w:w="8774" w:h="6806" w:vSpace="250" w:wrap="none" w:vAnchor="text" w:hAnchor="page" w:x="2414" w:y="3078"/>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0.05%</w:t>
            </w:r>
          </w:p>
        </w:tc>
      </w:tr>
      <w:tr>
        <w:trPr>
          <w:trHeight w:val="259" w:hRule="exact"/>
        </w:trPr>
        <w:tc>
          <w:tcPr>
            <w:tcBorders/>
            <w:shd w:val="clear" w:color="auto" w:fill="FFFFFF"/>
            <w:vAlign w:val="bottom"/>
          </w:tcPr>
          <w:p>
            <w:pPr>
              <w:pStyle w:val="Style28"/>
              <w:keepNext w:val="0"/>
              <w:keepLines w:val="0"/>
              <w:framePr w:w="8774" w:h="6806" w:vSpace="250" w:wrap="none" w:vAnchor="text" w:hAnchor="page" w:x="2414" w:y="3078"/>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一到二年</w:t>
            </w:r>
          </w:p>
        </w:tc>
        <w:tc>
          <w:tcPr>
            <w:tcBorders/>
            <w:shd w:val="clear" w:color="auto" w:fill="FFFFFF"/>
            <w:vAlign w:val="bottom"/>
          </w:tcPr>
          <w:p>
            <w:pPr>
              <w:pStyle w:val="Style28"/>
              <w:keepNext w:val="0"/>
              <w:keepLines w:val="0"/>
              <w:framePr w:w="8774" w:h="6806" w:vSpace="250" w:wrap="none" w:vAnchor="text" w:hAnchor="page" w:x="2414" w:y="3078"/>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15,481</w:t>
            </w:r>
          </w:p>
        </w:tc>
        <w:tc>
          <w:tcPr>
            <w:tcBorders/>
            <w:shd w:val="clear" w:color="auto" w:fill="FFFFFF"/>
            <w:vAlign w:val="top"/>
          </w:tcPr>
          <w:p>
            <w:pPr>
              <w:framePr w:w="8774" w:h="6806" w:vSpace="250" w:wrap="none" w:vAnchor="text" w:hAnchor="page" w:x="2414" w:y="3078"/>
              <w:widowControl w:val="0"/>
              <w:rPr>
                <w:sz w:val="10"/>
                <w:szCs w:val="10"/>
              </w:rPr>
            </w:pPr>
          </w:p>
        </w:tc>
        <w:tc>
          <w:tcPr>
            <w:tcBorders/>
            <w:shd w:val="clear" w:color="auto" w:fill="FFFFFF"/>
            <w:vAlign w:val="bottom"/>
          </w:tcPr>
          <w:p>
            <w:pPr>
              <w:pStyle w:val="Style28"/>
              <w:keepNext w:val="0"/>
              <w:keepLines w:val="0"/>
              <w:framePr w:w="8774" w:h="6806" w:vSpace="250" w:wrap="none" w:vAnchor="text" w:hAnchor="page" w:x="2414" w:y="3078"/>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(1,548)</w:t>
            </w:r>
          </w:p>
        </w:tc>
        <w:tc>
          <w:tcPr>
            <w:tcBorders/>
            <w:shd w:val="clear" w:color="auto" w:fill="FFFFFF"/>
            <w:vAlign w:val="bottom"/>
          </w:tcPr>
          <w:p>
            <w:pPr>
              <w:pStyle w:val="Style28"/>
              <w:keepNext w:val="0"/>
              <w:keepLines w:val="0"/>
              <w:framePr w:w="8774" w:h="6806" w:vSpace="250" w:wrap="none" w:vAnchor="text" w:hAnchor="page" w:x="2414" w:y="3078"/>
              <w:widowControl w:val="0"/>
              <w:shd w:val="clear" w:color="auto" w:fill="auto"/>
              <w:bidi w:val="0"/>
              <w:spacing w:before="0" w:after="0" w:line="240" w:lineRule="auto"/>
              <w:ind w:left="0" w:right="0" w:firstLine="160"/>
              <w:jc w:val="both"/>
              <w:rPr>
                <w:sz w:val="20"/>
                <w:szCs w:val="20"/>
              </w:rPr>
            </w:pPr>
            <w:r>
              <w:rPr>
                <w:rFonts w:ascii="Times New Roman" w:eastAsia="Times New Roman" w:hAnsi="Times New Roman" w:cs="Times New Roman"/>
                <w:color w:val="000000"/>
                <w:spacing w:val="0"/>
                <w:w w:val="100"/>
                <w:position w:val="0"/>
                <w:sz w:val="20"/>
                <w:szCs w:val="20"/>
              </w:rPr>
              <w:t>10%</w:t>
            </w:r>
          </w:p>
        </w:tc>
        <w:tc>
          <w:tcPr>
            <w:tcBorders/>
            <w:shd w:val="clear" w:color="auto" w:fill="FFFFFF"/>
            <w:vAlign w:val="bottom"/>
          </w:tcPr>
          <w:p>
            <w:pPr>
              <w:pStyle w:val="Style28"/>
              <w:keepNext w:val="0"/>
              <w:keepLines w:val="0"/>
              <w:framePr w:w="8774" w:h="6806" w:vSpace="250" w:wrap="none" w:vAnchor="text" w:hAnchor="page" w:x="2414" w:y="3078"/>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12,645</w:t>
            </w:r>
          </w:p>
        </w:tc>
        <w:tc>
          <w:tcPr>
            <w:tcBorders/>
            <w:shd w:val="clear" w:color="auto" w:fill="FFFFFF"/>
            <w:vAlign w:val="bottom"/>
          </w:tcPr>
          <w:p>
            <w:pPr>
              <w:pStyle w:val="Style28"/>
              <w:keepNext w:val="0"/>
              <w:keepLines w:val="0"/>
              <w:framePr w:w="8774" w:h="6806" w:vSpace="250" w:wrap="none" w:vAnchor="text" w:hAnchor="page" w:x="2414" w:y="3078"/>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(1,265)</w:t>
            </w:r>
          </w:p>
        </w:tc>
        <w:tc>
          <w:tcPr>
            <w:tcBorders/>
            <w:shd w:val="clear" w:color="auto" w:fill="FFFFFF"/>
            <w:vAlign w:val="bottom"/>
          </w:tcPr>
          <w:p>
            <w:pPr>
              <w:pStyle w:val="Style28"/>
              <w:keepNext w:val="0"/>
              <w:keepLines w:val="0"/>
              <w:framePr w:w="8774" w:h="6806" w:vSpace="250" w:wrap="none" w:vAnchor="text" w:hAnchor="page" w:x="2414" w:y="3078"/>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w:t>
            </w:r>
          </w:p>
        </w:tc>
      </w:tr>
      <w:tr>
        <w:trPr>
          <w:trHeight w:val="254" w:hRule="exact"/>
        </w:trPr>
        <w:tc>
          <w:tcPr>
            <w:tcBorders/>
            <w:shd w:val="clear" w:color="auto" w:fill="FFFFFF"/>
            <w:vAlign w:val="bottom"/>
          </w:tcPr>
          <w:p>
            <w:pPr>
              <w:pStyle w:val="Style28"/>
              <w:keepNext w:val="0"/>
              <w:keepLines w:val="0"/>
              <w:framePr w:w="8774" w:h="6806" w:vSpace="250" w:wrap="none" w:vAnchor="text" w:hAnchor="page" w:x="2414" w:y="3078"/>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二到三年</w:t>
            </w:r>
          </w:p>
        </w:tc>
        <w:tc>
          <w:tcPr>
            <w:tcBorders/>
            <w:shd w:val="clear" w:color="auto" w:fill="FFFFFF"/>
            <w:vAlign w:val="bottom"/>
          </w:tcPr>
          <w:p>
            <w:pPr>
              <w:pStyle w:val="Style28"/>
              <w:keepNext w:val="0"/>
              <w:keepLines w:val="0"/>
              <w:framePr w:w="8774" w:h="6806" w:vSpace="250" w:wrap="none" w:vAnchor="text" w:hAnchor="page" w:x="2414" w:y="3078"/>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3,501</w:t>
            </w:r>
          </w:p>
        </w:tc>
        <w:tc>
          <w:tcPr>
            <w:tcBorders/>
            <w:shd w:val="clear" w:color="auto" w:fill="FFFFFF"/>
            <w:vAlign w:val="top"/>
          </w:tcPr>
          <w:p>
            <w:pPr>
              <w:framePr w:w="8774" w:h="6806" w:vSpace="250" w:wrap="none" w:vAnchor="text" w:hAnchor="page" w:x="2414" w:y="3078"/>
              <w:widowControl w:val="0"/>
              <w:rPr>
                <w:sz w:val="10"/>
                <w:szCs w:val="10"/>
              </w:rPr>
            </w:pPr>
          </w:p>
        </w:tc>
        <w:tc>
          <w:tcPr>
            <w:tcBorders/>
            <w:shd w:val="clear" w:color="auto" w:fill="FFFFFF"/>
            <w:vAlign w:val="bottom"/>
          </w:tcPr>
          <w:p>
            <w:pPr>
              <w:pStyle w:val="Style28"/>
              <w:keepNext w:val="0"/>
              <w:keepLines w:val="0"/>
              <w:framePr w:w="8774" w:h="6806" w:vSpace="250" w:wrap="none" w:vAnchor="text" w:hAnchor="page" w:x="2414" w:y="3078"/>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(700)</w:t>
            </w:r>
          </w:p>
        </w:tc>
        <w:tc>
          <w:tcPr>
            <w:tcBorders/>
            <w:shd w:val="clear" w:color="auto" w:fill="FFFFFF"/>
            <w:vAlign w:val="bottom"/>
          </w:tcPr>
          <w:p>
            <w:pPr>
              <w:pStyle w:val="Style28"/>
              <w:keepNext w:val="0"/>
              <w:keepLines w:val="0"/>
              <w:framePr w:w="8774" w:h="6806" w:vSpace="250" w:wrap="none" w:vAnchor="text" w:hAnchor="page" w:x="2414" w:y="3078"/>
              <w:widowControl w:val="0"/>
              <w:shd w:val="clear" w:color="auto" w:fill="auto"/>
              <w:bidi w:val="0"/>
              <w:spacing w:before="0" w:after="0" w:line="240" w:lineRule="auto"/>
              <w:ind w:left="0" w:right="0" w:firstLine="160"/>
              <w:jc w:val="both"/>
              <w:rPr>
                <w:sz w:val="20"/>
                <w:szCs w:val="20"/>
              </w:rPr>
            </w:pPr>
            <w:r>
              <w:rPr>
                <w:rFonts w:ascii="Times New Roman" w:eastAsia="Times New Roman" w:hAnsi="Times New Roman" w:cs="Times New Roman"/>
                <w:color w:val="000000"/>
                <w:spacing w:val="0"/>
                <w:w w:val="100"/>
                <w:position w:val="0"/>
                <w:sz w:val="20"/>
                <w:szCs w:val="20"/>
              </w:rPr>
              <w:t>20%</w:t>
            </w:r>
          </w:p>
        </w:tc>
        <w:tc>
          <w:tcPr>
            <w:tcBorders/>
            <w:shd w:val="clear" w:color="auto" w:fill="FFFFFF"/>
            <w:vAlign w:val="bottom"/>
          </w:tcPr>
          <w:p>
            <w:pPr>
              <w:pStyle w:val="Style28"/>
              <w:keepNext w:val="0"/>
              <w:keepLines w:val="0"/>
              <w:framePr w:w="8774" w:h="6806" w:vSpace="250" w:wrap="none" w:vAnchor="text" w:hAnchor="page" w:x="2414" w:y="3078"/>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2,002</w:t>
            </w:r>
          </w:p>
        </w:tc>
        <w:tc>
          <w:tcPr>
            <w:tcBorders/>
            <w:shd w:val="clear" w:color="auto" w:fill="FFFFFF"/>
            <w:vAlign w:val="bottom"/>
          </w:tcPr>
          <w:p>
            <w:pPr>
              <w:pStyle w:val="Style28"/>
              <w:keepNext w:val="0"/>
              <w:keepLines w:val="0"/>
              <w:framePr w:w="8774" w:h="6806" w:vSpace="250" w:wrap="none" w:vAnchor="text" w:hAnchor="page" w:x="2414" w:y="3078"/>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(400)</w:t>
            </w:r>
          </w:p>
        </w:tc>
        <w:tc>
          <w:tcPr>
            <w:tcBorders/>
            <w:shd w:val="clear" w:color="auto" w:fill="FFFFFF"/>
            <w:vAlign w:val="bottom"/>
          </w:tcPr>
          <w:p>
            <w:pPr>
              <w:pStyle w:val="Style28"/>
              <w:keepNext w:val="0"/>
              <w:keepLines w:val="0"/>
              <w:framePr w:w="8774" w:h="6806" w:vSpace="250" w:wrap="none" w:vAnchor="text" w:hAnchor="page" w:x="2414" w:y="3078"/>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20%</w:t>
            </w:r>
          </w:p>
        </w:tc>
      </w:tr>
      <w:tr>
        <w:trPr>
          <w:trHeight w:val="259" w:hRule="exact"/>
        </w:trPr>
        <w:tc>
          <w:tcPr>
            <w:tcBorders/>
            <w:shd w:val="clear" w:color="auto" w:fill="FFFFFF"/>
            <w:vAlign w:val="bottom"/>
          </w:tcPr>
          <w:p>
            <w:pPr>
              <w:pStyle w:val="Style28"/>
              <w:keepNext w:val="0"/>
              <w:keepLines w:val="0"/>
              <w:framePr w:w="8774" w:h="6806" w:vSpace="250" w:wrap="none" w:vAnchor="text" w:hAnchor="page" w:x="2414" w:y="3078"/>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三到四年</w:t>
            </w:r>
          </w:p>
        </w:tc>
        <w:tc>
          <w:tcPr>
            <w:tcBorders/>
            <w:shd w:val="clear" w:color="auto" w:fill="FFFFFF"/>
            <w:vAlign w:val="bottom"/>
          </w:tcPr>
          <w:p>
            <w:pPr>
              <w:pStyle w:val="Style28"/>
              <w:keepNext w:val="0"/>
              <w:keepLines w:val="0"/>
              <w:framePr w:w="8774" w:h="6806" w:vSpace="250" w:wrap="none" w:vAnchor="text" w:hAnchor="page" w:x="2414" w:y="3078"/>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1,506</w:t>
            </w:r>
          </w:p>
        </w:tc>
        <w:tc>
          <w:tcPr>
            <w:tcBorders/>
            <w:shd w:val="clear" w:color="auto" w:fill="FFFFFF"/>
            <w:vAlign w:val="top"/>
          </w:tcPr>
          <w:p>
            <w:pPr>
              <w:framePr w:w="8774" w:h="6806" w:vSpace="250" w:wrap="none" w:vAnchor="text" w:hAnchor="page" w:x="2414" w:y="3078"/>
              <w:widowControl w:val="0"/>
              <w:rPr>
                <w:sz w:val="10"/>
                <w:szCs w:val="10"/>
              </w:rPr>
            </w:pPr>
          </w:p>
        </w:tc>
        <w:tc>
          <w:tcPr>
            <w:tcBorders/>
            <w:shd w:val="clear" w:color="auto" w:fill="FFFFFF"/>
            <w:vAlign w:val="bottom"/>
          </w:tcPr>
          <w:p>
            <w:pPr>
              <w:pStyle w:val="Style28"/>
              <w:keepNext w:val="0"/>
              <w:keepLines w:val="0"/>
              <w:framePr w:w="8774" w:h="6806" w:vSpace="250" w:wrap="none" w:vAnchor="text" w:hAnchor="page" w:x="2414" w:y="3078"/>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(452)</w:t>
            </w:r>
          </w:p>
        </w:tc>
        <w:tc>
          <w:tcPr>
            <w:tcBorders/>
            <w:shd w:val="clear" w:color="auto" w:fill="FFFFFF"/>
            <w:vAlign w:val="bottom"/>
          </w:tcPr>
          <w:p>
            <w:pPr>
              <w:pStyle w:val="Style28"/>
              <w:keepNext w:val="0"/>
              <w:keepLines w:val="0"/>
              <w:framePr w:w="8774" w:h="6806" w:vSpace="250" w:wrap="none" w:vAnchor="text" w:hAnchor="page" w:x="2414" w:y="3078"/>
              <w:widowControl w:val="0"/>
              <w:shd w:val="clear" w:color="auto" w:fill="auto"/>
              <w:bidi w:val="0"/>
              <w:spacing w:before="0" w:after="0" w:line="240" w:lineRule="auto"/>
              <w:ind w:left="0" w:right="0" w:firstLine="160"/>
              <w:jc w:val="both"/>
              <w:rPr>
                <w:sz w:val="20"/>
                <w:szCs w:val="20"/>
              </w:rPr>
            </w:pPr>
            <w:r>
              <w:rPr>
                <w:rFonts w:ascii="Times New Roman" w:eastAsia="Times New Roman" w:hAnsi="Times New Roman" w:cs="Times New Roman"/>
                <w:color w:val="000000"/>
                <w:spacing w:val="0"/>
                <w:w w:val="100"/>
                <w:position w:val="0"/>
                <w:sz w:val="20"/>
                <w:szCs w:val="20"/>
              </w:rPr>
              <w:t>30%</w:t>
            </w:r>
          </w:p>
        </w:tc>
        <w:tc>
          <w:tcPr>
            <w:tcBorders/>
            <w:shd w:val="clear" w:color="auto" w:fill="FFFFFF"/>
            <w:vAlign w:val="bottom"/>
          </w:tcPr>
          <w:p>
            <w:pPr>
              <w:pStyle w:val="Style28"/>
              <w:keepNext w:val="0"/>
              <w:keepLines w:val="0"/>
              <w:framePr w:w="8774" w:h="6806" w:vSpace="250" w:wrap="none" w:vAnchor="text" w:hAnchor="page" w:x="2414" w:y="3078"/>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1,018</w:t>
            </w:r>
          </w:p>
        </w:tc>
        <w:tc>
          <w:tcPr>
            <w:tcBorders/>
            <w:shd w:val="clear" w:color="auto" w:fill="FFFFFF"/>
            <w:vAlign w:val="bottom"/>
          </w:tcPr>
          <w:p>
            <w:pPr>
              <w:pStyle w:val="Style28"/>
              <w:keepNext w:val="0"/>
              <w:keepLines w:val="0"/>
              <w:framePr w:w="8774" w:h="6806" w:vSpace="250" w:wrap="none" w:vAnchor="text" w:hAnchor="page" w:x="2414" w:y="3078"/>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(305)</w:t>
            </w:r>
          </w:p>
        </w:tc>
        <w:tc>
          <w:tcPr>
            <w:tcBorders/>
            <w:shd w:val="clear" w:color="auto" w:fill="FFFFFF"/>
            <w:vAlign w:val="bottom"/>
          </w:tcPr>
          <w:p>
            <w:pPr>
              <w:pStyle w:val="Style28"/>
              <w:keepNext w:val="0"/>
              <w:keepLines w:val="0"/>
              <w:framePr w:w="8774" w:h="6806" w:vSpace="250" w:wrap="none" w:vAnchor="text" w:hAnchor="page" w:x="2414" w:y="3078"/>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30%</w:t>
            </w:r>
          </w:p>
        </w:tc>
      </w:tr>
      <w:tr>
        <w:trPr>
          <w:trHeight w:val="264" w:hRule="exact"/>
        </w:trPr>
        <w:tc>
          <w:tcPr>
            <w:tcBorders/>
            <w:shd w:val="clear" w:color="auto" w:fill="FFFFFF"/>
            <w:vAlign w:val="bottom"/>
          </w:tcPr>
          <w:p>
            <w:pPr>
              <w:pStyle w:val="Style28"/>
              <w:keepNext w:val="0"/>
              <w:keepLines w:val="0"/>
              <w:framePr w:w="8774" w:h="6806" w:vSpace="250" w:wrap="none" w:vAnchor="text" w:hAnchor="page" w:x="2414" w:y="3078"/>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四到五年</w:t>
            </w:r>
          </w:p>
        </w:tc>
        <w:tc>
          <w:tcPr>
            <w:tcBorders/>
            <w:shd w:val="clear" w:color="auto" w:fill="FFFFFF"/>
            <w:vAlign w:val="bottom"/>
          </w:tcPr>
          <w:p>
            <w:pPr>
              <w:pStyle w:val="Style28"/>
              <w:keepNext w:val="0"/>
              <w:keepLines w:val="0"/>
              <w:framePr w:w="8774" w:h="6806" w:vSpace="250" w:wrap="none" w:vAnchor="text" w:hAnchor="page" w:x="2414" w:y="3078"/>
              <w:widowControl w:val="0"/>
              <w:shd w:val="clear" w:color="auto" w:fill="auto"/>
              <w:bidi w:val="0"/>
              <w:spacing w:before="0" w:after="0" w:line="240" w:lineRule="auto"/>
              <w:ind w:left="0" w:right="0" w:firstLine="840"/>
              <w:jc w:val="left"/>
              <w:rPr>
                <w:sz w:val="20"/>
                <w:szCs w:val="20"/>
              </w:rPr>
            </w:pPr>
            <w:r>
              <w:rPr>
                <w:rFonts w:ascii="Times New Roman" w:eastAsia="Times New Roman" w:hAnsi="Times New Roman" w:cs="Times New Roman"/>
                <w:color w:val="000000"/>
                <w:spacing w:val="0"/>
                <w:w w:val="100"/>
                <w:position w:val="0"/>
                <w:sz w:val="20"/>
                <w:szCs w:val="20"/>
              </w:rPr>
              <w:t>752</w:t>
            </w:r>
          </w:p>
        </w:tc>
        <w:tc>
          <w:tcPr>
            <w:tcBorders/>
            <w:shd w:val="clear" w:color="auto" w:fill="FFFFFF"/>
            <w:vAlign w:val="top"/>
          </w:tcPr>
          <w:p>
            <w:pPr>
              <w:framePr w:w="8774" w:h="6806" w:vSpace="250" w:wrap="none" w:vAnchor="text" w:hAnchor="page" w:x="2414" w:y="3078"/>
              <w:widowControl w:val="0"/>
              <w:rPr>
                <w:sz w:val="10"/>
                <w:szCs w:val="10"/>
              </w:rPr>
            </w:pPr>
          </w:p>
        </w:tc>
        <w:tc>
          <w:tcPr>
            <w:tcBorders/>
            <w:shd w:val="clear" w:color="auto" w:fill="FFFFFF"/>
            <w:vAlign w:val="bottom"/>
          </w:tcPr>
          <w:p>
            <w:pPr>
              <w:pStyle w:val="Style28"/>
              <w:keepNext w:val="0"/>
              <w:keepLines w:val="0"/>
              <w:framePr w:w="8774" w:h="6806" w:vSpace="250" w:wrap="none" w:vAnchor="text" w:hAnchor="page" w:x="2414" w:y="3078"/>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(451)</w:t>
            </w:r>
          </w:p>
        </w:tc>
        <w:tc>
          <w:tcPr>
            <w:tcBorders/>
            <w:shd w:val="clear" w:color="auto" w:fill="FFFFFF"/>
            <w:vAlign w:val="bottom"/>
          </w:tcPr>
          <w:p>
            <w:pPr>
              <w:pStyle w:val="Style28"/>
              <w:keepNext w:val="0"/>
              <w:keepLines w:val="0"/>
              <w:framePr w:w="8774" w:h="6806" w:vSpace="250" w:wrap="none" w:vAnchor="text" w:hAnchor="page" w:x="2414" w:y="3078"/>
              <w:widowControl w:val="0"/>
              <w:shd w:val="clear" w:color="auto" w:fill="auto"/>
              <w:bidi w:val="0"/>
              <w:spacing w:before="0" w:after="0" w:line="240" w:lineRule="auto"/>
              <w:ind w:left="0" w:right="0" w:firstLine="160"/>
              <w:jc w:val="both"/>
              <w:rPr>
                <w:sz w:val="20"/>
                <w:szCs w:val="20"/>
              </w:rPr>
            </w:pPr>
            <w:r>
              <w:rPr>
                <w:rFonts w:ascii="Times New Roman" w:eastAsia="Times New Roman" w:hAnsi="Times New Roman" w:cs="Times New Roman"/>
                <w:color w:val="000000"/>
                <w:spacing w:val="0"/>
                <w:w w:val="100"/>
                <w:position w:val="0"/>
                <w:sz w:val="20"/>
                <w:szCs w:val="20"/>
              </w:rPr>
              <w:t>60%</w:t>
            </w:r>
          </w:p>
        </w:tc>
        <w:tc>
          <w:tcPr>
            <w:tcBorders/>
            <w:shd w:val="clear" w:color="auto" w:fill="FFFFFF"/>
            <w:vAlign w:val="bottom"/>
          </w:tcPr>
          <w:p>
            <w:pPr>
              <w:pStyle w:val="Style28"/>
              <w:keepNext w:val="0"/>
              <w:keepLines w:val="0"/>
              <w:framePr w:w="8774" w:h="6806" w:vSpace="250" w:wrap="none" w:vAnchor="text" w:hAnchor="page" w:x="2414" w:y="3078"/>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1,466</w:t>
            </w:r>
          </w:p>
        </w:tc>
        <w:tc>
          <w:tcPr>
            <w:tcBorders/>
            <w:shd w:val="clear" w:color="auto" w:fill="FFFFFF"/>
            <w:vAlign w:val="bottom"/>
          </w:tcPr>
          <w:p>
            <w:pPr>
              <w:pStyle w:val="Style28"/>
              <w:keepNext w:val="0"/>
              <w:keepLines w:val="0"/>
              <w:framePr w:w="8774" w:h="6806" w:vSpace="250" w:wrap="none" w:vAnchor="text" w:hAnchor="page" w:x="2414" w:y="3078"/>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(880)</w:t>
            </w:r>
          </w:p>
        </w:tc>
        <w:tc>
          <w:tcPr>
            <w:tcBorders/>
            <w:shd w:val="clear" w:color="auto" w:fill="FFFFFF"/>
            <w:vAlign w:val="bottom"/>
          </w:tcPr>
          <w:p>
            <w:pPr>
              <w:pStyle w:val="Style28"/>
              <w:keepNext w:val="0"/>
              <w:keepLines w:val="0"/>
              <w:framePr w:w="8774" w:h="6806" w:vSpace="250" w:wrap="none" w:vAnchor="text" w:hAnchor="page" w:x="2414" w:y="3078"/>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60%</w:t>
            </w:r>
          </w:p>
        </w:tc>
      </w:tr>
      <w:tr>
        <w:trPr>
          <w:trHeight w:val="250" w:hRule="exact"/>
        </w:trPr>
        <w:tc>
          <w:tcPr>
            <w:tcBorders/>
            <w:shd w:val="clear" w:color="auto" w:fill="FFFFFF"/>
            <w:vAlign w:val="bottom"/>
          </w:tcPr>
          <w:p>
            <w:pPr>
              <w:pStyle w:val="Style28"/>
              <w:keepNext w:val="0"/>
              <w:keepLines w:val="0"/>
              <w:framePr w:w="8774" w:h="6806" w:vSpace="250" w:wrap="none" w:vAnchor="text" w:hAnchor="page" w:x="2414" w:y="3078"/>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五年以上</w:t>
            </w:r>
          </w:p>
        </w:tc>
        <w:tc>
          <w:tcPr>
            <w:tcBorders/>
            <w:shd w:val="clear" w:color="auto" w:fill="FFFFFF"/>
            <w:vAlign w:val="bottom"/>
          </w:tcPr>
          <w:p>
            <w:pPr>
              <w:pStyle w:val="Style28"/>
              <w:keepNext w:val="0"/>
              <w:keepLines w:val="0"/>
              <w:framePr w:w="8774" w:h="6806" w:vSpace="250" w:wrap="none" w:vAnchor="text" w:hAnchor="page" w:x="2414" w:y="3078"/>
              <w:widowControl w:val="0"/>
              <w:shd w:val="clear" w:color="auto" w:fill="auto"/>
              <w:bidi w:val="0"/>
              <w:spacing w:before="0" w:after="0" w:line="240" w:lineRule="auto"/>
              <w:ind w:left="0" w:right="0" w:firstLine="840"/>
              <w:jc w:val="left"/>
              <w:rPr>
                <w:sz w:val="20"/>
                <w:szCs w:val="20"/>
              </w:rPr>
            </w:pPr>
            <w:r>
              <w:rPr>
                <w:rFonts w:ascii="Times New Roman" w:eastAsia="Times New Roman" w:hAnsi="Times New Roman" w:cs="Times New Roman"/>
                <w:color w:val="000000"/>
                <w:spacing w:val="0"/>
                <w:w w:val="100"/>
                <w:position w:val="0"/>
                <w:sz w:val="20"/>
                <w:szCs w:val="20"/>
              </w:rPr>
              <w:t>443</w:t>
            </w:r>
          </w:p>
        </w:tc>
        <w:tc>
          <w:tcPr>
            <w:tcBorders/>
            <w:shd w:val="clear" w:color="auto" w:fill="FFFFFF"/>
            <w:vAlign w:val="top"/>
          </w:tcPr>
          <w:p>
            <w:pPr>
              <w:framePr w:w="8774" w:h="6806" w:vSpace="250" w:wrap="none" w:vAnchor="text" w:hAnchor="page" w:x="2414" w:y="3078"/>
              <w:widowControl w:val="0"/>
              <w:rPr>
                <w:sz w:val="10"/>
                <w:szCs w:val="10"/>
              </w:rPr>
            </w:pPr>
          </w:p>
        </w:tc>
        <w:tc>
          <w:tcPr>
            <w:tcBorders/>
            <w:shd w:val="clear" w:color="auto" w:fill="FFFFFF"/>
            <w:vAlign w:val="bottom"/>
          </w:tcPr>
          <w:p>
            <w:pPr>
              <w:pStyle w:val="Style28"/>
              <w:keepNext w:val="0"/>
              <w:keepLines w:val="0"/>
              <w:framePr w:w="8774" w:h="6806" w:vSpace="250" w:wrap="none" w:vAnchor="text" w:hAnchor="page" w:x="2414" w:y="3078"/>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(443)</w:t>
            </w:r>
          </w:p>
        </w:tc>
        <w:tc>
          <w:tcPr>
            <w:tcBorders/>
            <w:shd w:val="clear" w:color="auto" w:fill="FFFFFF"/>
            <w:vAlign w:val="bottom"/>
          </w:tcPr>
          <w:p>
            <w:pPr>
              <w:pStyle w:val="Style28"/>
              <w:keepNext w:val="0"/>
              <w:keepLines w:val="0"/>
              <w:framePr w:w="8774" w:h="6806" w:vSpace="250" w:wrap="none" w:vAnchor="text" w:hAnchor="page" w:x="2414" w:y="3078"/>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100%</w:t>
            </w:r>
          </w:p>
        </w:tc>
        <w:tc>
          <w:tcPr>
            <w:tcBorders/>
            <w:shd w:val="clear" w:color="auto" w:fill="FFFFFF"/>
            <w:vAlign w:val="bottom"/>
          </w:tcPr>
          <w:p>
            <w:pPr>
              <w:pStyle w:val="Style28"/>
              <w:keepNext w:val="0"/>
              <w:keepLines w:val="0"/>
              <w:framePr w:w="8774" w:h="6806" w:vSpace="250" w:wrap="none" w:vAnchor="text" w:hAnchor="page" w:x="2414" w:y="3078"/>
              <w:widowControl w:val="0"/>
              <w:shd w:val="clear" w:color="auto" w:fill="auto"/>
              <w:bidi w:val="0"/>
              <w:spacing w:before="0" w:after="0" w:line="240" w:lineRule="auto"/>
              <w:ind w:left="0" w:right="0" w:firstLine="840"/>
              <w:jc w:val="left"/>
              <w:rPr>
                <w:sz w:val="20"/>
                <w:szCs w:val="20"/>
              </w:rPr>
            </w:pPr>
            <w:r>
              <w:rPr>
                <w:rFonts w:ascii="Times New Roman" w:eastAsia="Times New Roman" w:hAnsi="Times New Roman" w:cs="Times New Roman"/>
                <w:color w:val="000000"/>
                <w:spacing w:val="0"/>
                <w:w w:val="100"/>
                <w:position w:val="0"/>
                <w:sz w:val="20"/>
                <w:szCs w:val="20"/>
              </w:rPr>
              <w:t>225</w:t>
            </w:r>
          </w:p>
        </w:tc>
        <w:tc>
          <w:tcPr>
            <w:tcBorders/>
            <w:shd w:val="clear" w:color="auto" w:fill="FFFFFF"/>
            <w:vAlign w:val="bottom"/>
          </w:tcPr>
          <w:p>
            <w:pPr>
              <w:pStyle w:val="Style28"/>
              <w:keepNext w:val="0"/>
              <w:keepLines w:val="0"/>
              <w:framePr w:w="8774" w:h="6806" w:vSpace="250" w:wrap="none" w:vAnchor="text" w:hAnchor="page" w:x="2414" w:y="3078"/>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(225)</w:t>
            </w:r>
          </w:p>
        </w:tc>
        <w:tc>
          <w:tcPr>
            <w:tcBorders/>
            <w:shd w:val="clear" w:color="auto" w:fill="FFFFFF"/>
            <w:vAlign w:val="bottom"/>
          </w:tcPr>
          <w:p>
            <w:pPr>
              <w:pStyle w:val="Style28"/>
              <w:keepNext w:val="0"/>
              <w:keepLines w:val="0"/>
              <w:framePr w:w="8774" w:h="6806" w:vSpace="250" w:wrap="none" w:vAnchor="text" w:hAnchor="page" w:x="2414" w:y="3078"/>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w:t>
            </w:r>
          </w:p>
        </w:tc>
      </w:tr>
      <w:tr>
        <w:trPr>
          <w:trHeight w:val="293" w:hRule="exact"/>
        </w:trPr>
        <w:tc>
          <w:tcPr>
            <w:tcBorders/>
            <w:shd w:val="clear" w:color="auto" w:fill="FFFFFF"/>
            <w:vAlign w:val="top"/>
          </w:tcPr>
          <w:p>
            <w:pPr>
              <w:framePr w:w="8774" w:h="6806" w:vSpace="250" w:wrap="none" w:vAnchor="text" w:hAnchor="page" w:x="2414" w:y="3078"/>
              <w:widowControl w:val="0"/>
              <w:rPr>
                <w:sz w:val="10"/>
                <w:szCs w:val="10"/>
              </w:rPr>
            </w:pPr>
          </w:p>
        </w:tc>
        <w:tc>
          <w:tcPr>
            <w:tcBorders>
              <w:top w:val="single" w:sz="4"/>
              <w:bottom w:val="single" w:sz="4"/>
            </w:tcBorders>
            <w:shd w:val="clear" w:color="auto" w:fill="FFFFFF"/>
            <w:vAlign w:val="top"/>
          </w:tcPr>
          <w:p>
            <w:pPr>
              <w:pStyle w:val="Style28"/>
              <w:keepNext w:val="0"/>
              <w:keepLines w:val="0"/>
              <w:framePr w:w="8774" w:h="6806" w:vSpace="250" w:wrap="none" w:vAnchor="text" w:hAnchor="page" w:x="2414" w:y="3078"/>
              <w:widowControl w:val="0"/>
              <w:shd w:val="clear" w:color="auto" w:fill="auto"/>
              <w:bidi w:val="0"/>
              <w:spacing w:before="0" w:after="0" w:line="240" w:lineRule="auto"/>
              <w:ind w:left="0" w:right="0" w:firstLine="340"/>
              <w:jc w:val="both"/>
              <w:rPr>
                <w:sz w:val="20"/>
                <w:szCs w:val="20"/>
              </w:rPr>
            </w:pPr>
            <w:r>
              <w:rPr>
                <w:rFonts w:ascii="Times New Roman" w:eastAsia="Times New Roman" w:hAnsi="Times New Roman" w:cs="Times New Roman"/>
                <w:color w:val="000000"/>
                <w:spacing w:val="0"/>
                <w:w w:val="100"/>
                <w:position w:val="0"/>
                <w:sz w:val="20"/>
                <w:szCs w:val="20"/>
              </w:rPr>
              <w:t>7,120,211</w:t>
            </w:r>
          </w:p>
        </w:tc>
        <w:tc>
          <w:tcPr>
            <w:tcBorders>
              <w:top w:val="single" w:sz="4"/>
              <w:bottom w:val="single" w:sz="4"/>
            </w:tcBorders>
            <w:shd w:val="clear" w:color="auto" w:fill="FFFFFF"/>
            <w:vAlign w:val="top"/>
          </w:tcPr>
          <w:p>
            <w:pPr>
              <w:framePr w:w="8774" w:h="6806" w:vSpace="250" w:wrap="none" w:vAnchor="text" w:hAnchor="page" w:x="2414" w:y="3078"/>
              <w:widowControl w:val="0"/>
              <w:rPr>
                <w:sz w:val="10"/>
                <w:szCs w:val="10"/>
              </w:rPr>
            </w:pPr>
          </w:p>
        </w:tc>
        <w:tc>
          <w:tcPr>
            <w:tcBorders>
              <w:top w:val="single" w:sz="4"/>
              <w:bottom w:val="single" w:sz="4"/>
            </w:tcBorders>
            <w:shd w:val="clear" w:color="auto" w:fill="FFFFFF"/>
            <w:vAlign w:val="top"/>
          </w:tcPr>
          <w:p>
            <w:pPr>
              <w:pStyle w:val="Style28"/>
              <w:keepNext w:val="0"/>
              <w:keepLines w:val="0"/>
              <w:framePr w:w="8774" w:h="6806" w:vSpace="250" w:wrap="none" w:vAnchor="text" w:hAnchor="page" w:x="2414" w:y="3078"/>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(7,016)</w:t>
            </w:r>
          </w:p>
        </w:tc>
        <w:tc>
          <w:tcPr>
            <w:tcBorders/>
            <w:shd w:val="clear" w:color="auto" w:fill="FFFFFF"/>
            <w:vAlign w:val="top"/>
          </w:tcPr>
          <w:p>
            <w:pPr>
              <w:framePr w:w="8774" w:h="6806" w:vSpace="250" w:wrap="none" w:vAnchor="text" w:hAnchor="page" w:x="2414" w:y="3078"/>
              <w:widowControl w:val="0"/>
              <w:rPr>
                <w:sz w:val="10"/>
                <w:szCs w:val="10"/>
              </w:rPr>
            </w:pPr>
          </w:p>
        </w:tc>
        <w:tc>
          <w:tcPr>
            <w:tcBorders>
              <w:top w:val="single" w:sz="4"/>
              <w:bottom w:val="single" w:sz="4"/>
            </w:tcBorders>
            <w:shd w:val="clear" w:color="auto" w:fill="FFFFFF"/>
            <w:vAlign w:val="top"/>
          </w:tcPr>
          <w:p>
            <w:pPr>
              <w:pStyle w:val="Style28"/>
              <w:keepNext w:val="0"/>
              <w:keepLines w:val="0"/>
              <w:framePr w:w="8774" w:h="6806" w:vSpace="250" w:wrap="none" w:vAnchor="text" w:hAnchor="page" w:x="2414" w:y="3078"/>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4,571,547</w:t>
            </w:r>
          </w:p>
        </w:tc>
        <w:tc>
          <w:tcPr>
            <w:tcBorders>
              <w:top w:val="single" w:sz="4"/>
              <w:bottom w:val="single" w:sz="4"/>
            </w:tcBorders>
            <w:shd w:val="clear" w:color="auto" w:fill="FFFFFF"/>
            <w:vAlign w:val="top"/>
          </w:tcPr>
          <w:p>
            <w:pPr>
              <w:pStyle w:val="Style28"/>
              <w:keepNext w:val="0"/>
              <w:keepLines w:val="0"/>
              <w:framePr w:w="8774" w:h="6806" w:vSpace="250" w:wrap="none" w:vAnchor="text" w:hAnchor="page" w:x="2414" w:y="3078"/>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(5,408)</w:t>
            </w:r>
          </w:p>
        </w:tc>
        <w:tc>
          <w:tcPr>
            <w:tcBorders/>
            <w:shd w:val="clear" w:color="auto" w:fill="FFFFFF"/>
            <w:vAlign w:val="top"/>
          </w:tcPr>
          <w:p>
            <w:pPr>
              <w:framePr w:w="8774" w:h="6806" w:vSpace="250" w:wrap="none" w:vAnchor="text" w:hAnchor="page" w:x="2414" w:y="3078"/>
              <w:widowControl w:val="0"/>
              <w:rPr>
                <w:sz w:val="10"/>
                <w:szCs w:val="10"/>
              </w:rPr>
            </w:pPr>
          </w:p>
        </w:tc>
      </w:tr>
    </w:tbl>
    <w:p>
      <w:pPr>
        <w:framePr w:w="8774" w:h="6806" w:vSpace="250" w:wrap="none" w:vAnchor="text" w:hAnchor="page" w:x="2414" w:y="3078"/>
        <w:widowControl w:val="0"/>
        <w:spacing w:line="1" w:lineRule="exact"/>
      </w:pPr>
    </w:p>
    <w:p>
      <w:pPr>
        <w:pStyle w:val="Style25"/>
        <w:keepNext w:val="0"/>
        <w:keepLines w:val="0"/>
        <w:framePr w:w="5054" w:h="245" w:wrap="none" w:vAnchor="text" w:hAnchor="page" w:x="5232" w:y="2828"/>
        <w:widowControl w:val="0"/>
        <w:shd w:val="clear" w:color="auto" w:fill="auto"/>
        <w:tabs>
          <w:tab w:pos="3542" w:val="left"/>
        </w:tabs>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8"/>
          <w:szCs w:val="18"/>
        </w:rPr>
        <w:t>年</w:t>
      </w:r>
      <w:r>
        <w:rPr>
          <w:i/>
          <w:iCs/>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tab/>
      </w: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8"/>
          <w:szCs w:val="18"/>
        </w:rPr>
        <w:t>年</w:t>
      </w:r>
      <w:r>
        <w:rPr>
          <w:i/>
          <w:iCs/>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22" w:line="1" w:lineRule="exact"/>
      </w:pPr>
    </w:p>
    <w:p>
      <w:pPr>
        <w:widowControl w:val="0"/>
        <w:spacing w:line="1" w:lineRule="exact"/>
        <w:sectPr>
          <w:footnotePr>
            <w:pos w:val="pageBottom"/>
            <w:numFmt w:val="decimal"/>
            <w:numRestart w:val="continuous"/>
          </w:footnotePr>
          <w:type w:val="continuous"/>
          <w:pgSz w:w="11900" w:h="16840"/>
          <w:pgMar w:top="1085" w:right="713" w:bottom="1129" w:left="1698" w:header="0" w:footer="3" w:gutter="0"/>
          <w:cols w:space="720"/>
          <w:noEndnote/>
          <w:rtlGutter w:val="0"/>
          <w:docGrid w:linePitch="360"/>
        </w:sectPr>
      </w:pPr>
    </w:p>
    <w:p>
      <w:pPr>
        <w:pStyle w:val="Style32"/>
        <w:keepNext w:val="0"/>
        <w:keepLines w:val="0"/>
        <w:widowControl w:val="0"/>
        <w:shd w:val="clear" w:color="auto" w:fill="auto"/>
        <w:bidi w:val="0"/>
        <w:spacing w:before="0" w:after="0" w:line="240" w:lineRule="auto"/>
        <w:ind w:left="0" w:right="0" w:firstLine="740"/>
        <w:jc w:val="left"/>
        <w:rPr>
          <w:sz w:val="24"/>
          <w:szCs w:val="24"/>
        </w:rPr>
      </w:pPr>
      <w:r>
        <w:rPr>
          <w:b/>
          <w:bCs/>
          <w:color w:val="000000"/>
          <w:spacing w:val="0"/>
          <w:w w:val="100"/>
          <w:position w:val="0"/>
          <w:sz w:val="24"/>
          <w:szCs w:val="24"/>
        </w:rPr>
        <w:t>财务报表附注</w:t>
      </w:r>
    </w:p>
    <w:p>
      <w:pPr>
        <w:pStyle w:val="Style88"/>
        <w:keepNext/>
        <w:keepLines/>
        <w:widowControl w:val="0"/>
        <w:shd w:val="clear" w:color="auto" w:fill="auto"/>
        <w:bidi w:val="0"/>
        <w:spacing w:before="0" w:after="0" w:line="240" w:lineRule="auto"/>
        <w:ind w:left="0" w:right="0" w:firstLine="740"/>
        <w:jc w:val="left"/>
      </w:pPr>
      <w:bookmarkStart w:id="1193" w:name="bookmark1193"/>
      <w:bookmarkStart w:id="1194" w:name="bookmark1194"/>
      <w:bookmarkStart w:id="1195" w:name="bookmark1195"/>
      <w:r>
        <w:rPr>
          <w:color w:val="000000"/>
          <w:spacing w:val="0"/>
          <w:w w:val="100"/>
          <w:position w:val="0"/>
          <w:sz w:val="24"/>
          <w:szCs w:val="24"/>
        </w:rPr>
        <w:t>2016</w:t>
      </w:r>
      <w:r>
        <w:rPr>
          <w:rFonts w:ascii="SimSun" w:eastAsia="SimSun" w:hAnsi="SimSun" w:cs="SimSun"/>
          <w:b/>
          <w:bCs/>
          <w:color w:val="000000"/>
          <w:spacing w:val="0"/>
          <w:w w:val="100"/>
          <w:position w:val="0"/>
          <w:sz w:val="24"/>
          <w:szCs w:val="24"/>
        </w:rPr>
        <w:t>年度</w:t>
      </w:r>
      <w:bookmarkEnd w:id="1193"/>
      <w:bookmarkEnd w:id="1194"/>
      <w:bookmarkEnd w:id="1195"/>
    </w:p>
    <w:p>
      <w:pPr>
        <w:pStyle w:val="Style32"/>
        <w:keepNext w:val="0"/>
        <w:keepLines w:val="0"/>
        <w:widowControl w:val="0"/>
        <w:shd w:val="clear" w:color="auto" w:fill="auto"/>
        <w:bidi w:val="0"/>
        <w:spacing w:before="0" w:after="255" w:line="240" w:lineRule="auto"/>
        <w:ind w:left="0" w:right="0" w:firstLine="740"/>
        <w:jc w:val="left"/>
        <w:rPr>
          <w:sz w:val="24"/>
          <w:szCs w:val="24"/>
        </w:rPr>
      </w:pPr>
      <w:r>
        <w:rPr>
          <w:rFonts w:ascii="Arial" w:eastAsia="Arial" w:hAnsi="Arial" w:cs="Arial"/>
          <w:color w:val="000000"/>
          <w:spacing w:val="0"/>
          <w:w w:val="100"/>
          <w:position w:val="0"/>
          <w:sz w:val="20"/>
          <w:szCs w:val="20"/>
        </w:rPr>
        <w:t>(</w:t>
      </w:r>
      <w:r>
        <w:rPr>
          <w:color w:val="000000"/>
          <w:spacing w:val="0"/>
          <w:w w:val="100"/>
          <w:position w:val="0"/>
          <w:sz w:val="20"/>
          <w:szCs w:val="20"/>
        </w:rPr>
        <w:t>除特别注明外，金额单位为人民币千元</w:t>
      </w:r>
      <w:r>
        <w:rPr>
          <w:color w:val="000000"/>
          <w:spacing w:val="0"/>
          <w:w w:val="100"/>
          <w:position w:val="0"/>
          <w:sz w:val="24"/>
          <w:szCs w:val="24"/>
        </w:rPr>
        <w:t>)</w:t>
      </w:r>
    </w:p>
    <w:p>
      <w:pPr>
        <w:pStyle w:val="Style32"/>
        <w:keepNext w:val="0"/>
        <w:keepLines w:val="0"/>
        <w:widowControl w:val="0"/>
        <w:pBdr>
          <w:top w:val="single" w:sz="0" w:space="0" w:color="FEFF99"/>
          <w:left w:val="single" w:sz="0" w:space="0" w:color="FEFF99"/>
          <w:bottom w:val="single" w:sz="0" w:space="3" w:color="FEFF99"/>
          <w:right w:val="single" w:sz="0" w:space="0" w:color="FEFF99"/>
        </w:pBdr>
        <w:shd w:val="clear" w:color="auto" w:fill="FEFF99"/>
        <w:bidi w:val="0"/>
        <w:spacing w:before="0" w:after="202" w:line="240" w:lineRule="auto"/>
        <w:ind w:left="0" w:right="0" w:firstLine="0"/>
        <w:jc w:val="left"/>
        <w:rPr>
          <w:sz w:val="24"/>
          <w:szCs w:val="24"/>
        </w:rPr>
      </w:pPr>
      <w:r>
        <w:rPr>
          <w:b/>
          <w:bCs/>
          <w:color w:val="000000"/>
          <w:spacing w:val="0"/>
          <w:w w:val="100"/>
          <w:position w:val="0"/>
          <w:sz w:val="24"/>
          <w:szCs w:val="24"/>
        </w:rPr>
        <w:t>十七公司财务报表附注</w:t>
      </w:r>
      <w:r>
        <w:rPr>
          <w:rFonts w:ascii="Times New Roman" w:eastAsia="Times New Roman" w:hAnsi="Times New Roman" w:cs="Times New Roman"/>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4"/>
          <w:szCs w:val="24"/>
        </w:rPr>
        <w:t>)</w:t>
      </w:r>
    </w:p>
    <w:p>
      <w:pPr>
        <w:pStyle w:val="Style53"/>
        <w:keepNext w:val="0"/>
        <w:keepLines w:val="0"/>
        <w:widowControl w:val="0"/>
        <w:pBdr>
          <w:top w:val="single" w:sz="0" w:space="0" w:color="FEFF99"/>
          <w:left w:val="single" w:sz="0" w:space="0" w:color="FEFF99"/>
          <w:bottom w:val="single" w:sz="0" w:space="4" w:color="FEFF99"/>
          <w:right w:val="single" w:sz="0" w:space="0" w:color="FEFF99"/>
        </w:pBdr>
        <w:shd w:val="clear" w:color="auto" w:fill="FEFF99"/>
        <w:tabs>
          <w:tab w:pos="701" w:val="left"/>
        </w:tabs>
        <w:bidi w:val="0"/>
        <w:spacing w:before="0" w:after="188" w:line="240" w:lineRule="auto"/>
        <w:ind w:left="0" w:right="0" w:firstLine="0"/>
        <w:jc w:val="left"/>
        <w:rPr>
          <w:sz w:val="24"/>
          <w:szCs w:val="24"/>
        </w:rPr>
      </w:pPr>
      <w:r>
        <w:rPr>
          <w:color w:val="000000"/>
          <w:spacing w:val="0"/>
          <w:w w:val="100"/>
          <w:position w:val="0"/>
          <w:sz w:val="24"/>
          <w:szCs w:val="24"/>
        </w:rPr>
        <w:t>(2)</w:t>
        <w:tab/>
      </w:r>
      <w:r>
        <w:rPr>
          <w:rFonts w:ascii="SimSun" w:eastAsia="SimSun" w:hAnsi="SimSun" w:cs="SimSun"/>
          <w:b/>
          <w:bCs/>
          <w:color w:val="000000"/>
          <w:spacing w:val="0"/>
          <w:w w:val="100"/>
          <w:position w:val="0"/>
          <w:sz w:val="24"/>
          <w:szCs w:val="24"/>
        </w:rPr>
        <w:t>其他应收款</w:t>
      </w:r>
      <w:r>
        <w:rPr>
          <w:color w:val="000000"/>
          <w:spacing w:val="0"/>
          <w:w w:val="100"/>
          <w:position w:val="0"/>
          <w:sz w:val="24"/>
          <w:szCs w:val="24"/>
        </w:rPr>
        <w:t>(</w:t>
      </w:r>
      <w:r>
        <w:rPr>
          <w:rFonts w:ascii="SimSun" w:eastAsia="SimSun" w:hAnsi="SimSun" w:cs="SimSun"/>
          <w:b/>
          <w:bCs/>
          <w:color w:val="000000"/>
          <w:spacing w:val="0"/>
          <w:w w:val="100"/>
          <w:position w:val="0"/>
          <w:sz w:val="24"/>
          <w:szCs w:val="24"/>
        </w:rPr>
        <w:t>续</w:t>
      </w:r>
      <w:r>
        <w:rPr>
          <w:rFonts w:ascii="SimSun" w:eastAsia="SimSun" w:hAnsi="SimSun" w:cs="SimSun"/>
          <w:color w:val="000000"/>
          <w:spacing w:val="0"/>
          <w:w w:val="100"/>
          <w:position w:val="0"/>
          <w:sz w:val="24"/>
          <w:szCs w:val="24"/>
        </w:rPr>
        <w:t>)</w:t>
      </w:r>
    </w:p>
    <w:p>
      <w:pPr>
        <w:pStyle w:val="Style32"/>
        <w:keepNext w:val="0"/>
        <w:keepLines w:val="0"/>
        <w:widowControl w:val="0"/>
        <w:numPr>
          <w:ilvl w:val="0"/>
          <w:numId w:val="101"/>
        </w:numPr>
        <w:pBdr>
          <w:top w:val="single" w:sz="0" w:space="0" w:color="FEFF99"/>
          <w:left w:val="single" w:sz="0" w:space="0" w:color="FEFF99"/>
          <w:bottom w:val="single" w:sz="0" w:space="3" w:color="FEFF99"/>
          <w:right w:val="single" w:sz="0" w:space="0" w:color="FEFF99"/>
        </w:pBdr>
        <w:shd w:val="clear" w:color="auto" w:fill="FEFF99"/>
        <w:tabs>
          <w:tab w:pos="701" w:val="left"/>
        </w:tabs>
        <w:bidi w:val="0"/>
        <w:spacing w:before="0" w:after="193" w:line="240" w:lineRule="auto"/>
        <w:ind w:left="0" w:right="0" w:firstLine="0"/>
        <w:jc w:val="left"/>
        <w:rPr>
          <w:sz w:val="24"/>
          <w:szCs w:val="24"/>
        </w:rPr>
      </w:pPr>
      <w:bookmarkStart w:id="1196" w:name="bookmark1196"/>
      <w:bookmarkEnd w:id="1196"/>
      <w:r>
        <w:rPr>
          <w:color w:val="000000"/>
          <w:spacing w:val="0"/>
          <w:w w:val="100"/>
          <w:position w:val="0"/>
          <w:sz w:val="24"/>
          <w:szCs w:val="24"/>
        </w:rPr>
        <w:t>本年度实际核销的其他应收款为人民币</w:t>
      </w:r>
      <w:r>
        <w:rPr>
          <w:rFonts w:ascii="Times New Roman" w:eastAsia="Times New Roman" w:hAnsi="Times New Roman" w:cs="Times New Roman"/>
          <w:color w:val="000000"/>
          <w:spacing w:val="0"/>
          <w:w w:val="100"/>
          <w:position w:val="0"/>
          <w:sz w:val="24"/>
          <w:szCs w:val="24"/>
        </w:rPr>
        <w:t>268</w:t>
      </w:r>
      <w:r>
        <w:rPr>
          <w:color w:val="000000"/>
          <w:spacing w:val="0"/>
          <w:w w:val="100"/>
          <w:position w:val="0"/>
          <w:sz w:val="24"/>
          <w:szCs w:val="24"/>
        </w:rPr>
        <w:t>万元，无重大的其他应收款核销。</w:t>
      </w:r>
    </w:p>
    <w:p>
      <w:pPr>
        <w:pStyle w:val="Style32"/>
        <w:keepNext w:val="0"/>
        <w:keepLines w:val="0"/>
        <w:widowControl w:val="0"/>
        <w:numPr>
          <w:ilvl w:val="0"/>
          <w:numId w:val="101"/>
        </w:numPr>
        <w:shd w:val="clear" w:color="auto" w:fill="auto"/>
        <w:tabs>
          <w:tab w:pos="701" w:val="left"/>
        </w:tabs>
        <w:bidi w:val="0"/>
        <w:spacing w:before="0" w:after="260" w:line="240" w:lineRule="auto"/>
        <w:ind w:left="0" w:right="0" w:firstLine="0"/>
        <w:jc w:val="left"/>
        <w:rPr>
          <w:sz w:val="24"/>
          <w:szCs w:val="24"/>
        </w:rPr>
      </w:pPr>
      <w:bookmarkStart w:id="1197" w:name="bookmark1197"/>
      <w:bookmarkEnd w:id="1197"/>
      <w:r>
        <w:rPr>
          <w:color w:val="000000"/>
          <w:spacing w:val="0"/>
          <w:w w:val="100"/>
          <w:position w:val="0"/>
          <w:sz w:val="24"/>
          <w:szCs w:val="24"/>
        </w:rPr>
        <w:t>于</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日，按欠款方归集的余额前五名的其他应收款分析如下：</w:t>
      </w:r>
    </w:p>
    <w:tbl>
      <w:tblPr>
        <w:tblOverlap w:val="never"/>
        <w:jc w:val="center"/>
        <w:tblLayout w:type="fixed"/>
      </w:tblPr>
      <w:tblGrid>
        <w:gridCol w:w="3451"/>
        <w:gridCol w:w="6043"/>
      </w:tblGrid>
      <w:tr>
        <w:trPr>
          <w:trHeight w:val="624"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left"/>
              <w:rPr>
                <w:sz w:val="20"/>
                <w:szCs w:val="20"/>
              </w:rPr>
            </w:pPr>
            <w:r>
              <w:rPr>
                <w:color w:val="000000"/>
                <w:spacing w:val="0"/>
                <w:w w:val="100"/>
                <w:position w:val="0"/>
                <w:sz w:val="20"/>
                <w:szCs w:val="20"/>
              </w:rPr>
              <w:t>公司名称</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3780" w:right="0" w:firstLine="0"/>
              <w:jc w:val="left"/>
              <w:rPr>
                <w:sz w:val="20"/>
                <w:szCs w:val="20"/>
              </w:rPr>
            </w:pPr>
            <w:r>
              <w:rPr>
                <w:color w:val="000000"/>
                <w:spacing w:val="0"/>
                <w:w w:val="100"/>
                <w:position w:val="0"/>
                <w:sz w:val="20"/>
                <w:szCs w:val="20"/>
              </w:rPr>
              <w:t>占其他应收款</w:t>
            </w:r>
          </w:p>
          <w:p>
            <w:pPr>
              <w:pStyle w:val="Style28"/>
              <w:keepNext w:val="0"/>
              <w:keepLines w:val="0"/>
              <w:widowControl w:val="0"/>
              <w:shd w:val="clear" w:color="auto" w:fill="auto"/>
              <w:tabs>
                <w:tab w:pos="1219" w:val="left"/>
                <w:tab w:pos="2261" w:val="left"/>
              </w:tabs>
              <w:bidi w:val="0"/>
              <w:spacing w:before="0" w:after="0" w:line="240" w:lineRule="auto"/>
              <w:ind w:left="0" w:right="0" w:firstLine="0"/>
              <w:jc w:val="right"/>
              <w:rPr>
                <w:sz w:val="20"/>
                <w:szCs w:val="20"/>
              </w:rPr>
            </w:pPr>
            <w:r>
              <w:rPr>
                <w:color w:val="000000"/>
                <w:spacing w:val="0"/>
                <w:w w:val="100"/>
                <w:position w:val="0"/>
                <w:sz w:val="20"/>
                <w:szCs w:val="20"/>
              </w:rPr>
              <w:t>性质</w:t>
              <w:tab/>
              <w:t>余额</w:t>
              <w:tab/>
              <w:t>账龄余额总额比例坏账准备</w:t>
            </w:r>
          </w:p>
        </w:tc>
      </w:tr>
      <w:tr>
        <w:trPr>
          <w:trHeight w:val="1795" w:hRule="exact"/>
        </w:trPr>
        <w:tc>
          <w:tcPr>
            <w:tcBorders/>
            <w:shd w:val="clear" w:color="auto" w:fill="FFFFFF"/>
            <w:vAlign w:val="top"/>
          </w:tcPr>
          <w:p>
            <w:pPr>
              <w:pStyle w:val="Style28"/>
              <w:keepNext w:val="0"/>
              <w:keepLines w:val="0"/>
              <w:widowControl w:val="0"/>
              <w:shd w:val="clear" w:color="auto" w:fill="auto"/>
              <w:bidi w:val="0"/>
              <w:spacing w:before="80" w:after="0" w:line="260" w:lineRule="exact"/>
              <w:ind w:left="720" w:right="0" w:firstLine="20"/>
              <w:jc w:val="both"/>
              <w:rPr>
                <w:sz w:val="20"/>
                <w:szCs w:val="20"/>
              </w:rPr>
            </w:pPr>
            <w:r>
              <w:rPr>
                <w:color w:val="000000"/>
                <w:spacing w:val="0"/>
                <w:w w:val="100"/>
                <w:position w:val="0"/>
                <w:sz w:val="20"/>
                <w:szCs w:val="20"/>
              </w:rPr>
              <w:t>苏宁商业保理有限公司 中国光大银行股份有限公司 杭州苏宁云商物流有限公司 南京鼎邦网络科技有限公司 南京苏宁软件技术有限公司</w:t>
            </w:r>
          </w:p>
        </w:tc>
        <w:tc>
          <w:tcPr>
            <w:tcBorders/>
            <w:shd w:val="clear" w:color="auto" w:fill="FFFFFF"/>
            <w:vAlign w:val="center"/>
          </w:tcPr>
          <w:p>
            <w:pPr>
              <w:pStyle w:val="Style28"/>
              <w:keepNext w:val="0"/>
              <w:keepLines w:val="0"/>
              <w:widowControl w:val="0"/>
              <w:shd w:val="clear" w:color="auto" w:fill="auto"/>
              <w:tabs>
                <w:tab w:pos="2601" w:val="right"/>
                <w:tab w:pos="3633" w:val="right"/>
                <w:tab w:pos="5010" w:val="right"/>
                <w:tab w:pos="5937" w:val="right"/>
              </w:tabs>
              <w:bidi w:val="0"/>
              <w:spacing w:before="0" w:after="0" w:line="240" w:lineRule="auto"/>
              <w:ind w:left="0" w:right="0" w:firstLine="340"/>
              <w:jc w:val="both"/>
              <w:rPr>
                <w:sz w:val="20"/>
                <w:szCs w:val="20"/>
              </w:rPr>
            </w:pPr>
            <w:r>
              <w:rPr>
                <w:color w:val="000000"/>
                <w:spacing w:val="0"/>
                <w:w w:val="100"/>
                <w:position w:val="0"/>
                <w:sz w:val="20"/>
                <w:szCs w:val="20"/>
              </w:rPr>
              <w:t>集团内往来</w:t>
              <w:tab/>
            </w:r>
            <w:r>
              <w:rPr>
                <w:rFonts w:ascii="Times New Roman" w:eastAsia="Times New Roman" w:hAnsi="Times New Roman" w:cs="Times New Roman"/>
                <w:color w:val="000000"/>
                <w:spacing w:val="0"/>
                <w:w w:val="100"/>
                <w:position w:val="0"/>
                <w:sz w:val="20"/>
                <w:szCs w:val="20"/>
              </w:rPr>
              <w:t>2,268,152</w:t>
              <w:tab/>
            </w:r>
            <w:r>
              <w:rPr>
                <w:color w:val="000000"/>
                <w:spacing w:val="0"/>
                <w:w w:val="100"/>
                <w:position w:val="0"/>
                <w:sz w:val="20"/>
                <w:szCs w:val="20"/>
              </w:rPr>
              <w:t>—年以内</w:t>
              <w:tab/>
            </w:r>
            <w:r>
              <w:rPr>
                <w:rFonts w:ascii="Times New Roman" w:eastAsia="Times New Roman" w:hAnsi="Times New Roman" w:cs="Times New Roman"/>
                <w:color w:val="000000"/>
                <w:spacing w:val="0"/>
                <w:w w:val="100"/>
                <w:position w:val="0"/>
                <w:sz w:val="20"/>
                <w:szCs w:val="20"/>
              </w:rPr>
              <w:t>23%</w:t>
              <w:tab/>
              <w:t>-</w:t>
            </w:r>
          </w:p>
          <w:p>
            <w:pPr>
              <w:pStyle w:val="Style28"/>
              <w:keepNext w:val="0"/>
              <w:keepLines w:val="0"/>
              <w:widowControl w:val="0"/>
              <w:shd w:val="clear" w:color="auto" w:fill="auto"/>
              <w:tabs>
                <w:tab w:pos="2064" w:val="right"/>
                <w:tab w:pos="3096" w:val="right"/>
                <w:tab w:pos="4474" w:val="right"/>
                <w:tab w:pos="5386" w:val="right"/>
              </w:tabs>
              <w:bidi w:val="0"/>
              <w:spacing w:before="0" w:after="0" w:line="240" w:lineRule="auto"/>
              <w:ind w:left="0" w:right="0" w:firstLine="0"/>
              <w:jc w:val="right"/>
              <w:rPr>
                <w:sz w:val="20"/>
                <w:szCs w:val="20"/>
              </w:rPr>
            </w:pPr>
            <w:r>
              <w:rPr>
                <w:color w:val="000000"/>
                <w:spacing w:val="0"/>
                <w:w w:val="100"/>
                <w:position w:val="0"/>
                <w:sz w:val="20"/>
                <w:szCs w:val="20"/>
              </w:rPr>
              <w:t>理财产品</w:t>
              <w:tab/>
            </w:r>
            <w:r>
              <w:rPr>
                <w:rFonts w:ascii="Times New Roman" w:eastAsia="Times New Roman" w:hAnsi="Times New Roman" w:cs="Times New Roman"/>
                <w:color w:val="000000"/>
                <w:spacing w:val="0"/>
                <w:w w:val="100"/>
                <w:position w:val="0"/>
                <w:sz w:val="20"/>
                <w:szCs w:val="20"/>
              </w:rPr>
              <w:t>2,150,000</w:t>
              <w:tab/>
            </w:r>
            <w:r>
              <w:rPr>
                <w:color w:val="000000"/>
                <w:spacing w:val="0"/>
                <w:w w:val="100"/>
                <w:position w:val="0"/>
                <w:sz w:val="20"/>
                <w:szCs w:val="20"/>
              </w:rPr>
              <w:t>—年以内</w:t>
              <w:tab/>
            </w:r>
            <w:r>
              <w:rPr>
                <w:rFonts w:ascii="Times New Roman" w:eastAsia="Times New Roman" w:hAnsi="Times New Roman" w:cs="Times New Roman"/>
                <w:color w:val="000000"/>
                <w:spacing w:val="0"/>
                <w:w w:val="100"/>
                <w:position w:val="0"/>
                <w:sz w:val="20"/>
                <w:szCs w:val="20"/>
              </w:rPr>
              <w:t>21%</w:t>
              <w:tab/>
              <w:t>-</w:t>
            </w:r>
          </w:p>
          <w:p>
            <w:pPr>
              <w:pStyle w:val="Style28"/>
              <w:keepNext w:val="0"/>
              <w:keepLines w:val="0"/>
              <w:widowControl w:val="0"/>
              <w:shd w:val="clear" w:color="auto" w:fill="auto"/>
              <w:tabs>
                <w:tab w:pos="2601" w:val="right"/>
                <w:tab w:pos="3633" w:val="right"/>
                <w:tab w:pos="5010" w:val="right"/>
                <w:tab w:pos="5922" w:val="right"/>
              </w:tabs>
              <w:bidi w:val="0"/>
              <w:spacing w:before="0" w:after="0" w:line="240" w:lineRule="auto"/>
              <w:ind w:left="0" w:right="0" w:firstLine="340"/>
              <w:jc w:val="both"/>
              <w:rPr>
                <w:sz w:val="20"/>
                <w:szCs w:val="20"/>
              </w:rPr>
            </w:pPr>
            <w:r>
              <w:rPr>
                <w:color w:val="000000"/>
                <w:spacing w:val="0"/>
                <w:w w:val="100"/>
                <w:position w:val="0"/>
                <w:sz w:val="20"/>
                <w:szCs w:val="20"/>
              </w:rPr>
              <w:t>集团内往来</w:t>
              <w:tab/>
            </w:r>
            <w:r>
              <w:rPr>
                <w:rFonts w:ascii="Times New Roman" w:eastAsia="Times New Roman" w:hAnsi="Times New Roman" w:cs="Times New Roman"/>
                <w:color w:val="000000"/>
                <w:spacing w:val="0"/>
                <w:w w:val="100"/>
                <w:position w:val="0"/>
                <w:sz w:val="20"/>
                <w:szCs w:val="20"/>
              </w:rPr>
              <w:t>769,576</w:t>
              <w:tab/>
            </w:r>
            <w:r>
              <w:rPr>
                <w:color w:val="000000"/>
                <w:spacing w:val="0"/>
                <w:w w:val="100"/>
                <w:position w:val="0"/>
                <w:sz w:val="20"/>
                <w:szCs w:val="20"/>
              </w:rPr>
              <w:t>一年以内</w:t>
              <w:tab/>
            </w:r>
            <w:r>
              <w:rPr>
                <w:rFonts w:ascii="Times New Roman" w:eastAsia="Times New Roman" w:hAnsi="Times New Roman" w:cs="Times New Roman"/>
                <w:color w:val="000000"/>
                <w:spacing w:val="0"/>
                <w:w w:val="100"/>
                <w:position w:val="0"/>
                <w:sz w:val="20"/>
                <w:szCs w:val="20"/>
              </w:rPr>
              <w:t>8%</w:t>
              <w:tab/>
              <w:t>-</w:t>
            </w:r>
          </w:p>
          <w:p>
            <w:pPr>
              <w:pStyle w:val="Style28"/>
              <w:keepNext w:val="0"/>
              <w:keepLines w:val="0"/>
              <w:widowControl w:val="0"/>
              <w:shd w:val="clear" w:color="auto" w:fill="auto"/>
              <w:tabs>
                <w:tab w:pos="2601" w:val="right"/>
                <w:tab w:pos="3633" w:val="right"/>
                <w:tab w:pos="5010" w:val="right"/>
                <w:tab w:pos="5922" w:val="right"/>
              </w:tabs>
              <w:bidi w:val="0"/>
              <w:spacing w:before="0" w:after="0" w:line="240" w:lineRule="auto"/>
              <w:ind w:left="0" w:right="0" w:firstLine="340"/>
              <w:jc w:val="both"/>
              <w:rPr>
                <w:sz w:val="20"/>
                <w:szCs w:val="20"/>
              </w:rPr>
            </w:pPr>
            <w:r>
              <w:rPr>
                <w:color w:val="000000"/>
                <w:spacing w:val="0"/>
                <w:w w:val="100"/>
                <w:position w:val="0"/>
                <w:sz w:val="20"/>
                <w:szCs w:val="20"/>
              </w:rPr>
              <w:t>集团内往来</w:t>
              <w:tab/>
            </w:r>
            <w:r>
              <w:rPr>
                <w:rFonts w:ascii="Times New Roman" w:eastAsia="Times New Roman" w:hAnsi="Times New Roman" w:cs="Times New Roman"/>
                <w:color w:val="000000"/>
                <w:spacing w:val="0"/>
                <w:w w:val="100"/>
                <w:position w:val="0"/>
                <w:sz w:val="20"/>
                <w:szCs w:val="20"/>
              </w:rPr>
              <w:t>676,781</w:t>
              <w:tab/>
            </w:r>
            <w:r>
              <w:rPr>
                <w:color w:val="000000"/>
                <w:spacing w:val="0"/>
                <w:w w:val="100"/>
                <w:position w:val="0"/>
                <w:sz w:val="20"/>
                <w:szCs w:val="20"/>
              </w:rPr>
              <w:t>一年以内</w:t>
              <w:tab/>
            </w:r>
            <w:r>
              <w:rPr>
                <w:rFonts w:ascii="Times New Roman" w:eastAsia="Times New Roman" w:hAnsi="Times New Roman" w:cs="Times New Roman"/>
                <w:color w:val="000000"/>
                <w:spacing w:val="0"/>
                <w:w w:val="100"/>
                <w:position w:val="0"/>
                <w:sz w:val="20"/>
                <w:szCs w:val="20"/>
              </w:rPr>
              <w:t>7%</w:t>
              <w:tab/>
              <w:t>-</w:t>
            </w:r>
          </w:p>
          <w:p>
            <w:pPr>
              <w:pStyle w:val="Style28"/>
              <w:keepNext w:val="0"/>
              <w:keepLines w:val="0"/>
              <w:widowControl w:val="0"/>
              <w:shd w:val="clear" w:color="auto" w:fill="auto"/>
              <w:tabs>
                <w:tab w:pos="2601" w:val="right"/>
                <w:tab w:pos="3633" w:val="right"/>
                <w:tab w:leader="underscore" w:pos="5010" w:val="right"/>
                <w:tab w:pos="5922" w:val="right"/>
              </w:tabs>
              <w:bidi w:val="0"/>
              <w:spacing w:before="0" w:after="0" w:line="240" w:lineRule="auto"/>
              <w:ind w:left="0" w:right="0" w:firstLine="340"/>
              <w:jc w:val="both"/>
              <w:rPr>
                <w:sz w:val="20"/>
                <w:szCs w:val="20"/>
              </w:rPr>
            </w:pPr>
            <w:r>
              <w:rPr>
                <w:color w:val="000000"/>
                <w:spacing w:val="0"/>
                <w:w w:val="100"/>
                <w:position w:val="0"/>
                <w:sz w:val="20"/>
                <w:szCs w:val="20"/>
              </w:rPr>
              <w:t>集团内往来</w:t>
              <w:tab/>
            </w:r>
            <w:r>
              <w:rPr>
                <w:rFonts w:ascii="Times New Roman" w:eastAsia="Times New Roman" w:hAnsi="Times New Roman" w:cs="Times New Roman"/>
                <w:color w:val="000000"/>
                <w:spacing w:val="0"/>
                <w:w w:val="100"/>
                <w:position w:val="0"/>
                <w:sz w:val="20"/>
                <w:szCs w:val="20"/>
                <w:u w:val="single"/>
              </w:rPr>
              <w:t>638,464</w:t>
            </w:r>
            <w:r>
              <w:rPr>
                <w:rFonts w:ascii="Times New Roman" w:eastAsia="Times New Roman" w:hAnsi="Times New Roman" w:cs="Times New Roman"/>
                <w:color w:val="000000"/>
                <w:spacing w:val="0"/>
                <w:w w:val="100"/>
                <w:position w:val="0"/>
                <w:sz w:val="20"/>
                <w:szCs w:val="20"/>
              </w:rPr>
              <w:tab/>
            </w:r>
            <w:r>
              <w:rPr>
                <w:color w:val="000000"/>
                <w:spacing w:val="0"/>
                <w:w w:val="100"/>
                <w:position w:val="0"/>
                <w:sz w:val="20"/>
                <w:szCs w:val="20"/>
              </w:rPr>
              <w:t>_年以内</w:t>
              <w:tab/>
            </w:r>
            <w:r>
              <w:rPr>
                <w:rFonts w:ascii="Times New Roman" w:eastAsia="Times New Roman" w:hAnsi="Times New Roman" w:cs="Times New Roman"/>
                <w:color w:val="000000"/>
                <w:spacing w:val="0"/>
                <w:w w:val="100"/>
                <w:position w:val="0"/>
                <w:sz w:val="20"/>
                <w:szCs w:val="20"/>
                <w:u w:val="single"/>
              </w:rPr>
              <w:t>6%</w:t>
              <w:tab/>
              <w:t>-</w:t>
            </w:r>
          </w:p>
          <w:p>
            <w:pPr>
              <w:pStyle w:val="Style28"/>
              <w:keepNext w:val="0"/>
              <w:keepLines w:val="0"/>
              <w:widowControl w:val="0"/>
              <w:shd w:val="clear" w:color="auto" w:fill="auto"/>
              <w:tabs>
                <w:tab w:pos="3606" w:val="left"/>
                <w:tab w:leader="underscore" w:pos="4576" w:val="left"/>
                <w:tab w:pos="5829" w:val="left"/>
              </w:tabs>
              <w:bidi w:val="0"/>
              <w:spacing w:before="0" w:after="0" w:line="240" w:lineRule="auto"/>
              <w:ind w:left="1720" w:right="0" w:firstLine="0"/>
              <w:jc w:val="both"/>
              <w:rPr>
                <w:sz w:val="20"/>
                <w:szCs w:val="20"/>
              </w:rPr>
            </w:pPr>
            <w:r>
              <w:rPr>
                <w:rFonts w:ascii="Times New Roman" w:eastAsia="Times New Roman" w:hAnsi="Times New Roman" w:cs="Times New Roman"/>
                <w:color w:val="000000"/>
                <w:spacing w:val="0"/>
                <w:w w:val="100"/>
                <w:position w:val="0"/>
                <w:sz w:val="20"/>
                <w:szCs w:val="20"/>
                <w:u w:val="single"/>
              </w:rPr>
              <w:t>6,502,973</w:t>
            </w:r>
            <w:r>
              <w:rPr>
                <w:rFonts w:ascii="Times New Roman" w:eastAsia="Times New Roman" w:hAnsi="Times New Roman" w:cs="Times New Roman"/>
                <w:color w:val="000000"/>
                <w:spacing w:val="0"/>
                <w:w w:val="100"/>
                <w:position w:val="0"/>
                <w:sz w:val="20"/>
                <w:szCs w:val="20"/>
              </w:rPr>
              <w:tab/>
              <w:tab/>
            </w:r>
            <w:r>
              <w:rPr>
                <w:rFonts w:ascii="Times New Roman" w:eastAsia="Times New Roman" w:hAnsi="Times New Roman" w:cs="Times New Roman"/>
                <w:color w:val="000000"/>
                <w:spacing w:val="0"/>
                <w:w w:val="100"/>
                <w:position w:val="0"/>
                <w:sz w:val="20"/>
                <w:szCs w:val="20"/>
                <w:u w:val="single"/>
              </w:rPr>
              <w:t>65%</w:t>
              <w:tab/>
              <w:t>-</w:t>
            </w:r>
          </w:p>
        </w:tc>
      </w:tr>
      <w:tr>
        <w:trPr>
          <w:trHeight w:val="1157" w:hRule="exact"/>
        </w:trPr>
        <w:tc>
          <w:tcPr>
            <w:tcBorders/>
            <w:shd w:val="clear" w:color="auto" w:fill="FFFFFF"/>
            <w:vAlign w:val="top"/>
          </w:tcPr>
          <w:p>
            <w:pPr>
              <w:pStyle w:val="Style28"/>
              <w:keepNext w:val="0"/>
              <w:keepLines w:val="0"/>
              <w:widowControl w:val="0"/>
              <w:shd w:val="clear" w:color="auto" w:fill="auto"/>
              <w:tabs>
                <w:tab w:pos="677" w:val="left"/>
              </w:tabs>
              <w:bidi w:val="0"/>
              <w:spacing w:before="8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(3)</w:t>
              <w:tab/>
            </w:r>
            <w:r>
              <w:rPr>
                <w:b/>
                <w:bCs/>
                <w:color w:val="000000"/>
                <w:spacing w:val="0"/>
                <w:w w:val="100"/>
                <w:position w:val="0"/>
                <w:sz w:val="24"/>
                <w:szCs w:val="24"/>
              </w:rPr>
              <w:t>长期股权投资</w:t>
            </w:r>
          </w:p>
        </w:tc>
        <w:tc>
          <w:tcPr>
            <w:tcBorders/>
            <w:shd w:val="clear" w:color="auto" w:fill="FFFFFF"/>
            <w:vAlign w:val="bottom"/>
          </w:tcPr>
          <w:p>
            <w:pPr>
              <w:pStyle w:val="Style28"/>
              <w:keepNext w:val="0"/>
              <w:keepLines w:val="0"/>
              <w:widowControl w:val="0"/>
              <w:shd w:val="clear" w:color="auto" w:fill="auto"/>
              <w:tabs>
                <w:tab w:pos="3134" w:val="left"/>
              </w:tabs>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w:t>
              <w:tab/>
            </w:r>
            <w:r>
              <w:rPr>
                <w:rFonts w:ascii="Times New Roman" w:eastAsia="Times New Roman" w:hAnsi="Times New Roman" w:cs="Times New Roman"/>
                <w:color w:val="000000"/>
                <w:spacing w:val="0"/>
                <w:w w:val="100"/>
                <w:position w:val="0"/>
                <w:sz w:val="24"/>
                <w:szCs w:val="24"/>
              </w:rPr>
              <w:t>2015</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w:t>
            </w:r>
          </w:p>
        </w:tc>
      </w:tr>
      <w:tr>
        <w:trPr>
          <w:trHeight w:val="1373" w:hRule="exact"/>
        </w:trPr>
        <w:tc>
          <w:tcPr>
            <w:tcBorders/>
            <w:shd w:val="clear" w:color="auto" w:fill="FFFFFF"/>
            <w:vAlign w:val="center"/>
          </w:tcPr>
          <w:p>
            <w:pPr>
              <w:pStyle w:val="Style28"/>
              <w:keepNext w:val="0"/>
              <w:keepLines w:val="0"/>
              <w:widowControl w:val="0"/>
              <w:shd w:val="clear" w:color="auto" w:fill="auto"/>
              <w:bidi w:val="0"/>
              <w:spacing w:before="0" w:after="0" w:line="312" w:lineRule="exact"/>
              <w:ind w:left="720" w:right="0" w:firstLine="20"/>
              <w:jc w:val="left"/>
              <w:rPr>
                <w:sz w:val="24"/>
                <w:szCs w:val="24"/>
              </w:rPr>
            </w:pPr>
            <w:r>
              <w:rPr>
                <w:color w:val="000000"/>
                <w:spacing w:val="0"/>
                <w:w w:val="100"/>
                <w:position w:val="0"/>
                <w:sz w:val="24"/>
                <w:szCs w:val="24"/>
              </w:rPr>
              <w:t>子公司</w:t>
            </w:r>
            <w:r>
              <w:rPr>
                <w:rFonts w:ascii="Times New Roman" w:eastAsia="Times New Roman" w:hAnsi="Times New Roman" w:cs="Times New Roman"/>
                <w:color w:val="000000"/>
                <w:spacing w:val="0"/>
                <w:w w:val="100"/>
                <w:position w:val="0"/>
                <w:sz w:val="24"/>
                <w:szCs w:val="24"/>
              </w:rPr>
              <w:t xml:space="preserve">(a) </w:t>
            </w:r>
            <w:r>
              <w:rPr>
                <w:color w:val="000000"/>
                <w:spacing w:val="0"/>
                <w:w w:val="100"/>
                <w:position w:val="0"/>
                <w:sz w:val="24"/>
                <w:szCs w:val="24"/>
              </w:rPr>
              <w:t>合营企业</w:t>
            </w:r>
            <w:r>
              <w:rPr>
                <w:rFonts w:ascii="Times New Roman" w:eastAsia="Times New Roman" w:hAnsi="Times New Roman" w:cs="Times New Roman"/>
                <w:color w:val="000000"/>
                <w:spacing w:val="0"/>
                <w:w w:val="100"/>
                <w:position w:val="0"/>
                <w:sz w:val="24"/>
                <w:szCs w:val="24"/>
              </w:rPr>
              <w:t xml:space="preserve">(b) </w:t>
            </w:r>
            <w:r>
              <w:rPr>
                <w:color w:val="000000"/>
                <w:spacing w:val="0"/>
                <w:w w:val="100"/>
                <w:position w:val="0"/>
                <w:sz w:val="24"/>
                <w:szCs w:val="24"/>
              </w:rPr>
              <w:t>联营企业</w:t>
            </w:r>
            <w:r>
              <w:rPr>
                <w:rFonts w:ascii="Times New Roman" w:eastAsia="Times New Roman" w:hAnsi="Times New Roman" w:cs="Times New Roman"/>
                <w:color w:val="000000"/>
                <w:spacing w:val="0"/>
                <w:w w:val="100"/>
                <w:position w:val="0"/>
                <w:sz w:val="24"/>
                <w:szCs w:val="24"/>
              </w:rPr>
              <w:t>(c)</w:t>
            </w:r>
          </w:p>
        </w:tc>
        <w:tc>
          <w:tcPr>
            <w:tcBorders>
              <w:bottom w:val="single" w:sz="4"/>
            </w:tcBorders>
            <w:shd w:val="clear" w:color="auto" w:fill="FFFFFF"/>
            <w:vAlign w:val="bottom"/>
          </w:tcPr>
          <w:p>
            <w:pPr>
              <w:pStyle w:val="Style28"/>
              <w:keepNext w:val="0"/>
              <w:keepLines w:val="0"/>
              <w:widowControl w:val="0"/>
              <w:shd w:val="clear" w:color="auto" w:fill="auto"/>
              <w:tabs>
                <w:tab w:pos="5906" w:val="right"/>
              </w:tabs>
              <w:bidi w:val="0"/>
              <w:spacing w:before="0" w:after="0" w:line="240" w:lineRule="auto"/>
              <w:ind w:left="1720" w:right="0" w:firstLine="0"/>
              <w:jc w:val="both"/>
              <w:rPr>
                <w:sz w:val="24"/>
                <w:szCs w:val="24"/>
              </w:rPr>
            </w:pPr>
            <w:r>
              <w:rPr>
                <w:rFonts w:ascii="Times New Roman" w:eastAsia="Times New Roman" w:hAnsi="Times New Roman" w:cs="Times New Roman"/>
                <w:color w:val="000000"/>
                <w:spacing w:val="0"/>
                <w:w w:val="100"/>
                <w:position w:val="0"/>
                <w:sz w:val="24"/>
                <w:szCs w:val="24"/>
              </w:rPr>
              <w:t>29,885,635</w:t>
              <w:tab/>
              <w:t>15,084,571</w:t>
            </w:r>
          </w:p>
          <w:p>
            <w:pPr>
              <w:pStyle w:val="Style28"/>
              <w:keepNext w:val="0"/>
              <w:keepLines w:val="0"/>
              <w:widowControl w:val="0"/>
              <w:shd w:val="clear" w:color="auto" w:fill="auto"/>
              <w:tabs>
                <w:tab w:pos="3782" w:val="right"/>
              </w:tabs>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25,483</w:t>
              <w:tab/>
              <w:t>19,829</w:t>
            </w:r>
          </w:p>
          <w:p>
            <w:pPr>
              <w:pStyle w:val="Style28"/>
              <w:keepNext w:val="0"/>
              <w:keepLines w:val="0"/>
              <w:widowControl w:val="0"/>
              <w:shd w:val="clear" w:color="auto" w:fill="auto"/>
              <w:tabs>
                <w:tab w:leader="underscore" w:pos="1440" w:val="left"/>
                <w:tab w:leader="underscore" w:pos="4598" w:val="left"/>
              </w:tabs>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u w:val="single"/>
              </w:rPr>
              <w:t>208,201</w:t>
            </w:r>
            <w:r>
              <w:rPr>
                <w:rFonts w:ascii="Times New Roman" w:eastAsia="Times New Roman" w:hAnsi="Times New Roman" w:cs="Times New Roman"/>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u w:val="single"/>
              </w:rPr>
              <w:t>162,101</w:t>
            </w:r>
          </w:p>
          <w:p>
            <w:pPr>
              <w:pStyle w:val="Style28"/>
              <w:keepNext w:val="0"/>
              <w:keepLines w:val="0"/>
              <w:widowControl w:val="0"/>
              <w:shd w:val="clear" w:color="auto" w:fill="auto"/>
              <w:tabs>
                <w:tab w:pos="5901" w:val="right"/>
              </w:tabs>
              <w:bidi w:val="0"/>
              <w:spacing w:before="0" w:after="0" w:line="240" w:lineRule="auto"/>
              <w:ind w:left="1720" w:right="0" w:firstLine="0"/>
              <w:jc w:val="both"/>
              <w:rPr>
                <w:sz w:val="24"/>
                <w:szCs w:val="24"/>
              </w:rPr>
            </w:pPr>
            <w:r>
              <w:rPr>
                <w:rFonts w:ascii="Times New Roman" w:eastAsia="Times New Roman" w:hAnsi="Times New Roman" w:cs="Times New Roman"/>
                <w:color w:val="000000"/>
                <w:spacing w:val="0"/>
                <w:w w:val="100"/>
                <w:position w:val="0"/>
                <w:sz w:val="24"/>
                <w:szCs w:val="24"/>
              </w:rPr>
              <w:t>30,119,319</w:t>
              <w:tab/>
              <w:t>15,266,501</w:t>
            </w:r>
          </w:p>
        </w:tc>
      </w:tr>
    </w:tbl>
    <w:p>
      <w:pPr>
        <w:sectPr>
          <w:footnotePr>
            <w:pos w:val="pageBottom"/>
            <w:numFmt w:val="decimal"/>
            <w:numRestart w:val="continuous"/>
          </w:footnotePr>
          <w:pgSz w:w="11900" w:h="16840"/>
          <w:pgMar w:top="1326" w:right="708" w:bottom="1326" w:left="1698" w:header="0" w:footer="3" w:gutter="0"/>
          <w:cols w:space="720"/>
          <w:noEndnote/>
          <w:rtlGutter w:val="0"/>
          <w:docGrid w:linePitch="360"/>
        </w:sectPr>
      </w:pPr>
    </w:p>
    <w:p>
      <w:pPr>
        <w:pStyle w:val="Style32"/>
        <w:keepNext w:val="0"/>
        <w:keepLines w:val="0"/>
        <w:widowControl w:val="0"/>
        <w:shd w:val="clear" w:color="auto" w:fill="auto"/>
        <w:bidi w:val="0"/>
        <w:spacing w:before="0" w:after="0" w:line="288" w:lineRule="exact"/>
        <w:ind w:left="620" w:right="0" w:firstLine="20"/>
        <w:jc w:val="left"/>
        <w:rPr>
          <w:sz w:val="24"/>
          <w:szCs w:val="24"/>
        </w:rPr>
      </w:pPr>
      <w:r>
        <w:rPr>
          <w:b/>
          <w:bCs/>
          <w:color w:val="000000"/>
          <w:spacing w:val="0"/>
          <w:w w:val="100"/>
          <w:position w:val="0"/>
          <w:sz w:val="24"/>
          <w:szCs w:val="24"/>
        </w:rPr>
        <w:t xml:space="preserve">财务报表附注 </w:t>
      </w:r>
      <w:r>
        <w:rPr>
          <w:rFonts w:ascii="Arial" w:eastAsia="Arial" w:hAnsi="Arial" w:cs="Arial"/>
          <w:color w:val="000000"/>
          <w:spacing w:val="0"/>
          <w:w w:val="100"/>
          <w:position w:val="0"/>
          <w:sz w:val="24"/>
          <w:szCs w:val="24"/>
        </w:rPr>
        <w:t>2016</w:t>
      </w:r>
      <w:r>
        <w:rPr>
          <w:b/>
          <w:bCs/>
          <w:color w:val="000000"/>
          <w:spacing w:val="0"/>
          <w:w w:val="100"/>
          <w:position w:val="0"/>
          <w:sz w:val="24"/>
          <w:szCs w:val="24"/>
        </w:rPr>
        <w:t>年度</w:t>
      </w:r>
    </w:p>
    <w:p>
      <w:pPr>
        <w:pStyle w:val="Style32"/>
        <w:keepNext w:val="0"/>
        <w:keepLines w:val="0"/>
        <w:widowControl w:val="0"/>
        <w:shd w:val="clear" w:color="auto" w:fill="auto"/>
        <w:bidi w:val="0"/>
        <w:spacing w:before="0" w:after="260" w:line="240" w:lineRule="auto"/>
        <w:ind w:left="0" w:right="0" w:firstLine="620"/>
        <w:jc w:val="left"/>
        <w:rPr>
          <w:sz w:val="20"/>
          <w:szCs w:val="20"/>
        </w:rPr>
      </w:pPr>
      <w:r>
        <w:rPr>
          <w:rFonts w:ascii="Arial" w:eastAsia="Arial" w:hAnsi="Arial" w:cs="Arial"/>
          <w:color w:val="000000"/>
          <w:spacing w:val="0"/>
          <w:w w:val="100"/>
          <w:position w:val="0"/>
          <w:sz w:val="20"/>
          <w:szCs w:val="20"/>
        </w:rPr>
        <w:t>（</w:t>
      </w:r>
      <w:r>
        <w:rPr>
          <w:color w:val="000000"/>
          <w:spacing w:val="0"/>
          <w:w w:val="100"/>
          <w:position w:val="0"/>
          <w:sz w:val="20"/>
          <w:szCs w:val="20"/>
        </w:rPr>
        <w:t>除特别注明外，金额单位为人民币千元</w:t>
      </w:r>
      <w:r>
        <w:rPr>
          <w:rFonts w:ascii="Arial" w:eastAsia="Arial" w:hAnsi="Arial" w:cs="Arial"/>
          <w:color w:val="000000"/>
          <w:spacing w:val="0"/>
          <w:w w:val="100"/>
          <w:position w:val="0"/>
          <w:sz w:val="20"/>
          <w:szCs w:val="20"/>
        </w:rPr>
        <w:t>）</w:t>
      </w:r>
    </w:p>
    <w:p>
      <w:pPr>
        <w:pStyle w:val="Style32"/>
        <w:keepNext w:val="0"/>
        <w:keepLines w:val="0"/>
        <w:widowControl w:val="0"/>
        <w:shd w:val="clear" w:color="auto" w:fill="auto"/>
        <w:bidi w:val="0"/>
        <w:spacing w:before="0" w:after="260" w:line="240" w:lineRule="auto"/>
        <w:ind w:left="0" w:right="0" w:firstLine="0"/>
        <w:jc w:val="left"/>
        <w:rPr>
          <w:sz w:val="24"/>
          <w:szCs w:val="24"/>
        </w:rPr>
      </w:pPr>
      <w:r>
        <w:rPr>
          <w:b/>
          <w:bCs/>
          <w:color w:val="000000"/>
          <w:spacing w:val="0"/>
          <w:w w:val="100"/>
          <w:position w:val="0"/>
          <w:sz w:val="24"/>
          <w:szCs w:val="24"/>
        </w:rPr>
        <w:t>十七公司财务报表附注</w:t>
      </w:r>
      <w:r>
        <w:rPr>
          <w:rFonts w:ascii="Times New Roman" w:eastAsia="Times New Roman" w:hAnsi="Times New Roman" w:cs="Times New Roman"/>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4"/>
          <w:szCs w:val="24"/>
        </w:rPr>
        <w:t>）</w:t>
      </w:r>
    </w:p>
    <w:p>
      <w:pPr>
        <w:pStyle w:val="Style32"/>
        <w:keepNext w:val="0"/>
        <w:keepLines w:val="0"/>
        <w:widowControl w:val="0"/>
        <w:shd w:val="clear" w:color="auto" w:fill="auto"/>
        <w:tabs>
          <w:tab w:pos="571" w:val="left"/>
        </w:tabs>
        <w:bidi w:val="0"/>
        <w:spacing w:before="0" w:after="26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（3）</w:t>
        <w:tab/>
      </w:r>
      <w:r>
        <w:rPr>
          <w:b/>
          <w:bCs/>
          <w:color w:val="000000"/>
          <w:spacing w:val="0"/>
          <w:w w:val="100"/>
          <w:position w:val="0"/>
          <w:sz w:val="24"/>
          <w:szCs w:val="24"/>
        </w:rPr>
        <w:t>长期股权投资</w:t>
      </w:r>
      <w:r>
        <w:rPr>
          <w:rFonts w:ascii="Times New Roman" w:eastAsia="Times New Roman" w:hAnsi="Times New Roman" w:cs="Times New Roman"/>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4"/>
          <w:szCs w:val="24"/>
        </w:rPr>
        <w:t>）</w:t>
      </w:r>
    </w:p>
    <w:p>
      <w:pPr>
        <w:pStyle w:val="Style32"/>
        <w:keepNext w:val="0"/>
        <w:keepLines w:val="0"/>
        <w:widowControl w:val="0"/>
        <w:shd w:val="clear" w:color="auto" w:fill="auto"/>
        <w:bidi w:val="0"/>
        <w:spacing w:before="0" w:after="36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 xml:space="preserve">（a） </w:t>
      </w:r>
      <w:r>
        <w:rPr>
          <w:color w:val="000000"/>
          <w:spacing w:val="0"/>
          <w:w w:val="100"/>
          <w:position w:val="0"/>
          <w:sz w:val="24"/>
          <w:szCs w:val="24"/>
        </w:rPr>
        <w:t>子公司</w:t>
      </w:r>
    </w:p>
    <w:p>
      <w:pPr>
        <w:pStyle w:val="Style25"/>
        <w:keepNext w:val="0"/>
        <w:keepLines w:val="0"/>
        <w:widowControl w:val="0"/>
        <w:shd w:val="clear" w:color="auto" w:fill="auto"/>
        <w:bidi w:val="0"/>
        <w:spacing w:before="0" w:after="0" w:line="240" w:lineRule="auto"/>
        <w:ind w:left="6384" w:right="0" w:firstLine="0"/>
        <w:jc w:val="left"/>
        <w:rPr>
          <w:sz w:val="18"/>
          <w:szCs w:val="18"/>
        </w:rPr>
      </w:pPr>
      <w:r>
        <w:rPr>
          <w:color w:val="000000"/>
          <w:spacing w:val="0"/>
          <w:w w:val="100"/>
          <w:position w:val="0"/>
          <w:sz w:val="18"/>
          <w:szCs w:val="18"/>
        </w:rPr>
        <w:t>本年增减变动</w:t>
      </w:r>
    </w:p>
    <w:tbl>
      <w:tblPr>
        <w:tblOverlap w:val="never"/>
        <w:jc w:val="center"/>
        <w:tblLayout w:type="fixed"/>
      </w:tblPr>
      <w:tblGrid>
        <w:gridCol w:w="2914"/>
        <w:gridCol w:w="1478"/>
        <w:gridCol w:w="1248"/>
        <w:gridCol w:w="1440"/>
        <w:gridCol w:w="1714"/>
        <w:gridCol w:w="1166"/>
        <w:gridCol w:w="1512"/>
        <w:gridCol w:w="1138"/>
        <w:gridCol w:w="1570"/>
      </w:tblGrid>
      <w:tr>
        <w:trPr>
          <w:trHeight w:val="614" w:hRule="exact"/>
        </w:trPr>
        <w:tc>
          <w:tcPr>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8"/>
                <w:szCs w:val="18"/>
              </w:rPr>
              <w:t>年</w:t>
            </w:r>
          </w:p>
          <w:p>
            <w:pPr>
              <w:pStyle w:val="Style28"/>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tc>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追加投资</w:t>
            </w:r>
          </w:p>
        </w:tc>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减少</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处置投资</w:t>
            </w:r>
          </w:p>
        </w:tc>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计提减值准备</w:t>
            </w:r>
          </w:p>
        </w:tc>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其他</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8"/>
                <w:szCs w:val="18"/>
              </w:rPr>
              <w:t>年</w:t>
            </w:r>
          </w:p>
          <w:p>
            <w:pPr>
              <w:pStyle w:val="Style28"/>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tc>
        <w:tc>
          <w:tcPr>
            <w:tcBorders/>
            <w:shd w:val="clear" w:color="auto" w:fill="FFFFFF"/>
            <w:vAlign w:val="top"/>
          </w:tcPr>
          <w:p>
            <w:pPr>
              <w:pStyle w:val="Style28"/>
              <w:keepNext w:val="0"/>
              <w:keepLines w:val="0"/>
              <w:widowControl w:val="0"/>
              <w:shd w:val="clear" w:color="auto" w:fill="auto"/>
              <w:bidi w:val="0"/>
              <w:spacing w:before="0" w:after="0" w:line="245" w:lineRule="exact"/>
              <w:ind w:left="0" w:right="0" w:firstLine="0"/>
              <w:jc w:val="right"/>
              <w:rPr>
                <w:sz w:val="18"/>
                <w:szCs w:val="18"/>
              </w:rPr>
            </w:pPr>
            <w:r>
              <w:rPr>
                <w:color w:val="000000"/>
                <w:spacing w:val="0"/>
                <w:w w:val="100"/>
                <w:position w:val="0"/>
                <w:sz w:val="18"/>
                <w:szCs w:val="18"/>
              </w:rPr>
              <w:t>减值准备 年末余额</w:t>
            </w:r>
          </w:p>
        </w:tc>
        <w:tc>
          <w:tcPr>
            <w:tcBorders/>
            <w:shd w:val="clear" w:color="auto" w:fill="FFFFFF"/>
            <w:vAlign w:val="top"/>
          </w:tcPr>
          <w:p>
            <w:pPr>
              <w:pStyle w:val="Style28"/>
              <w:keepNext w:val="0"/>
              <w:keepLines w:val="0"/>
              <w:widowControl w:val="0"/>
              <w:shd w:val="clear" w:color="auto" w:fill="auto"/>
              <w:bidi w:val="0"/>
              <w:spacing w:before="0" w:after="0" w:line="235" w:lineRule="exact"/>
              <w:ind w:left="0" w:right="0" w:firstLine="0"/>
              <w:jc w:val="right"/>
              <w:rPr>
                <w:sz w:val="18"/>
                <w:szCs w:val="18"/>
              </w:rPr>
            </w:pPr>
            <w:r>
              <w:rPr>
                <w:color w:val="000000"/>
                <w:spacing w:val="0"/>
                <w:w w:val="100"/>
                <w:position w:val="0"/>
                <w:sz w:val="18"/>
                <w:szCs w:val="18"/>
              </w:rPr>
              <w:t>本年宣告分派的现 金股利</w:t>
            </w:r>
          </w:p>
        </w:tc>
      </w:tr>
      <w:tr>
        <w:trPr>
          <w:trHeight w:val="638"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苏宁国际集团股份有限公司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原名</w:t>
            </w:r>
          </w:p>
          <w:p>
            <w:pPr>
              <w:pStyle w:val="Style2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香港苏宁电器有限公司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1,239,749</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13,256,189</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14,495,938</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69"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上海苏宁云商销售有限公司</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683,694</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26,933</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710,627</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274"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广州苏宁云商物流有限公司</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515,831</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515,831</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278"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重庆苏宁云商销售有限公司</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513,177</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26,468</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539,645</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1,351,569</w:t>
            </w:r>
          </w:p>
        </w:tc>
      </w:tr>
      <w:tr>
        <w:trPr>
          <w:trHeight w:val="278"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苏宁金融服务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上海</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有限公司</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502,367</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106,481</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608,848</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274"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北京苏宁云商销售有限公司</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478,385</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17,752</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496,137</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278"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福建苏宁云商商贸有限公司</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447,596</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4,170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451,766</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274"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武汉苏宁云商销售有限公司</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375,227</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11,524</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386,751</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274"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沈阳苏宁云商销售有限公司</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353,898</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47,114</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401,012</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278"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浙江苏宁云商商贸有限公司</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315,948</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4,785</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320,733</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278"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广东苏宁云商销售有限公司</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309,076</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31,354</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340,430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274"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江苏苏宁商业投资有限公司</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304,290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63,697</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367,987</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278"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杭州苏宁云商物流有限公司</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302,435</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3,916</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306,351</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269"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四川苏宁云商销售有限公司</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278,024</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21,147</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299,171</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274"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福州苏宁云商商贸有限公司</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260,357</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260,357</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283"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苏宁云商江苏苏南有限公司</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252,000</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252,000</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274"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长春苏宁云商销售有限公司</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210,409</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17,645</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228,054</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269"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青岛胶宁苏宁云商商贸有限公司</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205,391</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205,391</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2"/>
        <w:keepNext w:val="0"/>
        <w:keepLines w:val="0"/>
        <w:widowControl w:val="0"/>
        <w:shd w:val="clear" w:color="auto" w:fill="auto"/>
        <w:bidi w:val="0"/>
        <w:spacing w:before="0" w:after="0" w:line="240" w:lineRule="auto"/>
        <w:ind w:left="0" w:right="0" w:firstLine="560"/>
        <w:jc w:val="left"/>
        <w:rPr>
          <w:sz w:val="24"/>
          <w:szCs w:val="24"/>
        </w:rPr>
      </w:pPr>
      <w:r>
        <w:rPr>
          <w:b/>
          <w:bCs/>
          <w:color w:val="000000"/>
          <w:spacing w:val="0"/>
          <w:w w:val="100"/>
          <w:position w:val="0"/>
          <w:sz w:val="24"/>
          <w:szCs w:val="24"/>
        </w:rPr>
        <w:t>财务报表附注</w:t>
      </w:r>
    </w:p>
    <w:p>
      <w:pPr>
        <w:pStyle w:val="Style88"/>
        <w:keepNext/>
        <w:keepLines/>
        <w:widowControl w:val="0"/>
        <w:shd w:val="clear" w:color="auto" w:fill="auto"/>
        <w:bidi w:val="0"/>
        <w:spacing w:before="0" w:after="0" w:line="240" w:lineRule="auto"/>
        <w:ind w:left="0" w:right="0" w:firstLine="560"/>
        <w:jc w:val="left"/>
      </w:pPr>
      <w:bookmarkStart w:id="1198" w:name="bookmark1198"/>
      <w:bookmarkStart w:id="1199" w:name="bookmark1199"/>
      <w:bookmarkStart w:id="1200" w:name="bookmark1200"/>
      <w:r>
        <w:rPr>
          <w:color w:val="000000"/>
          <w:spacing w:val="0"/>
          <w:w w:val="100"/>
          <w:position w:val="0"/>
          <w:sz w:val="24"/>
          <w:szCs w:val="24"/>
        </w:rPr>
        <w:t>2016</w:t>
      </w:r>
      <w:r>
        <w:rPr>
          <w:rFonts w:ascii="SimSun" w:eastAsia="SimSun" w:hAnsi="SimSun" w:cs="SimSun"/>
          <w:b/>
          <w:bCs/>
          <w:color w:val="000000"/>
          <w:spacing w:val="0"/>
          <w:w w:val="100"/>
          <w:position w:val="0"/>
          <w:sz w:val="24"/>
          <w:szCs w:val="24"/>
        </w:rPr>
        <w:t>年度</w:t>
      </w:r>
      <w:bookmarkEnd w:id="1198"/>
      <w:bookmarkEnd w:id="1199"/>
      <w:bookmarkEnd w:id="1200"/>
    </w:p>
    <w:p>
      <w:pPr>
        <w:pStyle w:val="Style32"/>
        <w:keepNext w:val="0"/>
        <w:keepLines w:val="0"/>
        <w:widowControl w:val="0"/>
        <w:shd w:val="clear" w:color="auto" w:fill="auto"/>
        <w:bidi w:val="0"/>
        <w:spacing w:before="0" w:after="0" w:line="240" w:lineRule="auto"/>
        <w:ind w:left="0" w:right="0" w:firstLine="560"/>
        <w:jc w:val="left"/>
        <w:rPr>
          <w:sz w:val="24"/>
          <w:szCs w:val="24"/>
        </w:rPr>
      </w:pPr>
      <w:r>
        <w:rPr>
          <w:rFonts w:ascii="Arial" w:eastAsia="Arial" w:hAnsi="Arial" w:cs="Arial"/>
          <w:color w:val="000000"/>
          <w:spacing w:val="0"/>
          <w:w w:val="100"/>
          <w:position w:val="0"/>
          <w:sz w:val="20"/>
          <w:szCs w:val="20"/>
        </w:rPr>
        <w:t>（</w:t>
      </w:r>
      <w:r>
        <w:rPr>
          <w:color w:val="000000"/>
          <w:spacing w:val="0"/>
          <w:w w:val="100"/>
          <w:position w:val="0"/>
          <w:sz w:val="20"/>
          <w:szCs w:val="20"/>
        </w:rPr>
        <w:t>除特别注明外，金额单位为人民币千元</w:t>
      </w:r>
      <w:r>
        <w:rPr>
          <w:color w:val="000000"/>
          <w:spacing w:val="0"/>
          <w:w w:val="100"/>
          <w:position w:val="0"/>
          <w:sz w:val="24"/>
          <w:szCs w:val="24"/>
        </w:rPr>
        <w:t>）</w:t>
      </w:r>
    </w:p>
    <w:p>
      <w:pPr>
        <w:pStyle w:val="Style134"/>
        <w:keepNext w:val="0"/>
        <w:keepLines w:val="0"/>
        <w:widowControl w:val="0"/>
        <w:shd w:val="clear" w:color="auto" w:fill="auto"/>
        <w:tabs>
          <w:tab w:pos="3939" w:val="left"/>
          <w:tab w:pos="5422" w:val="left"/>
          <w:tab w:pos="7338" w:val="left"/>
          <w:tab w:pos="8792" w:val="left"/>
          <w:tab w:pos="10040" w:val="left"/>
          <w:tab w:pos="11067" w:val="left"/>
        </w:tabs>
        <w:bidi w:val="0"/>
        <w:spacing w:before="0" w:after="260" w:line="240" w:lineRule="auto"/>
        <w:ind w:left="0" w:right="0" w:firstLine="560"/>
        <w:jc w:val="left"/>
      </w:pPr>
      <w:r>
        <w:rPr>
          <w:rFonts w:ascii="SimSun" w:eastAsia="SimSun" w:hAnsi="SimSun" w:cs="SimSun"/>
          <w:color w:val="000000"/>
          <w:spacing w:val="0"/>
          <w:w w:val="100"/>
          <w:position w:val="0"/>
        </w:rPr>
        <w:t>江苏苏宁易达物流投资有限公司</w:t>
        <w:tab/>
      </w:r>
      <w:r>
        <w:rPr>
          <w:color w:val="000000"/>
          <w:spacing w:val="0"/>
          <w:w w:val="100"/>
          <w:position w:val="0"/>
        </w:rPr>
        <w:t>200,000</w:t>
        <w:tab/>
        <w:t>440,000</w:t>
        <w:tab/>
        <w:t>-</w:t>
        <w:tab/>
        <w:t>-</w:t>
        <w:tab/>
        <w:t>-</w:t>
        <w:tab/>
        <w:t>640,000</w:t>
      </w:r>
    </w:p>
    <w:p>
      <w:pPr>
        <w:pStyle w:val="Style32"/>
        <w:keepNext w:val="0"/>
        <w:keepLines w:val="0"/>
        <w:widowControl w:val="0"/>
        <w:shd w:val="clear" w:color="auto" w:fill="auto"/>
        <w:bidi w:val="0"/>
        <w:spacing w:before="0" w:after="260" w:line="240" w:lineRule="auto"/>
        <w:ind w:left="0" w:right="0" w:firstLine="0"/>
        <w:jc w:val="left"/>
        <w:rPr>
          <w:sz w:val="24"/>
          <w:szCs w:val="24"/>
        </w:rPr>
      </w:pPr>
      <w:r>
        <w:rPr>
          <w:b/>
          <w:bCs/>
          <w:color w:val="000000"/>
          <w:spacing w:val="0"/>
          <w:w w:val="100"/>
          <w:position w:val="0"/>
          <w:sz w:val="24"/>
          <w:szCs w:val="24"/>
        </w:rPr>
        <w:t>十七公司财务报表附注</w:t>
      </w:r>
      <w:r>
        <w:rPr>
          <w:rFonts w:ascii="Times New Roman" w:eastAsia="Times New Roman" w:hAnsi="Times New Roman" w:cs="Times New Roman"/>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4"/>
          <w:szCs w:val="24"/>
        </w:rPr>
        <w:t>）</w:t>
      </w:r>
    </w:p>
    <w:p>
      <w:pPr>
        <w:pStyle w:val="Style32"/>
        <w:keepNext w:val="0"/>
        <w:keepLines w:val="0"/>
        <w:widowControl w:val="0"/>
        <w:shd w:val="clear" w:color="auto" w:fill="auto"/>
        <w:bidi w:val="0"/>
        <w:spacing w:before="0" w:after="26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（3）</w:t>
      </w:r>
      <w:r>
        <w:rPr>
          <w:b/>
          <w:bCs/>
          <w:color w:val="000000"/>
          <w:spacing w:val="0"/>
          <w:w w:val="100"/>
          <w:position w:val="0"/>
          <w:sz w:val="24"/>
          <w:szCs w:val="24"/>
        </w:rPr>
        <w:t>长期股权投资</w:t>
      </w:r>
      <w:r>
        <w:rPr>
          <w:rFonts w:ascii="Times New Roman" w:eastAsia="Times New Roman" w:hAnsi="Times New Roman" w:cs="Times New Roman"/>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4"/>
          <w:szCs w:val="24"/>
        </w:rPr>
        <w:t>）</w:t>
      </w:r>
    </w:p>
    <w:p>
      <w:pPr>
        <w:pStyle w:val="Style53"/>
        <w:keepNext w:val="0"/>
        <w:keepLines w:val="0"/>
        <w:widowControl w:val="0"/>
        <w:shd w:val="clear" w:color="auto" w:fill="auto"/>
        <w:tabs>
          <w:tab w:pos="523" w:val="left"/>
        </w:tabs>
        <w:bidi w:val="0"/>
        <w:spacing w:before="0" w:after="260" w:line="240" w:lineRule="auto"/>
        <w:ind w:left="0" w:right="0" w:firstLine="0"/>
        <w:jc w:val="left"/>
        <w:rPr>
          <w:sz w:val="24"/>
          <w:szCs w:val="24"/>
        </w:rPr>
      </w:pPr>
      <w:r>
        <w:rPr>
          <w:color w:val="000000"/>
          <w:spacing w:val="0"/>
          <w:w w:val="100"/>
          <w:position w:val="0"/>
          <w:sz w:val="24"/>
          <w:szCs w:val="24"/>
        </w:rPr>
        <w:t>（a）</w:t>
        <w:tab/>
      </w:r>
      <w:r>
        <w:rPr>
          <w:rFonts w:ascii="SimSun" w:eastAsia="SimSun" w:hAnsi="SimSun" w:cs="SimSun"/>
          <w:color w:val="000000"/>
          <w:spacing w:val="0"/>
          <w:w w:val="100"/>
          <w:position w:val="0"/>
          <w:sz w:val="24"/>
          <w:szCs w:val="24"/>
        </w:rPr>
        <w:t>子公司</w:t>
      </w:r>
      <w:r>
        <w:rPr>
          <w:color w:val="000000"/>
          <w:spacing w:val="0"/>
          <w:w w:val="100"/>
          <w:position w:val="0"/>
          <w:sz w:val="24"/>
          <w:szCs w:val="24"/>
        </w:rPr>
        <w:t>（</w:t>
      </w:r>
      <w:r>
        <w:rPr>
          <w:rFonts w:ascii="SimSun" w:eastAsia="SimSun" w:hAnsi="SimSun" w:cs="SimSun"/>
          <w:color w:val="000000"/>
          <w:spacing w:val="0"/>
          <w:w w:val="100"/>
          <w:position w:val="0"/>
          <w:sz w:val="24"/>
          <w:szCs w:val="24"/>
        </w:rPr>
        <w:t>续</w:t>
      </w:r>
      <w:r>
        <w:rPr>
          <w:rFonts w:ascii="SimSun" w:eastAsia="SimSun" w:hAnsi="SimSun" w:cs="SimSun"/>
          <w:color w:val="000000"/>
          <w:spacing w:val="0"/>
          <w:w w:val="100"/>
          <w:position w:val="0"/>
          <w:sz w:val="24"/>
          <w:szCs w:val="24"/>
        </w:rPr>
        <w:t>）</w:t>
      </w:r>
    </w:p>
    <w:p>
      <w:pPr>
        <w:pStyle w:val="Style25"/>
        <w:keepNext w:val="0"/>
        <w:keepLines w:val="0"/>
        <w:widowControl w:val="0"/>
        <w:shd w:val="clear" w:color="auto" w:fill="auto"/>
        <w:bidi w:val="0"/>
        <w:spacing w:before="0" w:after="0" w:line="240" w:lineRule="auto"/>
        <w:ind w:left="6494" w:right="0" w:firstLine="0"/>
        <w:jc w:val="left"/>
        <w:rPr>
          <w:sz w:val="18"/>
          <w:szCs w:val="18"/>
        </w:rPr>
      </w:pPr>
      <w:r>
        <w:rPr>
          <w:color w:val="000000"/>
          <w:spacing w:val="0"/>
          <w:w w:val="100"/>
          <w:position w:val="0"/>
          <w:sz w:val="18"/>
          <w:szCs w:val="18"/>
        </w:rPr>
        <w:t>本年增减变动</w:t>
      </w:r>
    </w:p>
    <w:tbl>
      <w:tblPr>
        <w:tblOverlap w:val="never"/>
        <w:jc w:val="center"/>
        <w:tblLayout w:type="fixed"/>
      </w:tblPr>
      <w:tblGrid>
        <w:gridCol w:w="3182"/>
        <w:gridCol w:w="1349"/>
        <w:gridCol w:w="1176"/>
        <w:gridCol w:w="1430"/>
        <w:gridCol w:w="1694"/>
        <w:gridCol w:w="1190"/>
        <w:gridCol w:w="1488"/>
        <w:gridCol w:w="1133"/>
        <w:gridCol w:w="1589"/>
      </w:tblGrid>
      <w:tr>
        <w:trPr>
          <w:trHeight w:val="634" w:hRule="exact"/>
        </w:trPr>
        <w:tc>
          <w:tcPr>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8"/>
                <w:szCs w:val="18"/>
              </w:rPr>
              <w:t>年</w:t>
            </w:r>
          </w:p>
          <w:p>
            <w:pPr>
              <w:pStyle w:val="Style28"/>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tc>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追加投资</w:t>
            </w:r>
          </w:p>
        </w:tc>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减少</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处置投资</w:t>
            </w:r>
          </w:p>
        </w:tc>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计提减值准备</w:t>
            </w:r>
          </w:p>
        </w:tc>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380" w:firstLine="0"/>
              <w:jc w:val="right"/>
              <w:rPr>
                <w:sz w:val="18"/>
                <w:szCs w:val="18"/>
              </w:rPr>
            </w:pPr>
            <w:r>
              <w:rPr>
                <w:color w:val="000000"/>
                <w:spacing w:val="0"/>
                <w:w w:val="100"/>
                <w:position w:val="0"/>
                <w:sz w:val="18"/>
                <w:szCs w:val="18"/>
              </w:rPr>
              <w:t>其他</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8"/>
                <w:szCs w:val="18"/>
              </w:rPr>
              <w:t>年</w:t>
            </w:r>
          </w:p>
          <w:p>
            <w:pPr>
              <w:pStyle w:val="Style2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tc>
        <w:tc>
          <w:tcPr>
            <w:tcBorders/>
            <w:shd w:val="clear" w:color="auto" w:fill="FFFFFF"/>
            <w:vAlign w:val="top"/>
          </w:tcPr>
          <w:p>
            <w:pPr>
              <w:pStyle w:val="Style28"/>
              <w:keepNext w:val="0"/>
              <w:keepLines w:val="0"/>
              <w:widowControl w:val="0"/>
              <w:shd w:val="clear" w:color="auto" w:fill="auto"/>
              <w:bidi w:val="0"/>
              <w:spacing w:before="0" w:after="0" w:line="250" w:lineRule="exact"/>
              <w:ind w:left="0" w:right="0" w:firstLine="0"/>
              <w:jc w:val="center"/>
              <w:rPr>
                <w:sz w:val="18"/>
                <w:szCs w:val="18"/>
              </w:rPr>
            </w:pPr>
            <w:r>
              <w:rPr>
                <w:color w:val="000000"/>
                <w:spacing w:val="0"/>
                <w:w w:val="100"/>
                <w:position w:val="0"/>
                <w:sz w:val="18"/>
                <w:szCs w:val="18"/>
              </w:rPr>
              <w:t>减值准备 年末余额</w:t>
            </w:r>
          </w:p>
        </w:tc>
        <w:tc>
          <w:tcPr>
            <w:tcBorders/>
            <w:shd w:val="clear" w:color="auto" w:fill="FFFFFF"/>
            <w:vAlign w:val="top"/>
          </w:tcPr>
          <w:p>
            <w:pPr>
              <w:pStyle w:val="Style28"/>
              <w:keepNext w:val="0"/>
              <w:keepLines w:val="0"/>
              <w:widowControl w:val="0"/>
              <w:shd w:val="clear" w:color="auto" w:fill="auto"/>
              <w:bidi w:val="0"/>
              <w:spacing w:before="0" w:after="0" w:line="240" w:lineRule="exact"/>
              <w:ind w:left="0" w:right="0" w:firstLine="0"/>
              <w:jc w:val="right"/>
              <w:rPr>
                <w:sz w:val="18"/>
                <w:szCs w:val="18"/>
              </w:rPr>
            </w:pPr>
            <w:r>
              <w:rPr>
                <w:color w:val="000000"/>
                <w:spacing w:val="0"/>
                <w:w w:val="100"/>
                <w:position w:val="0"/>
                <w:sz w:val="18"/>
                <w:szCs w:val="18"/>
              </w:rPr>
              <w:t>本年宣告分派的现 金股利</w:t>
            </w:r>
          </w:p>
        </w:tc>
      </w:tr>
      <w:tr>
        <w:trPr>
          <w:trHeight w:val="422"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湖北苏宁物流有限公司</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199,017</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199,017</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269"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重庆苏宁云商采购有限公司</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195,027</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195,027</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283"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中山市苏宁物流有限公司</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183,465</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183,465</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274"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哈尔滨苏宁采购有限公司</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182,790</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182,790</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283"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江西苏宁物流有限公司</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179,199</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179,199</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278"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贵阳苏宁物流有限公司</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174,510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174,510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274"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天津渤海苏宁云商有限公司</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160,207</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160,207</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259"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山东渤宁苏宁云商商贸有限公司</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151,668</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151,668</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235"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南京苏宁易付宝网络科技有限公司</w:t>
            </w:r>
            <w:r>
              <w:rPr>
                <w:rFonts w:ascii="Times New Roman" w:eastAsia="Times New Roman" w:hAnsi="Times New Roman" w:cs="Times New Roman"/>
                <w:color w:val="000000"/>
                <w:spacing w:val="0"/>
                <w:w w:val="100"/>
                <w:position w:val="0"/>
                <w:sz w:val="18"/>
                <w:szCs w:val="18"/>
              </w:rPr>
              <w:t>（i）</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150,000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850,000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(1,000,000)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26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230"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江苏苏宁易购电子商务有限公司</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140,000</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140,000</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254"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包头市滨河苏宁云商有限公司</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139,617</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139,617</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278"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江苏苏宁物流有限公司</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135,000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402,240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537,240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274"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徐州苏宁云商销售有限公司</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133,310</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133,310</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278"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盐城盐宁苏宁云商有限公司</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129,245</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129,245</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274"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深圳市苏宁云商销售有限公司</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122,846</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12,783</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135,629</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274"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内江百大商贸有限公司</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111,430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111,430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259"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陕西苏宁云商销售有限公司</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109,366</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27,467</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136,833</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259"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湖南苏宁云商有限公司</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107,244</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5,404</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112,648</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259"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安徽苏宁云商销售有限公司</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107,030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9,248</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116,278</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bl>
    <w:p>
      <w:pPr>
        <w:spacing w:lineRule="exact" w:line="1"/>
        <w:rPr>
          <w:sz w:val="2"/>
          <w:szCs w:val="2"/>
        </w:rPr>
      </w:pPr>
      <w:r>
        <w:br w:type="page"/>
      </w:r>
    </w:p>
    <w:p>
      <w:pPr>
        <w:widowControl w:val="0"/>
        <w:spacing w:line="1" w:lineRule="exact"/>
      </w:pPr>
      <w:r>
        <mc:AlternateContent>
          <mc:Choice Requires="wps">
            <w:drawing>
              <wp:anchor distT="579120" distB="457200" distL="3175" distR="0" simplePos="0" relativeHeight="125829516" behindDoc="0" locked="0" layoutInCell="1" allowOverlap="1">
                <wp:simplePos x="0" y="0"/>
                <wp:positionH relativeFrom="page">
                  <wp:posOffset>658495</wp:posOffset>
                </wp:positionH>
                <wp:positionV relativeFrom="paragraph">
                  <wp:posOffset>579120</wp:posOffset>
                </wp:positionV>
                <wp:extent cx="3950335" cy="670560"/>
                <wp:wrapTopAndBottom/>
                <wp:docPr id="588" name="Shape 588"/>
                <a:graphic xmlns:a="http://schemas.openxmlformats.org/drawingml/2006/main">
                  <a:graphicData uri="http://schemas.microsoft.com/office/word/2010/wordprocessingShape">
                    <wps:wsp>
                      <wps:cNvSpPr txBox="1"/>
                      <wps:spPr>
                        <a:xfrm>
                          <a:ext cx="3950335" cy="670560"/>
                        </a:xfrm>
                        <a:prstGeom prst="rect"/>
                        <a:noFill/>
                      </wps:spPr>
                      <wps:txbx>
                        <w:txbxContent>
                          <w:tbl>
                            <w:tblPr>
                              <w:tblOverlap w:val="never"/>
                              <w:jc w:val="left"/>
                              <w:tblLayout w:type="fixed"/>
                            </w:tblPr>
                            <w:tblGrid>
                              <w:gridCol w:w="3658"/>
                              <w:gridCol w:w="1680"/>
                              <w:gridCol w:w="883"/>
                            </w:tblGrid>
                            <w:tr>
                              <w:trPr>
                                <w:tblHeader/>
                                <w:trHeight w:val="254"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天津苏宁云商有限公司</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104,269</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17,431</w:t>
                                  </w:r>
                                </w:p>
                              </w:tc>
                            </w:tr>
                            <w:tr>
                              <w:trPr>
                                <w:trHeight w:val="379"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苏宁</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天津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采购有限公司</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100,000</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22"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十七公司财务报表附注</w:t>
                                  </w:r>
                                  <w:r>
                                    <w:rPr>
                                      <w:rFonts w:ascii="Times New Roman" w:eastAsia="Times New Roman" w:hAnsi="Times New Roman" w:cs="Times New Roman"/>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4"/>
                                      <w:szCs w:val="24"/>
                                    </w:rPr>
                                    <w: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bl>
                          <w:p>
                            <w:pPr>
                              <w:widowControl w:val="0"/>
                              <w:spacing w:line="1" w:lineRule="exact"/>
                            </w:pPr>
                          </w:p>
                        </w:txbxContent>
                      </wps:txbx>
                      <wps:bodyPr lIns="0" tIns="0" rIns="0" bIns="0">
                        <a:noAutoFit/>
                      </wps:bodyPr>
                    </wps:wsp>
                  </a:graphicData>
                </a:graphic>
              </wp:anchor>
            </w:drawing>
          </mc:Choice>
          <mc:Fallback>
            <w:pict>
              <v:shape id="_x0000_s1614" type="#_x0000_t202" style="position:absolute;margin-left:51.850000000000001pt;margin-top:45.600000000000001pt;width:311.05000000000001pt;height:52.800000000000004pt;z-index:-125829237;mso-wrap-distance-left:0.25pt;mso-wrap-distance-top:45.600000000000001pt;mso-wrap-distance-right:0;mso-wrap-distance-bottom:36.pt;mso-position-horizontal-relative:page" filled="f" stroked="f">
                <v:textbox inset="0,0,0,0">
                  <w:txbxContent>
                    <w:tbl>
                      <w:tblPr>
                        <w:tblOverlap w:val="never"/>
                        <w:jc w:val="left"/>
                        <w:tblLayout w:type="fixed"/>
                      </w:tblPr>
                      <w:tblGrid>
                        <w:gridCol w:w="3658"/>
                        <w:gridCol w:w="1680"/>
                        <w:gridCol w:w="883"/>
                      </w:tblGrid>
                      <w:tr>
                        <w:trPr>
                          <w:tblHeader/>
                          <w:trHeight w:val="254"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天津苏宁云商有限公司</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104,269</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17,431</w:t>
                            </w:r>
                          </w:p>
                        </w:tc>
                      </w:tr>
                      <w:tr>
                        <w:trPr>
                          <w:trHeight w:val="379"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苏宁</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天津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采购有限公司</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100,000</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22"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十七公司财务报表附注</w:t>
                            </w:r>
                            <w:r>
                              <w:rPr>
                                <w:rFonts w:ascii="Times New Roman" w:eastAsia="Times New Roman" w:hAnsi="Times New Roman" w:cs="Times New Roman"/>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4"/>
                                <w:szCs w:val="24"/>
                              </w:rPr>
                              <w: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bl>
                    <w:p>
                      <w:pPr>
                        <w:widowControl w:val="0"/>
                        <w:spacing w:line="1" w:lineRule="exact"/>
                      </w:pPr>
                    </w:p>
                  </w:txbxContent>
                </v:textbox>
                <w10:wrap type="topAndBottom" anchorx="page"/>
              </v:shape>
            </w:pict>
          </mc:Fallback>
        </mc:AlternateContent>
      </w:r>
      <w:r>
        <mc:AlternateContent>
          <mc:Choice Requires="wps">
            <w:drawing>
              <wp:anchor distT="0" distB="0" distL="0" distR="0" simplePos="0" relativeHeight="503316484" behindDoc="0" locked="0" layoutInCell="1" allowOverlap="1">
                <wp:simplePos x="0" y="0"/>
                <wp:positionH relativeFrom="page">
                  <wp:posOffset>1042670</wp:posOffset>
                </wp:positionH>
                <wp:positionV relativeFrom="paragraph">
                  <wp:posOffset>0</wp:posOffset>
                </wp:positionV>
                <wp:extent cx="2270760" cy="563880"/>
                <wp:wrapNone/>
                <wp:docPr id="590" name="Shape 590"/>
                <a:graphic xmlns:a="http://schemas.openxmlformats.org/drawingml/2006/main">
                  <a:graphicData uri="http://schemas.microsoft.com/office/word/2010/wordprocessingShape">
                    <wps:wsp>
                      <wps:cNvSpPr txBox="1"/>
                      <wps:spPr>
                        <a:xfrm>
                          <a:ext cx="2270760" cy="563880"/>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财务报表附注</w:t>
                            </w:r>
                          </w:p>
                          <w:p>
                            <w:pPr>
                              <w:pStyle w:val="Style25"/>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color w:val="000000"/>
                                <w:spacing w:val="0"/>
                                <w:w w:val="100"/>
                                <w:position w:val="0"/>
                                <w:sz w:val="24"/>
                                <w:szCs w:val="24"/>
                              </w:rPr>
                              <w:t>2016</w:t>
                            </w:r>
                            <w:r>
                              <w:rPr>
                                <w:b/>
                                <w:bCs/>
                                <w:color w:val="000000"/>
                                <w:spacing w:val="0"/>
                                <w:w w:val="100"/>
                                <w:position w:val="0"/>
                                <w:sz w:val="24"/>
                                <w:szCs w:val="24"/>
                              </w:rPr>
                              <w:t>年度</w:t>
                            </w:r>
                          </w:p>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w:t>
                            </w:r>
                            <w:r>
                              <w:rPr>
                                <w:color w:val="000000"/>
                                <w:spacing w:val="0"/>
                                <w:w w:val="100"/>
                                <w:position w:val="0"/>
                                <w:sz w:val="20"/>
                                <w:szCs w:val="20"/>
                              </w:rPr>
                              <w:t>除特别注明外，金额单位为人民币千元</w:t>
                            </w:r>
                            <w:r>
                              <w:rPr>
                                <w:rFonts w:ascii="Arial" w:eastAsia="Arial" w:hAnsi="Arial" w:cs="Arial"/>
                                <w:color w:val="000000"/>
                                <w:spacing w:val="0"/>
                                <w:w w:val="100"/>
                                <w:position w:val="0"/>
                                <w:sz w:val="20"/>
                                <w:szCs w:val="20"/>
                              </w:rPr>
                              <w:t>)</w:t>
                            </w:r>
                          </w:p>
                        </w:txbxContent>
                      </wps:txbx>
                      <wps:bodyPr lIns="0" tIns="0" rIns="0" bIns="0">
                        <a:noAutoFit/>
                      </wps:bodyPr>
                    </wps:wsp>
                  </a:graphicData>
                </a:graphic>
              </wp:anchor>
            </w:drawing>
          </mc:Choice>
          <mc:Fallback>
            <w:pict>
              <v:shape id="_x0000_s1616" type="#_x0000_t202" style="position:absolute;margin-left:82.100000000000009pt;margin-top:0;width:178.80000000000001pt;height:44.399999999999999pt;z-index:251657731;mso-wrap-distance-left:0;mso-wrap-distance-right:0;mso-position-horizontal-relative:page" filled="f" stroked="f">
                <v:textbox inset="0,0,0,0">
                  <w:txbxContent>
                    <w:p>
                      <w:pPr>
                        <w:pStyle w:val="Style25"/>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财务报表附注</w:t>
                      </w:r>
                    </w:p>
                    <w:p>
                      <w:pPr>
                        <w:pStyle w:val="Style25"/>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color w:val="000000"/>
                          <w:spacing w:val="0"/>
                          <w:w w:val="100"/>
                          <w:position w:val="0"/>
                          <w:sz w:val="24"/>
                          <w:szCs w:val="24"/>
                        </w:rPr>
                        <w:t>2016</w:t>
                      </w:r>
                      <w:r>
                        <w:rPr>
                          <w:b/>
                          <w:bCs/>
                          <w:color w:val="000000"/>
                          <w:spacing w:val="0"/>
                          <w:w w:val="100"/>
                          <w:position w:val="0"/>
                          <w:sz w:val="24"/>
                          <w:szCs w:val="24"/>
                        </w:rPr>
                        <w:t>年度</w:t>
                      </w:r>
                    </w:p>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w:t>
                      </w:r>
                      <w:r>
                        <w:rPr>
                          <w:color w:val="000000"/>
                          <w:spacing w:val="0"/>
                          <w:w w:val="100"/>
                          <w:position w:val="0"/>
                          <w:sz w:val="20"/>
                          <w:szCs w:val="20"/>
                        </w:rPr>
                        <w:t>除特别注明外，金额单位为人民币千元</w:t>
                      </w:r>
                      <w:r>
                        <w:rPr>
                          <w:rFonts w:ascii="Arial" w:eastAsia="Arial" w:hAnsi="Arial" w:cs="Arial"/>
                          <w:color w:val="000000"/>
                          <w:spacing w:val="0"/>
                          <w:w w:val="100"/>
                          <w:position w:val="0"/>
                          <w:sz w:val="20"/>
                          <w:szCs w:val="20"/>
                        </w:rPr>
                        <w:t>)</w:t>
                      </w:r>
                    </w:p>
                  </w:txbxContent>
                </v:textbox>
                <w10:wrap anchorx="page"/>
              </v:shape>
            </w:pict>
          </mc:Fallback>
        </mc:AlternateContent>
      </w:r>
      <w:r>
        <mc:AlternateContent>
          <mc:Choice Requires="wps">
            <w:drawing>
              <wp:anchor distT="0" distB="0" distL="0" distR="0" simplePos="0" relativeHeight="503316486" behindDoc="0" locked="0" layoutInCell="1" allowOverlap="1">
                <wp:simplePos x="0" y="0"/>
                <wp:positionH relativeFrom="page">
                  <wp:posOffset>655320</wp:posOffset>
                </wp:positionH>
                <wp:positionV relativeFrom="paragraph">
                  <wp:posOffset>1405255</wp:posOffset>
                </wp:positionV>
                <wp:extent cx="1591310" cy="225425"/>
                <wp:wrapNone/>
                <wp:docPr id="592" name="Shape 592"/>
                <a:graphic xmlns:a="http://schemas.openxmlformats.org/drawingml/2006/main">
                  <a:graphicData uri="http://schemas.microsoft.com/office/word/2010/wordprocessingShape">
                    <wps:wsp>
                      <wps:cNvSpPr txBox="1"/>
                      <wps:spPr>
                        <a:xfrm>
                          <a:ext cx="1591310" cy="225425"/>
                        </a:xfrm>
                        <a:prstGeom prst="rect"/>
                        <a:noFill/>
                      </wps:spPr>
                      <wps:txbx>
                        <w:txbxContent>
                          <w:p>
                            <w:pPr>
                              <w:pStyle w:val="Style25"/>
                              <w:keepNext w:val="0"/>
                              <w:keepLines w:val="0"/>
                              <w:widowControl w:val="0"/>
                              <w:shd w:val="clear" w:color="auto" w:fill="auto"/>
                              <w:tabs>
                                <w:tab w:pos="581" w:val="left"/>
                              </w:tabs>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(3)</w:t>
                              <w:tab/>
                            </w:r>
                            <w:r>
                              <w:rPr>
                                <w:b/>
                                <w:bCs/>
                                <w:color w:val="000000"/>
                                <w:spacing w:val="0"/>
                                <w:w w:val="100"/>
                                <w:position w:val="0"/>
                                <w:sz w:val="24"/>
                                <w:szCs w:val="24"/>
                              </w:rPr>
                              <w:t>长期股权投资</w:t>
                            </w:r>
                            <w:r>
                              <w:rPr>
                                <w:rFonts w:ascii="Times New Roman" w:eastAsia="Times New Roman" w:hAnsi="Times New Roman" w:cs="Times New Roman"/>
                                <w:color w:val="000000"/>
                                <w:spacing w:val="0"/>
                                <w:w w:val="100"/>
                                <w:position w:val="0"/>
                                <w:sz w:val="24"/>
                                <w:szCs w:val="24"/>
                              </w:rPr>
                              <w:t>(</w:t>
                            </w:r>
                            <w:r>
                              <w:rPr>
                                <w:b/>
                                <w:bCs/>
                                <w:color w:val="000000"/>
                                <w:spacing w:val="0"/>
                                <w:w w:val="100"/>
                                <w:position w:val="0"/>
                                <w:sz w:val="24"/>
                                <w:szCs w:val="24"/>
                              </w:rPr>
                              <w:t>续</w:t>
                            </w:r>
                            <w:r>
                              <w:rPr>
                                <w:rFonts w:ascii="Times New Roman" w:eastAsia="Times New Roman" w:hAnsi="Times New Roman" w:cs="Times New Roman"/>
                                <w:color w:val="000000"/>
                                <w:spacing w:val="0"/>
                                <w:w w:val="100"/>
                                <w:position w:val="0"/>
                                <w:sz w:val="24"/>
                                <w:szCs w:val="24"/>
                              </w:rPr>
                              <w:t>)</w:t>
                            </w:r>
                          </w:p>
                        </w:txbxContent>
                      </wps:txbx>
                      <wps:bodyPr lIns="0" tIns="0" rIns="0" bIns="0">
                        <a:noAutoFit/>
                      </wps:bodyPr>
                    </wps:wsp>
                  </a:graphicData>
                </a:graphic>
              </wp:anchor>
            </w:drawing>
          </mc:Choice>
          <mc:Fallback>
            <w:pict>
              <v:shape id="_x0000_s1618" type="#_x0000_t202" style="position:absolute;margin-left:51.600000000000001pt;margin-top:110.65000000000001pt;width:125.3pt;height:17.75pt;z-index:251657733;mso-wrap-distance-left:0;mso-wrap-distance-right:0;mso-position-horizontal-relative:page" filled="f" stroked="f">
                <v:textbox inset="0,0,0,0">
                  <w:txbxContent>
                    <w:p>
                      <w:pPr>
                        <w:pStyle w:val="Style25"/>
                        <w:keepNext w:val="0"/>
                        <w:keepLines w:val="0"/>
                        <w:widowControl w:val="0"/>
                        <w:shd w:val="clear" w:color="auto" w:fill="auto"/>
                        <w:tabs>
                          <w:tab w:pos="581" w:val="left"/>
                        </w:tabs>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(3)</w:t>
                        <w:tab/>
                      </w:r>
                      <w:r>
                        <w:rPr>
                          <w:b/>
                          <w:bCs/>
                          <w:color w:val="000000"/>
                          <w:spacing w:val="0"/>
                          <w:w w:val="100"/>
                          <w:position w:val="0"/>
                          <w:sz w:val="24"/>
                          <w:szCs w:val="24"/>
                        </w:rPr>
                        <w:t>长期股权投资</w:t>
                      </w:r>
                      <w:r>
                        <w:rPr>
                          <w:rFonts w:ascii="Times New Roman" w:eastAsia="Times New Roman" w:hAnsi="Times New Roman" w:cs="Times New Roman"/>
                          <w:color w:val="000000"/>
                          <w:spacing w:val="0"/>
                          <w:w w:val="100"/>
                          <w:position w:val="0"/>
                          <w:sz w:val="24"/>
                          <w:szCs w:val="24"/>
                        </w:rPr>
                        <w:t>(</w:t>
                      </w:r>
                      <w:r>
                        <w:rPr>
                          <w:b/>
                          <w:bCs/>
                          <w:color w:val="000000"/>
                          <w:spacing w:val="0"/>
                          <w:w w:val="100"/>
                          <w:position w:val="0"/>
                          <w:sz w:val="24"/>
                          <w:szCs w:val="24"/>
                        </w:rPr>
                        <w:t>续</w:t>
                      </w:r>
                      <w:r>
                        <w:rPr>
                          <w:rFonts w:ascii="Times New Roman" w:eastAsia="Times New Roman" w:hAnsi="Times New Roman" w:cs="Times New Roman"/>
                          <w:color w:val="000000"/>
                          <w:spacing w:val="0"/>
                          <w:w w:val="100"/>
                          <w:position w:val="0"/>
                          <w:sz w:val="24"/>
                          <w:szCs w:val="24"/>
                        </w:rPr>
                        <w:t>)</w:t>
                      </w:r>
                    </w:p>
                  </w:txbxContent>
                </v:textbox>
                <w10:wrap anchorx="page"/>
              </v:shape>
            </w:pict>
          </mc:Fallback>
        </mc:AlternateContent>
      </w:r>
      <w:r>
        <mc:AlternateContent>
          <mc:Choice Requires="wps">
            <w:drawing>
              <wp:anchor distT="582295" distB="786130" distL="0" distR="0" simplePos="0" relativeHeight="125829518" behindDoc="0" locked="0" layoutInCell="1" allowOverlap="1">
                <wp:simplePos x="0" y="0"/>
                <wp:positionH relativeFrom="page">
                  <wp:posOffset>7787640</wp:posOffset>
                </wp:positionH>
                <wp:positionV relativeFrom="paragraph">
                  <wp:posOffset>582295</wp:posOffset>
                </wp:positionV>
                <wp:extent cx="389890" cy="338455"/>
                <wp:wrapTopAndBottom/>
                <wp:docPr id="594" name="Shape 594"/>
                <a:graphic xmlns:a="http://schemas.openxmlformats.org/drawingml/2006/main">
                  <a:graphicData uri="http://schemas.microsoft.com/office/word/2010/wordprocessingShape">
                    <wps:wsp>
                      <wps:cNvSpPr txBox="1"/>
                      <wps:spPr>
                        <a:xfrm>
                          <a:ext cx="389890" cy="338455"/>
                        </a:xfrm>
                        <a:prstGeom prst="rect"/>
                        <a:noFill/>
                      </wps:spPr>
                      <wps:txbx>
                        <w:txbxContent>
                          <w:p>
                            <w:pPr>
                              <w:pStyle w:val="Style134"/>
                              <w:keepNext w:val="0"/>
                              <w:keepLines w:val="0"/>
                              <w:widowControl w:val="0"/>
                              <w:shd w:val="clear" w:color="auto" w:fill="auto"/>
                              <w:bidi w:val="0"/>
                              <w:spacing w:before="0" w:after="40" w:line="240" w:lineRule="auto"/>
                              <w:ind w:left="0" w:right="0" w:firstLine="0"/>
                              <w:jc w:val="left"/>
                            </w:pPr>
                            <w:r>
                              <w:rPr>
                                <w:color w:val="000000"/>
                                <w:spacing w:val="0"/>
                                <w:w w:val="100"/>
                                <w:position w:val="0"/>
                              </w:rPr>
                              <w:t>121,700</w:t>
                            </w:r>
                          </w:p>
                          <w:p>
                            <w:pPr>
                              <w:pStyle w:val="Style134"/>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100,000</w:t>
                            </w:r>
                          </w:p>
                        </w:txbxContent>
                      </wps:txbx>
                      <wps:bodyPr lIns="0" tIns="0" rIns="0" bIns="0">
                        <a:noAutoFit/>
                      </wps:bodyPr>
                    </wps:wsp>
                  </a:graphicData>
                </a:graphic>
              </wp:anchor>
            </w:drawing>
          </mc:Choice>
          <mc:Fallback>
            <w:pict>
              <v:shape id="_x0000_s1620" type="#_x0000_t202" style="position:absolute;margin-left:613.20000000000005pt;margin-top:45.850000000000001pt;width:30.699999999999999pt;height:26.650000000000002pt;z-index:-125829235;mso-wrap-distance-left:0;mso-wrap-distance-top:45.850000000000001pt;mso-wrap-distance-right:0;mso-wrap-distance-bottom:61.899999999999999pt;mso-position-horizontal-relative:page" filled="f" stroked="f">
                <v:textbox inset="0,0,0,0">
                  <w:txbxContent>
                    <w:p>
                      <w:pPr>
                        <w:pStyle w:val="Style134"/>
                        <w:keepNext w:val="0"/>
                        <w:keepLines w:val="0"/>
                        <w:widowControl w:val="0"/>
                        <w:shd w:val="clear" w:color="auto" w:fill="auto"/>
                        <w:bidi w:val="0"/>
                        <w:spacing w:before="0" w:after="40" w:line="240" w:lineRule="auto"/>
                        <w:ind w:left="0" w:right="0" w:firstLine="0"/>
                        <w:jc w:val="left"/>
                      </w:pPr>
                      <w:r>
                        <w:rPr>
                          <w:color w:val="000000"/>
                          <w:spacing w:val="0"/>
                          <w:w w:val="100"/>
                          <w:position w:val="0"/>
                        </w:rPr>
                        <w:t>121,700</w:t>
                      </w:r>
                    </w:p>
                    <w:p>
                      <w:pPr>
                        <w:pStyle w:val="Style134"/>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100,000</w:t>
                      </w:r>
                    </w:p>
                  </w:txbxContent>
                </v:textbox>
                <w10:wrap type="topAndBottom" anchorx="page"/>
              </v:shape>
            </w:pict>
          </mc:Fallback>
        </mc:AlternateContent>
      </w:r>
    </w:p>
    <w:p>
      <w:pPr>
        <w:pStyle w:val="Style53"/>
        <w:keepNext w:val="0"/>
        <w:keepLines w:val="0"/>
        <w:widowControl w:val="0"/>
        <w:shd w:val="clear" w:color="auto" w:fill="auto"/>
        <w:tabs>
          <w:tab w:pos="576" w:val="left"/>
        </w:tabs>
        <w:bidi w:val="0"/>
        <w:spacing w:before="0" w:after="280" w:line="240" w:lineRule="auto"/>
        <w:ind w:left="0" w:right="0" w:firstLine="0"/>
        <w:jc w:val="left"/>
        <w:rPr>
          <w:sz w:val="24"/>
          <w:szCs w:val="24"/>
        </w:rPr>
      </w:pPr>
      <w:r>
        <w:rPr>
          <w:color w:val="000000"/>
          <w:spacing w:val="0"/>
          <w:w w:val="100"/>
          <w:position w:val="0"/>
          <w:sz w:val="24"/>
          <w:szCs w:val="24"/>
        </w:rPr>
        <w:t>(a)</w:t>
        <w:tab/>
      </w:r>
      <w:r>
        <w:rPr>
          <w:rFonts w:ascii="SimSun" w:eastAsia="SimSun" w:hAnsi="SimSun" w:cs="SimSun"/>
          <w:color w:val="000000"/>
          <w:spacing w:val="0"/>
          <w:w w:val="100"/>
          <w:position w:val="0"/>
          <w:sz w:val="24"/>
          <w:szCs w:val="24"/>
        </w:rPr>
        <w:t>子公司</w:t>
      </w:r>
      <w:r>
        <w:rPr>
          <w:color w:val="000000"/>
          <w:spacing w:val="0"/>
          <w:w w:val="100"/>
          <w:position w:val="0"/>
          <w:sz w:val="24"/>
          <w:szCs w:val="24"/>
        </w:rPr>
        <w:t>(</w:t>
      </w:r>
      <w:r>
        <w:rPr>
          <w:rFonts w:ascii="SimSun" w:eastAsia="SimSun" w:hAnsi="SimSun" w:cs="SimSun"/>
          <w:color w:val="000000"/>
          <w:spacing w:val="0"/>
          <w:w w:val="100"/>
          <w:position w:val="0"/>
          <w:sz w:val="24"/>
          <w:szCs w:val="24"/>
        </w:rPr>
        <w:t>续</w:t>
      </w:r>
      <w:r>
        <w:rPr>
          <w:color w:val="000000"/>
          <w:spacing w:val="0"/>
          <w:w w:val="100"/>
          <w:position w:val="0"/>
          <w:sz w:val="24"/>
          <w:szCs w:val="24"/>
        </w:rPr>
        <w:t>)</w:t>
      </w:r>
    </w:p>
    <w:p>
      <w:pPr>
        <w:pStyle w:val="Style25"/>
        <w:keepNext w:val="0"/>
        <w:keepLines w:val="0"/>
        <w:widowControl w:val="0"/>
        <w:shd w:val="clear" w:color="auto" w:fill="auto"/>
        <w:bidi w:val="0"/>
        <w:spacing w:before="0" w:after="0" w:line="240" w:lineRule="auto"/>
        <w:ind w:left="6480" w:right="0" w:firstLine="0"/>
        <w:jc w:val="left"/>
        <w:rPr>
          <w:sz w:val="18"/>
          <w:szCs w:val="18"/>
        </w:rPr>
      </w:pPr>
      <w:r>
        <w:rPr>
          <w:color w:val="000000"/>
          <w:spacing w:val="0"/>
          <w:w w:val="100"/>
          <w:position w:val="0"/>
          <w:sz w:val="18"/>
          <w:szCs w:val="18"/>
        </w:rPr>
        <w:t>本年增减变动</w:t>
      </w:r>
    </w:p>
    <w:tbl>
      <w:tblPr>
        <w:tblOverlap w:val="never"/>
        <w:jc w:val="center"/>
        <w:tblLayout w:type="fixed"/>
      </w:tblPr>
      <w:tblGrid>
        <w:gridCol w:w="3091"/>
        <w:gridCol w:w="1435"/>
        <w:gridCol w:w="1147"/>
        <w:gridCol w:w="1445"/>
        <w:gridCol w:w="1699"/>
        <w:gridCol w:w="1186"/>
        <w:gridCol w:w="1464"/>
        <w:gridCol w:w="1138"/>
        <w:gridCol w:w="1584"/>
      </w:tblGrid>
      <w:tr>
        <w:trPr>
          <w:trHeight w:val="619" w:hRule="exact"/>
        </w:trPr>
        <w:tc>
          <w:tcPr>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8"/>
                <w:szCs w:val="18"/>
              </w:rPr>
              <w:t>年</w:t>
            </w:r>
          </w:p>
          <w:p>
            <w:pPr>
              <w:pStyle w:val="Style28"/>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tc>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追加投资</w:t>
            </w:r>
          </w:p>
        </w:tc>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160" w:firstLine="0"/>
              <w:jc w:val="right"/>
              <w:rPr>
                <w:sz w:val="18"/>
                <w:szCs w:val="18"/>
              </w:rPr>
            </w:pPr>
            <w:r>
              <w:rPr>
                <w:color w:val="000000"/>
                <w:spacing w:val="0"/>
                <w:w w:val="100"/>
                <w:position w:val="0"/>
                <w:sz w:val="18"/>
                <w:szCs w:val="18"/>
              </w:rPr>
              <w:t>减少</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处置投资</w:t>
            </w:r>
          </w:p>
        </w:tc>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计提减值准备</w:t>
            </w:r>
          </w:p>
        </w:tc>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360" w:firstLine="0"/>
              <w:jc w:val="right"/>
              <w:rPr>
                <w:sz w:val="18"/>
                <w:szCs w:val="18"/>
              </w:rPr>
            </w:pPr>
            <w:r>
              <w:rPr>
                <w:color w:val="000000"/>
                <w:spacing w:val="0"/>
                <w:w w:val="100"/>
                <w:position w:val="0"/>
                <w:sz w:val="18"/>
                <w:szCs w:val="18"/>
              </w:rPr>
              <w:t>其他</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8"/>
                <w:szCs w:val="18"/>
              </w:rPr>
              <w:t>年</w:t>
            </w:r>
          </w:p>
          <w:p>
            <w:pPr>
              <w:pStyle w:val="Style28"/>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tc>
        <w:tc>
          <w:tcPr>
            <w:tcBorders/>
            <w:shd w:val="clear" w:color="auto" w:fill="FFFFFF"/>
            <w:vAlign w:val="top"/>
          </w:tcPr>
          <w:p>
            <w:pPr>
              <w:pStyle w:val="Style28"/>
              <w:keepNext w:val="0"/>
              <w:keepLines w:val="0"/>
              <w:widowControl w:val="0"/>
              <w:shd w:val="clear" w:color="auto" w:fill="auto"/>
              <w:bidi w:val="0"/>
              <w:spacing w:before="0" w:after="0" w:line="245" w:lineRule="exact"/>
              <w:ind w:left="0" w:right="0" w:firstLine="0"/>
              <w:jc w:val="right"/>
              <w:rPr>
                <w:sz w:val="18"/>
                <w:szCs w:val="18"/>
              </w:rPr>
            </w:pPr>
            <w:r>
              <w:rPr>
                <w:color w:val="000000"/>
                <w:spacing w:val="0"/>
                <w:w w:val="100"/>
                <w:position w:val="0"/>
                <w:sz w:val="18"/>
                <w:szCs w:val="18"/>
              </w:rPr>
              <w:t>减值准备 年末余额</w:t>
            </w:r>
          </w:p>
        </w:tc>
        <w:tc>
          <w:tcPr>
            <w:tcBorders/>
            <w:shd w:val="clear" w:color="auto" w:fill="FFFFFF"/>
            <w:vAlign w:val="top"/>
          </w:tcPr>
          <w:p>
            <w:pPr>
              <w:pStyle w:val="Style28"/>
              <w:keepNext w:val="0"/>
              <w:keepLines w:val="0"/>
              <w:widowControl w:val="0"/>
              <w:shd w:val="clear" w:color="auto" w:fill="auto"/>
              <w:bidi w:val="0"/>
              <w:spacing w:before="0" w:after="0" w:line="235" w:lineRule="exact"/>
              <w:ind w:left="0" w:right="0" w:firstLine="0"/>
              <w:jc w:val="right"/>
              <w:rPr>
                <w:sz w:val="18"/>
                <w:szCs w:val="18"/>
              </w:rPr>
            </w:pPr>
            <w:r>
              <w:rPr>
                <w:color w:val="000000"/>
                <w:spacing w:val="0"/>
                <w:w w:val="100"/>
                <w:position w:val="0"/>
                <w:sz w:val="18"/>
                <w:szCs w:val="18"/>
              </w:rPr>
              <w:t>本年宣告分派的现 金股利</w:t>
            </w:r>
          </w:p>
        </w:tc>
      </w:tr>
      <w:tr>
        <w:trPr>
          <w:trHeight w:val="418"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芜湖苏宁云商商贸有限公司</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93,898</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282</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94,180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278"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新疆苏宁云商商贸有限公司</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90,788</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5,387</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96,175</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274"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上海嘉定苏宁电器有限公司</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90,000</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90,000</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278"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上海沪申苏宁电器有限公司</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90,000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7,667</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97,667</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274"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合肥高新苏宁销售有限公司</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90,000</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90,000</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278"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成都苏宁云商销售有限公司</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90,000</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90,000</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283"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苏宁保险销售有限公司⑴</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90,000</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(90,000)</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5,861</w:t>
            </w:r>
          </w:p>
        </w:tc>
      </w:tr>
      <w:tr>
        <w:trPr>
          <w:trHeight w:val="278"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芜湖万联智能通卡有限公司</w:t>
            </w:r>
            <w:r>
              <w:rPr>
                <w:rFonts w:ascii="Times New Roman" w:eastAsia="Times New Roman" w:hAnsi="Times New Roman" w:cs="Times New Roman"/>
                <w:color w:val="000000"/>
                <w:spacing w:val="0"/>
                <w:w w:val="100"/>
                <w:position w:val="0"/>
                <w:sz w:val="18"/>
                <w:szCs w:val="18"/>
              </w:rPr>
              <w:t>(1)</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80,388</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(80,000)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260" w:firstLine="0"/>
              <w:jc w:val="right"/>
              <w:rPr>
                <w:sz w:val="18"/>
                <w:szCs w:val="18"/>
              </w:rPr>
            </w:pPr>
            <w:r>
              <w:rPr>
                <w:rFonts w:ascii="Times New Roman" w:eastAsia="Times New Roman" w:hAnsi="Times New Roman" w:cs="Times New Roman"/>
                <w:color w:val="000000"/>
                <w:spacing w:val="0"/>
                <w:w w:val="100"/>
                <w:position w:val="0"/>
                <w:sz w:val="18"/>
                <w:szCs w:val="18"/>
              </w:rPr>
              <w:t>388</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9,644</w:t>
            </w:r>
          </w:p>
        </w:tc>
      </w:tr>
      <w:tr>
        <w:trPr>
          <w:trHeight w:val="288"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重庆苏宁小额贷款有限公司</w:t>
            </w:r>
            <w:r>
              <w:rPr>
                <w:rFonts w:ascii="Times New Roman" w:eastAsia="Times New Roman" w:hAnsi="Times New Roman" w:cs="Times New Roman"/>
                <w:color w:val="000000"/>
                <w:spacing w:val="0"/>
                <w:w w:val="100"/>
                <w:position w:val="0"/>
                <w:sz w:val="18"/>
                <w:szCs w:val="18"/>
              </w:rPr>
              <w:t>(i)</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78,148</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225,000</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(303,148)</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2,251</w:t>
            </w:r>
          </w:p>
        </w:tc>
      </w:tr>
      <w:tr>
        <w:trPr>
          <w:trHeight w:val="254"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SUNING COMMERCE USA INC.</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74,369</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6,514</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80,883</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274"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苏州苏宁云商采购有限公司</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68,400</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68,400</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278"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苏州苏宁云商销售有限公司</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67,043</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67,043</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274"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江西苏宁云商销售有限公司</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62,406</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3,856</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66,262</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278"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宿迁苏宁云商物流有限公司</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58,500</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58,500</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274"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青岛苏宁云商商贸有限公司</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51,670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5,576</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57,246</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274"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江苏昌祺贸易有限公司</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50,393</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50,393</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283"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无锡胜利门苏宁云商销售有限公司</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50,374</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50,374</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274"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苏宁商业保理有限公司</w:t>
            </w:r>
            <w:r>
              <w:rPr>
                <w:rFonts w:ascii="Times New Roman" w:eastAsia="Times New Roman" w:hAnsi="Times New Roman" w:cs="Times New Roman"/>
                <w:color w:val="000000"/>
                <w:spacing w:val="0"/>
                <w:w w:val="100"/>
                <w:position w:val="0"/>
                <w:sz w:val="18"/>
                <w:szCs w:val="18"/>
              </w:rPr>
              <w:t>(i)</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50,058</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1,760,446</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(1,810,504)</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2"/>
        <w:keepNext w:val="0"/>
        <w:keepLines w:val="0"/>
        <w:widowControl w:val="0"/>
        <w:shd w:val="clear" w:color="auto" w:fill="auto"/>
        <w:bidi w:val="0"/>
        <w:spacing w:before="0" w:after="0" w:line="240" w:lineRule="auto"/>
        <w:ind w:left="0" w:right="0" w:firstLine="620"/>
        <w:jc w:val="both"/>
        <w:rPr>
          <w:sz w:val="24"/>
          <w:szCs w:val="24"/>
        </w:rPr>
      </w:pPr>
      <w:r>
        <w:rPr>
          <w:b/>
          <w:bCs/>
          <w:color w:val="000000"/>
          <w:spacing w:val="0"/>
          <w:w w:val="100"/>
          <w:position w:val="0"/>
          <w:sz w:val="24"/>
          <w:szCs w:val="24"/>
        </w:rPr>
        <w:t>财务报表附注</w:t>
      </w:r>
    </w:p>
    <w:p>
      <w:pPr>
        <w:pStyle w:val="Style88"/>
        <w:keepNext/>
        <w:keepLines/>
        <w:widowControl w:val="0"/>
        <w:shd w:val="clear" w:color="auto" w:fill="auto"/>
        <w:bidi w:val="0"/>
        <w:spacing w:before="0" w:after="0" w:line="240" w:lineRule="auto"/>
        <w:ind w:left="0" w:right="0" w:firstLine="620"/>
        <w:jc w:val="both"/>
      </w:pPr>
      <w:bookmarkStart w:id="1201" w:name="bookmark1201"/>
      <w:bookmarkStart w:id="1202" w:name="bookmark1202"/>
      <w:bookmarkStart w:id="1203" w:name="bookmark1203"/>
      <w:r>
        <w:rPr>
          <w:color w:val="000000"/>
          <w:spacing w:val="0"/>
          <w:w w:val="100"/>
          <w:position w:val="0"/>
          <w:sz w:val="24"/>
          <w:szCs w:val="24"/>
        </w:rPr>
        <w:t>2016</w:t>
      </w:r>
      <w:r>
        <w:rPr>
          <w:rFonts w:ascii="SimSun" w:eastAsia="SimSun" w:hAnsi="SimSun" w:cs="SimSun"/>
          <w:b/>
          <w:bCs/>
          <w:color w:val="000000"/>
          <w:spacing w:val="0"/>
          <w:w w:val="100"/>
          <w:position w:val="0"/>
          <w:sz w:val="24"/>
          <w:szCs w:val="24"/>
        </w:rPr>
        <w:t>年度</w:t>
      </w:r>
      <w:bookmarkEnd w:id="1201"/>
      <w:bookmarkEnd w:id="1202"/>
      <w:bookmarkEnd w:id="1203"/>
    </w:p>
    <w:p>
      <w:pPr>
        <w:pStyle w:val="Style32"/>
        <w:keepNext w:val="0"/>
        <w:keepLines w:val="0"/>
        <w:widowControl w:val="0"/>
        <w:shd w:val="clear" w:color="auto" w:fill="auto"/>
        <w:bidi w:val="0"/>
        <w:spacing w:before="0" w:after="0" w:line="240" w:lineRule="auto"/>
        <w:ind w:left="0" w:right="0" w:firstLine="620"/>
        <w:jc w:val="both"/>
        <w:rPr>
          <w:sz w:val="24"/>
          <w:szCs w:val="24"/>
        </w:rPr>
      </w:pPr>
      <w:r>
        <w:rPr>
          <w:rFonts w:ascii="Arial" w:eastAsia="Arial" w:hAnsi="Arial" w:cs="Arial"/>
          <w:color w:val="000000"/>
          <w:spacing w:val="0"/>
          <w:w w:val="100"/>
          <w:position w:val="0"/>
          <w:sz w:val="20"/>
          <w:szCs w:val="20"/>
        </w:rPr>
        <w:t>（</w:t>
      </w:r>
      <w:r>
        <w:rPr>
          <w:color w:val="000000"/>
          <w:spacing w:val="0"/>
          <w:w w:val="100"/>
          <w:position w:val="0"/>
          <w:sz w:val="20"/>
          <w:szCs w:val="20"/>
        </w:rPr>
        <w:t>除特别注明外，金额单位为人民币千元</w:t>
      </w:r>
      <w:r>
        <w:rPr>
          <w:color w:val="000000"/>
          <w:spacing w:val="0"/>
          <w:w w:val="100"/>
          <w:position w:val="0"/>
          <w:sz w:val="24"/>
          <w:szCs w:val="24"/>
        </w:rPr>
        <w:t>）</w:t>
      </w:r>
    </w:p>
    <w:p>
      <w:pPr>
        <w:pStyle w:val="Style134"/>
        <w:keepNext w:val="0"/>
        <w:keepLines w:val="0"/>
        <w:widowControl w:val="0"/>
        <w:shd w:val="clear" w:color="auto" w:fill="auto"/>
        <w:tabs>
          <w:tab w:pos="4357" w:val="left"/>
          <w:tab w:pos="6054" w:val="left"/>
          <w:tab w:pos="7419" w:val="left"/>
          <w:tab w:pos="8859" w:val="left"/>
          <w:tab w:pos="10112" w:val="left"/>
          <w:tab w:pos="11182" w:val="left"/>
        </w:tabs>
        <w:bidi w:val="0"/>
        <w:spacing w:before="0" w:after="0" w:line="240" w:lineRule="auto"/>
        <w:ind w:left="0" w:right="0" w:firstLine="620"/>
        <w:jc w:val="both"/>
      </w:pPr>
      <w:r>
        <w:rPr>
          <w:rFonts w:ascii="SimSun" w:eastAsia="SimSun" w:hAnsi="SimSun" w:cs="SimSun"/>
          <w:color w:val="000000"/>
          <w:spacing w:val="0"/>
          <w:w w:val="100"/>
          <w:position w:val="0"/>
        </w:rPr>
        <w:t>江苏法迪欧电器有限公司</w:t>
        <w:tab/>
      </w:r>
      <w:r>
        <w:rPr>
          <w:color w:val="000000"/>
          <w:spacing w:val="0"/>
          <w:w w:val="100"/>
          <w:position w:val="0"/>
        </w:rPr>
        <w:t>50,000</w:t>
        <w:tab/>
        <w:t>-</w:t>
        <w:tab/>
        <w:t>-</w:t>
        <w:tab/>
        <w:t>-</w:t>
        <w:tab/>
        <w:t>-</w:t>
        <w:tab/>
        <w:t>50,000</w:t>
      </w:r>
    </w:p>
    <w:p>
      <w:pPr>
        <w:pStyle w:val="Style134"/>
        <w:keepNext w:val="0"/>
        <w:keepLines w:val="0"/>
        <w:widowControl w:val="0"/>
        <w:shd w:val="clear" w:color="auto" w:fill="auto"/>
        <w:tabs>
          <w:tab w:pos="4357" w:val="left"/>
          <w:tab w:pos="5794" w:val="left"/>
          <w:tab w:pos="7419" w:val="left"/>
          <w:tab w:pos="8859" w:val="left"/>
          <w:tab w:pos="10112" w:val="left"/>
          <w:tab w:pos="11182" w:val="left"/>
        </w:tabs>
        <w:bidi w:val="0"/>
        <w:spacing w:before="0" w:after="460" w:line="240" w:lineRule="auto"/>
        <w:ind w:left="0" w:right="0" w:firstLine="620"/>
        <w:jc w:val="both"/>
      </w:pPr>
      <w:r>
        <w:rPr>
          <w:rFonts w:ascii="SimSun" w:eastAsia="SimSun" w:hAnsi="SimSun" w:cs="SimSun"/>
          <w:color w:val="000000"/>
          <w:spacing w:val="0"/>
          <w:w w:val="100"/>
          <w:position w:val="0"/>
        </w:rPr>
        <w:t>厦门苏宁云商销售有限公司</w:t>
        <w:tab/>
      </w:r>
      <w:r>
        <w:rPr>
          <w:color w:val="000000"/>
          <w:spacing w:val="0"/>
          <w:w w:val="100"/>
          <w:position w:val="0"/>
        </w:rPr>
        <w:t>49,948</w:t>
        <w:tab/>
        <w:t>212</w:t>
        <w:tab/>
        <w:t>-</w:t>
        <w:tab/>
        <w:t>-</w:t>
        <w:tab/>
        <w:t>-</w:t>
        <w:tab/>
        <w:t>50,160</w:t>
      </w:r>
    </w:p>
    <w:p>
      <w:pPr>
        <w:pStyle w:val="Style32"/>
        <w:keepNext w:val="0"/>
        <w:keepLines w:val="0"/>
        <w:widowControl w:val="0"/>
        <w:shd w:val="clear" w:color="auto" w:fill="auto"/>
        <w:bidi w:val="0"/>
        <w:spacing w:before="0" w:after="260" w:line="240" w:lineRule="auto"/>
        <w:ind w:left="0" w:right="0" w:firstLine="0"/>
        <w:jc w:val="left"/>
        <w:rPr>
          <w:sz w:val="24"/>
          <w:szCs w:val="24"/>
        </w:rPr>
      </w:pPr>
      <w:r>
        <w:rPr>
          <w:b/>
          <w:bCs/>
          <w:color w:val="000000"/>
          <w:spacing w:val="0"/>
          <w:w w:val="100"/>
          <w:position w:val="0"/>
          <w:sz w:val="24"/>
          <w:szCs w:val="24"/>
        </w:rPr>
        <w:t>十七公司财务报表附注</w:t>
      </w:r>
      <w:r>
        <w:rPr>
          <w:rFonts w:ascii="Times New Roman" w:eastAsia="Times New Roman" w:hAnsi="Times New Roman" w:cs="Times New Roman"/>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4"/>
          <w:szCs w:val="24"/>
        </w:rPr>
        <w:t>）</w:t>
      </w:r>
    </w:p>
    <w:p>
      <w:pPr>
        <w:pStyle w:val="Style32"/>
        <w:keepNext w:val="0"/>
        <w:keepLines w:val="0"/>
        <w:widowControl w:val="0"/>
        <w:shd w:val="clear" w:color="auto" w:fill="auto"/>
        <w:bidi w:val="0"/>
        <w:spacing w:before="0" w:after="26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（3）</w:t>
      </w:r>
      <w:r>
        <w:rPr>
          <w:b/>
          <w:bCs/>
          <w:color w:val="000000"/>
          <w:spacing w:val="0"/>
          <w:w w:val="100"/>
          <w:position w:val="0"/>
          <w:sz w:val="24"/>
          <w:szCs w:val="24"/>
        </w:rPr>
        <w:t>长期股权投资</w:t>
      </w:r>
      <w:r>
        <w:rPr>
          <w:rFonts w:ascii="Times New Roman" w:eastAsia="Times New Roman" w:hAnsi="Times New Roman" w:cs="Times New Roman"/>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4"/>
          <w:szCs w:val="24"/>
        </w:rPr>
        <w:t>）</w:t>
      </w:r>
    </w:p>
    <w:p>
      <w:pPr>
        <w:pStyle w:val="Style53"/>
        <w:keepNext w:val="0"/>
        <w:keepLines w:val="0"/>
        <w:widowControl w:val="0"/>
        <w:shd w:val="clear" w:color="auto" w:fill="auto"/>
        <w:tabs>
          <w:tab w:pos="557" w:val="left"/>
        </w:tabs>
        <w:bidi w:val="0"/>
        <w:spacing w:before="0" w:after="260" w:line="240" w:lineRule="auto"/>
        <w:ind w:left="0" w:right="0" w:firstLine="0"/>
        <w:jc w:val="left"/>
        <w:rPr>
          <w:sz w:val="24"/>
          <w:szCs w:val="24"/>
        </w:rPr>
      </w:pPr>
      <w:r>
        <w:rPr>
          <w:color w:val="000000"/>
          <w:spacing w:val="0"/>
          <w:w w:val="100"/>
          <w:position w:val="0"/>
          <w:sz w:val="24"/>
          <w:szCs w:val="24"/>
        </w:rPr>
        <w:t>（a）</w:t>
        <w:tab/>
      </w:r>
      <w:r>
        <w:rPr>
          <w:rFonts w:ascii="SimSun" w:eastAsia="SimSun" w:hAnsi="SimSun" w:cs="SimSun"/>
          <w:color w:val="000000"/>
          <w:spacing w:val="0"/>
          <w:w w:val="100"/>
          <w:position w:val="0"/>
          <w:sz w:val="24"/>
          <w:szCs w:val="24"/>
        </w:rPr>
        <w:t>子公司</w:t>
      </w:r>
      <w:r>
        <w:rPr>
          <w:color w:val="000000"/>
          <w:spacing w:val="0"/>
          <w:w w:val="100"/>
          <w:position w:val="0"/>
          <w:sz w:val="24"/>
          <w:szCs w:val="24"/>
        </w:rPr>
        <w:t>（</w:t>
      </w:r>
      <w:r>
        <w:rPr>
          <w:rFonts w:ascii="SimSun" w:eastAsia="SimSun" w:hAnsi="SimSun" w:cs="SimSun"/>
          <w:color w:val="000000"/>
          <w:spacing w:val="0"/>
          <w:w w:val="100"/>
          <w:position w:val="0"/>
          <w:sz w:val="24"/>
          <w:szCs w:val="24"/>
        </w:rPr>
        <w:t>续</w:t>
      </w:r>
      <w:r>
        <w:rPr>
          <w:rFonts w:ascii="SimSun" w:eastAsia="SimSun" w:hAnsi="SimSun" w:cs="SimSun"/>
          <w:color w:val="000000"/>
          <w:spacing w:val="0"/>
          <w:w w:val="100"/>
          <w:position w:val="0"/>
          <w:sz w:val="24"/>
          <w:szCs w:val="24"/>
        </w:rPr>
        <w:t>）</w:t>
      </w:r>
    </w:p>
    <w:p>
      <w:pPr>
        <w:pStyle w:val="Style25"/>
        <w:keepNext w:val="0"/>
        <w:keepLines w:val="0"/>
        <w:widowControl w:val="0"/>
        <w:shd w:val="clear" w:color="auto" w:fill="auto"/>
        <w:bidi w:val="0"/>
        <w:spacing w:before="0" w:after="0" w:line="240" w:lineRule="auto"/>
        <w:ind w:left="6115" w:right="0" w:firstLine="0"/>
        <w:jc w:val="left"/>
        <w:rPr>
          <w:sz w:val="18"/>
          <w:szCs w:val="18"/>
        </w:rPr>
      </w:pPr>
      <w:r>
        <w:rPr>
          <w:color w:val="000000"/>
          <w:spacing w:val="0"/>
          <w:w w:val="100"/>
          <w:position w:val="0"/>
          <w:sz w:val="18"/>
          <w:szCs w:val="18"/>
        </w:rPr>
        <w:t>本年增减变动</w:t>
      </w:r>
    </w:p>
    <w:tbl>
      <w:tblPr>
        <w:tblOverlap w:val="never"/>
        <w:jc w:val="center"/>
        <w:tblLayout w:type="fixed"/>
      </w:tblPr>
      <w:tblGrid>
        <w:gridCol w:w="2827"/>
        <w:gridCol w:w="1339"/>
        <w:gridCol w:w="1162"/>
        <w:gridCol w:w="1459"/>
        <w:gridCol w:w="1651"/>
        <w:gridCol w:w="1128"/>
        <w:gridCol w:w="1402"/>
        <w:gridCol w:w="1085"/>
        <w:gridCol w:w="1555"/>
      </w:tblGrid>
      <w:tr>
        <w:trPr>
          <w:trHeight w:val="634"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8"/>
                <w:szCs w:val="18"/>
              </w:rPr>
              <w:t>年</w:t>
            </w:r>
          </w:p>
          <w:p>
            <w:pPr>
              <w:pStyle w:val="Style28"/>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tc>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追加投资</w:t>
            </w:r>
          </w:p>
        </w:tc>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140" w:firstLine="0"/>
              <w:jc w:val="right"/>
              <w:rPr>
                <w:sz w:val="18"/>
                <w:szCs w:val="18"/>
              </w:rPr>
            </w:pPr>
            <w:r>
              <w:rPr>
                <w:color w:val="000000"/>
                <w:spacing w:val="0"/>
                <w:w w:val="100"/>
                <w:position w:val="0"/>
                <w:sz w:val="18"/>
                <w:szCs w:val="18"/>
              </w:rPr>
              <w:t>减少</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处置投资</w:t>
            </w:r>
          </w:p>
        </w:tc>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计提减值准备</w:t>
            </w:r>
          </w:p>
        </w:tc>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320" w:firstLine="0"/>
              <w:jc w:val="right"/>
              <w:rPr>
                <w:sz w:val="18"/>
                <w:szCs w:val="18"/>
              </w:rPr>
            </w:pPr>
            <w:r>
              <w:rPr>
                <w:color w:val="000000"/>
                <w:spacing w:val="0"/>
                <w:w w:val="100"/>
                <w:position w:val="0"/>
                <w:sz w:val="18"/>
                <w:szCs w:val="18"/>
              </w:rPr>
              <w:t>其他</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8"/>
                <w:szCs w:val="18"/>
              </w:rPr>
              <w:t>年</w:t>
            </w:r>
          </w:p>
          <w:p>
            <w:pPr>
              <w:pStyle w:val="Style28"/>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tc>
        <w:tc>
          <w:tcPr>
            <w:tcBorders/>
            <w:shd w:val="clear" w:color="auto" w:fill="FFFFFF"/>
            <w:vAlign w:val="top"/>
          </w:tcPr>
          <w:p>
            <w:pPr>
              <w:pStyle w:val="Style28"/>
              <w:keepNext w:val="0"/>
              <w:keepLines w:val="0"/>
              <w:widowControl w:val="0"/>
              <w:shd w:val="clear" w:color="auto" w:fill="auto"/>
              <w:bidi w:val="0"/>
              <w:spacing w:before="0" w:after="0" w:line="245" w:lineRule="exact"/>
              <w:ind w:left="0" w:right="0" w:firstLine="0"/>
              <w:jc w:val="right"/>
              <w:rPr>
                <w:sz w:val="18"/>
                <w:szCs w:val="18"/>
              </w:rPr>
            </w:pPr>
            <w:r>
              <w:rPr>
                <w:color w:val="000000"/>
                <w:spacing w:val="0"/>
                <w:w w:val="100"/>
                <w:position w:val="0"/>
                <w:sz w:val="18"/>
                <w:szCs w:val="18"/>
              </w:rPr>
              <w:t>减值准备 年末余额</w:t>
            </w:r>
          </w:p>
        </w:tc>
        <w:tc>
          <w:tcPr>
            <w:tcBorders/>
            <w:shd w:val="clear" w:color="auto" w:fill="FFFFFF"/>
            <w:vAlign w:val="top"/>
          </w:tcPr>
          <w:p>
            <w:pPr>
              <w:pStyle w:val="Style28"/>
              <w:keepNext w:val="0"/>
              <w:keepLines w:val="0"/>
              <w:widowControl w:val="0"/>
              <w:shd w:val="clear" w:color="auto" w:fill="auto"/>
              <w:bidi w:val="0"/>
              <w:spacing w:before="0" w:after="0" w:line="235" w:lineRule="exact"/>
              <w:ind w:left="0" w:right="0" w:firstLine="0"/>
              <w:jc w:val="right"/>
              <w:rPr>
                <w:sz w:val="18"/>
                <w:szCs w:val="18"/>
              </w:rPr>
            </w:pPr>
            <w:r>
              <w:rPr>
                <w:color w:val="000000"/>
                <w:spacing w:val="0"/>
                <w:w w:val="100"/>
                <w:position w:val="0"/>
                <w:sz w:val="18"/>
                <w:szCs w:val="18"/>
              </w:rPr>
              <w:t>本年宣告分派的现 金股利</w:t>
            </w:r>
          </w:p>
        </w:tc>
      </w:tr>
      <w:tr>
        <w:trPr>
          <w:trHeight w:val="413"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贵阳苏宁云商销售有限公司</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48,969</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2,660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14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51,629</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278"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淮安苏宁云商销售有限公司</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48,551</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48,551</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278"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广西苏宁云商销售有限公司</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45,567</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20,116</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65,683</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278"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甘肃苏宁云商销售有限公司</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44,208</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5,669</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49,877</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274"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河南苏宁云商销售有限公司</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43,912</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96,014</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139,926</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274"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大同苏宁云商销售有限公司</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39,844</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39,844</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278"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南通苏宁云商销售有限公司</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39,777</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39,777</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278"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哈尔滨苏宁云商销售有限公司</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37,069</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2,321</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39,390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274"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石家庄苏宁云商商贸有限公司</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35,940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1,569</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37,509</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274"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内蒙古苏宁云商销售有限公司</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35,044</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35,044</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278"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唐山唐宁苏宁云商销售有限公司</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32,260</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32,260</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278"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无锡市苏宁云商销售有限公司</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32,184</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8,829</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41,013</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274"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盐城苏宁云商销售有限公司</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32,148</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2,805</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34,953</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90" w:hRule="exact"/>
        </w:trPr>
        <w:tc>
          <w:tcPr>
            <w:tcBorders/>
            <w:shd w:val="clear" w:color="auto" w:fill="FFFFFF"/>
            <w:vAlign w:val="bottom"/>
          </w:tcPr>
          <w:p>
            <w:pPr>
              <w:pStyle w:val="Style28"/>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石家庄石宁苏宁贸易有限公司 苏宁云商集团南京苏宁易购投资</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31,500</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50,000</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81,500</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254"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有限公司</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30,600</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30,600</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269"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海南苏宁云商商贸有限公司</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30,384</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30,384</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line="1" w:lineRule="exact"/>
      </w:pPr>
      <w:r>
        <w:br w:type="page"/>
      </w:r>
    </w:p>
    <w:p>
      <w:pPr>
        <w:pStyle w:val="Style25"/>
        <w:keepNext w:val="0"/>
        <w:keepLines w:val="0"/>
        <w:widowControl w:val="0"/>
        <w:shd w:val="clear" w:color="auto" w:fill="auto"/>
        <w:bidi w:val="0"/>
        <w:spacing w:before="0" w:after="0" w:line="240" w:lineRule="auto"/>
        <w:ind w:left="542" w:right="0" w:firstLine="0"/>
        <w:jc w:val="left"/>
        <w:rPr>
          <w:sz w:val="24"/>
          <w:szCs w:val="24"/>
        </w:rPr>
      </w:pPr>
      <w:r>
        <w:rPr>
          <w:b/>
          <w:bCs/>
          <w:color w:val="000000"/>
          <w:spacing w:val="0"/>
          <w:w w:val="100"/>
          <w:position w:val="0"/>
          <w:sz w:val="24"/>
          <w:szCs w:val="24"/>
        </w:rPr>
        <w:t>财务报表附注</w:t>
      </w:r>
    </w:p>
    <w:p>
      <w:pPr>
        <w:pStyle w:val="Style25"/>
        <w:keepNext w:val="0"/>
        <w:keepLines w:val="0"/>
        <w:widowControl w:val="0"/>
        <w:shd w:val="clear" w:color="auto" w:fill="auto"/>
        <w:bidi w:val="0"/>
        <w:spacing w:before="0" w:after="0" w:line="240" w:lineRule="auto"/>
        <w:ind w:left="542" w:right="0" w:firstLine="0"/>
        <w:jc w:val="left"/>
        <w:rPr>
          <w:sz w:val="24"/>
          <w:szCs w:val="24"/>
        </w:rPr>
      </w:pPr>
      <w:r>
        <w:rPr>
          <w:rFonts w:ascii="Arial" w:eastAsia="Arial" w:hAnsi="Arial" w:cs="Arial"/>
          <w:color w:val="000000"/>
          <w:spacing w:val="0"/>
          <w:w w:val="100"/>
          <w:position w:val="0"/>
          <w:sz w:val="24"/>
          <w:szCs w:val="24"/>
        </w:rPr>
        <w:t>2016</w:t>
      </w:r>
      <w:r>
        <w:rPr>
          <w:b/>
          <w:bCs/>
          <w:color w:val="000000"/>
          <w:spacing w:val="0"/>
          <w:w w:val="100"/>
          <w:position w:val="0"/>
          <w:sz w:val="24"/>
          <w:szCs w:val="24"/>
        </w:rPr>
        <w:t>年度</w:t>
      </w:r>
    </w:p>
    <w:p>
      <w:pPr>
        <w:pStyle w:val="Style25"/>
        <w:keepNext w:val="0"/>
        <w:keepLines w:val="0"/>
        <w:widowControl w:val="0"/>
        <w:shd w:val="clear" w:color="auto" w:fill="auto"/>
        <w:bidi w:val="0"/>
        <w:spacing w:before="0" w:after="0" w:line="240" w:lineRule="auto"/>
        <w:ind w:left="542" w:right="0" w:firstLine="0"/>
        <w:jc w:val="left"/>
        <w:rPr>
          <w:sz w:val="20"/>
          <w:szCs w:val="20"/>
        </w:rPr>
      </w:pPr>
      <w:r>
        <w:rPr>
          <w:rFonts w:ascii="Arial" w:eastAsia="Arial" w:hAnsi="Arial" w:cs="Arial"/>
          <w:color w:val="000000"/>
          <w:spacing w:val="0"/>
          <w:w w:val="100"/>
          <w:position w:val="0"/>
          <w:sz w:val="20"/>
          <w:szCs w:val="20"/>
        </w:rPr>
        <w:t>（</w:t>
      </w:r>
      <w:r>
        <w:rPr>
          <w:color w:val="000000"/>
          <w:spacing w:val="0"/>
          <w:w w:val="100"/>
          <w:position w:val="0"/>
          <w:sz w:val="20"/>
          <w:szCs w:val="20"/>
        </w:rPr>
        <w:t>除特别注明外，金额单位为人民币千元</w:t>
      </w:r>
      <w:r>
        <w:rPr>
          <w:rFonts w:ascii="Arial" w:eastAsia="Arial" w:hAnsi="Arial" w:cs="Arial"/>
          <w:color w:val="000000"/>
          <w:spacing w:val="0"/>
          <w:w w:val="100"/>
          <w:position w:val="0"/>
          <w:sz w:val="20"/>
          <w:szCs w:val="20"/>
        </w:rPr>
        <w:t>）</w:t>
      </w:r>
    </w:p>
    <w:tbl>
      <w:tblPr>
        <w:tblOverlap w:val="never"/>
        <w:jc w:val="center"/>
        <w:tblLayout w:type="fixed"/>
      </w:tblPr>
      <w:tblGrid>
        <w:gridCol w:w="542"/>
        <w:gridCol w:w="2885"/>
        <w:gridCol w:w="1315"/>
        <w:gridCol w:w="1195"/>
        <w:gridCol w:w="2208"/>
        <w:gridCol w:w="888"/>
        <w:gridCol w:w="1128"/>
        <w:gridCol w:w="1402"/>
        <w:gridCol w:w="1080"/>
        <w:gridCol w:w="1555"/>
      </w:tblGrid>
      <w:tr>
        <w:trPr>
          <w:trHeight w:val="254"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湖南苏宁先锋电子有限公司</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27,000</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27,000</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278"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常州苏宁云商商贸有限公司</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26,511</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2,597</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29,108</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274"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山西苏宁云商销售有限公司</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25,614</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1,407</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27,021</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79"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山东苏宁云商销售有限公司</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24,685</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26,052</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50,737</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562"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4"/>
                <w:szCs w:val="24"/>
              </w:rPr>
            </w:pPr>
            <w:r>
              <w:rPr>
                <w:b/>
                <w:bCs/>
                <w:color w:val="000000"/>
                <w:spacing w:val="0"/>
                <w:w w:val="100"/>
                <w:position w:val="0"/>
                <w:sz w:val="24"/>
                <w:szCs w:val="24"/>
              </w:rPr>
              <w:t>十七</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公司财务报表附注</w:t>
            </w:r>
            <w:r>
              <w:rPr>
                <w:rFonts w:ascii="Times New Roman" w:eastAsia="Times New Roman" w:hAnsi="Times New Roman" w:cs="Times New Roman"/>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4"/>
                <w:szCs w:val="24"/>
              </w:rPr>
              <w: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586"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⑶</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长期股权投资</w:t>
            </w:r>
            <w:r>
              <w:rPr>
                <w:rFonts w:ascii="Times New Roman" w:eastAsia="Times New Roman" w:hAnsi="Times New Roman" w:cs="Times New Roman"/>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4"/>
                <w:szCs w:val="24"/>
              </w:rPr>
              <w: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955" w:hRule="exact"/>
        </w:trPr>
        <w:tc>
          <w:tcPr>
            <w:tcBorders/>
            <w:shd w:val="clear" w:color="auto" w:fill="FFFFFF"/>
            <w:vAlign w:val="top"/>
          </w:tcPr>
          <w:p>
            <w:pPr>
              <w:pStyle w:val="Style28"/>
              <w:keepNext w:val="0"/>
              <w:keepLines w:val="0"/>
              <w:widowControl w:val="0"/>
              <w:shd w:val="clear" w:color="auto" w:fill="auto"/>
              <w:bidi w:val="0"/>
              <w:spacing w:before="100" w:after="0" w:line="240" w:lineRule="auto"/>
              <w:ind w:left="0" w:right="0" w:firstLine="0"/>
              <w:jc w:val="both"/>
              <w:rPr>
                <w:sz w:val="24"/>
                <w:szCs w:val="24"/>
              </w:rPr>
            </w:pPr>
            <w:r>
              <w:rPr>
                <w:rFonts w:ascii="Times New Roman" w:eastAsia="Times New Roman" w:hAnsi="Times New Roman" w:cs="Times New Roman"/>
                <w:color w:val="000000"/>
                <w:spacing w:val="0"/>
                <w:w w:val="100"/>
                <w:position w:val="0"/>
                <w:sz w:val="24"/>
                <w:szCs w:val="24"/>
              </w:rPr>
              <w:t>(a)</w:t>
            </w:r>
          </w:p>
        </w:tc>
        <w:tc>
          <w:tcPr>
            <w:tcBorders/>
            <w:shd w:val="clear" w:color="auto" w:fill="FFFFFF"/>
            <w:vAlign w:val="top"/>
          </w:tcPr>
          <w:p>
            <w:pPr>
              <w:pStyle w:val="Style28"/>
              <w:keepNext w:val="0"/>
              <w:keepLines w:val="0"/>
              <w:widowControl w:val="0"/>
              <w:shd w:val="clear" w:color="auto" w:fill="auto"/>
              <w:bidi w:val="0"/>
              <w:spacing w:before="120" w:after="0" w:line="240" w:lineRule="auto"/>
              <w:ind w:left="0" w:right="0" w:firstLine="0"/>
              <w:jc w:val="left"/>
              <w:rPr>
                <w:sz w:val="24"/>
                <w:szCs w:val="24"/>
              </w:rPr>
            </w:pPr>
            <w:r>
              <w:rPr>
                <w:color w:val="000000"/>
                <w:spacing w:val="0"/>
                <w:w w:val="100"/>
                <w:position w:val="0"/>
                <w:sz w:val="24"/>
                <w:szCs w:val="24"/>
              </w:rPr>
              <w:t>子公司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续</w:t>
            </w:r>
            <w:r>
              <w:rPr>
                <w:color w:val="000000"/>
                <w:spacing w:val="0"/>
                <w:w w:val="100"/>
                <w:position w:val="0"/>
                <w:sz w:val="24"/>
                <w:szCs w:val="24"/>
              </w:rPr>
              <w: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本年增减变动</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35"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8"/>
                <w:szCs w:val="18"/>
              </w:rPr>
              <w:t>年</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8"/>
                <w:szCs w:val="18"/>
              </w:rPr>
              <w:t>年</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减值准备</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本年宣告分派的现</w:t>
            </w:r>
          </w:p>
        </w:tc>
      </w:tr>
      <w:tr>
        <w:trPr>
          <w:trHeight w:val="394"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追加投资</w:t>
            </w:r>
          </w:p>
        </w:tc>
        <w:tc>
          <w:tcPr>
            <w:gridSpan w:val="2"/>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减少</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处置投资计提减值准备</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320" w:firstLine="0"/>
              <w:jc w:val="right"/>
              <w:rPr>
                <w:sz w:val="18"/>
                <w:szCs w:val="18"/>
              </w:rPr>
            </w:pPr>
            <w:r>
              <w:rPr>
                <w:color w:val="000000"/>
                <w:spacing w:val="0"/>
                <w:w w:val="100"/>
                <w:position w:val="0"/>
                <w:sz w:val="18"/>
                <w:szCs w:val="18"/>
              </w:rPr>
              <w:t>其他</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年末余额</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金股利</w:t>
            </w:r>
          </w:p>
        </w:tc>
      </w:tr>
      <w:tr>
        <w:trPr>
          <w:trHeight w:val="418"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云南苏宁云商销售有限公司</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23,895</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4,752</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28,647</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278"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西宁苏宁云商销售有限公司</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21,600</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21,600</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274"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宁波甬宁苏宁云商销售有限公司</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21,350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2,854</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24,204</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85"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包头苏宁云商销售有限公司 南京苏宁基金销售有限公司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原</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20,445</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20,445</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504"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8"/>
              <w:keepNext w:val="0"/>
              <w:keepLines w:val="0"/>
              <w:widowControl w:val="0"/>
              <w:shd w:val="clear" w:color="auto" w:fill="auto"/>
              <w:bidi w:val="0"/>
              <w:spacing w:before="0" w:after="0" w:line="226" w:lineRule="exact"/>
              <w:ind w:left="240" w:right="0" w:firstLine="0"/>
              <w:jc w:val="left"/>
              <w:rPr>
                <w:sz w:val="18"/>
                <w:szCs w:val="18"/>
              </w:rPr>
            </w:pPr>
            <w:r>
              <w:rPr>
                <w:color w:val="000000"/>
                <w:spacing w:val="0"/>
                <w:w w:val="100"/>
                <w:position w:val="0"/>
                <w:sz w:val="18"/>
                <w:szCs w:val="18"/>
              </w:rPr>
              <w:t>名</w:t>
            </w:r>
            <w:r>
              <w:rPr>
                <w:color w:val="000000"/>
                <w:spacing w:val="0"/>
                <w:w w:val="100"/>
                <w:position w:val="0"/>
                <w:sz w:val="18"/>
                <w:szCs w:val="18"/>
              </w:rPr>
              <w:t>''</w:t>
            </w:r>
            <w:r>
              <w:rPr>
                <w:color w:val="000000"/>
                <w:spacing w:val="0"/>
                <w:w w:val="100"/>
                <w:position w:val="0"/>
                <w:sz w:val="18"/>
                <w:szCs w:val="18"/>
              </w:rPr>
              <w:t>南京苏宁易之富电子商务 有限公司</w:t>
            </w:r>
            <w:r>
              <w:rPr>
                <w:rFonts w:ascii="Times New Roman" w:eastAsia="Times New Roman" w:hAnsi="Times New Roman" w:cs="Times New Roman"/>
                <w:color w:val="000000"/>
                <w:spacing w:val="0"/>
                <w:w w:val="100"/>
                <w:position w:val="0"/>
                <w:sz w:val="18"/>
                <w:szCs w:val="18"/>
              </w:rPr>
              <w:t>”）（i）</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20,000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(20,000)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300" w:firstLine="0"/>
              <w:jc w:val="right"/>
              <w:rPr>
                <w:sz w:val="18"/>
                <w:szCs w:val="18"/>
              </w:rPr>
            </w:pPr>
            <w:r>
              <w:rPr>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264"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宜兴市苏宁云商销售有限公司</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20,000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12,788</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32,788</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274"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日照苏宁云商销售有限公司</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20,000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20,000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278"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江苏酷博睿电器有限公司</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20,000</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20,000</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283"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湖南苏宁采购有限公司</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20,000</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50,000</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70,000</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269"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江阴市苏宁云商销售有限公司</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18,720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6,808</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25,528</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278"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大庆苏宁云商销售有限公司</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18,315</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3,087</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21,402</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274"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广西苏宁电器采购有限公司</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18,000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40,000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58,000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278"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济宁苏宁云商商贸有限公司</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17,554</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10,888</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28,442</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264"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烟台苏宁云商商贸有限公司</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16,550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3,844</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20,394</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line="1" w:lineRule="exact"/>
      </w:pPr>
      <w:r>
        <w:br w:type="page"/>
      </w:r>
    </w:p>
    <w:p>
      <w:pPr>
        <w:pStyle w:val="Style25"/>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财务报表附注</w:t>
      </w:r>
    </w:p>
    <w:p>
      <w:pPr>
        <w:pStyle w:val="Style25"/>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color w:val="000000"/>
          <w:spacing w:val="0"/>
          <w:w w:val="100"/>
          <w:position w:val="0"/>
          <w:sz w:val="24"/>
          <w:szCs w:val="24"/>
        </w:rPr>
        <w:t>2016</w:t>
      </w:r>
      <w:r>
        <w:rPr>
          <w:b/>
          <w:bCs/>
          <w:color w:val="000000"/>
          <w:spacing w:val="0"/>
          <w:w w:val="100"/>
          <w:position w:val="0"/>
          <w:sz w:val="24"/>
          <w:szCs w:val="24"/>
        </w:rPr>
        <w:t>年度</w:t>
      </w:r>
    </w:p>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w:t>
      </w:r>
      <w:r>
        <w:rPr>
          <w:color w:val="000000"/>
          <w:spacing w:val="0"/>
          <w:w w:val="100"/>
          <w:position w:val="0"/>
          <w:sz w:val="20"/>
          <w:szCs w:val="20"/>
        </w:rPr>
        <w:t>除特别注明外，金额单位为人民币千元</w:t>
      </w:r>
      <w:r>
        <w:rPr>
          <w:rFonts w:ascii="Arial" w:eastAsia="Arial" w:hAnsi="Arial" w:cs="Arial"/>
          <w:color w:val="000000"/>
          <w:spacing w:val="0"/>
          <w:w w:val="100"/>
          <w:position w:val="0"/>
          <w:sz w:val="20"/>
          <w:szCs w:val="20"/>
        </w:rPr>
        <w:t>)</w:t>
      </w:r>
    </w:p>
    <w:tbl>
      <w:tblPr>
        <w:tblOverlap w:val="never"/>
        <w:jc w:val="center"/>
        <w:tblLayout w:type="fixed"/>
      </w:tblPr>
      <w:tblGrid>
        <w:gridCol w:w="2880"/>
        <w:gridCol w:w="1368"/>
        <w:gridCol w:w="1637"/>
        <w:gridCol w:w="1411"/>
        <w:gridCol w:w="1282"/>
        <w:gridCol w:w="1066"/>
        <w:gridCol w:w="1642"/>
        <w:gridCol w:w="1440"/>
        <w:gridCol w:w="874"/>
      </w:tblGrid>
      <w:tr>
        <w:trPr>
          <w:trHeight w:val="254"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宁夏苏宁云商销售有限公司</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16,380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5,206</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21,586</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274"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上饶市苏宁云商销售有限公司</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15,390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5,202</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20,592</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283"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眉山苏宁采购有限公司</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100,000</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110,000</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264"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兰州苏宁采购有限公司</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9,000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50,000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59,000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419" w:line="1" w:lineRule="exact"/>
      </w:pPr>
    </w:p>
    <w:p>
      <w:pPr>
        <w:pStyle w:val="Style32"/>
        <w:keepNext w:val="0"/>
        <w:keepLines w:val="0"/>
        <w:widowControl w:val="0"/>
        <w:shd w:val="clear" w:color="auto" w:fill="auto"/>
        <w:bidi w:val="0"/>
        <w:spacing w:before="0" w:after="260" w:line="240" w:lineRule="auto"/>
        <w:ind w:left="0" w:right="0" w:firstLine="0"/>
        <w:jc w:val="left"/>
        <w:rPr>
          <w:sz w:val="24"/>
          <w:szCs w:val="24"/>
        </w:rPr>
      </w:pPr>
      <w:r>
        <w:rPr>
          <w:b/>
          <w:bCs/>
          <w:color w:val="000000"/>
          <w:spacing w:val="0"/>
          <w:w w:val="100"/>
          <w:position w:val="0"/>
          <w:sz w:val="24"/>
          <w:szCs w:val="24"/>
        </w:rPr>
        <w:t>十七公司财务报表附注</w:t>
      </w:r>
      <w:r>
        <w:rPr>
          <w:rFonts w:ascii="Times New Roman" w:eastAsia="Times New Roman" w:hAnsi="Times New Roman" w:cs="Times New Roman"/>
          <w:color w:val="000000"/>
          <w:spacing w:val="0"/>
          <w:w w:val="100"/>
          <w:position w:val="0"/>
          <w:sz w:val="24"/>
          <w:szCs w:val="24"/>
        </w:rPr>
        <w:t>(</w:t>
      </w:r>
      <w:r>
        <w:rPr>
          <w:b/>
          <w:bCs/>
          <w:color w:val="000000"/>
          <w:spacing w:val="0"/>
          <w:w w:val="100"/>
          <w:position w:val="0"/>
          <w:sz w:val="24"/>
          <w:szCs w:val="24"/>
        </w:rPr>
        <w:t>续</w:t>
      </w:r>
      <w:r>
        <w:rPr>
          <w:rFonts w:ascii="Times New Roman" w:eastAsia="Times New Roman" w:hAnsi="Times New Roman" w:cs="Times New Roman"/>
          <w:color w:val="000000"/>
          <w:spacing w:val="0"/>
          <w:w w:val="100"/>
          <w:position w:val="0"/>
          <w:sz w:val="24"/>
          <w:szCs w:val="24"/>
        </w:rPr>
        <w:t>)</w:t>
      </w:r>
    </w:p>
    <w:p>
      <w:pPr>
        <w:pStyle w:val="Style32"/>
        <w:keepNext w:val="0"/>
        <w:keepLines w:val="0"/>
        <w:widowControl w:val="0"/>
        <w:shd w:val="clear" w:color="auto" w:fill="auto"/>
        <w:bidi w:val="0"/>
        <w:spacing w:before="0" w:after="26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(3)</w:t>
      </w:r>
      <w:r>
        <w:rPr>
          <w:b/>
          <w:bCs/>
          <w:color w:val="000000"/>
          <w:spacing w:val="0"/>
          <w:w w:val="100"/>
          <w:position w:val="0"/>
          <w:sz w:val="24"/>
          <w:szCs w:val="24"/>
        </w:rPr>
        <w:t>长期股权投资</w:t>
      </w:r>
      <w:r>
        <w:rPr>
          <w:rFonts w:ascii="Times New Roman" w:eastAsia="Times New Roman" w:hAnsi="Times New Roman" w:cs="Times New Roman"/>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4"/>
          <w:szCs w:val="24"/>
        </w:rPr>
        <w:t>)</w:t>
      </w:r>
    </w:p>
    <w:p>
      <w:pPr>
        <w:pStyle w:val="Style53"/>
        <w:keepNext w:val="0"/>
        <w:keepLines w:val="0"/>
        <w:widowControl w:val="0"/>
        <w:shd w:val="clear" w:color="auto" w:fill="auto"/>
        <w:tabs>
          <w:tab w:pos="571" w:val="left"/>
        </w:tabs>
        <w:bidi w:val="0"/>
        <w:spacing w:before="0" w:after="260" w:line="240" w:lineRule="auto"/>
        <w:ind w:left="0" w:right="0" w:firstLine="0"/>
        <w:jc w:val="left"/>
        <w:rPr>
          <w:sz w:val="24"/>
          <w:szCs w:val="24"/>
        </w:rPr>
      </w:pPr>
      <w:r>
        <w:rPr>
          <w:color w:val="000000"/>
          <w:spacing w:val="0"/>
          <w:w w:val="100"/>
          <w:position w:val="0"/>
          <w:sz w:val="24"/>
          <w:szCs w:val="24"/>
        </w:rPr>
        <w:t>(a)</w:t>
        <w:tab/>
      </w:r>
      <w:r>
        <w:rPr>
          <w:rFonts w:ascii="SimSun" w:eastAsia="SimSun" w:hAnsi="SimSun" w:cs="SimSun"/>
          <w:color w:val="000000"/>
          <w:spacing w:val="0"/>
          <w:w w:val="100"/>
          <w:position w:val="0"/>
          <w:sz w:val="24"/>
          <w:szCs w:val="24"/>
        </w:rPr>
        <w:t>子公司</w:t>
      </w:r>
      <w:r>
        <w:rPr>
          <w:color w:val="000000"/>
          <w:spacing w:val="0"/>
          <w:w w:val="100"/>
          <w:position w:val="0"/>
          <w:sz w:val="24"/>
          <w:szCs w:val="24"/>
        </w:rPr>
        <w:t>(</w:t>
      </w:r>
      <w:r>
        <w:rPr>
          <w:rFonts w:ascii="SimSun" w:eastAsia="SimSun" w:hAnsi="SimSun" w:cs="SimSun"/>
          <w:color w:val="000000"/>
          <w:spacing w:val="0"/>
          <w:w w:val="100"/>
          <w:position w:val="0"/>
          <w:sz w:val="24"/>
          <w:szCs w:val="24"/>
        </w:rPr>
        <w:t>续</w:t>
      </w:r>
      <w:r>
        <w:rPr>
          <w:rFonts w:ascii="SimSun" w:eastAsia="SimSun" w:hAnsi="SimSun" w:cs="SimSun"/>
          <w:color w:val="000000"/>
          <w:spacing w:val="0"/>
          <w:w w:val="100"/>
          <w:position w:val="0"/>
          <w:sz w:val="24"/>
          <w:szCs w:val="24"/>
        </w:rPr>
        <w:t>)</w:t>
      </w:r>
    </w:p>
    <w:p>
      <w:pPr>
        <w:pStyle w:val="Style25"/>
        <w:keepNext w:val="0"/>
        <w:keepLines w:val="0"/>
        <w:widowControl w:val="0"/>
        <w:shd w:val="clear" w:color="auto" w:fill="auto"/>
        <w:bidi w:val="0"/>
        <w:spacing w:before="0" w:after="0" w:line="240" w:lineRule="auto"/>
        <w:ind w:left="6077" w:right="0" w:firstLine="0"/>
        <w:jc w:val="left"/>
        <w:rPr>
          <w:sz w:val="18"/>
          <w:szCs w:val="18"/>
        </w:rPr>
      </w:pPr>
      <w:r>
        <w:rPr>
          <w:color w:val="000000"/>
          <w:spacing w:val="0"/>
          <w:w w:val="100"/>
          <w:position w:val="0"/>
          <w:sz w:val="18"/>
          <w:szCs w:val="18"/>
        </w:rPr>
        <w:t>本年增减变动</w:t>
      </w:r>
    </w:p>
    <w:tbl>
      <w:tblPr>
        <w:tblOverlap w:val="never"/>
        <w:jc w:val="center"/>
        <w:tblLayout w:type="fixed"/>
      </w:tblPr>
      <w:tblGrid>
        <w:gridCol w:w="2803"/>
        <w:gridCol w:w="1334"/>
        <w:gridCol w:w="1195"/>
        <w:gridCol w:w="3101"/>
        <w:gridCol w:w="1099"/>
        <w:gridCol w:w="1435"/>
        <w:gridCol w:w="1075"/>
        <w:gridCol w:w="1560"/>
      </w:tblGrid>
      <w:tr>
        <w:trPr>
          <w:trHeight w:val="634" w:hRule="exact"/>
        </w:trPr>
        <w:tc>
          <w:tcPr>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8"/>
                <w:szCs w:val="18"/>
              </w:rPr>
              <w:t>年</w:t>
            </w:r>
          </w:p>
          <w:p>
            <w:pPr>
              <w:pStyle w:val="Style28"/>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tc>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追加投资</w:t>
            </w:r>
          </w:p>
        </w:tc>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减少</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处置投资计提减值准备</w:t>
            </w:r>
          </w:p>
        </w:tc>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300" w:firstLine="0"/>
              <w:jc w:val="right"/>
              <w:rPr>
                <w:sz w:val="18"/>
                <w:szCs w:val="18"/>
              </w:rPr>
            </w:pPr>
            <w:r>
              <w:rPr>
                <w:color w:val="000000"/>
                <w:spacing w:val="0"/>
                <w:w w:val="100"/>
                <w:position w:val="0"/>
                <w:sz w:val="18"/>
                <w:szCs w:val="18"/>
              </w:rPr>
              <w:t>其他</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8"/>
                <w:szCs w:val="18"/>
              </w:rPr>
              <w:t>年</w:t>
            </w:r>
          </w:p>
          <w:p>
            <w:pPr>
              <w:pStyle w:val="Style28"/>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tc>
        <w:tc>
          <w:tcPr>
            <w:tcBorders/>
            <w:shd w:val="clear" w:color="auto" w:fill="FFFFFF"/>
            <w:vAlign w:val="top"/>
          </w:tcPr>
          <w:p>
            <w:pPr>
              <w:pStyle w:val="Style28"/>
              <w:keepNext w:val="0"/>
              <w:keepLines w:val="0"/>
              <w:widowControl w:val="0"/>
              <w:shd w:val="clear" w:color="auto" w:fill="auto"/>
              <w:bidi w:val="0"/>
              <w:spacing w:before="0" w:after="0" w:line="250" w:lineRule="exact"/>
              <w:ind w:left="0" w:right="0" w:firstLine="0"/>
              <w:jc w:val="right"/>
              <w:rPr>
                <w:sz w:val="18"/>
                <w:szCs w:val="18"/>
              </w:rPr>
            </w:pPr>
            <w:r>
              <w:rPr>
                <w:color w:val="000000"/>
                <w:spacing w:val="0"/>
                <w:w w:val="100"/>
                <w:position w:val="0"/>
                <w:sz w:val="18"/>
                <w:szCs w:val="18"/>
              </w:rPr>
              <w:t>减值准备 年末余额</w:t>
            </w:r>
          </w:p>
        </w:tc>
        <w:tc>
          <w:tcPr>
            <w:tcBorders/>
            <w:shd w:val="clear" w:color="auto" w:fill="FFFFFF"/>
            <w:vAlign w:val="top"/>
          </w:tcPr>
          <w:p>
            <w:pPr>
              <w:pStyle w:val="Style28"/>
              <w:keepNext w:val="0"/>
              <w:keepLines w:val="0"/>
              <w:widowControl w:val="0"/>
              <w:shd w:val="clear" w:color="auto" w:fill="auto"/>
              <w:bidi w:val="0"/>
              <w:spacing w:before="0" w:after="0" w:line="240" w:lineRule="exact"/>
              <w:ind w:left="0" w:right="0" w:firstLine="0"/>
              <w:jc w:val="right"/>
              <w:rPr>
                <w:sz w:val="18"/>
                <w:szCs w:val="18"/>
              </w:rPr>
            </w:pPr>
            <w:r>
              <w:rPr>
                <w:color w:val="000000"/>
                <w:spacing w:val="0"/>
                <w:w w:val="100"/>
                <w:position w:val="0"/>
                <w:sz w:val="18"/>
                <w:szCs w:val="18"/>
              </w:rPr>
              <w:t>本年宣告分派的现 金股利</w:t>
            </w:r>
          </w:p>
        </w:tc>
      </w:tr>
      <w:tr>
        <w:trPr>
          <w:trHeight w:val="418"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南京白下苏宁云商商贸有限公司</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9,000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22,489</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 -</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31,489</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288"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绵阳苏宁云商销售有限公司</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7,200</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35,000</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42,200</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245"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其他子公司</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1,839,928</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724,371</w:t>
            </w:r>
          </w:p>
        </w:tc>
        <w:tc>
          <w:tcPr>
            <w:tcBorders/>
            <w:shd w:val="clear" w:color="auto" w:fill="FFFFFF"/>
            <w:vAlign w:val="bottom"/>
          </w:tcPr>
          <w:p>
            <w:pPr>
              <w:pStyle w:val="Style28"/>
              <w:keepNext w:val="0"/>
              <w:keepLines w:val="0"/>
              <w:widowControl w:val="0"/>
              <w:shd w:val="clear" w:color="auto" w:fill="auto"/>
              <w:tabs>
                <w:tab w:pos="2582" w:val="left"/>
              </w:tabs>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(611,300)</w:t>
              <w:tab/>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240" w:firstLine="0"/>
              <w:jc w:val="right"/>
              <w:rPr>
                <w:sz w:val="18"/>
                <w:szCs w:val="18"/>
              </w:rPr>
            </w:pPr>
            <w:r>
              <w:rPr>
                <w:rFonts w:ascii="Times New Roman" w:eastAsia="Times New Roman" w:hAnsi="Times New Roman" w:cs="Times New Roman"/>
                <w:color w:val="000000"/>
                <w:spacing w:val="0"/>
                <w:w w:val="100"/>
                <w:position w:val="0"/>
                <w:sz w:val="18"/>
                <w:szCs w:val="18"/>
              </w:rPr>
              <w:t>1,952,999</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25,868</w:t>
            </w:r>
          </w:p>
        </w:tc>
      </w:tr>
      <w:tr>
        <w:trPr>
          <w:trHeight w:val="307" w:hRule="exact"/>
        </w:trPr>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15,084,571</w:t>
            </w:r>
          </w:p>
        </w:tc>
        <w:tc>
          <w:tcPr>
            <w:tcBorders>
              <w:top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18,716,016</w:t>
            </w:r>
          </w:p>
        </w:tc>
        <w:tc>
          <w:tcPr>
            <w:tcBorders>
              <w:top w:val="single" w:sz="4"/>
              <w:bottom w:val="single" w:sz="4"/>
            </w:tcBorders>
            <w:shd w:val="clear" w:color="auto" w:fill="FFFFFF"/>
            <w:vAlign w:val="bottom"/>
          </w:tcPr>
          <w:p>
            <w:pPr>
              <w:pStyle w:val="Style28"/>
              <w:keepNext w:val="0"/>
              <w:keepLines w:val="0"/>
              <w:widowControl w:val="0"/>
              <w:shd w:val="clear" w:color="auto" w:fill="auto"/>
              <w:tabs>
                <w:tab w:pos="2117" w:val="left"/>
              </w:tabs>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(3,914,952)</w:t>
              <w:tab/>
              <w:t>-</w:t>
            </w:r>
          </w:p>
        </w:tc>
        <w:tc>
          <w:tcPr>
            <w:tcBorders>
              <w:top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29,885,635</w:t>
            </w:r>
          </w:p>
        </w:tc>
        <w:tc>
          <w:tcPr>
            <w:tcBorders>
              <w:top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1,395,193</w:t>
            </w:r>
          </w:p>
        </w:tc>
      </w:tr>
    </w:tbl>
    <w:p>
      <w:pPr>
        <w:widowControl w:val="0"/>
        <w:spacing w:after="259" w:line="1" w:lineRule="exact"/>
      </w:pPr>
    </w:p>
    <w:p>
      <w:pPr>
        <w:pStyle w:val="Style32"/>
        <w:keepNext w:val="0"/>
        <w:keepLines w:val="0"/>
        <w:widowControl w:val="0"/>
        <w:shd w:val="clear" w:color="auto" w:fill="auto"/>
        <w:bidi w:val="0"/>
        <w:spacing w:before="0" w:after="260" w:line="315" w:lineRule="exact"/>
        <w:ind w:left="1020" w:right="0" w:hanging="440"/>
        <w:jc w:val="both"/>
        <w:rPr>
          <w:sz w:val="24"/>
          <w:szCs w:val="24"/>
        </w:rPr>
      </w:pPr>
      <w:r>
        <w:rPr>
          <w:rFonts w:ascii="Times New Roman" w:eastAsia="Times New Roman" w:hAnsi="Times New Roman" w:cs="Times New Roman"/>
          <w:color w:val="000000"/>
          <w:spacing w:val="0"/>
          <w:w w:val="100"/>
          <w:position w:val="0"/>
          <w:sz w:val="24"/>
          <w:szCs w:val="24"/>
        </w:rPr>
        <w:t>(i)</w:t>
      </w:r>
      <w:r>
        <w:rPr>
          <w:color w:val="000000"/>
          <w:spacing w:val="0"/>
          <w:w w:val="100"/>
          <w:position w:val="0"/>
          <w:sz w:val="24"/>
          <w:szCs w:val="24"/>
        </w:rPr>
        <w:t>于</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月，本公司将持有的南京苏宁易付宝网络科技有限公司、安徽华夏通支付有限公司、芜湖万联智能通卡有限公 司、重庆苏宁小额贷款有限公司、苏宁商业保理有限公司、苏宁保险销售有限公司、江苏苏宁易贷金融信息服务有限公司、 南京苏宁易之富电子商务有限公司、江苏苏宁征信服务有限公司、南京苏宁富宝投资管理有限公司的股权转让给本公司之子 公司苏宁金融服务苏宁金融服务</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上海</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有限公司，转让价款约为人民币</w:t>
      </w:r>
      <w:r>
        <w:rPr>
          <w:rFonts w:ascii="Times New Roman" w:eastAsia="Times New Roman" w:hAnsi="Times New Roman" w:cs="Times New Roman"/>
          <w:color w:val="000000"/>
          <w:spacing w:val="0"/>
          <w:w w:val="100"/>
          <w:position w:val="0"/>
          <w:sz w:val="24"/>
          <w:szCs w:val="24"/>
        </w:rPr>
        <w:t>4.67</w:t>
      </w:r>
      <w:r>
        <w:rPr>
          <w:color w:val="000000"/>
          <w:spacing w:val="0"/>
          <w:w w:val="100"/>
          <w:position w:val="0"/>
          <w:sz w:val="24"/>
          <w:szCs w:val="24"/>
        </w:rPr>
        <w:t>亿元。</w:t>
      </w:r>
    </w:p>
    <w:p>
      <w:pPr>
        <w:pStyle w:val="Style32"/>
        <w:keepNext w:val="0"/>
        <w:keepLines w:val="0"/>
        <w:widowControl w:val="0"/>
        <w:shd w:val="clear" w:color="auto" w:fill="auto"/>
        <w:bidi w:val="0"/>
        <w:spacing w:before="0" w:after="260" w:line="315" w:lineRule="exact"/>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(b)</w:t>
      </w:r>
      <w:r>
        <w:rPr>
          <w:color w:val="000000"/>
          <w:spacing w:val="0"/>
          <w:w w:val="100"/>
          <w:position w:val="0"/>
          <w:sz w:val="24"/>
          <w:szCs w:val="24"/>
        </w:rPr>
        <w:t>合营企业</w:t>
      </w:r>
    </w:p>
    <w:p>
      <w:pPr>
        <w:pStyle w:val="Style32"/>
        <w:keepNext w:val="0"/>
        <w:keepLines w:val="0"/>
        <w:widowControl w:val="0"/>
        <w:shd w:val="clear" w:color="auto" w:fill="auto"/>
        <w:bidi w:val="0"/>
        <w:spacing w:before="0" w:after="260" w:line="240" w:lineRule="auto"/>
        <w:ind w:left="0" w:right="0" w:firstLine="540"/>
        <w:jc w:val="both"/>
        <w:rPr>
          <w:sz w:val="24"/>
          <w:szCs w:val="24"/>
        </w:rPr>
      </w:pPr>
      <w:r>
        <w:rPr>
          <w:color w:val="000000"/>
          <w:spacing w:val="0"/>
          <w:w w:val="100"/>
          <w:position w:val="0"/>
          <w:sz w:val="24"/>
          <w:szCs w:val="24"/>
        </w:rPr>
        <w:t>本公司对合营企业投资的相关信息参见附注四</w:t>
      </w:r>
      <w:r>
        <w:rPr>
          <w:rFonts w:ascii="Times New Roman" w:eastAsia="Times New Roman" w:hAnsi="Times New Roman" w:cs="Times New Roman"/>
          <w:color w:val="000000"/>
          <w:spacing w:val="0"/>
          <w:w w:val="100"/>
          <w:position w:val="0"/>
          <w:sz w:val="24"/>
          <w:szCs w:val="24"/>
        </w:rPr>
        <w:t>(12)(a)</w:t>
      </w:r>
      <w:r>
        <w:rPr>
          <w:color w:val="000000"/>
          <w:spacing w:val="0"/>
          <w:w w:val="100"/>
          <w:position w:val="0"/>
          <w:sz w:val="24"/>
          <w:szCs w:val="24"/>
        </w:rPr>
        <w:t>。</w:t>
      </w:r>
    </w:p>
    <w:p>
      <w:pPr>
        <w:pStyle w:val="Style32"/>
        <w:keepNext w:val="0"/>
        <w:keepLines w:val="0"/>
        <w:widowControl w:val="0"/>
        <w:shd w:val="clear" w:color="auto" w:fill="auto"/>
        <w:bidi w:val="0"/>
        <w:spacing w:before="0" w:after="0" w:line="240" w:lineRule="auto"/>
        <w:ind w:left="0" w:right="0" w:firstLine="580"/>
        <w:jc w:val="left"/>
        <w:rPr>
          <w:sz w:val="24"/>
          <w:szCs w:val="24"/>
        </w:rPr>
      </w:pPr>
      <w:r>
        <w:rPr>
          <w:b/>
          <w:bCs/>
          <w:color w:val="000000"/>
          <w:spacing w:val="0"/>
          <w:w w:val="100"/>
          <w:position w:val="0"/>
          <w:sz w:val="24"/>
          <w:szCs w:val="24"/>
        </w:rPr>
        <w:t>财务报表附注</w:t>
      </w:r>
    </w:p>
    <w:p>
      <w:pPr>
        <w:pStyle w:val="Style88"/>
        <w:keepNext/>
        <w:keepLines/>
        <w:widowControl w:val="0"/>
        <w:shd w:val="clear" w:color="auto" w:fill="auto"/>
        <w:bidi w:val="0"/>
        <w:spacing w:before="0" w:after="0" w:line="240" w:lineRule="auto"/>
        <w:ind w:left="0" w:right="0" w:firstLine="580"/>
        <w:jc w:val="left"/>
      </w:pPr>
      <w:bookmarkStart w:id="1204" w:name="bookmark1204"/>
      <w:bookmarkStart w:id="1205" w:name="bookmark1205"/>
      <w:bookmarkStart w:id="1206" w:name="bookmark1206"/>
      <w:r>
        <w:rPr>
          <w:color w:val="000000"/>
          <w:spacing w:val="0"/>
          <w:w w:val="100"/>
          <w:position w:val="0"/>
          <w:sz w:val="24"/>
          <w:szCs w:val="24"/>
        </w:rPr>
        <w:t>2016</w:t>
      </w:r>
      <w:r>
        <w:rPr>
          <w:rFonts w:ascii="SimSun" w:eastAsia="SimSun" w:hAnsi="SimSun" w:cs="SimSun"/>
          <w:b/>
          <w:bCs/>
          <w:color w:val="000000"/>
          <w:spacing w:val="0"/>
          <w:w w:val="100"/>
          <w:position w:val="0"/>
          <w:sz w:val="24"/>
          <w:szCs w:val="24"/>
        </w:rPr>
        <w:t>年度</w:t>
      </w:r>
      <w:bookmarkEnd w:id="1204"/>
      <w:bookmarkEnd w:id="1205"/>
      <w:bookmarkEnd w:id="1206"/>
    </w:p>
    <w:p>
      <w:pPr>
        <w:pStyle w:val="Style32"/>
        <w:keepNext w:val="0"/>
        <w:keepLines w:val="0"/>
        <w:widowControl w:val="0"/>
        <w:shd w:val="clear" w:color="auto" w:fill="auto"/>
        <w:bidi w:val="0"/>
        <w:spacing w:before="0" w:after="0" w:line="240" w:lineRule="auto"/>
        <w:ind w:left="0" w:right="0" w:firstLine="580"/>
        <w:jc w:val="left"/>
        <w:rPr>
          <w:sz w:val="24"/>
          <w:szCs w:val="24"/>
        </w:rPr>
      </w:pPr>
      <w:r>
        <w:rPr>
          <w:rFonts w:ascii="Arial" w:eastAsia="Arial" w:hAnsi="Arial" w:cs="Arial"/>
          <w:color w:val="000000"/>
          <w:spacing w:val="0"/>
          <w:w w:val="100"/>
          <w:position w:val="0"/>
          <w:sz w:val="20"/>
          <w:szCs w:val="20"/>
        </w:rPr>
        <w:t>(</w:t>
      </w:r>
      <w:r>
        <w:rPr>
          <w:color w:val="000000"/>
          <w:spacing w:val="0"/>
          <w:w w:val="100"/>
          <w:position w:val="0"/>
          <w:sz w:val="20"/>
          <w:szCs w:val="20"/>
        </w:rPr>
        <w:t>除特别注明外，金额单位为人民币千元</w:t>
      </w:r>
      <w:r>
        <w:rPr>
          <w:color w:val="000000"/>
          <w:spacing w:val="0"/>
          <w:w w:val="100"/>
          <w:position w:val="0"/>
          <w:sz w:val="24"/>
          <w:szCs w:val="24"/>
        </w:rPr>
        <w:t>)</w:t>
      </w:r>
    </w:p>
    <w:p>
      <w:pPr>
        <w:pStyle w:val="Style32"/>
        <w:keepNext w:val="0"/>
        <w:keepLines w:val="0"/>
        <w:widowControl w:val="0"/>
        <w:numPr>
          <w:ilvl w:val="0"/>
          <w:numId w:val="103"/>
        </w:numPr>
        <w:shd w:val="clear" w:color="auto" w:fill="auto"/>
        <w:tabs>
          <w:tab w:pos="552" w:val="left"/>
        </w:tabs>
        <w:bidi w:val="0"/>
        <w:spacing w:before="0" w:after="280" w:line="240" w:lineRule="auto"/>
        <w:ind w:left="0" w:right="0" w:firstLine="0"/>
        <w:jc w:val="left"/>
        <w:rPr>
          <w:sz w:val="24"/>
          <w:szCs w:val="24"/>
        </w:rPr>
      </w:pPr>
      <w:bookmarkStart w:id="1207" w:name="bookmark1207"/>
      <w:bookmarkEnd w:id="1207"/>
      <w:r>
        <w:rPr>
          <w:color w:val="000000"/>
          <w:spacing w:val="0"/>
          <w:w w:val="100"/>
          <w:position w:val="0"/>
          <w:sz w:val="24"/>
          <w:szCs w:val="24"/>
        </w:rPr>
        <w:t>联营企业</w:t>
      </w:r>
    </w:p>
    <w:p>
      <w:pPr>
        <w:pStyle w:val="Style32"/>
        <w:keepNext w:val="0"/>
        <w:keepLines w:val="0"/>
        <w:widowControl w:val="0"/>
        <w:shd w:val="clear" w:color="auto" w:fill="auto"/>
        <w:bidi w:val="0"/>
        <w:spacing w:before="0" w:after="140" w:line="240" w:lineRule="auto"/>
        <w:ind w:left="0" w:right="0" w:firstLine="580"/>
        <w:jc w:val="both"/>
        <w:rPr>
          <w:sz w:val="24"/>
          <w:szCs w:val="24"/>
        </w:rPr>
        <w:sectPr>
          <w:headerReference w:type="default" r:id="rId255"/>
          <w:footerReference w:type="default" r:id="rId256"/>
          <w:headerReference w:type="even" r:id="rId257"/>
          <w:footerReference w:type="even" r:id="rId258"/>
          <w:footnotePr>
            <w:pos w:val="pageBottom"/>
            <w:numFmt w:val="decimal"/>
            <w:numRestart w:val="continuous"/>
          </w:footnotePr>
          <w:pgSz w:w="16840" w:h="11900" w:orient="landscape"/>
          <w:pgMar w:top="1293" w:right="995" w:bottom="1218" w:left="1032" w:header="0" w:footer="3" w:gutter="0"/>
          <w:cols w:space="720"/>
          <w:noEndnote/>
          <w:rtlGutter w:val="0"/>
          <w:docGrid w:linePitch="360"/>
        </w:sectPr>
      </w:pPr>
      <w:r>
        <w:rPr>
          <w:color w:val="000000"/>
          <w:spacing w:val="0"/>
          <w:w w:val="100"/>
          <w:position w:val="0"/>
          <w:sz w:val="24"/>
          <w:szCs w:val="24"/>
        </w:rPr>
        <w:t>本公司之联营企业为苏宁消费金融和锤子科技，本公司对苏宁消费金融和锤子科技投资的相关信息参见附注四</w:t>
      </w:r>
      <w:r>
        <w:rPr>
          <w:rFonts w:ascii="Times New Roman" w:eastAsia="Times New Roman" w:hAnsi="Times New Roman" w:cs="Times New Roman"/>
          <w:color w:val="000000"/>
          <w:spacing w:val="0"/>
          <w:w w:val="100"/>
          <w:position w:val="0"/>
          <w:sz w:val="24"/>
          <w:szCs w:val="24"/>
        </w:rPr>
        <w:t>(12)(b)</w:t>
      </w:r>
      <w:r>
        <w:rPr>
          <w:color w:val="000000"/>
          <w:spacing w:val="0"/>
          <w:w w:val="100"/>
          <w:position w:val="0"/>
          <w:sz w:val="24"/>
          <w:szCs w:val="24"/>
        </w:rPr>
        <w:t>。</w:t>
      </w:r>
    </w:p>
    <w:p>
      <w:pPr>
        <w:pStyle w:val="Style25"/>
        <w:keepNext w:val="0"/>
        <w:keepLines w:val="0"/>
        <w:widowControl w:val="0"/>
        <w:shd w:val="clear" w:color="auto" w:fill="auto"/>
        <w:bidi w:val="0"/>
        <w:spacing w:before="0" w:after="0" w:line="240" w:lineRule="auto"/>
        <w:ind w:left="725" w:right="0" w:firstLine="0"/>
        <w:jc w:val="left"/>
        <w:rPr>
          <w:sz w:val="24"/>
          <w:szCs w:val="24"/>
        </w:rPr>
      </w:pPr>
      <w:r>
        <w:rPr>
          <w:b/>
          <w:bCs/>
          <w:color w:val="000000"/>
          <w:spacing w:val="0"/>
          <w:w w:val="100"/>
          <w:position w:val="0"/>
          <w:sz w:val="24"/>
          <w:szCs w:val="24"/>
        </w:rPr>
        <w:t>财务报表附注</w:t>
      </w:r>
    </w:p>
    <w:p>
      <w:pPr>
        <w:pStyle w:val="Style25"/>
        <w:keepNext w:val="0"/>
        <w:keepLines w:val="0"/>
        <w:widowControl w:val="0"/>
        <w:shd w:val="clear" w:color="auto" w:fill="auto"/>
        <w:bidi w:val="0"/>
        <w:spacing w:before="0" w:after="0" w:line="240" w:lineRule="auto"/>
        <w:ind w:left="725" w:right="0" w:firstLine="0"/>
        <w:jc w:val="left"/>
        <w:rPr>
          <w:sz w:val="24"/>
          <w:szCs w:val="24"/>
        </w:rPr>
      </w:pPr>
      <w:r>
        <w:rPr>
          <w:rFonts w:ascii="Arial" w:eastAsia="Arial" w:hAnsi="Arial" w:cs="Arial"/>
          <w:color w:val="000000"/>
          <w:spacing w:val="0"/>
          <w:w w:val="100"/>
          <w:position w:val="0"/>
          <w:sz w:val="24"/>
          <w:szCs w:val="24"/>
        </w:rPr>
        <w:t>2016</w:t>
      </w:r>
      <w:r>
        <w:rPr>
          <w:b/>
          <w:bCs/>
          <w:color w:val="000000"/>
          <w:spacing w:val="0"/>
          <w:w w:val="100"/>
          <w:position w:val="0"/>
          <w:sz w:val="24"/>
          <w:szCs w:val="24"/>
        </w:rPr>
        <w:t>年度</w:t>
      </w:r>
    </w:p>
    <w:p>
      <w:pPr>
        <w:pStyle w:val="Style25"/>
        <w:keepNext w:val="0"/>
        <w:keepLines w:val="0"/>
        <w:widowControl w:val="0"/>
        <w:shd w:val="clear" w:color="auto" w:fill="auto"/>
        <w:bidi w:val="0"/>
        <w:spacing w:before="0" w:after="0" w:line="240" w:lineRule="auto"/>
        <w:ind w:left="725" w:right="0" w:firstLine="0"/>
        <w:jc w:val="left"/>
        <w:rPr>
          <w:sz w:val="20"/>
          <w:szCs w:val="20"/>
        </w:rPr>
      </w:pPr>
      <w:r>
        <w:rPr>
          <w:rFonts w:ascii="Arial" w:eastAsia="Arial" w:hAnsi="Arial" w:cs="Arial"/>
          <w:color w:val="000000"/>
          <w:spacing w:val="0"/>
          <w:w w:val="100"/>
          <w:position w:val="0"/>
          <w:sz w:val="20"/>
          <w:szCs w:val="20"/>
        </w:rPr>
        <w:t>(</w:t>
      </w:r>
      <w:r>
        <w:rPr>
          <w:color w:val="000000"/>
          <w:spacing w:val="0"/>
          <w:w w:val="100"/>
          <w:position w:val="0"/>
          <w:sz w:val="20"/>
          <w:szCs w:val="20"/>
        </w:rPr>
        <w:t>除特别注明外，金额单位为人民币千元</w:t>
      </w:r>
      <w:r>
        <w:rPr>
          <w:rFonts w:ascii="Arial" w:eastAsia="Arial" w:hAnsi="Arial" w:cs="Arial"/>
          <w:color w:val="000000"/>
          <w:spacing w:val="0"/>
          <w:w w:val="100"/>
          <w:position w:val="0"/>
          <w:sz w:val="20"/>
          <w:szCs w:val="20"/>
        </w:rPr>
        <w:t>)</w:t>
      </w:r>
    </w:p>
    <w:tbl>
      <w:tblPr>
        <w:tblOverlap w:val="never"/>
        <w:jc w:val="center"/>
        <w:tblLayout w:type="fixed"/>
      </w:tblPr>
      <w:tblGrid>
        <w:gridCol w:w="4037"/>
        <w:gridCol w:w="2962"/>
        <w:gridCol w:w="2054"/>
      </w:tblGrid>
      <w:tr>
        <w:trPr>
          <w:trHeight w:val="446"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十七公司财务报表附注</w:t>
            </w:r>
            <w:r>
              <w:rPr>
                <w:rFonts w:ascii="Times New Roman" w:eastAsia="Times New Roman" w:hAnsi="Times New Roman" w:cs="Times New Roman"/>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4"/>
                <w:szCs w:val="24"/>
              </w:rPr>
              <w: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571" w:hRule="exact"/>
        </w:trPr>
        <w:tc>
          <w:tcPr>
            <w:tcBorders/>
            <w:shd w:val="clear" w:color="auto" w:fill="FFFFFF"/>
            <w:vAlign w:val="center"/>
          </w:tcPr>
          <w:p>
            <w:pPr>
              <w:pStyle w:val="Style28"/>
              <w:keepNext w:val="0"/>
              <w:keepLines w:val="0"/>
              <w:widowControl w:val="0"/>
              <w:shd w:val="clear" w:color="auto" w:fill="auto"/>
              <w:tabs>
                <w:tab w:pos="672" w:val="left"/>
              </w:tabs>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(4)</w:t>
              <w:tab/>
            </w:r>
            <w:r>
              <w:rPr>
                <w:b/>
                <w:bCs/>
                <w:color w:val="000000"/>
                <w:spacing w:val="0"/>
                <w:w w:val="100"/>
                <w:position w:val="0"/>
                <w:sz w:val="24"/>
                <w:szCs w:val="24"/>
              </w:rPr>
              <w:t>营业收入和营业成本</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581"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1140" w:right="0" w:firstLine="0"/>
              <w:jc w:val="left"/>
              <w:rPr>
                <w:sz w:val="24"/>
                <w:szCs w:val="24"/>
              </w:rPr>
            </w:pP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年度</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2015</w:t>
            </w:r>
            <w:r>
              <w:rPr>
                <w:color w:val="000000"/>
                <w:spacing w:val="0"/>
                <w:w w:val="100"/>
                <w:position w:val="0"/>
                <w:sz w:val="24"/>
                <w:szCs w:val="24"/>
              </w:rPr>
              <w:t>年度</w:t>
            </w:r>
          </w:p>
        </w:tc>
      </w:tr>
      <w:tr>
        <w:trPr>
          <w:trHeight w:val="442"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left"/>
              <w:rPr>
                <w:sz w:val="24"/>
                <w:szCs w:val="24"/>
              </w:rPr>
            </w:pPr>
            <w:r>
              <w:rPr>
                <w:color w:val="000000"/>
                <w:spacing w:val="0"/>
                <w:w w:val="100"/>
                <w:position w:val="0"/>
                <w:sz w:val="24"/>
                <w:szCs w:val="24"/>
              </w:rPr>
              <w:t>主营业务收入</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60"/>
              <w:jc w:val="both"/>
              <w:rPr>
                <w:sz w:val="24"/>
                <w:szCs w:val="24"/>
              </w:rPr>
            </w:pPr>
            <w:r>
              <w:rPr>
                <w:rFonts w:ascii="Times New Roman" w:eastAsia="Times New Roman" w:hAnsi="Times New Roman" w:cs="Times New Roman"/>
                <w:color w:val="000000"/>
                <w:spacing w:val="0"/>
                <w:w w:val="100"/>
                <w:position w:val="0"/>
                <w:sz w:val="24"/>
                <w:szCs w:val="24"/>
              </w:rPr>
              <w:t>122,270,029</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80"/>
              <w:jc w:val="both"/>
              <w:rPr>
                <w:sz w:val="24"/>
                <w:szCs w:val="24"/>
              </w:rPr>
            </w:pPr>
            <w:r>
              <w:rPr>
                <w:rFonts w:ascii="Times New Roman" w:eastAsia="Times New Roman" w:hAnsi="Times New Roman" w:cs="Times New Roman"/>
                <w:color w:val="000000"/>
                <w:spacing w:val="0"/>
                <w:w w:val="100"/>
                <w:position w:val="0"/>
                <w:sz w:val="24"/>
                <w:szCs w:val="24"/>
              </w:rPr>
              <w:t>104,945,176</w:t>
            </w:r>
          </w:p>
        </w:tc>
      </w:tr>
      <w:tr>
        <w:trPr>
          <w:trHeight w:val="307"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left"/>
              <w:rPr>
                <w:sz w:val="24"/>
                <w:szCs w:val="24"/>
              </w:rPr>
            </w:pPr>
            <w:r>
              <w:rPr>
                <w:color w:val="000000"/>
                <w:spacing w:val="0"/>
                <w:w w:val="100"/>
                <w:position w:val="0"/>
                <w:sz w:val="24"/>
                <w:szCs w:val="24"/>
              </w:rPr>
              <w:t>其他业务收入</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780" w:firstLine="0"/>
              <w:jc w:val="right"/>
              <w:rPr>
                <w:sz w:val="24"/>
                <w:szCs w:val="24"/>
              </w:rPr>
            </w:pPr>
            <w:r>
              <w:rPr>
                <w:rFonts w:ascii="Times New Roman" w:eastAsia="Times New Roman" w:hAnsi="Times New Roman" w:cs="Times New Roman"/>
                <w:color w:val="000000"/>
                <w:spacing w:val="0"/>
                <w:w w:val="100"/>
                <w:position w:val="0"/>
                <w:sz w:val="24"/>
                <w:szCs w:val="24"/>
              </w:rPr>
              <w:t>609,612</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268,775</w:t>
            </w:r>
          </w:p>
        </w:tc>
      </w:tr>
      <w:tr>
        <w:trPr>
          <w:trHeight w:val="293"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60"/>
              <w:jc w:val="both"/>
              <w:rPr>
                <w:sz w:val="24"/>
                <w:szCs w:val="24"/>
              </w:rPr>
            </w:pPr>
            <w:r>
              <w:rPr>
                <w:rFonts w:ascii="Times New Roman" w:eastAsia="Times New Roman" w:hAnsi="Times New Roman" w:cs="Times New Roman"/>
                <w:color w:val="000000"/>
                <w:spacing w:val="0"/>
                <w:w w:val="100"/>
                <w:position w:val="0"/>
                <w:sz w:val="24"/>
                <w:szCs w:val="24"/>
              </w:rPr>
              <w:t>122,879,641</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80"/>
              <w:jc w:val="both"/>
              <w:rPr>
                <w:sz w:val="24"/>
                <w:szCs w:val="24"/>
              </w:rPr>
            </w:pPr>
            <w:r>
              <w:rPr>
                <w:rFonts w:ascii="Times New Roman" w:eastAsia="Times New Roman" w:hAnsi="Times New Roman" w:cs="Times New Roman"/>
                <w:color w:val="000000"/>
                <w:spacing w:val="0"/>
                <w:w w:val="100"/>
                <w:position w:val="0"/>
                <w:sz w:val="24"/>
                <w:szCs w:val="24"/>
              </w:rPr>
              <w:t>105,213,951</w:t>
            </w:r>
          </w:p>
        </w:tc>
      </w:tr>
      <w:tr>
        <w:trPr>
          <w:trHeight w:val="696"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40" w:right="0" w:firstLine="0"/>
              <w:jc w:val="left"/>
              <w:rPr>
                <w:sz w:val="24"/>
                <w:szCs w:val="24"/>
              </w:rPr>
            </w:pP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年度</w:t>
            </w:r>
          </w:p>
        </w:tc>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2015</w:t>
            </w:r>
            <w:r>
              <w:rPr>
                <w:color w:val="000000"/>
                <w:spacing w:val="0"/>
                <w:w w:val="100"/>
                <w:position w:val="0"/>
                <w:sz w:val="24"/>
                <w:szCs w:val="24"/>
              </w:rPr>
              <w:t>年度</w:t>
            </w:r>
          </w:p>
        </w:tc>
      </w:tr>
      <w:tr>
        <w:trPr>
          <w:trHeight w:val="432"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left"/>
              <w:rPr>
                <w:sz w:val="24"/>
                <w:szCs w:val="24"/>
              </w:rPr>
            </w:pPr>
            <w:r>
              <w:rPr>
                <w:color w:val="000000"/>
                <w:spacing w:val="0"/>
                <w:w w:val="100"/>
                <w:position w:val="0"/>
                <w:sz w:val="24"/>
                <w:szCs w:val="24"/>
              </w:rPr>
              <w:t>主营业务成本</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60"/>
              <w:jc w:val="both"/>
              <w:rPr>
                <w:sz w:val="24"/>
                <w:szCs w:val="24"/>
              </w:rPr>
            </w:pPr>
            <w:r>
              <w:rPr>
                <w:rFonts w:ascii="Times New Roman" w:eastAsia="Times New Roman" w:hAnsi="Times New Roman" w:cs="Times New Roman"/>
                <w:color w:val="000000"/>
                <w:spacing w:val="0"/>
                <w:w w:val="100"/>
                <w:position w:val="0"/>
                <w:sz w:val="24"/>
                <w:szCs w:val="24"/>
              </w:rPr>
              <w:t>118,907,482</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80"/>
              <w:jc w:val="both"/>
              <w:rPr>
                <w:sz w:val="24"/>
                <w:szCs w:val="24"/>
              </w:rPr>
            </w:pPr>
            <w:r>
              <w:rPr>
                <w:rFonts w:ascii="Times New Roman" w:eastAsia="Times New Roman" w:hAnsi="Times New Roman" w:cs="Times New Roman"/>
                <w:color w:val="000000"/>
                <w:spacing w:val="0"/>
                <w:w w:val="100"/>
                <w:position w:val="0"/>
                <w:sz w:val="24"/>
                <w:szCs w:val="24"/>
              </w:rPr>
              <w:t>101,978,958</w:t>
            </w:r>
          </w:p>
        </w:tc>
      </w:tr>
      <w:tr>
        <w:trPr>
          <w:trHeight w:val="307"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left"/>
              <w:rPr>
                <w:sz w:val="24"/>
                <w:szCs w:val="24"/>
              </w:rPr>
            </w:pPr>
            <w:r>
              <w:rPr>
                <w:color w:val="000000"/>
                <w:spacing w:val="0"/>
                <w:w w:val="100"/>
                <w:position w:val="0"/>
                <w:sz w:val="24"/>
                <w:szCs w:val="24"/>
              </w:rPr>
              <w:t>其他业务成本</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500" w:right="0" w:firstLine="0"/>
              <w:jc w:val="left"/>
              <w:rPr>
                <w:sz w:val="24"/>
                <w:szCs w:val="24"/>
              </w:rPr>
            </w:pPr>
            <w:r>
              <w:rPr>
                <w:rFonts w:ascii="Times New Roman" w:eastAsia="Times New Roman" w:hAnsi="Times New Roman" w:cs="Times New Roman"/>
                <w:color w:val="000000"/>
                <w:spacing w:val="0"/>
                <w:w w:val="100"/>
                <w:position w:val="0"/>
                <w:sz w:val="24"/>
                <w:szCs w:val="24"/>
              </w:rPr>
              <w:t>52,870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70,169</w:t>
            </w:r>
          </w:p>
        </w:tc>
      </w:tr>
      <w:tr>
        <w:trPr>
          <w:trHeight w:val="312" w:hRule="exact"/>
        </w:trPr>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60"/>
              <w:jc w:val="both"/>
              <w:rPr>
                <w:sz w:val="24"/>
                <w:szCs w:val="24"/>
              </w:rPr>
            </w:pPr>
            <w:r>
              <w:rPr>
                <w:rFonts w:ascii="Times New Roman" w:eastAsia="Times New Roman" w:hAnsi="Times New Roman" w:cs="Times New Roman"/>
                <w:color w:val="000000"/>
                <w:spacing w:val="0"/>
                <w:w w:val="100"/>
                <w:position w:val="0"/>
                <w:sz w:val="24"/>
                <w:szCs w:val="24"/>
              </w:rPr>
              <w:t>118,960,352</w:t>
            </w:r>
          </w:p>
        </w:tc>
        <w:tc>
          <w:tcPr>
            <w:tcBorders>
              <w:top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80"/>
              <w:jc w:val="both"/>
              <w:rPr>
                <w:sz w:val="24"/>
                <w:szCs w:val="24"/>
              </w:rPr>
            </w:pPr>
            <w:r>
              <w:rPr>
                <w:rFonts w:ascii="Times New Roman" w:eastAsia="Times New Roman" w:hAnsi="Times New Roman" w:cs="Times New Roman"/>
                <w:color w:val="000000"/>
                <w:spacing w:val="0"/>
                <w:w w:val="100"/>
                <w:position w:val="0"/>
                <w:sz w:val="24"/>
                <w:szCs w:val="24"/>
              </w:rPr>
              <w:t>102,049,127</w:t>
            </w:r>
          </w:p>
        </w:tc>
      </w:tr>
    </w:tbl>
    <w:p>
      <w:pPr>
        <w:pStyle w:val="Style25"/>
        <w:keepNext w:val="0"/>
        <w:keepLines w:val="0"/>
        <w:widowControl w:val="0"/>
        <w:shd w:val="clear" w:color="auto" w:fill="auto"/>
        <w:tabs>
          <w:tab w:pos="710" w:val="left"/>
        </w:tabs>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(a)</w:t>
        <w:tab/>
      </w:r>
      <w:r>
        <w:rPr>
          <w:color w:val="000000"/>
          <w:spacing w:val="0"/>
          <w:w w:val="100"/>
          <w:position w:val="0"/>
          <w:sz w:val="24"/>
          <w:szCs w:val="24"/>
        </w:rPr>
        <w:t>主营业务收入和主营业务成本</w:t>
      </w:r>
    </w:p>
    <w:p>
      <w:pPr>
        <w:widowControl w:val="0"/>
        <w:spacing w:after="279" w:line="1" w:lineRule="exact"/>
      </w:pPr>
    </w:p>
    <w:p>
      <w:pPr>
        <w:pStyle w:val="Style32"/>
        <w:keepNext w:val="0"/>
        <w:keepLines w:val="0"/>
        <w:widowControl w:val="0"/>
        <w:shd w:val="clear" w:color="auto" w:fill="auto"/>
        <w:bidi w:val="0"/>
        <w:spacing w:before="0" w:after="280" w:line="240" w:lineRule="auto"/>
        <w:ind w:left="0" w:right="0" w:firstLine="720"/>
        <w:jc w:val="left"/>
        <w:rPr>
          <w:sz w:val="24"/>
          <w:szCs w:val="24"/>
        </w:rPr>
      </w:pPr>
      <w:r>
        <w:rPr>
          <w:color w:val="000000"/>
          <w:spacing w:val="0"/>
          <w:w w:val="100"/>
          <w:position w:val="0"/>
          <w:sz w:val="24"/>
          <w:szCs w:val="24"/>
        </w:rPr>
        <w:t>按行业分析如下:</w:t>
      </w:r>
    </w:p>
    <w:p>
      <w:pPr>
        <w:pStyle w:val="Style25"/>
        <w:keepNext w:val="0"/>
        <w:keepLines w:val="0"/>
        <w:widowControl w:val="0"/>
        <w:shd w:val="clear" w:color="auto" w:fill="auto"/>
        <w:tabs>
          <w:tab w:pos="3427" w:val="left"/>
        </w:tabs>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年度</w:t>
        <w:tab/>
      </w:r>
      <w:r>
        <w:rPr>
          <w:rFonts w:ascii="Times New Roman" w:eastAsia="Times New Roman" w:hAnsi="Times New Roman" w:cs="Times New Roman"/>
          <w:color w:val="000000"/>
          <w:spacing w:val="0"/>
          <w:w w:val="100"/>
          <w:position w:val="0"/>
          <w:sz w:val="24"/>
          <w:szCs w:val="24"/>
        </w:rPr>
        <w:t>2015</w:t>
      </w:r>
      <w:r>
        <w:rPr>
          <w:color w:val="000000"/>
          <w:spacing w:val="0"/>
          <w:w w:val="100"/>
          <w:position w:val="0"/>
          <w:sz w:val="24"/>
          <w:szCs w:val="24"/>
        </w:rPr>
        <w:t>年度</w:t>
      </w:r>
    </w:p>
    <w:tbl>
      <w:tblPr>
        <w:tblOverlap w:val="never"/>
        <w:jc w:val="right"/>
        <w:tblLayout w:type="fixed"/>
      </w:tblPr>
      <w:tblGrid>
        <w:gridCol w:w="1507"/>
        <w:gridCol w:w="1666"/>
        <w:gridCol w:w="1757"/>
        <w:gridCol w:w="1723"/>
        <w:gridCol w:w="1666"/>
      </w:tblGrid>
      <w:tr>
        <w:trPr>
          <w:trHeight w:val="490" w:hRule="exact"/>
        </w:trPr>
        <w:tc>
          <w:tcPr>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主营业务收入</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left"/>
              <w:rPr>
                <w:sz w:val="24"/>
                <w:szCs w:val="24"/>
              </w:rPr>
            </w:pPr>
            <w:r>
              <w:rPr>
                <w:color w:val="000000"/>
                <w:spacing w:val="0"/>
                <w:w w:val="100"/>
                <w:position w:val="0"/>
                <w:sz w:val="24"/>
                <w:szCs w:val="24"/>
              </w:rPr>
              <w:t>主营业务成本</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140" w:firstLine="0"/>
              <w:jc w:val="right"/>
              <w:rPr>
                <w:sz w:val="24"/>
                <w:szCs w:val="24"/>
              </w:rPr>
            </w:pPr>
            <w:r>
              <w:rPr>
                <w:color w:val="000000"/>
                <w:spacing w:val="0"/>
                <w:w w:val="100"/>
                <w:position w:val="0"/>
                <w:sz w:val="24"/>
                <w:szCs w:val="24"/>
              </w:rPr>
              <w:t>主营业务收入</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主营业务成本</w:t>
            </w:r>
          </w:p>
        </w:tc>
      </w:tr>
      <w:tr>
        <w:trPr>
          <w:trHeight w:val="446"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零售批发行业</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60"/>
              <w:jc w:val="left"/>
              <w:rPr>
                <w:sz w:val="24"/>
                <w:szCs w:val="24"/>
              </w:rPr>
            </w:pPr>
            <w:r>
              <w:rPr>
                <w:rFonts w:ascii="Times New Roman" w:eastAsia="Times New Roman" w:hAnsi="Times New Roman" w:cs="Times New Roman"/>
                <w:color w:val="000000"/>
                <w:spacing w:val="0"/>
                <w:w w:val="100"/>
                <w:position w:val="0"/>
                <w:sz w:val="24"/>
                <w:szCs w:val="24"/>
              </w:rPr>
              <w:t>122,128,066</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jc w:val="left"/>
              <w:rPr>
                <w:sz w:val="24"/>
                <w:szCs w:val="24"/>
              </w:rPr>
            </w:pPr>
            <w:r>
              <w:rPr>
                <w:rFonts w:ascii="Times New Roman" w:eastAsia="Times New Roman" w:hAnsi="Times New Roman" w:cs="Times New Roman"/>
                <w:color w:val="000000"/>
                <w:spacing w:val="0"/>
                <w:w w:val="100"/>
                <w:position w:val="0"/>
                <w:sz w:val="24"/>
                <w:szCs w:val="24"/>
              </w:rPr>
              <w:t>118,781,962</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left"/>
              <w:rPr>
                <w:sz w:val="24"/>
                <w:szCs w:val="24"/>
              </w:rPr>
            </w:pPr>
            <w:r>
              <w:rPr>
                <w:rFonts w:ascii="Times New Roman" w:eastAsia="Times New Roman" w:hAnsi="Times New Roman" w:cs="Times New Roman"/>
                <w:color w:val="000000"/>
                <w:spacing w:val="0"/>
                <w:w w:val="100"/>
                <w:position w:val="0"/>
                <w:sz w:val="24"/>
                <w:szCs w:val="24"/>
              </w:rPr>
              <w:t>104,766,030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both"/>
              <w:rPr>
                <w:sz w:val="24"/>
                <w:szCs w:val="24"/>
              </w:rPr>
            </w:pPr>
            <w:r>
              <w:rPr>
                <w:rFonts w:ascii="Times New Roman" w:eastAsia="Times New Roman" w:hAnsi="Times New Roman" w:cs="Times New Roman"/>
                <w:color w:val="000000"/>
                <w:spacing w:val="0"/>
                <w:w w:val="100"/>
                <w:position w:val="0"/>
                <w:sz w:val="24"/>
                <w:szCs w:val="24"/>
              </w:rPr>
              <w:t>101,820,529</w:t>
            </w:r>
          </w:p>
        </w:tc>
      </w:tr>
      <w:tr>
        <w:trPr>
          <w:trHeight w:val="307"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安装维修行业</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00"/>
              <w:jc w:val="left"/>
              <w:rPr>
                <w:sz w:val="24"/>
                <w:szCs w:val="24"/>
              </w:rPr>
            </w:pPr>
            <w:r>
              <w:rPr>
                <w:rFonts w:ascii="Times New Roman" w:eastAsia="Times New Roman" w:hAnsi="Times New Roman" w:cs="Times New Roman"/>
                <w:color w:val="000000"/>
                <w:spacing w:val="0"/>
                <w:w w:val="100"/>
                <w:position w:val="0"/>
                <w:sz w:val="24"/>
                <w:szCs w:val="24"/>
              </w:rPr>
              <w:t>104,558</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40"/>
              <w:jc w:val="left"/>
              <w:rPr>
                <w:sz w:val="24"/>
                <w:szCs w:val="24"/>
              </w:rPr>
            </w:pPr>
            <w:r>
              <w:rPr>
                <w:rFonts w:ascii="Times New Roman" w:eastAsia="Times New Roman" w:hAnsi="Times New Roman" w:cs="Times New Roman"/>
                <w:color w:val="000000"/>
                <w:spacing w:val="0"/>
                <w:w w:val="100"/>
                <w:position w:val="0"/>
                <w:sz w:val="24"/>
                <w:szCs w:val="24"/>
              </w:rPr>
              <w:t>96,724</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80"/>
              <w:jc w:val="left"/>
              <w:rPr>
                <w:sz w:val="24"/>
                <w:szCs w:val="24"/>
              </w:rPr>
            </w:pPr>
            <w:r>
              <w:rPr>
                <w:rFonts w:ascii="Times New Roman" w:eastAsia="Times New Roman" w:hAnsi="Times New Roman" w:cs="Times New Roman"/>
                <w:color w:val="000000"/>
                <w:spacing w:val="0"/>
                <w:w w:val="100"/>
                <w:position w:val="0"/>
                <w:sz w:val="24"/>
                <w:szCs w:val="24"/>
              </w:rPr>
              <w:t>128,870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119,587</w:t>
            </w:r>
          </w:p>
        </w:tc>
      </w:tr>
      <w:tr>
        <w:trPr>
          <w:trHeight w:val="331"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其他行业</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20"/>
              <w:jc w:val="left"/>
              <w:rPr>
                <w:sz w:val="24"/>
                <w:szCs w:val="24"/>
              </w:rPr>
            </w:pPr>
            <w:r>
              <w:rPr>
                <w:rFonts w:ascii="Times New Roman" w:eastAsia="Times New Roman" w:hAnsi="Times New Roman" w:cs="Times New Roman"/>
                <w:color w:val="000000"/>
                <w:spacing w:val="0"/>
                <w:w w:val="100"/>
                <w:position w:val="0"/>
                <w:sz w:val="24"/>
                <w:szCs w:val="24"/>
              </w:rPr>
              <w:t>37,405</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40"/>
              <w:jc w:val="left"/>
              <w:rPr>
                <w:sz w:val="24"/>
                <w:szCs w:val="24"/>
              </w:rPr>
            </w:pPr>
            <w:r>
              <w:rPr>
                <w:rFonts w:ascii="Times New Roman" w:eastAsia="Times New Roman" w:hAnsi="Times New Roman" w:cs="Times New Roman"/>
                <w:color w:val="000000"/>
                <w:spacing w:val="0"/>
                <w:w w:val="100"/>
                <w:position w:val="0"/>
                <w:sz w:val="24"/>
                <w:szCs w:val="24"/>
              </w:rPr>
              <w:t>28,796</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00"/>
              <w:jc w:val="both"/>
              <w:rPr>
                <w:sz w:val="24"/>
                <w:szCs w:val="24"/>
              </w:rPr>
            </w:pPr>
            <w:r>
              <w:rPr>
                <w:rFonts w:ascii="Times New Roman" w:eastAsia="Times New Roman" w:hAnsi="Times New Roman" w:cs="Times New Roman"/>
                <w:color w:val="000000"/>
                <w:spacing w:val="0"/>
                <w:w w:val="100"/>
                <w:position w:val="0"/>
                <w:sz w:val="24"/>
                <w:szCs w:val="24"/>
              </w:rPr>
              <w:t>50,276</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38,842</w:t>
            </w:r>
          </w:p>
        </w:tc>
      </w:tr>
      <w:tr>
        <w:trPr>
          <w:trHeight w:val="322" w:hRule="exact"/>
        </w:trPr>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60"/>
              <w:jc w:val="left"/>
              <w:rPr>
                <w:sz w:val="24"/>
                <w:szCs w:val="24"/>
              </w:rPr>
            </w:pPr>
            <w:r>
              <w:rPr>
                <w:rFonts w:ascii="Times New Roman" w:eastAsia="Times New Roman" w:hAnsi="Times New Roman" w:cs="Times New Roman"/>
                <w:color w:val="000000"/>
                <w:spacing w:val="0"/>
                <w:w w:val="100"/>
                <w:position w:val="0"/>
                <w:sz w:val="24"/>
                <w:szCs w:val="24"/>
              </w:rPr>
              <w:t>122,270,029</w:t>
            </w:r>
          </w:p>
        </w:tc>
        <w:tc>
          <w:tcPr>
            <w:tcBorders>
              <w:top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jc w:val="left"/>
              <w:rPr>
                <w:sz w:val="24"/>
                <w:szCs w:val="24"/>
              </w:rPr>
            </w:pPr>
            <w:r>
              <w:rPr>
                <w:rFonts w:ascii="Times New Roman" w:eastAsia="Times New Roman" w:hAnsi="Times New Roman" w:cs="Times New Roman"/>
                <w:color w:val="000000"/>
                <w:spacing w:val="0"/>
                <w:w w:val="100"/>
                <w:position w:val="0"/>
                <w:sz w:val="24"/>
                <w:szCs w:val="24"/>
              </w:rPr>
              <w:t>118,907,482</w:t>
            </w:r>
          </w:p>
        </w:tc>
        <w:tc>
          <w:tcPr>
            <w:tcBorders>
              <w:top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left"/>
              <w:rPr>
                <w:sz w:val="24"/>
                <w:szCs w:val="24"/>
              </w:rPr>
            </w:pPr>
            <w:r>
              <w:rPr>
                <w:rFonts w:ascii="Times New Roman" w:eastAsia="Times New Roman" w:hAnsi="Times New Roman" w:cs="Times New Roman"/>
                <w:color w:val="000000"/>
                <w:spacing w:val="0"/>
                <w:w w:val="100"/>
                <w:position w:val="0"/>
                <w:sz w:val="24"/>
                <w:szCs w:val="24"/>
              </w:rPr>
              <w:t>104,945,176</w:t>
            </w:r>
          </w:p>
        </w:tc>
        <w:tc>
          <w:tcPr>
            <w:tcBorders>
              <w:top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both"/>
              <w:rPr>
                <w:sz w:val="24"/>
                <w:szCs w:val="24"/>
              </w:rPr>
            </w:pPr>
            <w:r>
              <w:rPr>
                <w:rFonts w:ascii="Times New Roman" w:eastAsia="Times New Roman" w:hAnsi="Times New Roman" w:cs="Times New Roman"/>
                <w:color w:val="000000"/>
                <w:spacing w:val="0"/>
                <w:w w:val="100"/>
                <w:position w:val="0"/>
                <w:sz w:val="24"/>
                <w:szCs w:val="24"/>
              </w:rPr>
              <w:t>101,978,958</w:t>
            </w:r>
          </w:p>
        </w:tc>
      </w:tr>
    </w:tbl>
    <w:p>
      <w:pPr>
        <w:sectPr>
          <w:headerReference w:type="default" r:id="rId259"/>
          <w:footerReference w:type="default" r:id="rId260"/>
          <w:headerReference w:type="even" r:id="rId261"/>
          <w:footerReference w:type="even" r:id="rId262"/>
          <w:footnotePr>
            <w:pos w:val="pageBottom"/>
            <w:numFmt w:val="decimal"/>
            <w:numRestart w:val="continuous"/>
          </w:footnotePr>
          <w:pgSz w:w="11900" w:h="16840"/>
          <w:pgMar w:top="1326" w:right="1139" w:bottom="1326" w:left="1704" w:header="0" w:footer="3" w:gutter="0"/>
          <w:cols w:space="720"/>
          <w:noEndnote/>
          <w:rtlGutter w:val="0"/>
          <w:docGrid w:linePitch="360"/>
        </w:sectPr>
      </w:pPr>
    </w:p>
    <w:p>
      <w:pPr>
        <w:pStyle w:val="Style32"/>
        <w:keepNext w:val="0"/>
        <w:keepLines w:val="0"/>
        <w:widowControl w:val="0"/>
        <w:shd w:val="clear" w:color="auto" w:fill="auto"/>
        <w:bidi w:val="0"/>
        <w:spacing w:before="0" w:after="0" w:line="288" w:lineRule="exact"/>
        <w:ind w:left="720" w:right="0" w:firstLine="20"/>
        <w:jc w:val="left"/>
        <w:rPr>
          <w:sz w:val="24"/>
          <w:szCs w:val="24"/>
        </w:rPr>
      </w:pPr>
      <w:r>
        <w:rPr>
          <w:b/>
          <w:bCs/>
          <w:color w:val="000000"/>
          <w:spacing w:val="0"/>
          <w:w w:val="100"/>
          <w:position w:val="0"/>
          <w:sz w:val="24"/>
          <w:szCs w:val="24"/>
        </w:rPr>
        <w:t xml:space="preserve">财务报表附注 </w:t>
      </w:r>
      <w:r>
        <w:rPr>
          <w:rFonts w:ascii="Arial" w:eastAsia="Arial" w:hAnsi="Arial" w:cs="Arial"/>
          <w:color w:val="000000"/>
          <w:spacing w:val="0"/>
          <w:w w:val="100"/>
          <w:position w:val="0"/>
          <w:sz w:val="24"/>
          <w:szCs w:val="24"/>
        </w:rPr>
        <w:t>2016</w:t>
      </w:r>
      <w:r>
        <w:rPr>
          <w:b/>
          <w:bCs/>
          <w:color w:val="000000"/>
          <w:spacing w:val="0"/>
          <w:w w:val="100"/>
          <w:position w:val="0"/>
          <w:sz w:val="24"/>
          <w:szCs w:val="24"/>
        </w:rPr>
        <w:t>年度</w:t>
      </w:r>
    </w:p>
    <w:p>
      <w:pPr>
        <w:pStyle w:val="Style32"/>
        <w:keepNext w:val="0"/>
        <w:keepLines w:val="0"/>
        <w:widowControl w:val="0"/>
        <w:shd w:val="clear" w:color="auto" w:fill="auto"/>
        <w:bidi w:val="0"/>
        <w:spacing w:before="0" w:after="260" w:line="240" w:lineRule="auto"/>
        <w:ind w:left="0" w:right="0" w:firstLine="720"/>
        <w:jc w:val="left"/>
        <w:rPr>
          <w:sz w:val="20"/>
          <w:szCs w:val="20"/>
        </w:rPr>
      </w:pPr>
      <w:r>
        <w:rPr>
          <w:rFonts w:ascii="Arial" w:eastAsia="Arial" w:hAnsi="Arial" w:cs="Arial"/>
          <w:color w:val="000000"/>
          <w:spacing w:val="0"/>
          <w:w w:val="100"/>
          <w:position w:val="0"/>
          <w:sz w:val="20"/>
          <w:szCs w:val="20"/>
        </w:rPr>
        <w:t>(</w:t>
      </w:r>
      <w:r>
        <w:rPr>
          <w:color w:val="000000"/>
          <w:spacing w:val="0"/>
          <w:w w:val="100"/>
          <w:position w:val="0"/>
          <w:sz w:val="20"/>
          <w:szCs w:val="20"/>
        </w:rPr>
        <w:t>除特别注明外，金额单位为人民币千元</w:t>
      </w:r>
      <w:r>
        <w:rPr>
          <w:rFonts w:ascii="Arial" w:eastAsia="Arial" w:hAnsi="Arial" w:cs="Arial"/>
          <w:color w:val="000000"/>
          <w:spacing w:val="0"/>
          <w:w w:val="100"/>
          <w:position w:val="0"/>
          <w:sz w:val="20"/>
          <w:szCs w:val="20"/>
        </w:rPr>
        <w:t>)</w:t>
      </w:r>
    </w:p>
    <w:p>
      <w:pPr>
        <w:pStyle w:val="Style32"/>
        <w:keepNext w:val="0"/>
        <w:keepLines w:val="0"/>
        <w:widowControl w:val="0"/>
        <w:shd w:val="clear" w:color="auto" w:fill="auto"/>
        <w:bidi w:val="0"/>
        <w:spacing w:before="0" w:after="260" w:line="240" w:lineRule="auto"/>
        <w:ind w:left="0" w:right="0" w:firstLine="0"/>
        <w:jc w:val="left"/>
        <w:rPr>
          <w:sz w:val="24"/>
          <w:szCs w:val="24"/>
        </w:rPr>
      </w:pPr>
      <w:r>
        <w:rPr>
          <w:b/>
          <w:bCs/>
          <w:color w:val="000000"/>
          <w:spacing w:val="0"/>
          <w:w w:val="100"/>
          <w:position w:val="0"/>
          <w:sz w:val="24"/>
          <w:szCs w:val="24"/>
        </w:rPr>
        <w:t>十七公司财务报表附注</w:t>
      </w:r>
      <w:r>
        <w:rPr>
          <w:rFonts w:ascii="Times New Roman" w:eastAsia="Times New Roman" w:hAnsi="Times New Roman" w:cs="Times New Roman"/>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4"/>
          <w:szCs w:val="24"/>
        </w:rPr>
        <w:t>)</w:t>
      </w:r>
    </w:p>
    <w:p>
      <w:pPr>
        <w:pStyle w:val="Style32"/>
        <w:keepNext w:val="0"/>
        <w:keepLines w:val="0"/>
        <w:widowControl w:val="0"/>
        <w:shd w:val="clear" w:color="auto" w:fill="auto"/>
        <w:tabs>
          <w:tab w:pos="684" w:val="left"/>
        </w:tabs>
        <w:bidi w:val="0"/>
        <w:spacing w:before="0" w:after="26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(4)</w:t>
        <w:tab/>
      </w:r>
      <w:r>
        <w:rPr>
          <w:b/>
          <w:bCs/>
          <w:color w:val="000000"/>
          <w:spacing w:val="0"/>
          <w:w w:val="100"/>
          <w:position w:val="0"/>
          <w:sz w:val="24"/>
          <w:szCs w:val="24"/>
        </w:rPr>
        <w:t>营业收入和营业成本</w:t>
      </w:r>
      <w:r>
        <w:rPr>
          <w:rFonts w:ascii="Times New Roman" w:eastAsia="Times New Roman" w:hAnsi="Times New Roman" w:cs="Times New Roman"/>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4"/>
          <w:szCs w:val="24"/>
        </w:rPr>
        <w:t>)</w:t>
      </w:r>
    </w:p>
    <w:p>
      <w:pPr>
        <w:pStyle w:val="Style32"/>
        <w:keepNext w:val="0"/>
        <w:keepLines w:val="0"/>
        <w:widowControl w:val="0"/>
        <w:shd w:val="clear" w:color="auto" w:fill="auto"/>
        <w:tabs>
          <w:tab w:pos="684" w:val="left"/>
        </w:tabs>
        <w:bidi w:val="0"/>
        <w:spacing w:before="0" w:after="26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(a)</w:t>
        <w:tab/>
      </w:r>
      <w:r>
        <w:rPr>
          <w:color w:val="000000"/>
          <w:spacing w:val="0"/>
          <w:w w:val="100"/>
          <w:position w:val="0"/>
          <w:sz w:val="24"/>
          <w:szCs w:val="24"/>
        </w:rPr>
        <w:t>主营业务收入和主营业务成本</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续</w:t>
      </w:r>
      <w:r>
        <w:rPr>
          <w:rFonts w:ascii="Times New Roman" w:eastAsia="Times New Roman" w:hAnsi="Times New Roman" w:cs="Times New Roman"/>
          <w:color w:val="000000"/>
          <w:spacing w:val="0"/>
          <w:w w:val="100"/>
          <w:position w:val="0"/>
          <w:sz w:val="24"/>
          <w:szCs w:val="24"/>
        </w:rPr>
        <w:t>)</w:t>
      </w:r>
    </w:p>
    <w:p>
      <w:pPr>
        <w:pStyle w:val="Style32"/>
        <w:keepNext w:val="0"/>
        <w:keepLines w:val="0"/>
        <w:widowControl w:val="0"/>
        <w:shd w:val="clear" w:color="auto" w:fill="auto"/>
        <w:bidi w:val="0"/>
        <w:spacing w:before="0" w:after="260" w:line="240" w:lineRule="auto"/>
        <w:ind w:left="0" w:right="0" w:firstLine="720"/>
        <w:jc w:val="both"/>
        <w:rPr>
          <w:sz w:val="24"/>
          <w:szCs w:val="24"/>
        </w:rPr>
      </w:pPr>
      <w:r>
        <w:rPr>
          <w:color w:val="000000"/>
          <w:spacing w:val="0"/>
          <w:w w:val="100"/>
          <w:position w:val="0"/>
          <w:sz w:val="24"/>
          <w:szCs w:val="24"/>
        </w:rPr>
        <w:t>按产品分析如下：</w:t>
      </w:r>
    </w:p>
    <w:p>
      <w:pPr>
        <w:pStyle w:val="Style25"/>
        <w:keepNext w:val="0"/>
        <w:keepLines w:val="0"/>
        <w:widowControl w:val="0"/>
        <w:shd w:val="clear" w:color="auto" w:fill="auto"/>
        <w:tabs>
          <w:tab w:pos="3384" w:val="left"/>
        </w:tabs>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年度</w:t>
        <w:tab/>
      </w:r>
      <w:r>
        <w:rPr>
          <w:rFonts w:ascii="Times New Roman" w:eastAsia="Times New Roman" w:hAnsi="Times New Roman" w:cs="Times New Roman"/>
          <w:color w:val="000000"/>
          <w:spacing w:val="0"/>
          <w:w w:val="100"/>
          <w:position w:val="0"/>
          <w:sz w:val="24"/>
          <w:szCs w:val="24"/>
        </w:rPr>
        <w:t>2015</w:t>
      </w:r>
      <w:r>
        <w:rPr>
          <w:color w:val="000000"/>
          <w:spacing w:val="0"/>
          <w:w w:val="100"/>
          <w:position w:val="0"/>
          <w:sz w:val="24"/>
          <w:szCs w:val="24"/>
        </w:rPr>
        <w:t>年度</w:t>
      </w:r>
    </w:p>
    <w:tbl>
      <w:tblPr>
        <w:tblOverlap w:val="never"/>
        <w:jc w:val="right"/>
        <w:tblLayout w:type="fixed"/>
      </w:tblPr>
      <w:tblGrid>
        <w:gridCol w:w="1728"/>
        <w:gridCol w:w="1632"/>
        <w:gridCol w:w="1718"/>
        <w:gridCol w:w="1704"/>
        <w:gridCol w:w="1646"/>
      </w:tblGrid>
      <w:tr>
        <w:trPr>
          <w:trHeight w:val="480" w:hRule="exact"/>
        </w:trPr>
        <w:tc>
          <w:tcPr>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主营业务收入</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主营业务成本</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主营业务收入</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主营业务成本</w:t>
            </w:r>
          </w:p>
        </w:tc>
      </w:tr>
      <w:tr>
        <w:trPr>
          <w:trHeight w:val="446"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通讯产品</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jc w:val="left"/>
              <w:rPr>
                <w:sz w:val="24"/>
                <w:szCs w:val="24"/>
              </w:rPr>
            </w:pPr>
            <w:r>
              <w:rPr>
                <w:rFonts w:ascii="Times New Roman" w:eastAsia="Times New Roman" w:hAnsi="Times New Roman" w:cs="Times New Roman"/>
                <w:color w:val="000000"/>
                <w:spacing w:val="0"/>
                <w:w w:val="100"/>
                <w:position w:val="0"/>
                <w:sz w:val="24"/>
                <w:szCs w:val="24"/>
              </w:rPr>
              <w:t>27,832,561</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left"/>
              <w:rPr>
                <w:sz w:val="24"/>
                <w:szCs w:val="24"/>
              </w:rPr>
            </w:pPr>
            <w:r>
              <w:rPr>
                <w:rFonts w:ascii="Times New Roman" w:eastAsia="Times New Roman" w:hAnsi="Times New Roman" w:cs="Times New Roman"/>
                <w:color w:val="000000"/>
                <w:spacing w:val="0"/>
                <w:w w:val="100"/>
                <w:position w:val="0"/>
                <w:sz w:val="24"/>
                <w:szCs w:val="24"/>
              </w:rPr>
              <w:t>27,574,112</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both"/>
              <w:rPr>
                <w:sz w:val="24"/>
                <w:szCs w:val="24"/>
              </w:rPr>
            </w:pPr>
            <w:r>
              <w:rPr>
                <w:rFonts w:ascii="Times New Roman" w:eastAsia="Times New Roman" w:hAnsi="Times New Roman" w:cs="Times New Roman"/>
                <w:color w:val="000000"/>
                <w:spacing w:val="0"/>
                <w:w w:val="100"/>
                <w:position w:val="0"/>
                <w:sz w:val="24"/>
                <w:szCs w:val="24"/>
              </w:rPr>
              <w:t>19,067,576</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both"/>
              <w:rPr>
                <w:sz w:val="24"/>
                <w:szCs w:val="24"/>
              </w:rPr>
            </w:pPr>
            <w:r>
              <w:rPr>
                <w:rFonts w:ascii="Times New Roman" w:eastAsia="Times New Roman" w:hAnsi="Times New Roman" w:cs="Times New Roman"/>
                <w:color w:val="000000"/>
                <w:spacing w:val="0"/>
                <w:w w:val="100"/>
                <w:position w:val="0"/>
                <w:sz w:val="24"/>
                <w:szCs w:val="24"/>
              </w:rPr>
              <w:t>18,872,435</w:t>
            </w:r>
          </w:p>
        </w:tc>
      </w:tr>
      <w:tr>
        <w:trPr>
          <w:trHeight w:val="312"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数码及</w:t>
            </w:r>
            <w:r>
              <w:rPr>
                <w:rFonts w:ascii="Times New Roman" w:eastAsia="Times New Roman" w:hAnsi="Times New Roman" w:cs="Times New Roman"/>
                <w:color w:val="000000"/>
                <w:spacing w:val="0"/>
                <w:w w:val="100"/>
                <w:position w:val="0"/>
                <w:sz w:val="24"/>
                <w:szCs w:val="24"/>
              </w:rPr>
              <w:t>IT</w:t>
            </w:r>
            <w:r>
              <w:rPr>
                <w:color w:val="000000"/>
                <w:spacing w:val="0"/>
                <w:w w:val="100"/>
                <w:position w:val="0"/>
                <w:sz w:val="24"/>
                <w:szCs w:val="24"/>
              </w:rPr>
              <w:t>产品</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jc w:val="left"/>
              <w:rPr>
                <w:sz w:val="24"/>
                <w:szCs w:val="24"/>
              </w:rPr>
            </w:pPr>
            <w:r>
              <w:rPr>
                <w:rFonts w:ascii="Times New Roman" w:eastAsia="Times New Roman" w:hAnsi="Times New Roman" w:cs="Times New Roman"/>
                <w:color w:val="000000"/>
                <w:spacing w:val="0"/>
                <w:w w:val="100"/>
                <w:position w:val="0"/>
                <w:sz w:val="24"/>
                <w:szCs w:val="24"/>
              </w:rPr>
              <w:t>21,806,726</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left"/>
              <w:rPr>
                <w:sz w:val="24"/>
                <w:szCs w:val="24"/>
              </w:rPr>
            </w:pPr>
            <w:r>
              <w:rPr>
                <w:rFonts w:ascii="Times New Roman" w:eastAsia="Times New Roman" w:hAnsi="Times New Roman" w:cs="Times New Roman"/>
                <w:color w:val="000000"/>
                <w:spacing w:val="0"/>
                <w:w w:val="100"/>
                <w:position w:val="0"/>
                <w:sz w:val="24"/>
                <w:szCs w:val="24"/>
              </w:rPr>
              <w:t>21,589,299</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both"/>
              <w:rPr>
                <w:sz w:val="24"/>
                <w:szCs w:val="24"/>
              </w:rPr>
            </w:pPr>
            <w:r>
              <w:rPr>
                <w:rFonts w:ascii="Times New Roman" w:eastAsia="Times New Roman" w:hAnsi="Times New Roman" w:cs="Times New Roman"/>
                <w:color w:val="000000"/>
                <w:spacing w:val="0"/>
                <w:w w:val="100"/>
                <w:position w:val="0"/>
                <w:sz w:val="24"/>
                <w:szCs w:val="24"/>
              </w:rPr>
              <w:t>18,496,761</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both"/>
              <w:rPr>
                <w:sz w:val="24"/>
                <w:szCs w:val="24"/>
              </w:rPr>
            </w:pPr>
            <w:r>
              <w:rPr>
                <w:rFonts w:ascii="Times New Roman" w:eastAsia="Times New Roman" w:hAnsi="Times New Roman" w:cs="Times New Roman"/>
                <w:color w:val="000000"/>
                <w:spacing w:val="0"/>
                <w:w w:val="100"/>
                <w:position w:val="0"/>
                <w:sz w:val="24"/>
                <w:szCs w:val="24"/>
              </w:rPr>
              <w:t>18,304,659</w:t>
            </w:r>
          </w:p>
        </w:tc>
      </w:tr>
      <w:tr>
        <w:trPr>
          <w:trHeight w:val="317"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白色电器产品</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jc w:val="left"/>
              <w:rPr>
                <w:sz w:val="24"/>
                <w:szCs w:val="24"/>
              </w:rPr>
            </w:pPr>
            <w:r>
              <w:rPr>
                <w:rFonts w:ascii="Times New Roman" w:eastAsia="Times New Roman" w:hAnsi="Times New Roman" w:cs="Times New Roman"/>
                <w:color w:val="000000"/>
                <w:spacing w:val="0"/>
                <w:w w:val="100"/>
                <w:position w:val="0"/>
                <w:sz w:val="24"/>
                <w:szCs w:val="24"/>
              </w:rPr>
              <w:t>20,651,065</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left"/>
              <w:rPr>
                <w:sz w:val="24"/>
                <w:szCs w:val="24"/>
              </w:rPr>
            </w:pPr>
            <w:r>
              <w:rPr>
                <w:rFonts w:ascii="Times New Roman" w:eastAsia="Times New Roman" w:hAnsi="Times New Roman" w:cs="Times New Roman"/>
                <w:color w:val="000000"/>
                <w:spacing w:val="0"/>
                <w:w w:val="100"/>
                <w:position w:val="0"/>
                <w:sz w:val="24"/>
                <w:szCs w:val="24"/>
              </w:rPr>
              <w:t>19,944,671</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both"/>
              <w:rPr>
                <w:sz w:val="24"/>
                <w:szCs w:val="24"/>
              </w:rPr>
            </w:pPr>
            <w:r>
              <w:rPr>
                <w:rFonts w:ascii="Times New Roman" w:eastAsia="Times New Roman" w:hAnsi="Times New Roman" w:cs="Times New Roman"/>
                <w:color w:val="000000"/>
                <w:spacing w:val="0"/>
                <w:w w:val="100"/>
                <w:position w:val="0"/>
                <w:sz w:val="24"/>
                <w:szCs w:val="24"/>
              </w:rPr>
              <w:t>19,779,619</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both"/>
              <w:rPr>
                <w:sz w:val="24"/>
                <w:szCs w:val="24"/>
              </w:rPr>
            </w:pPr>
            <w:r>
              <w:rPr>
                <w:rFonts w:ascii="Times New Roman" w:eastAsia="Times New Roman" w:hAnsi="Times New Roman" w:cs="Times New Roman"/>
                <w:color w:val="000000"/>
                <w:spacing w:val="0"/>
                <w:w w:val="100"/>
                <w:position w:val="0"/>
                <w:sz w:val="24"/>
                <w:szCs w:val="24"/>
              </w:rPr>
              <w:t>19,145,329</w:t>
            </w:r>
          </w:p>
        </w:tc>
      </w:tr>
      <w:tr>
        <w:trPr>
          <w:trHeight w:val="298"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黑色电器产品</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jc w:val="left"/>
              <w:rPr>
                <w:sz w:val="24"/>
                <w:szCs w:val="24"/>
              </w:rPr>
            </w:pPr>
            <w:r>
              <w:rPr>
                <w:rFonts w:ascii="Times New Roman" w:eastAsia="Times New Roman" w:hAnsi="Times New Roman" w:cs="Times New Roman"/>
                <w:color w:val="000000"/>
                <w:spacing w:val="0"/>
                <w:w w:val="100"/>
                <w:position w:val="0"/>
                <w:sz w:val="24"/>
                <w:szCs w:val="24"/>
              </w:rPr>
              <w:t>19,888,354</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left"/>
              <w:rPr>
                <w:sz w:val="24"/>
                <w:szCs w:val="24"/>
              </w:rPr>
            </w:pPr>
            <w:r>
              <w:rPr>
                <w:rFonts w:ascii="Times New Roman" w:eastAsia="Times New Roman" w:hAnsi="Times New Roman" w:cs="Times New Roman"/>
                <w:color w:val="000000"/>
                <w:spacing w:val="0"/>
                <w:w w:val="100"/>
                <w:position w:val="0"/>
                <w:sz w:val="24"/>
                <w:szCs w:val="24"/>
              </w:rPr>
              <w:t>19,443,338</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both"/>
              <w:rPr>
                <w:sz w:val="24"/>
                <w:szCs w:val="24"/>
              </w:rPr>
            </w:pPr>
            <w:r>
              <w:rPr>
                <w:rFonts w:ascii="Times New Roman" w:eastAsia="Times New Roman" w:hAnsi="Times New Roman" w:cs="Times New Roman"/>
                <w:color w:val="000000"/>
                <w:spacing w:val="0"/>
                <w:w w:val="100"/>
                <w:position w:val="0"/>
                <w:sz w:val="24"/>
                <w:szCs w:val="24"/>
              </w:rPr>
              <w:t>21,407,915</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both"/>
              <w:rPr>
                <w:sz w:val="24"/>
                <w:szCs w:val="24"/>
              </w:rPr>
            </w:pPr>
            <w:r>
              <w:rPr>
                <w:rFonts w:ascii="Times New Roman" w:eastAsia="Times New Roman" w:hAnsi="Times New Roman" w:cs="Times New Roman"/>
                <w:color w:val="000000"/>
                <w:spacing w:val="0"/>
                <w:w w:val="100"/>
                <w:position w:val="0"/>
                <w:sz w:val="24"/>
                <w:szCs w:val="24"/>
              </w:rPr>
              <w:t>20,859,592</w:t>
            </w:r>
          </w:p>
        </w:tc>
      </w:tr>
      <w:tr>
        <w:trPr>
          <w:trHeight w:val="336"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小家电等产品</w:t>
            </w:r>
            <w:r>
              <w:rPr>
                <w:rFonts w:ascii="Times New Roman" w:eastAsia="Times New Roman" w:hAnsi="Times New Roman" w:cs="Times New Roman"/>
                <w:color w:val="000000"/>
                <w:spacing w:val="0"/>
                <w:w w:val="100"/>
                <w:position w:val="0"/>
                <w:sz w:val="24"/>
                <w:szCs w:val="24"/>
              </w:rPr>
              <w:t>(i)</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jc w:val="left"/>
              <w:rPr>
                <w:sz w:val="24"/>
                <w:szCs w:val="24"/>
              </w:rPr>
            </w:pPr>
            <w:r>
              <w:rPr>
                <w:rFonts w:ascii="Times New Roman" w:eastAsia="Times New Roman" w:hAnsi="Times New Roman" w:cs="Times New Roman"/>
                <w:color w:val="000000"/>
                <w:spacing w:val="0"/>
                <w:w w:val="100"/>
                <w:position w:val="0"/>
                <w:sz w:val="24"/>
                <w:szCs w:val="24"/>
              </w:rPr>
              <w:t>17,814,985</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left"/>
              <w:rPr>
                <w:sz w:val="24"/>
                <w:szCs w:val="24"/>
              </w:rPr>
            </w:pPr>
            <w:r>
              <w:rPr>
                <w:rFonts w:ascii="Times New Roman" w:eastAsia="Times New Roman" w:hAnsi="Times New Roman" w:cs="Times New Roman"/>
                <w:color w:val="000000"/>
                <w:spacing w:val="0"/>
                <w:w w:val="100"/>
                <w:position w:val="0"/>
                <w:sz w:val="24"/>
                <w:szCs w:val="24"/>
              </w:rPr>
              <w:t>16,570,370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both"/>
              <w:rPr>
                <w:sz w:val="24"/>
                <w:szCs w:val="24"/>
              </w:rPr>
            </w:pPr>
            <w:r>
              <w:rPr>
                <w:rFonts w:ascii="Times New Roman" w:eastAsia="Times New Roman" w:hAnsi="Times New Roman" w:cs="Times New Roman"/>
                <w:color w:val="000000"/>
                <w:spacing w:val="0"/>
                <w:w w:val="100"/>
                <w:position w:val="0"/>
                <w:sz w:val="24"/>
                <w:szCs w:val="24"/>
              </w:rPr>
              <w:t>14,422,950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both"/>
              <w:rPr>
                <w:sz w:val="24"/>
                <w:szCs w:val="24"/>
              </w:rPr>
            </w:pPr>
            <w:r>
              <w:rPr>
                <w:rFonts w:ascii="Times New Roman" w:eastAsia="Times New Roman" w:hAnsi="Times New Roman" w:cs="Times New Roman"/>
                <w:color w:val="000000"/>
                <w:spacing w:val="0"/>
                <w:w w:val="100"/>
                <w:position w:val="0"/>
                <w:sz w:val="24"/>
                <w:szCs w:val="24"/>
              </w:rPr>
              <w:t>13,410,619</w:t>
            </w:r>
          </w:p>
        </w:tc>
      </w:tr>
      <w:tr>
        <w:trPr>
          <w:trHeight w:val="283"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空调产品</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jc w:val="left"/>
              <w:rPr>
                <w:sz w:val="24"/>
                <w:szCs w:val="24"/>
              </w:rPr>
            </w:pPr>
            <w:r>
              <w:rPr>
                <w:rFonts w:ascii="Times New Roman" w:eastAsia="Times New Roman" w:hAnsi="Times New Roman" w:cs="Times New Roman"/>
                <w:color w:val="000000"/>
                <w:spacing w:val="0"/>
                <w:w w:val="100"/>
                <w:position w:val="0"/>
                <w:sz w:val="24"/>
                <w:szCs w:val="24"/>
              </w:rPr>
              <w:t>14,134,375</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left"/>
              <w:rPr>
                <w:sz w:val="24"/>
                <w:szCs w:val="24"/>
              </w:rPr>
            </w:pPr>
            <w:r>
              <w:rPr>
                <w:rFonts w:ascii="Times New Roman" w:eastAsia="Times New Roman" w:hAnsi="Times New Roman" w:cs="Times New Roman"/>
                <w:color w:val="000000"/>
                <w:spacing w:val="0"/>
                <w:w w:val="100"/>
                <w:position w:val="0"/>
                <w:sz w:val="24"/>
                <w:szCs w:val="24"/>
              </w:rPr>
              <w:t>13,660,172</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both"/>
              <w:rPr>
                <w:sz w:val="24"/>
                <w:szCs w:val="24"/>
              </w:rPr>
            </w:pPr>
            <w:r>
              <w:rPr>
                <w:rFonts w:ascii="Times New Roman" w:eastAsia="Times New Roman" w:hAnsi="Times New Roman" w:cs="Times New Roman"/>
                <w:color w:val="000000"/>
                <w:spacing w:val="0"/>
                <w:w w:val="100"/>
                <w:position w:val="0"/>
                <w:sz w:val="24"/>
                <w:szCs w:val="24"/>
              </w:rPr>
              <w:t>11,591,209</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both"/>
              <w:rPr>
                <w:sz w:val="24"/>
                <w:szCs w:val="24"/>
              </w:rPr>
            </w:pPr>
            <w:r>
              <w:rPr>
                <w:rFonts w:ascii="Times New Roman" w:eastAsia="Times New Roman" w:hAnsi="Times New Roman" w:cs="Times New Roman"/>
                <w:color w:val="000000"/>
                <w:spacing w:val="0"/>
                <w:w w:val="100"/>
                <w:position w:val="0"/>
                <w:sz w:val="24"/>
                <w:szCs w:val="24"/>
              </w:rPr>
              <w:t>11,227,895</w:t>
            </w:r>
          </w:p>
        </w:tc>
      </w:tr>
      <w:tr>
        <w:trPr>
          <w:trHeight w:val="312"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安装维修业务</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00"/>
              <w:jc w:val="both"/>
              <w:rPr>
                <w:sz w:val="24"/>
                <w:szCs w:val="24"/>
              </w:rPr>
            </w:pPr>
            <w:r>
              <w:rPr>
                <w:rFonts w:ascii="Times New Roman" w:eastAsia="Times New Roman" w:hAnsi="Times New Roman" w:cs="Times New Roman"/>
                <w:color w:val="000000"/>
                <w:spacing w:val="0"/>
                <w:w w:val="100"/>
                <w:position w:val="0"/>
                <w:sz w:val="24"/>
                <w:szCs w:val="24"/>
              </w:rPr>
              <w:t>104,558</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00"/>
              <w:jc w:val="left"/>
              <w:rPr>
                <w:sz w:val="24"/>
                <w:szCs w:val="24"/>
              </w:rPr>
            </w:pPr>
            <w:r>
              <w:rPr>
                <w:rFonts w:ascii="Times New Roman" w:eastAsia="Times New Roman" w:hAnsi="Times New Roman" w:cs="Times New Roman"/>
                <w:color w:val="000000"/>
                <w:spacing w:val="0"/>
                <w:w w:val="100"/>
                <w:position w:val="0"/>
                <w:sz w:val="24"/>
                <w:szCs w:val="24"/>
              </w:rPr>
              <w:t>96,724</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80"/>
              <w:jc w:val="left"/>
              <w:rPr>
                <w:sz w:val="24"/>
                <w:szCs w:val="24"/>
              </w:rPr>
            </w:pPr>
            <w:r>
              <w:rPr>
                <w:rFonts w:ascii="Times New Roman" w:eastAsia="Times New Roman" w:hAnsi="Times New Roman" w:cs="Times New Roman"/>
                <w:color w:val="000000"/>
                <w:spacing w:val="0"/>
                <w:w w:val="100"/>
                <w:position w:val="0"/>
                <w:sz w:val="24"/>
                <w:szCs w:val="24"/>
              </w:rPr>
              <w:t>128,870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119,587</w:t>
            </w:r>
          </w:p>
        </w:tc>
      </w:tr>
      <w:tr>
        <w:trPr>
          <w:trHeight w:val="326"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其他行业</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20"/>
              <w:jc w:val="left"/>
              <w:rPr>
                <w:sz w:val="24"/>
                <w:szCs w:val="24"/>
              </w:rPr>
            </w:pPr>
            <w:r>
              <w:rPr>
                <w:rFonts w:ascii="Times New Roman" w:eastAsia="Times New Roman" w:hAnsi="Times New Roman" w:cs="Times New Roman"/>
                <w:color w:val="000000"/>
                <w:spacing w:val="0"/>
                <w:w w:val="100"/>
                <w:position w:val="0"/>
                <w:sz w:val="24"/>
                <w:szCs w:val="24"/>
              </w:rPr>
              <w:t>37,405</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00"/>
              <w:jc w:val="left"/>
              <w:rPr>
                <w:sz w:val="24"/>
                <w:szCs w:val="24"/>
              </w:rPr>
            </w:pPr>
            <w:r>
              <w:rPr>
                <w:rFonts w:ascii="Times New Roman" w:eastAsia="Times New Roman" w:hAnsi="Times New Roman" w:cs="Times New Roman"/>
                <w:color w:val="000000"/>
                <w:spacing w:val="0"/>
                <w:w w:val="100"/>
                <w:position w:val="0"/>
                <w:sz w:val="24"/>
                <w:szCs w:val="24"/>
              </w:rPr>
              <w:t>28,796</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00"/>
              <w:jc w:val="both"/>
              <w:rPr>
                <w:sz w:val="24"/>
                <w:szCs w:val="24"/>
              </w:rPr>
            </w:pPr>
            <w:r>
              <w:rPr>
                <w:rFonts w:ascii="Times New Roman" w:eastAsia="Times New Roman" w:hAnsi="Times New Roman" w:cs="Times New Roman"/>
                <w:color w:val="000000"/>
                <w:spacing w:val="0"/>
                <w:w w:val="100"/>
                <w:position w:val="0"/>
                <w:sz w:val="24"/>
                <w:szCs w:val="24"/>
              </w:rPr>
              <w:t>50,276</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38,842</w:t>
            </w:r>
          </w:p>
        </w:tc>
      </w:tr>
      <w:tr>
        <w:trPr>
          <w:trHeight w:val="322" w:hRule="exact"/>
        </w:trPr>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60"/>
              <w:jc w:val="both"/>
              <w:rPr>
                <w:sz w:val="24"/>
                <w:szCs w:val="24"/>
              </w:rPr>
            </w:pPr>
            <w:r>
              <w:rPr>
                <w:rFonts w:ascii="Times New Roman" w:eastAsia="Times New Roman" w:hAnsi="Times New Roman" w:cs="Times New Roman"/>
                <w:color w:val="000000"/>
                <w:spacing w:val="0"/>
                <w:w w:val="100"/>
                <w:position w:val="0"/>
                <w:sz w:val="24"/>
                <w:szCs w:val="24"/>
              </w:rPr>
              <w:t>122,270,029</w:t>
            </w:r>
          </w:p>
        </w:tc>
        <w:tc>
          <w:tcPr>
            <w:tcBorders>
              <w:top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both"/>
              <w:rPr>
                <w:sz w:val="24"/>
                <w:szCs w:val="24"/>
              </w:rPr>
            </w:pPr>
            <w:r>
              <w:rPr>
                <w:rFonts w:ascii="Times New Roman" w:eastAsia="Times New Roman" w:hAnsi="Times New Roman" w:cs="Times New Roman"/>
                <w:color w:val="000000"/>
                <w:spacing w:val="0"/>
                <w:w w:val="100"/>
                <w:position w:val="0"/>
                <w:sz w:val="24"/>
                <w:szCs w:val="24"/>
              </w:rPr>
              <w:t>118,907,482</w:t>
            </w:r>
          </w:p>
        </w:tc>
        <w:tc>
          <w:tcPr>
            <w:tcBorders>
              <w:top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104,945,176</w:t>
            </w:r>
          </w:p>
        </w:tc>
        <w:tc>
          <w:tcPr>
            <w:tcBorders>
              <w:top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101,978,958</w:t>
            </w:r>
          </w:p>
        </w:tc>
      </w:tr>
    </w:tbl>
    <w:p>
      <w:pPr>
        <w:widowControl w:val="0"/>
        <w:spacing w:after="259" w:line="1" w:lineRule="exact"/>
      </w:pPr>
    </w:p>
    <w:p>
      <w:pPr>
        <w:pStyle w:val="Style32"/>
        <w:keepNext w:val="0"/>
        <w:keepLines w:val="0"/>
        <w:widowControl w:val="0"/>
        <w:shd w:val="clear" w:color="auto" w:fill="auto"/>
        <w:bidi w:val="0"/>
        <w:spacing w:before="0" w:after="260" w:line="312" w:lineRule="exact"/>
        <w:ind w:left="720" w:right="0" w:hanging="720"/>
        <w:jc w:val="left"/>
        <w:rPr>
          <w:sz w:val="24"/>
          <w:szCs w:val="24"/>
        </w:rPr>
      </w:pPr>
      <w:r>
        <w:rPr>
          <w:rFonts w:ascii="Times New Roman" w:eastAsia="Times New Roman" w:hAnsi="Times New Roman" w:cs="Times New Roman"/>
          <w:color w:val="000000"/>
          <w:spacing w:val="0"/>
          <w:w w:val="100"/>
          <w:position w:val="0"/>
          <w:sz w:val="24"/>
          <w:szCs w:val="24"/>
        </w:rPr>
        <w:t xml:space="preserve">(i) </w:t>
      </w:r>
      <w:r>
        <w:rPr>
          <w:color w:val="000000"/>
          <w:spacing w:val="0"/>
          <w:w w:val="100"/>
          <w:position w:val="0"/>
          <w:sz w:val="24"/>
          <w:szCs w:val="24"/>
        </w:rPr>
        <w:t>小家电等产品包括小家电、红孩子母婴及美妆、家居食品和其他日用百货类产 品等。</w:t>
      </w:r>
    </w:p>
    <w:p>
      <w:pPr>
        <w:pStyle w:val="Style32"/>
        <w:keepNext w:val="0"/>
        <w:keepLines w:val="0"/>
        <w:widowControl w:val="0"/>
        <w:shd w:val="clear" w:color="auto" w:fill="auto"/>
        <w:tabs>
          <w:tab w:pos="684" w:val="left"/>
        </w:tabs>
        <w:bidi w:val="0"/>
        <w:spacing w:before="0" w:after="26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(b)</w:t>
        <w:tab/>
      </w:r>
      <w:r>
        <w:rPr>
          <w:color w:val="000000"/>
          <w:spacing w:val="0"/>
          <w:w w:val="100"/>
          <w:position w:val="0"/>
          <w:sz w:val="24"/>
          <w:szCs w:val="24"/>
        </w:rPr>
        <w:t>其他业务收入和其他业务成本</w:t>
      </w:r>
    </w:p>
    <w:p>
      <w:pPr>
        <w:pStyle w:val="Style25"/>
        <w:keepNext w:val="0"/>
        <w:keepLines w:val="0"/>
        <w:widowControl w:val="0"/>
        <w:shd w:val="clear" w:color="auto" w:fill="auto"/>
        <w:tabs>
          <w:tab w:pos="3394" w:val="left"/>
        </w:tabs>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年度</w:t>
        <w:tab/>
      </w:r>
      <w:r>
        <w:rPr>
          <w:rFonts w:ascii="Times New Roman" w:eastAsia="Times New Roman" w:hAnsi="Times New Roman" w:cs="Times New Roman"/>
          <w:color w:val="000000"/>
          <w:spacing w:val="0"/>
          <w:w w:val="100"/>
          <w:position w:val="0"/>
          <w:sz w:val="20"/>
          <w:szCs w:val="20"/>
        </w:rPr>
        <w:t>2015</w:t>
      </w:r>
      <w:r>
        <w:rPr>
          <w:color w:val="000000"/>
          <w:spacing w:val="0"/>
          <w:w w:val="100"/>
          <w:position w:val="0"/>
          <w:sz w:val="20"/>
          <w:szCs w:val="20"/>
        </w:rPr>
        <w:t>年度</w:t>
      </w:r>
    </w:p>
    <w:tbl>
      <w:tblPr>
        <w:tblOverlap w:val="never"/>
        <w:jc w:val="right"/>
        <w:tblLayout w:type="fixed"/>
      </w:tblPr>
      <w:tblGrid>
        <w:gridCol w:w="1891"/>
        <w:gridCol w:w="1723"/>
        <w:gridCol w:w="1661"/>
        <w:gridCol w:w="1646"/>
        <w:gridCol w:w="1507"/>
      </w:tblGrid>
      <w:tr>
        <w:trPr>
          <w:trHeight w:val="394"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其他业务收入</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其他业务成本</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其他业务收入</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其他业务成本</w:t>
            </w:r>
          </w:p>
        </w:tc>
      </w:tr>
      <w:tr>
        <w:trPr>
          <w:trHeight w:val="418"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连锁店服务收入</w:t>
            </w:r>
            <w:r>
              <w:rPr>
                <w:rFonts w:ascii="Times New Roman" w:eastAsia="Times New Roman" w:hAnsi="Times New Roman" w:cs="Times New Roman"/>
                <w:color w:val="000000"/>
                <w:spacing w:val="0"/>
                <w:w w:val="100"/>
                <w:position w:val="0"/>
                <w:sz w:val="20"/>
                <w:szCs w:val="20"/>
              </w:rPr>
              <w:t>(i)</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00"/>
              <w:jc w:val="left"/>
              <w:rPr>
                <w:sz w:val="20"/>
                <w:szCs w:val="20"/>
              </w:rPr>
            </w:pPr>
            <w:r>
              <w:rPr>
                <w:rFonts w:ascii="Times New Roman" w:eastAsia="Times New Roman" w:hAnsi="Times New Roman" w:cs="Times New Roman"/>
                <w:color w:val="000000"/>
                <w:spacing w:val="0"/>
                <w:w w:val="100"/>
                <w:position w:val="0"/>
                <w:sz w:val="20"/>
                <w:szCs w:val="20"/>
              </w:rPr>
              <w:t>331,538</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22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40"/>
              <w:jc w:val="left"/>
              <w:rPr>
                <w:sz w:val="20"/>
                <w:szCs w:val="20"/>
              </w:rPr>
            </w:pPr>
            <w:r>
              <w:rPr>
                <w:rFonts w:ascii="Times New Roman" w:eastAsia="Times New Roman" w:hAnsi="Times New Roman" w:cs="Times New Roman"/>
                <w:color w:val="000000"/>
                <w:spacing w:val="0"/>
                <w:w w:val="100"/>
                <w:position w:val="0"/>
                <w:sz w:val="20"/>
                <w:szCs w:val="20"/>
              </w:rPr>
              <w:t>78,121</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30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r>
      <w:tr>
        <w:trPr>
          <w:trHeight w:val="259"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租赁收入</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00"/>
              <w:jc w:val="left"/>
              <w:rPr>
                <w:sz w:val="20"/>
                <w:szCs w:val="20"/>
              </w:rPr>
            </w:pPr>
            <w:r>
              <w:rPr>
                <w:rFonts w:ascii="Times New Roman" w:eastAsia="Times New Roman" w:hAnsi="Times New Roman" w:cs="Times New Roman"/>
                <w:color w:val="000000"/>
                <w:spacing w:val="0"/>
                <w:w w:val="100"/>
                <w:position w:val="0"/>
                <w:sz w:val="20"/>
                <w:szCs w:val="20"/>
              </w:rPr>
              <w:t>175,848</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80"/>
              <w:jc w:val="left"/>
              <w:rPr>
                <w:sz w:val="20"/>
                <w:szCs w:val="20"/>
              </w:rPr>
            </w:pPr>
            <w:r>
              <w:rPr>
                <w:rFonts w:ascii="Times New Roman" w:eastAsia="Times New Roman" w:hAnsi="Times New Roman" w:cs="Times New Roman"/>
                <w:color w:val="000000"/>
                <w:spacing w:val="0"/>
                <w:w w:val="100"/>
                <w:position w:val="0"/>
                <w:sz w:val="20"/>
                <w:szCs w:val="20"/>
              </w:rPr>
              <w:t>52,870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60"/>
              <w:jc w:val="left"/>
              <w:rPr>
                <w:sz w:val="20"/>
                <w:szCs w:val="20"/>
              </w:rPr>
            </w:pPr>
            <w:r>
              <w:rPr>
                <w:rFonts w:ascii="Times New Roman" w:eastAsia="Times New Roman" w:hAnsi="Times New Roman" w:cs="Times New Roman"/>
                <w:color w:val="000000"/>
                <w:spacing w:val="0"/>
                <w:w w:val="100"/>
                <w:position w:val="0"/>
                <w:sz w:val="20"/>
                <w:szCs w:val="20"/>
              </w:rPr>
              <w:t>122,609</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70,169</w:t>
            </w:r>
          </w:p>
        </w:tc>
      </w:tr>
      <w:tr>
        <w:trPr>
          <w:trHeight w:val="274"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代理费收入</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00"/>
              <w:jc w:val="left"/>
              <w:rPr>
                <w:sz w:val="20"/>
                <w:szCs w:val="20"/>
              </w:rPr>
            </w:pPr>
            <w:r>
              <w:rPr>
                <w:rFonts w:ascii="Times New Roman" w:eastAsia="Times New Roman" w:hAnsi="Times New Roman" w:cs="Times New Roman"/>
                <w:color w:val="000000"/>
                <w:spacing w:val="0"/>
                <w:w w:val="100"/>
                <w:position w:val="0"/>
                <w:sz w:val="20"/>
                <w:szCs w:val="20"/>
              </w:rPr>
              <w:t>25,384</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22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40"/>
              <w:jc w:val="left"/>
              <w:rPr>
                <w:sz w:val="20"/>
                <w:szCs w:val="20"/>
              </w:rPr>
            </w:pPr>
            <w:r>
              <w:rPr>
                <w:rFonts w:ascii="Times New Roman" w:eastAsia="Times New Roman" w:hAnsi="Times New Roman" w:cs="Times New Roman"/>
                <w:color w:val="000000"/>
                <w:spacing w:val="0"/>
                <w:w w:val="100"/>
                <w:position w:val="0"/>
                <w:sz w:val="20"/>
                <w:szCs w:val="20"/>
              </w:rPr>
              <w:t>53,535</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30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r>
      <w:tr>
        <w:trPr>
          <w:trHeight w:val="259"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广告位使用费收入</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00"/>
              <w:jc w:val="left"/>
              <w:rPr>
                <w:sz w:val="20"/>
                <w:szCs w:val="20"/>
              </w:rPr>
            </w:pPr>
            <w:r>
              <w:rPr>
                <w:rFonts w:ascii="Times New Roman" w:eastAsia="Times New Roman" w:hAnsi="Times New Roman" w:cs="Times New Roman"/>
                <w:color w:val="000000"/>
                <w:spacing w:val="0"/>
                <w:w w:val="100"/>
                <w:position w:val="0"/>
                <w:sz w:val="20"/>
                <w:szCs w:val="20"/>
              </w:rPr>
              <w:t>76,842</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22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40"/>
              <w:jc w:val="left"/>
              <w:rPr>
                <w:sz w:val="20"/>
                <w:szCs w:val="20"/>
              </w:rPr>
            </w:pPr>
            <w:r>
              <w:rPr>
                <w:rFonts w:ascii="Times New Roman" w:eastAsia="Times New Roman" w:hAnsi="Times New Roman" w:cs="Times New Roman"/>
                <w:color w:val="000000"/>
                <w:spacing w:val="0"/>
                <w:w w:val="100"/>
                <w:position w:val="0"/>
                <w:sz w:val="20"/>
                <w:szCs w:val="20"/>
              </w:rPr>
              <w:t>14,510</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r>
      <w:tr>
        <w:trPr>
          <w:trHeight w:val="312" w:hRule="exact"/>
        </w:trPr>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00"/>
              <w:jc w:val="left"/>
              <w:rPr>
                <w:sz w:val="20"/>
                <w:szCs w:val="20"/>
              </w:rPr>
            </w:pPr>
            <w:r>
              <w:rPr>
                <w:rFonts w:ascii="Times New Roman" w:eastAsia="Times New Roman" w:hAnsi="Times New Roman" w:cs="Times New Roman"/>
                <w:color w:val="000000"/>
                <w:spacing w:val="0"/>
                <w:w w:val="100"/>
                <w:position w:val="0"/>
                <w:sz w:val="20"/>
                <w:szCs w:val="20"/>
              </w:rPr>
              <w:t>609,612</w:t>
            </w:r>
          </w:p>
        </w:tc>
        <w:tc>
          <w:tcPr>
            <w:tcBorders>
              <w:top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80"/>
              <w:jc w:val="left"/>
              <w:rPr>
                <w:sz w:val="20"/>
                <w:szCs w:val="20"/>
              </w:rPr>
            </w:pPr>
            <w:r>
              <w:rPr>
                <w:rFonts w:ascii="Times New Roman" w:eastAsia="Times New Roman" w:hAnsi="Times New Roman" w:cs="Times New Roman"/>
                <w:color w:val="000000"/>
                <w:spacing w:val="0"/>
                <w:w w:val="100"/>
                <w:position w:val="0"/>
                <w:sz w:val="20"/>
                <w:szCs w:val="20"/>
              </w:rPr>
              <w:t>52,870</w:t>
            </w:r>
          </w:p>
        </w:tc>
        <w:tc>
          <w:tcPr>
            <w:tcBorders>
              <w:top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60"/>
              <w:jc w:val="left"/>
              <w:rPr>
                <w:sz w:val="20"/>
                <w:szCs w:val="20"/>
              </w:rPr>
            </w:pPr>
            <w:r>
              <w:rPr>
                <w:rFonts w:ascii="Times New Roman" w:eastAsia="Times New Roman" w:hAnsi="Times New Roman" w:cs="Times New Roman"/>
                <w:color w:val="000000"/>
                <w:spacing w:val="0"/>
                <w:w w:val="100"/>
                <w:position w:val="0"/>
                <w:sz w:val="20"/>
                <w:szCs w:val="20"/>
              </w:rPr>
              <w:t>268,775</w:t>
            </w:r>
          </w:p>
        </w:tc>
        <w:tc>
          <w:tcPr>
            <w:tcBorders>
              <w:top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70,169</w:t>
            </w:r>
          </w:p>
        </w:tc>
      </w:tr>
    </w:tbl>
    <w:p>
      <w:pPr>
        <w:widowControl w:val="0"/>
        <w:spacing w:after="259" w:line="1" w:lineRule="exact"/>
      </w:pPr>
    </w:p>
    <w:p>
      <w:pPr>
        <w:pStyle w:val="Style32"/>
        <w:keepNext w:val="0"/>
        <w:keepLines w:val="0"/>
        <w:widowControl w:val="0"/>
        <w:shd w:val="clear" w:color="auto" w:fill="auto"/>
        <w:tabs>
          <w:tab w:pos="684" w:val="left"/>
        </w:tabs>
        <w:bidi w:val="0"/>
        <w:spacing w:before="0" w:after="26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(i)</w:t>
        <w:tab/>
      </w:r>
      <w:r>
        <w:rPr>
          <w:color w:val="000000"/>
          <w:spacing w:val="0"/>
          <w:w w:val="100"/>
          <w:position w:val="0"/>
          <w:sz w:val="24"/>
          <w:szCs w:val="24"/>
        </w:rPr>
        <w:t>连锁店服务收入主要包括供应商支付的促销服务收入及广告服务收入等。</w:t>
      </w:r>
    </w:p>
    <w:p>
      <w:pPr>
        <w:pStyle w:val="Style32"/>
        <w:keepNext w:val="0"/>
        <w:keepLines w:val="0"/>
        <w:widowControl w:val="0"/>
        <w:shd w:val="clear" w:color="auto" w:fill="auto"/>
        <w:bidi w:val="0"/>
        <w:spacing w:before="0" w:after="0" w:line="288" w:lineRule="exact"/>
        <w:ind w:left="720" w:right="0" w:firstLine="20"/>
        <w:jc w:val="left"/>
        <w:rPr>
          <w:sz w:val="24"/>
          <w:szCs w:val="24"/>
        </w:rPr>
      </w:pPr>
      <w:r>
        <w:rPr>
          <w:b/>
          <w:bCs/>
          <w:color w:val="000000"/>
          <w:spacing w:val="0"/>
          <w:w w:val="100"/>
          <w:position w:val="0"/>
          <w:sz w:val="24"/>
          <w:szCs w:val="24"/>
        </w:rPr>
        <w:t xml:space="preserve">财务报表附注 </w:t>
      </w:r>
      <w:r>
        <w:rPr>
          <w:rFonts w:ascii="Arial" w:eastAsia="Arial" w:hAnsi="Arial" w:cs="Arial"/>
          <w:color w:val="000000"/>
          <w:spacing w:val="0"/>
          <w:w w:val="100"/>
          <w:position w:val="0"/>
          <w:sz w:val="24"/>
          <w:szCs w:val="24"/>
        </w:rPr>
        <w:t>2016</w:t>
      </w:r>
      <w:r>
        <w:rPr>
          <w:b/>
          <w:bCs/>
          <w:color w:val="000000"/>
          <w:spacing w:val="0"/>
          <w:w w:val="100"/>
          <w:position w:val="0"/>
          <w:sz w:val="24"/>
          <w:szCs w:val="24"/>
        </w:rPr>
        <w:t>年度</w:t>
      </w:r>
    </w:p>
    <w:p>
      <w:pPr>
        <w:pStyle w:val="Style32"/>
        <w:keepNext w:val="0"/>
        <w:keepLines w:val="0"/>
        <w:widowControl w:val="0"/>
        <w:shd w:val="clear" w:color="auto" w:fill="auto"/>
        <w:bidi w:val="0"/>
        <w:spacing w:before="0" w:after="440" w:line="240" w:lineRule="auto"/>
        <w:ind w:left="0" w:right="0" w:firstLine="720"/>
        <w:jc w:val="left"/>
        <w:rPr>
          <w:sz w:val="20"/>
          <w:szCs w:val="20"/>
        </w:rPr>
      </w:pPr>
      <w:r>
        <w:rPr>
          <w:rFonts w:ascii="Arial" w:eastAsia="Arial" w:hAnsi="Arial" w:cs="Arial"/>
          <w:color w:val="000000"/>
          <w:spacing w:val="0"/>
          <w:w w:val="100"/>
          <w:position w:val="0"/>
          <w:sz w:val="20"/>
          <w:szCs w:val="20"/>
        </w:rPr>
        <w:t>（</w:t>
      </w:r>
      <w:r>
        <w:rPr>
          <w:color w:val="000000"/>
          <w:spacing w:val="0"/>
          <w:w w:val="100"/>
          <w:position w:val="0"/>
          <w:sz w:val="20"/>
          <w:szCs w:val="20"/>
        </w:rPr>
        <w:t>除特别注明外，金额单位为人民币千元</w:t>
      </w:r>
      <w:r>
        <w:rPr>
          <w:rFonts w:ascii="Arial" w:eastAsia="Arial" w:hAnsi="Arial" w:cs="Arial"/>
          <w:color w:val="000000"/>
          <w:spacing w:val="0"/>
          <w:w w:val="100"/>
          <w:position w:val="0"/>
          <w:sz w:val="20"/>
          <w:szCs w:val="20"/>
        </w:rPr>
        <w:t>）</w:t>
      </w:r>
    </w:p>
    <w:p>
      <w:pPr>
        <w:pStyle w:val="Style32"/>
        <w:keepNext w:val="0"/>
        <w:keepLines w:val="0"/>
        <w:widowControl w:val="0"/>
        <w:shd w:val="clear" w:color="auto" w:fill="auto"/>
        <w:bidi w:val="0"/>
        <w:spacing w:before="0" w:after="260" w:line="240" w:lineRule="auto"/>
        <w:ind w:left="0" w:right="0" w:firstLine="0"/>
        <w:jc w:val="left"/>
        <w:rPr>
          <w:sz w:val="24"/>
          <w:szCs w:val="24"/>
        </w:rPr>
      </w:pPr>
      <w:r>
        <w:rPr>
          <w:b/>
          <w:bCs/>
          <w:color w:val="000000"/>
          <w:spacing w:val="0"/>
          <w:w w:val="100"/>
          <w:position w:val="0"/>
          <w:sz w:val="24"/>
          <w:szCs w:val="24"/>
        </w:rPr>
        <w:t>十七公司财务报表附注</w:t>
      </w:r>
      <w:r>
        <w:rPr>
          <w:rFonts w:ascii="Times New Roman" w:eastAsia="Times New Roman" w:hAnsi="Times New Roman" w:cs="Times New Roman"/>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4"/>
          <w:szCs w:val="24"/>
        </w:rPr>
        <w:t>）</w:t>
      </w:r>
    </w:p>
    <w:p>
      <w:pPr>
        <w:pStyle w:val="Style32"/>
        <w:keepNext w:val="0"/>
        <w:keepLines w:val="0"/>
        <w:widowControl w:val="0"/>
        <w:shd w:val="clear" w:color="auto" w:fill="auto"/>
        <w:tabs>
          <w:tab w:pos="662" w:val="left"/>
        </w:tabs>
        <w:bidi w:val="0"/>
        <w:spacing w:before="0" w:after="26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（5）</w:t>
        <w:tab/>
      </w:r>
      <w:r>
        <w:rPr>
          <w:b/>
          <w:bCs/>
          <w:color w:val="000000"/>
          <w:spacing w:val="0"/>
          <w:w w:val="100"/>
          <w:position w:val="0"/>
          <w:sz w:val="24"/>
          <w:szCs w:val="24"/>
        </w:rPr>
        <w:t>投资收益</w:t>
      </w:r>
    </w:p>
    <w:p>
      <w:pPr>
        <w:pStyle w:val="Style25"/>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 xml:space="preserve">年度 </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sz w:val="24"/>
          <w:szCs w:val="24"/>
        </w:rPr>
        <w:t>年度</w:t>
      </w:r>
    </w:p>
    <w:tbl>
      <w:tblPr>
        <w:tblOverlap w:val="never"/>
        <w:jc w:val="right"/>
        <w:tblLayout w:type="fixed"/>
      </w:tblPr>
      <w:tblGrid>
        <w:gridCol w:w="5179"/>
        <w:gridCol w:w="1594"/>
        <w:gridCol w:w="1363"/>
      </w:tblGrid>
      <w:tr>
        <w:trPr>
          <w:trHeight w:val="302"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子公司股利</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360" w:firstLine="0"/>
              <w:jc w:val="right"/>
              <w:rPr>
                <w:sz w:val="24"/>
                <w:szCs w:val="24"/>
              </w:rPr>
            </w:pPr>
            <w:r>
              <w:rPr>
                <w:rFonts w:ascii="Times New Roman" w:eastAsia="Times New Roman" w:hAnsi="Times New Roman" w:cs="Times New Roman"/>
                <w:color w:val="000000"/>
                <w:spacing w:val="0"/>
                <w:w w:val="100"/>
                <w:position w:val="0"/>
                <w:sz w:val="24"/>
                <w:szCs w:val="24"/>
              </w:rPr>
              <w:t>1,395,193</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jc w:val="both"/>
              <w:rPr>
                <w:sz w:val="24"/>
                <w:szCs w:val="24"/>
              </w:rPr>
            </w:pPr>
            <w:r>
              <w:rPr>
                <w:rFonts w:ascii="Times New Roman" w:eastAsia="Times New Roman" w:hAnsi="Times New Roman" w:cs="Times New Roman"/>
                <w:color w:val="000000"/>
                <w:spacing w:val="0"/>
                <w:w w:val="100"/>
                <w:position w:val="0"/>
                <w:sz w:val="24"/>
                <w:szCs w:val="24"/>
              </w:rPr>
              <w:t>860,986</w:t>
            </w:r>
          </w:p>
        </w:tc>
      </w:tr>
      <w:tr>
        <w:trPr>
          <w:trHeight w:val="302"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处置可供出售金融资产取得的投资收益</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left"/>
              <w:rPr>
                <w:sz w:val="24"/>
                <w:szCs w:val="24"/>
              </w:rPr>
            </w:pPr>
            <w:r>
              <w:rPr>
                <w:rFonts w:ascii="Times New Roman" w:eastAsia="Times New Roman" w:hAnsi="Times New Roman" w:cs="Times New Roman"/>
                <w:color w:val="000000"/>
                <w:spacing w:val="0"/>
                <w:w w:val="100"/>
                <w:position w:val="0"/>
                <w:sz w:val="24"/>
                <w:szCs w:val="24"/>
              </w:rPr>
              <w:t>145,935</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both"/>
              <w:rPr>
                <w:sz w:val="24"/>
                <w:szCs w:val="24"/>
              </w:rPr>
            </w:pPr>
            <w:r>
              <w:rPr>
                <w:rFonts w:ascii="Times New Roman" w:eastAsia="Times New Roman" w:hAnsi="Times New Roman" w:cs="Times New Roman"/>
                <w:color w:val="000000"/>
                <w:spacing w:val="0"/>
                <w:w w:val="100"/>
                <w:position w:val="0"/>
                <w:sz w:val="24"/>
                <w:szCs w:val="24"/>
              </w:rPr>
              <w:t>50,350</w:t>
            </w:r>
          </w:p>
        </w:tc>
      </w:tr>
      <w:tr>
        <w:trPr>
          <w:trHeight w:val="317"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处置长期股权投资产生的投资收益</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left"/>
              <w:rPr>
                <w:sz w:val="24"/>
                <w:szCs w:val="24"/>
              </w:rPr>
            </w:pPr>
            <w:r>
              <w:rPr>
                <w:rFonts w:ascii="Times New Roman" w:eastAsia="Times New Roman" w:hAnsi="Times New Roman" w:cs="Times New Roman"/>
                <w:color w:val="000000"/>
                <w:spacing w:val="0"/>
                <w:w w:val="100"/>
                <w:position w:val="0"/>
                <w:sz w:val="24"/>
                <w:szCs w:val="24"/>
              </w:rPr>
              <w:t>82,231</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jc w:val="both"/>
              <w:rPr>
                <w:sz w:val="24"/>
                <w:szCs w:val="24"/>
              </w:rPr>
            </w:pPr>
            <w:r>
              <w:rPr>
                <w:rFonts w:ascii="Times New Roman" w:eastAsia="Times New Roman" w:hAnsi="Times New Roman" w:cs="Times New Roman"/>
                <w:color w:val="000000"/>
                <w:spacing w:val="0"/>
                <w:w w:val="100"/>
                <w:position w:val="0"/>
                <w:sz w:val="24"/>
                <w:szCs w:val="24"/>
              </w:rPr>
              <w:t>114,669</w:t>
            </w:r>
          </w:p>
        </w:tc>
      </w:tr>
      <w:tr>
        <w:trPr>
          <w:trHeight w:val="312"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处置以公允价值计量且其变动计入当期损益的</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07"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left"/>
              <w:rPr>
                <w:sz w:val="24"/>
                <w:szCs w:val="24"/>
              </w:rPr>
            </w:pPr>
            <w:r>
              <w:rPr>
                <w:color w:val="000000"/>
                <w:spacing w:val="0"/>
                <w:w w:val="100"/>
                <w:position w:val="0"/>
                <w:sz w:val="24"/>
                <w:szCs w:val="24"/>
              </w:rPr>
              <w:t>金融资产取得的投资收益</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left"/>
              <w:rPr>
                <w:sz w:val="24"/>
                <w:szCs w:val="24"/>
              </w:rPr>
            </w:pPr>
            <w:r>
              <w:rPr>
                <w:rFonts w:ascii="Times New Roman" w:eastAsia="Times New Roman" w:hAnsi="Times New Roman" w:cs="Times New Roman"/>
                <w:color w:val="000000"/>
                <w:spacing w:val="0"/>
                <w:w w:val="100"/>
                <w:position w:val="0"/>
                <w:sz w:val="24"/>
                <w:szCs w:val="24"/>
              </w:rPr>
              <w:t>23,811</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jc w:val="both"/>
              <w:rPr>
                <w:sz w:val="24"/>
                <w:szCs w:val="24"/>
              </w:rPr>
            </w:pPr>
            <w:r>
              <w:rPr>
                <w:rFonts w:ascii="Times New Roman" w:eastAsia="Times New Roman" w:hAnsi="Times New Roman" w:cs="Times New Roman"/>
                <w:color w:val="000000"/>
                <w:spacing w:val="0"/>
                <w:w w:val="100"/>
                <w:position w:val="0"/>
                <w:sz w:val="24"/>
                <w:szCs w:val="24"/>
              </w:rPr>
              <w:t>154,475</w:t>
            </w:r>
          </w:p>
        </w:tc>
      </w:tr>
      <w:tr>
        <w:trPr>
          <w:trHeight w:val="331"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可供出售金融资产等在持有期间取得的投资收</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12"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left"/>
              <w:rPr>
                <w:sz w:val="24"/>
                <w:szCs w:val="24"/>
              </w:rPr>
            </w:pPr>
            <w:r>
              <w:rPr>
                <w:color w:val="000000"/>
                <w:spacing w:val="0"/>
                <w:w w:val="100"/>
                <w:position w:val="0"/>
                <w:sz w:val="24"/>
                <w:szCs w:val="24"/>
              </w:rPr>
              <w:t>益</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360" w:firstLine="0"/>
              <w:jc w:val="right"/>
              <w:rPr>
                <w:sz w:val="24"/>
                <w:szCs w:val="24"/>
              </w:rPr>
            </w:pPr>
            <w:r>
              <w:rPr>
                <w:rFonts w:ascii="Times New Roman" w:eastAsia="Times New Roman" w:hAnsi="Times New Roman" w:cs="Times New Roman"/>
                <w:color w:val="000000"/>
                <w:spacing w:val="0"/>
                <w:w w:val="100"/>
                <w:position w:val="0"/>
                <w:sz w:val="24"/>
                <w:szCs w:val="24"/>
              </w:rPr>
              <w:t>5,819</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both"/>
              <w:rPr>
                <w:sz w:val="24"/>
                <w:szCs w:val="24"/>
              </w:rPr>
            </w:pPr>
            <w:r>
              <w:rPr>
                <w:rFonts w:ascii="Times New Roman" w:eastAsia="Times New Roman" w:hAnsi="Times New Roman" w:cs="Times New Roman"/>
                <w:color w:val="000000"/>
                <w:spacing w:val="0"/>
                <w:w w:val="100"/>
                <w:position w:val="0"/>
                <w:sz w:val="24"/>
                <w:szCs w:val="24"/>
              </w:rPr>
              <w:t>12,000</w:t>
            </w:r>
          </w:p>
        </w:tc>
      </w:tr>
      <w:tr>
        <w:trPr>
          <w:trHeight w:val="312"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权益法核算的长期股权投资损失</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left"/>
              <w:rPr>
                <w:sz w:val="24"/>
                <w:szCs w:val="24"/>
              </w:rPr>
            </w:pPr>
            <w:r>
              <w:rPr>
                <w:rFonts w:ascii="Times New Roman" w:eastAsia="Times New Roman" w:hAnsi="Times New Roman" w:cs="Times New Roman"/>
                <w:color w:val="000000"/>
                <w:spacing w:val="0"/>
                <w:w w:val="100"/>
                <w:position w:val="0"/>
                <w:sz w:val="24"/>
                <w:szCs w:val="24"/>
              </w:rPr>
              <w:t>(101,246)</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jc w:val="both"/>
              <w:rPr>
                <w:sz w:val="24"/>
                <w:szCs w:val="24"/>
              </w:rPr>
            </w:pPr>
            <w:r>
              <w:rPr>
                <w:rFonts w:ascii="Times New Roman" w:eastAsia="Times New Roman" w:hAnsi="Times New Roman" w:cs="Times New Roman"/>
                <w:color w:val="000000"/>
                <w:spacing w:val="0"/>
                <w:w w:val="100"/>
                <w:position w:val="0"/>
                <w:sz w:val="24"/>
                <w:szCs w:val="24"/>
              </w:rPr>
              <w:t>(35,070)</w:t>
            </w:r>
          </w:p>
        </w:tc>
      </w:tr>
      <w:tr>
        <w:trPr>
          <w:trHeight w:val="322" w:hRule="exact"/>
        </w:trPr>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8"/>
              <w:keepNext w:val="0"/>
              <w:keepLines w:val="0"/>
              <w:widowControl w:val="0"/>
              <w:shd w:val="clear" w:color="auto" w:fill="auto"/>
              <w:tabs>
                <w:tab w:pos="1488" w:val="left"/>
              </w:tabs>
              <w:bidi w:val="0"/>
              <w:spacing w:before="0" w:after="0" w:line="240" w:lineRule="auto"/>
              <w:ind w:left="0" w:right="0" w:firstLine="240"/>
              <w:jc w:val="left"/>
              <w:rPr>
                <w:sz w:val="24"/>
                <w:szCs w:val="24"/>
              </w:rPr>
            </w:pPr>
            <w:r>
              <w:rPr>
                <w:rFonts w:ascii="Times New Roman" w:eastAsia="Times New Roman" w:hAnsi="Times New Roman" w:cs="Times New Roman"/>
                <w:color w:val="000000"/>
                <w:spacing w:val="0"/>
                <w:w w:val="100"/>
                <w:position w:val="0"/>
                <w:sz w:val="24"/>
                <w:szCs w:val="24"/>
                <w:u w:val="single"/>
              </w:rPr>
              <w:t>1,551,743</w:t>
            </w:r>
            <w:r>
              <w:rPr>
                <w:rFonts w:ascii="Times New Roman" w:eastAsia="Times New Roman" w:hAnsi="Times New Roman" w:cs="Times New Roman"/>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w:t>
            </w:r>
          </w:p>
        </w:tc>
        <w:tc>
          <w:tcPr>
            <w:tcBorders>
              <w:top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60"/>
              <w:jc w:val="both"/>
              <w:rPr>
                <w:sz w:val="24"/>
                <w:szCs w:val="24"/>
              </w:rPr>
            </w:pPr>
            <w:r>
              <w:rPr>
                <w:rFonts w:ascii="Times New Roman" w:eastAsia="Times New Roman" w:hAnsi="Times New Roman" w:cs="Times New Roman"/>
                <w:color w:val="000000"/>
                <w:spacing w:val="0"/>
                <w:w w:val="100"/>
                <w:position w:val="0"/>
                <w:sz w:val="24"/>
                <w:szCs w:val="24"/>
              </w:rPr>
              <w:t>1,157,410</w:t>
            </w:r>
          </w:p>
        </w:tc>
      </w:tr>
    </w:tbl>
    <w:p>
      <w:pPr>
        <w:pStyle w:val="Style25"/>
        <w:keepNext w:val="0"/>
        <w:keepLines w:val="0"/>
        <w:widowControl w:val="0"/>
        <w:shd w:val="clear" w:color="auto" w:fill="auto"/>
        <w:bidi w:val="0"/>
        <w:spacing w:before="0" w:after="0" w:line="240" w:lineRule="auto"/>
        <w:ind w:left="0" w:right="0" w:firstLine="0"/>
        <w:jc w:val="left"/>
        <w:rPr>
          <w:sz w:val="24"/>
          <w:szCs w:val="24"/>
        </w:rPr>
        <w:sectPr>
          <w:footnotePr>
            <w:pos w:val="pageBottom"/>
            <w:numFmt w:val="decimal"/>
            <w:numRestart w:val="continuous"/>
          </w:footnotePr>
          <w:pgSz w:w="11900" w:h="16840"/>
          <w:pgMar w:top="1354" w:right="1101" w:bottom="3812" w:left="1635" w:header="0" w:footer="3" w:gutter="0"/>
          <w:cols w:space="720"/>
          <w:noEndnote/>
          <w:rtlGutter w:val="0"/>
          <w:docGrid w:linePitch="360"/>
        </w:sectPr>
      </w:pPr>
      <w:r>
        <w:rPr>
          <w:color w:val="000000"/>
          <w:spacing w:val="0"/>
          <w:w w:val="100"/>
          <w:position w:val="0"/>
          <w:sz w:val="24"/>
          <w:szCs w:val="24"/>
        </w:rPr>
        <w:t>本公司不存在投资收益汇回的重大限制。</w:t>
      </w:r>
    </w:p>
    <w:p>
      <w:pPr>
        <w:pStyle w:val="Style32"/>
        <w:keepNext w:val="0"/>
        <w:keepLines w:val="0"/>
        <w:widowControl w:val="0"/>
        <w:shd w:val="clear" w:color="auto" w:fill="auto"/>
        <w:bidi w:val="0"/>
        <w:spacing w:before="0" w:after="0" w:line="288" w:lineRule="exact"/>
        <w:ind w:left="1280" w:right="0" w:firstLine="20"/>
        <w:jc w:val="left"/>
        <w:rPr>
          <w:sz w:val="24"/>
          <w:szCs w:val="24"/>
        </w:rPr>
      </w:pPr>
      <w:r>
        <w:rPr>
          <w:b/>
          <w:bCs/>
          <w:color w:val="000000"/>
          <w:spacing w:val="0"/>
          <w:w w:val="100"/>
          <w:position w:val="0"/>
          <w:sz w:val="24"/>
          <w:szCs w:val="24"/>
        </w:rPr>
        <w:t xml:space="preserve">财务报表补充资料 </w:t>
      </w:r>
      <w:r>
        <w:rPr>
          <w:rFonts w:ascii="Arial" w:eastAsia="Arial" w:hAnsi="Arial" w:cs="Arial"/>
          <w:color w:val="000000"/>
          <w:spacing w:val="0"/>
          <w:w w:val="100"/>
          <w:position w:val="0"/>
          <w:sz w:val="24"/>
          <w:szCs w:val="24"/>
        </w:rPr>
        <w:t>2016</w:t>
      </w:r>
      <w:r>
        <w:rPr>
          <w:b/>
          <w:bCs/>
          <w:color w:val="000000"/>
          <w:spacing w:val="0"/>
          <w:w w:val="100"/>
          <w:position w:val="0"/>
          <w:sz w:val="24"/>
          <w:szCs w:val="24"/>
        </w:rPr>
        <w:t>年度</w:t>
      </w:r>
    </w:p>
    <w:p>
      <w:pPr>
        <w:pStyle w:val="Style32"/>
        <w:keepNext w:val="0"/>
        <w:keepLines w:val="0"/>
        <w:widowControl w:val="0"/>
        <w:shd w:val="clear" w:color="auto" w:fill="auto"/>
        <w:bidi w:val="0"/>
        <w:spacing w:before="0" w:after="280" w:line="240" w:lineRule="auto"/>
        <w:ind w:left="1280" w:right="0" w:firstLine="20"/>
        <w:jc w:val="left"/>
        <w:rPr>
          <w:sz w:val="20"/>
          <w:szCs w:val="20"/>
        </w:rPr>
      </w:pPr>
      <w:r>
        <w:rPr>
          <w:rFonts w:ascii="Arial" w:eastAsia="Arial" w:hAnsi="Arial" w:cs="Arial"/>
          <w:color w:val="000000"/>
          <w:spacing w:val="0"/>
          <w:w w:val="100"/>
          <w:position w:val="0"/>
          <w:sz w:val="20"/>
          <w:szCs w:val="20"/>
        </w:rPr>
        <w:t>（</w:t>
      </w:r>
      <w:r>
        <w:rPr>
          <w:color w:val="000000"/>
          <w:spacing w:val="0"/>
          <w:w w:val="100"/>
          <w:position w:val="0"/>
          <w:sz w:val="20"/>
          <w:szCs w:val="20"/>
        </w:rPr>
        <w:t>除特别注明外，金额单位为人民币千元</w:t>
      </w:r>
      <w:r>
        <w:rPr>
          <w:rFonts w:ascii="Arial" w:eastAsia="Arial" w:hAnsi="Arial" w:cs="Arial"/>
          <w:color w:val="000000"/>
          <w:spacing w:val="0"/>
          <w:w w:val="100"/>
          <w:position w:val="0"/>
          <w:sz w:val="20"/>
          <w:szCs w:val="20"/>
        </w:rPr>
        <w:t>）</w:t>
      </w:r>
    </w:p>
    <w:p>
      <w:pPr>
        <w:pStyle w:val="Style32"/>
        <w:keepNext w:val="0"/>
        <w:keepLines w:val="0"/>
        <w:widowControl w:val="0"/>
        <w:shd w:val="clear" w:color="auto" w:fill="auto"/>
        <w:tabs>
          <w:tab w:pos="1252" w:val="left"/>
        </w:tabs>
        <w:bidi w:val="0"/>
        <w:spacing w:before="0" w:after="280" w:line="240" w:lineRule="auto"/>
        <w:ind w:left="0" w:right="0" w:firstLine="580"/>
        <w:jc w:val="left"/>
        <w:rPr>
          <w:sz w:val="24"/>
          <w:szCs w:val="24"/>
        </w:rPr>
      </w:pPr>
      <w:r>
        <w:rPr>
          <w:b/>
          <w:bCs/>
          <w:color w:val="000000"/>
          <w:spacing w:val="0"/>
          <w:w w:val="100"/>
          <w:position w:val="0"/>
          <w:sz w:val="24"/>
          <w:szCs w:val="24"/>
        </w:rPr>
        <w:t>-</w:t>
        <w:tab/>
        <w:t>非经常性损益明细表</w:t>
      </w:r>
    </w:p>
    <w:tbl>
      <w:tblPr>
        <w:tblOverlap w:val="never"/>
        <w:jc w:val="right"/>
        <w:tblLayout w:type="fixed"/>
      </w:tblPr>
      <w:tblGrid>
        <w:gridCol w:w="4973"/>
        <w:gridCol w:w="1786"/>
        <w:gridCol w:w="1450"/>
      </w:tblGrid>
      <w:tr>
        <w:trPr>
          <w:trHeight w:val="398"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年度</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60"/>
              <w:jc w:val="both"/>
              <w:rPr>
                <w:sz w:val="20"/>
                <w:szCs w:val="20"/>
              </w:rPr>
            </w:pPr>
            <w:r>
              <w:rPr>
                <w:rFonts w:ascii="Times New Roman" w:eastAsia="Times New Roman" w:hAnsi="Times New Roman" w:cs="Times New Roman"/>
                <w:color w:val="000000"/>
                <w:spacing w:val="0"/>
                <w:w w:val="100"/>
                <w:position w:val="0"/>
                <w:sz w:val="20"/>
                <w:szCs w:val="20"/>
              </w:rPr>
              <w:t>2015</w:t>
            </w:r>
            <w:r>
              <w:rPr>
                <w:color w:val="000000"/>
                <w:spacing w:val="0"/>
                <w:w w:val="100"/>
                <w:position w:val="0"/>
                <w:sz w:val="20"/>
                <w:szCs w:val="20"/>
              </w:rPr>
              <w:t>年度</w:t>
            </w:r>
          </w:p>
        </w:tc>
      </w:tr>
      <w:tr>
        <w:trPr>
          <w:trHeight w:val="427"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非流动资产处置收益</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left"/>
              <w:rPr>
                <w:sz w:val="20"/>
                <w:szCs w:val="20"/>
              </w:rPr>
            </w:pPr>
            <w:r>
              <w:rPr>
                <w:rFonts w:ascii="Times New Roman" w:eastAsia="Times New Roman" w:hAnsi="Times New Roman" w:cs="Times New Roman"/>
                <w:color w:val="000000"/>
                <w:spacing w:val="0"/>
                <w:w w:val="100"/>
                <w:position w:val="0"/>
                <w:sz w:val="20"/>
                <w:szCs w:val="20"/>
              </w:rPr>
              <w:t>502,292</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60"/>
              <w:jc w:val="both"/>
              <w:rPr>
                <w:sz w:val="20"/>
                <w:szCs w:val="20"/>
              </w:rPr>
            </w:pPr>
            <w:r>
              <w:rPr>
                <w:rFonts w:ascii="Times New Roman" w:eastAsia="Times New Roman" w:hAnsi="Times New Roman" w:cs="Times New Roman"/>
                <w:color w:val="000000"/>
                <w:spacing w:val="0"/>
                <w:w w:val="100"/>
                <w:position w:val="0"/>
                <w:sz w:val="20"/>
                <w:szCs w:val="20"/>
              </w:rPr>
              <w:t>1,397,346</w:t>
            </w:r>
          </w:p>
        </w:tc>
      </w:tr>
      <w:tr>
        <w:trPr>
          <w:trHeight w:val="278"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计入当期损益的政府补助</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left"/>
              <w:rPr>
                <w:sz w:val="20"/>
                <w:szCs w:val="20"/>
              </w:rPr>
            </w:pPr>
            <w:r>
              <w:rPr>
                <w:rFonts w:ascii="Times New Roman" w:eastAsia="Times New Roman" w:hAnsi="Times New Roman" w:cs="Times New Roman"/>
                <w:color w:val="000000"/>
                <w:spacing w:val="0"/>
                <w:w w:val="100"/>
                <w:position w:val="0"/>
                <w:sz w:val="20"/>
                <w:szCs w:val="20"/>
              </w:rPr>
              <w:t>381,148</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20"/>
              <w:jc w:val="both"/>
              <w:rPr>
                <w:sz w:val="20"/>
                <w:szCs w:val="20"/>
              </w:rPr>
            </w:pPr>
            <w:r>
              <w:rPr>
                <w:rFonts w:ascii="Times New Roman" w:eastAsia="Times New Roman" w:hAnsi="Times New Roman" w:cs="Times New Roman"/>
                <w:color w:val="000000"/>
                <w:spacing w:val="0"/>
                <w:w w:val="100"/>
                <w:position w:val="0"/>
                <w:sz w:val="20"/>
                <w:szCs w:val="20"/>
              </w:rPr>
              <w:t>158,850</w:t>
            </w:r>
          </w:p>
        </w:tc>
      </w:tr>
      <w:tr>
        <w:trPr>
          <w:trHeight w:val="274"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公允价值变动损失</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left"/>
              <w:rPr>
                <w:sz w:val="20"/>
                <w:szCs w:val="20"/>
              </w:rPr>
            </w:pPr>
            <w:r>
              <w:rPr>
                <w:rFonts w:ascii="Times New Roman" w:eastAsia="Times New Roman" w:hAnsi="Times New Roman" w:cs="Times New Roman"/>
                <w:color w:val="000000"/>
                <w:spacing w:val="0"/>
                <w:w w:val="100"/>
                <w:position w:val="0"/>
                <w:sz w:val="20"/>
                <w:szCs w:val="20"/>
              </w:rPr>
              <w:t>(33,686)</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(6,920)</w:t>
            </w:r>
          </w:p>
        </w:tc>
      </w:tr>
      <w:tr>
        <w:trPr>
          <w:trHeight w:val="250"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处置以公允价值计量且其变动计入当期损益的金融资</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64"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产取得的投资收益</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24,291</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20"/>
              <w:jc w:val="both"/>
              <w:rPr>
                <w:sz w:val="20"/>
                <w:szCs w:val="20"/>
              </w:rPr>
            </w:pPr>
            <w:r>
              <w:rPr>
                <w:rFonts w:ascii="Times New Roman" w:eastAsia="Times New Roman" w:hAnsi="Times New Roman" w:cs="Times New Roman"/>
                <w:color w:val="000000"/>
                <w:spacing w:val="0"/>
                <w:w w:val="100"/>
                <w:position w:val="0"/>
                <w:sz w:val="20"/>
                <w:szCs w:val="20"/>
              </w:rPr>
              <w:t>174,246</w:t>
            </w:r>
          </w:p>
        </w:tc>
      </w:tr>
      <w:tr>
        <w:trPr>
          <w:trHeight w:val="283"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处置可供出售金融资产取得的投资收益</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220,428</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20"/>
              <w:jc w:val="left"/>
              <w:rPr>
                <w:sz w:val="20"/>
                <w:szCs w:val="20"/>
              </w:rPr>
            </w:pPr>
            <w:r>
              <w:rPr>
                <w:rFonts w:ascii="Times New Roman" w:eastAsia="Times New Roman" w:hAnsi="Times New Roman" w:cs="Times New Roman"/>
                <w:color w:val="000000"/>
                <w:spacing w:val="0"/>
                <w:w w:val="100"/>
                <w:position w:val="0"/>
                <w:sz w:val="20"/>
                <w:szCs w:val="20"/>
              </w:rPr>
              <w:t>62,398</w:t>
            </w:r>
          </w:p>
        </w:tc>
      </w:tr>
      <w:tr>
        <w:trPr>
          <w:trHeight w:val="274"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处置子公司产生的投资收益</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1,304,071</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60"/>
              <w:jc w:val="both"/>
              <w:rPr>
                <w:sz w:val="20"/>
                <w:szCs w:val="20"/>
              </w:rPr>
            </w:pPr>
            <w:r>
              <w:rPr>
                <w:rFonts w:ascii="Times New Roman" w:eastAsia="Times New Roman" w:hAnsi="Times New Roman" w:cs="Times New Roman"/>
                <w:color w:val="000000"/>
                <w:spacing w:val="0"/>
                <w:w w:val="100"/>
                <w:position w:val="0"/>
                <w:sz w:val="20"/>
                <w:szCs w:val="20"/>
              </w:rPr>
              <w:t>1,447,503</w:t>
            </w:r>
          </w:p>
        </w:tc>
      </w:tr>
      <w:tr>
        <w:trPr>
          <w:trHeight w:val="278"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除上述各项之外的其他营业外收入和支出</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15,395</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20"/>
              <w:jc w:val="both"/>
              <w:rPr>
                <w:sz w:val="20"/>
                <w:szCs w:val="20"/>
              </w:rPr>
            </w:pPr>
            <w:r>
              <w:rPr>
                <w:rFonts w:ascii="Times New Roman" w:eastAsia="Times New Roman" w:hAnsi="Times New Roman" w:cs="Times New Roman"/>
                <w:color w:val="000000"/>
                <w:spacing w:val="0"/>
                <w:w w:val="100"/>
                <w:position w:val="0"/>
                <w:sz w:val="20"/>
                <w:szCs w:val="20"/>
              </w:rPr>
              <w:t>(57,218)</w:t>
            </w:r>
          </w:p>
        </w:tc>
      </w:tr>
      <w:tr>
        <w:trPr>
          <w:trHeight w:val="288"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2,413,939</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60"/>
              <w:jc w:val="both"/>
              <w:rPr>
                <w:sz w:val="20"/>
                <w:szCs w:val="20"/>
              </w:rPr>
            </w:pPr>
            <w:r>
              <w:rPr>
                <w:rFonts w:ascii="Times New Roman" w:eastAsia="Times New Roman" w:hAnsi="Times New Roman" w:cs="Times New Roman"/>
                <w:color w:val="000000"/>
                <w:spacing w:val="0"/>
                <w:w w:val="100"/>
                <w:position w:val="0"/>
                <w:sz w:val="20"/>
                <w:szCs w:val="20"/>
              </w:rPr>
              <w:t>3,176,205</w:t>
            </w:r>
          </w:p>
        </w:tc>
      </w:tr>
      <w:tr>
        <w:trPr>
          <w:trHeight w:val="293" w:hRule="exact"/>
        </w:trPr>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所得税影响额</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(591,375)</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60"/>
              <w:jc w:val="both"/>
              <w:rPr>
                <w:sz w:val="20"/>
                <w:szCs w:val="20"/>
              </w:rPr>
            </w:pPr>
            <w:r>
              <w:rPr>
                <w:rFonts w:ascii="Times New Roman" w:eastAsia="Times New Roman" w:hAnsi="Times New Roman" w:cs="Times New Roman"/>
                <w:color w:val="000000"/>
                <w:spacing w:val="0"/>
                <w:w w:val="100"/>
                <w:position w:val="0"/>
                <w:sz w:val="20"/>
                <w:szCs w:val="20"/>
              </w:rPr>
              <w:t>(789,672)</w:t>
            </w:r>
          </w:p>
        </w:tc>
      </w:tr>
      <w:tr>
        <w:trPr>
          <w:trHeight w:val="269"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少数股东权益影响额</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税后</w:t>
            </w:r>
            <w:r>
              <w:rPr>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left"/>
              <w:rPr>
                <w:sz w:val="20"/>
                <w:szCs w:val="20"/>
              </w:rPr>
            </w:pPr>
            <w:r>
              <w:rPr>
                <w:rFonts w:ascii="Times New Roman" w:eastAsia="Times New Roman" w:hAnsi="Times New Roman" w:cs="Times New Roman"/>
                <w:color w:val="000000"/>
                <w:spacing w:val="0"/>
                <w:w w:val="100"/>
                <w:position w:val="0"/>
                <w:sz w:val="20"/>
                <w:szCs w:val="20"/>
              </w:rPr>
              <w:t>(10,538)</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20"/>
              <w:jc w:val="both"/>
              <w:rPr>
                <w:sz w:val="20"/>
                <w:szCs w:val="20"/>
              </w:rPr>
            </w:pPr>
            <w:r>
              <w:rPr>
                <w:rFonts w:ascii="Times New Roman" w:eastAsia="Times New Roman" w:hAnsi="Times New Roman" w:cs="Times New Roman"/>
                <w:color w:val="000000"/>
                <w:spacing w:val="0"/>
                <w:w w:val="100"/>
                <w:position w:val="0"/>
                <w:sz w:val="20"/>
                <w:szCs w:val="20"/>
              </w:rPr>
              <w:t>(49,165)</w:t>
            </w:r>
          </w:p>
        </w:tc>
      </w:tr>
      <w:tr>
        <w:trPr>
          <w:trHeight w:val="307" w:hRule="exact"/>
        </w:trPr>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1,812,026</w:t>
            </w:r>
          </w:p>
        </w:tc>
        <w:tc>
          <w:tcPr>
            <w:tcBorders>
              <w:top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60"/>
              <w:jc w:val="both"/>
              <w:rPr>
                <w:sz w:val="20"/>
                <w:szCs w:val="20"/>
              </w:rPr>
            </w:pPr>
            <w:r>
              <w:rPr>
                <w:rFonts w:ascii="Times New Roman" w:eastAsia="Times New Roman" w:hAnsi="Times New Roman" w:cs="Times New Roman"/>
                <w:color w:val="000000"/>
                <w:spacing w:val="0"/>
                <w:w w:val="100"/>
                <w:position w:val="0"/>
                <w:sz w:val="20"/>
                <w:szCs w:val="20"/>
              </w:rPr>
              <w:t>2,337,368</w:t>
            </w:r>
          </w:p>
        </w:tc>
      </w:tr>
    </w:tbl>
    <w:p>
      <w:pPr>
        <w:widowControl w:val="0"/>
        <w:spacing w:after="279" w:line="1" w:lineRule="exact"/>
      </w:pPr>
    </w:p>
    <w:p>
      <w:pPr>
        <w:pStyle w:val="Style32"/>
        <w:keepNext w:val="0"/>
        <w:keepLines w:val="0"/>
        <w:widowControl w:val="0"/>
        <w:shd w:val="clear" w:color="auto" w:fill="auto"/>
        <w:bidi w:val="0"/>
        <w:spacing w:before="0" w:after="280" w:line="240" w:lineRule="auto"/>
        <w:ind w:left="1280" w:right="0" w:firstLine="20"/>
        <w:jc w:val="both"/>
        <w:rPr>
          <w:sz w:val="24"/>
          <w:szCs w:val="24"/>
        </w:rPr>
      </w:pPr>
      <w:r>
        <w:rPr>
          <w:color w:val="000000"/>
          <w:spacing w:val="0"/>
          <w:w w:val="100"/>
          <w:position w:val="0"/>
          <w:sz w:val="24"/>
          <w:szCs w:val="24"/>
        </w:rPr>
        <w:t>非经常性损益明细表编制基础</w:t>
      </w:r>
    </w:p>
    <w:p>
      <w:pPr>
        <w:pStyle w:val="Style32"/>
        <w:keepNext w:val="0"/>
        <w:keepLines w:val="0"/>
        <w:widowControl w:val="0"/>
        <w:shd w:val="clear" w:color="auto" w:fill="auto"/>
        <w:bidi w:val="0"/>
        <w:spacing w:before="0" w:after="280" w:line="312" w:lineRule="exact"/>
        <w:ind w:left="1280" w:right="0" w:firstLine="20"/>
        <w:jc w:val="both"/>
        <w:rPr>
          <w:sz w:val="24"/>
          <w:szCs w:val="24"/>
        </w:rPr>
      </w:pPr>
      <w:r>
        <w:rPr>
          <w:color w:val="000000"/>
          <w:spacing w:val="0"/>
          <w:w w:val="100"/>
          <w:position w:val="0"/>
          <w:sz w:val="24"/>
          <w:szCs w:val="24"/>
        </w:rPr>
        <w:t xml:space="preserve">根据中国证券监督管理委员会《公开发行证券的公司信息披露解释性公告第 </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号一一非经常性损益</w:t>
      </w:r>
      <w:r>
        <w:rPr>
          <w:rFonts w:ascii="Times New Roman" w:eastAsia="Times New Roman" w:hAnsi="Times New Roman" w:cs="Times New Roman"/>
          <w:color w:val="000000"/>
          <w:spacing w:val="0"/>
          <w:w w:val="100"/>
          <w:position w:val="0"/>
          <w:sz w:val="24"/>
          <w:szCs w:val="24"/>
        </w:rPr>
        <w:t>［2008］</w:t>
      </w:r>
      <w:r>
        <w:rPr>
          <w:color w:val="000000"/>
          <w:spacing w:val="0"/>
          <w:w w:val="100"/>
          <w:position w:val="0"/>
          <w:sz w:val="24"/>
          <w:szCs w:val="24"/>
        </w:rPr>
        <w:t>》的规定，非经常性损益是指与公司正常经营业 务无直接关系，以及虽与正常经营业务相关，但由于其性质特殊和偶发性， 影响报表使用人对公司经营业绩和盈利能力作出正确判断的各项交易和事项 产生的损益。</w:t>
      </w:r>
    </w:p>
    <w:p>
      <w:pPr>
        <w:pStyle w:val="Style32"/>
        <w:keepNext w:val="0"/>
        <w:keepLines w:val="0"/>
        <w:widowControl w:val="0"/>
        <w:shd w:val="clear" w:color="auto" w:fill="auto"/>
        <w:tabs>
          <w:tab w:pos="1252" w:val="left"/>
        </w:tabs>
        <w:bidi w:val="0"/>
        <w:spacing w:before="0" w:after="280" w:line="240" w:lineRule="auto"/>
        <w:ind w:left="0" w:right="0" w:firstLine="580"/>
        <w:jc w:val="left"/>
        <w:rPr>
          <w:sz w:val="24"/>
          <w:szCs w:val="24"/>
        </w:rPr>
      </w:pPr>
      <w:r>
        <w:rPr>
          <w:b/>
          <w:bCs/>
          <w:color w:val="000000"/>
          <w:spacing w:val="0"/>
          <w:w w:val="100"/>
          <w:position w:val="0"/>
          <w:sz w:val="24"/>
          <w:szCs w:val="24"/>
        </w:rPr>
        <w:t>二</w:t>
        <w:tab/>
        <w:t>净资产收益率及每股收益</w:t>
      </w:r>
    </w:p>
    <w:tbl>
      <w:tblPr>
        <w:tblOverlap w:val="never"/>
        <w:jc w:val="left"/>
        <w:tblLayout w:type="fixed"/>
      </w:tblPr>
      <w:tblGrid>
        <w:gridCol w:w="1565"/>
        <w:gridCol w:w="4699"/>
      </w:tblGrid>
      <w:tr>
        <w:trPr>
          <w:trHeight w:val="264" w:hRule="exact"/>
        </w:trPr>
        <w:tc>
          <w:tcPr>
            <w:tcBorders/>
            <w:shd w:val="clear" w:color="auto" w:fill="FFFFFF"/>
            <w:vAlign w:val="top"/>
          </w:tcPr>
          <w:p>
            <w:pPr>
              <w:pStyle w:val="Style28"/>
              <w:keepNext w:val="0"/>
              <w:keepLines w:val="0"/>
              <w:framePr w:w="6264" w:h="528" w:vSpace="518" w:wrap="notBeside" w:vAnchor="text" w:hAnchor="text" w:x="3399" w:y="1"/>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加权平均</w:t>
            </w:r>
          </w:p>
        </w:tc>
        <w:tc>
          <w:tcPr>
            <w:tcBorders/>
            <w:shd w:val="clear" w:color="auto" w:fill="FFFFFF"/>
            <w:vAlign w:val="top"/>
          </w:tcPr>
          <w:p>
            <w:pPr>
              <w:pStyle w:val="Style28"/>
              <w:keepNext w:val="0"/>
              <w:keepLines w:val="0"/>
              <w:framePr w:w="6264" w:h="528" w:vSpace="518" w:wrap="notBeside" w:vAnchor="text" w:hAnchor="text" w:x="3399" w:y="1"/>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每股收益</w:t>
            </w:r>
          </w:p>
        </w:tc>
      </w:tr>
      <w:tr>
        <w:trPr>
          <w:trHeight w:val="264" w:hRule="exact"/>
        </w:trPr>
        <w:tc>
          <w:tcPr>
            <w:tcBorders>
              <w:bottom w:val="single" w:sz="4"/>
            </w:tcBorders>
            <w:shd w:val="clear" w:color="auto" w:fill="FFFFFF"/>
            <w:vAlign w:val="bottom"/>
          </w:tcPr>
          <w:p>
            <w:pPr>
              <w:pStyle w:val="Style28"/>
              <w:keepNext w:val="0"/>
              <w:keepLines w:val="0"/>
              <w:framePr w:w="6264" w:h="528" w:vSpace="518" w:wrap="notBeside" w:vAnchor="text" w:hAnchor="text" w:x="3399" w:y="1"/>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净资产收益率</w:t>
            </w:r>
            <w:r>
              <w:rPr>
                <w:rFonts w:ascii="Times New Roman" w:eastAsia="Times New Roman" w:hAnsi="Times New Roman" w:cs="Times New Roman"/>
                <w:color w:val="000000"/>
                <w:spacing w:val="0"/>
                <w:w w:val="100"/>
                <w:position w:val="0"/>
                <w:sz w:val="20"/>
                <w:szCs w:val="20"/>
              </w:rPr>
              <w:t>（%）</w:t>
            </w:r>
          </w:p>
        </w:tc>
        <w:tc>
          <w:tcPr>
            <w:tcBorders>
              <w:top w:val="single" w:sz="4"/>
              <w:bottom w:val="single" w:sz="4"/>
            </w:tcBorders>
            <w:shd w:val="clear" w:color="auto" w:fill="FFFFFF"/>
            <w:vAlign w:val="bottom"/>
          </w:tcPr>
          <w:p>
            <w:pPr>
              <w:pStyle w:val="Style28"/>
              <w:keepNext w:val="0"/>
              <w:keepLines w:val="0"/>
              <w:framePr w:w="6264" w:h="528" w:vSpace="518" w:wrap="notBeside" w:vAnchor="text" w:hAnchor="text" w:x="3399" w:y="1"/>
              <w:widowControl w:val="0"/>
              <w:shd w:val="clear" w:color="auto" w:fill="auto"/>
              <w:tabs>
                <w:tab w:pos="2290" w:val="left"/>
              </w:tabs>
              <w:bidi w:val="0"/>
              <w:spacing w:before="0" w:after="0" w:line="240" w:lineRule="auto"/>
              <w:ind w:left="0" w:right="0" w:firstLine="0"/>
              <w:jc w:val="center"/>
              <w:rPr>
                <w:sz w:val="20"/>
                <w:szCs w:val="20"/>
              </w:rPr>
            </w:pPr>
            <w:r>
              <w:rPr>
                <w:color w:val="000000"/>
                <w:spacing w:val="0"/>
                <w:w w:val="100"/>
                <w:position w:val="0"/>
                <w:sz w:val="20"/>
                <w:szCs w:val="20"/>
              </w:rPr>
              <w:t>基本每股收益</w:t>
              <w:tab/>
              <w:t>稀释每股收益</w:t>
            </w:r>
          </w:p>
        </w:tc>
      </w:tr>
    </w:tbl>
    <w:p>
      <w:pPr>
        <w:pStyle w:val="Style25"/>
        <w:keepNext w:val="0"/>
        <w:keepLines w:val="0"/>
        <w:framePr w:w="1310" w:h="514" w:hSpace="3398" w:wrap="notBeside" w:vAnchor="text" w:hAnchor="text" w:x="3634" w:y="534"/>
        <w:widowControl w:val="0"/>
        <w:shd w:val="clear" w:color="auto" w:fill="auto"/>
        <w:tabs>
          <w:tab w:pos="845" w:val="left"/>
        </w:tabs>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2016</w:t>
        <w:tab/>
        <w:t>2015</w:t>
      </w:r>
    </w:p>
    <w:p>
      <w:pPr>
        <w:pStyle w:val="Style25"/>
        <w:keepNext w:val="0"/>
        <w:keepLines w:val="0"/>
        <w:framePr w:w="1310" w:h="514" w:hSpace="3398" w:wrap="notBeside" w:vAnchor="text" w:hAnchor="text" w:x="3634" w:y="534"/>
        <w:widowControl w:val="0"/>
        <w:shd w:val="clear" w:color="auto" w:fill="auto"/>
        <w:tabs>
          <w:tab w:pos="840" w:val="left"/>
        </w:tabs>
        <w:bidi w:val="0"/>
        <w:spacing w:before="0" w:after="0" w:line="240" w:lineRule="auto"/>
        <w:ind w:left="0" w:right="0" w:firstLine="0"/>
        <w:jc w:val="center"/>
        <w:rPr>
          <w:sz w:val="20"/>
          <w:szCs w:val="20"/>
        </w:rPr>
      </w:pPr>
      <w:r>
        <w:rPr>
          <w:color w:val="000000"/>
          <w:spacing w:val="0"/>
          <w:w w:val="100"/>
          <w:position w:val="0"/>
          <w:sz w:val="20"/>
          <w:szCs w:val="20"/>
        </w:rPr>
        <w:t>年度</w:t>
        <w:tab/>
        <w:t>年度</w:t>
      </w:r>
    </w:p>
    <w:p>
      <w:pPr>
        <w:pStyle w:val="Style25"/>
        <w:keepNext w:val="0"/>
        <w:keepLines w:val="0"/>
        <w:framePr w:w="3859" w:h="494" w:hSpace="2405" w:wrap="notBeside" w:vAnchor="text" w:hAnchor="text" w:x="5684" w:y="534"/>
        <w:widowControl w:val="0"/>
        <w:shd w:val="clear" w:color="auto" w:fill="auto"/>
        <w:tabs>
          <w:tab w:pos="1090" w:val="left"/>
          <w:tab w:pos="2232" w:val="left"/>
          <w:tab w:pos="3374" w:val="left"/>
        </w:tabs>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2016</w:t>
        <w:tab/>
        <w:t>2015</w:t>
        <w:tab/>
        <w:t>2016</w:t>
        <w:tab/>
        <w:t>2015</w:t>
      </w:r>
    </w:p>
    <w:p>
      <w:pPr>
        <w:pStyle w:val="Style25"/>
        <w:keepNext w:val="0"/>
        <w:keepLines w:val="0"/>
        <w:framePr w:w="3859" w:h="494" w:hSpace="2405" w:wrap="notBeside" w:vAnchor="text" w:hAnchor="text" w:x="5684" w:y="534"/>
        <w:widowControl w:val="0"/>
        <w:shd w:val="clear" w:color="auto" w:fill="auto"/>
        <w:tabs>
          <w:tab w:pos="1085" w:val="left"/>
          <w:tab w:pos="2227" w:val="left"/>
          <w:tab w:pos="3370" w:val="left"/>
        </w:tabs>
        <w:bidi w:val="0"/>
        <w:spacing w:before="0" w:after="0" w:line="240" w:lineRule="auto"/>
        <w:ind w:left="0" w:right="0" w:firstLine="0"/>
        <w:jc w:val="center"/>
        <w:rPr>
          <w:sz w:val="20"/>
          <w:szCs w:val="20"/>
        </w:rPr>
      </w:pPr>
      <w:r>
        <w:rPr>
          <w:color w:val="000000"/>
          <w:spacing w:val="0"/>
          <w:w w:val="100"/>
          <w:position w:val="0"/>
          <w:sz w:val="20"/>
          <w:szCs w:val="20"/>
        </w:rPr>
        <w:t>年度</w:t>
        <w:tab/>
        <w:t>年度</w:t>
        <w:tab/>
        <w:t>年度</w:t>
        <w:tab/>
        <w:t>年度</w:t>
      </w:r>
    </w:p>
    <w:p>
      <w:pPr>
        <w:widowControl w:val="0"/>
        <w:spacing w:line="1" w:lineRule="exact"/>
      </w:pPr>
    </w:p>
    <w:tbl>
      <w:tblPr>
        <w:tblOverlap w:val="never"/>
        <w:jc w:val="right"/>
        <w:tblLayout w:type="fixed"/>
      </w:tblPr>
      <w:tblGrid>
        <w:gridCol w:w="1930"/>
        <w:gridCol w:w="922"/>
        <w:gridCol w:w="1934"/>
        <w:gridCol w:w="1118"/>
        <w:gridCol w:w="1176"/>
        <w:gridCol w:w="1003"/>
      </w:tblGrid>
      <w:tr>
        <w:trPr>
          <w:trHeight w:val="1296" w:hRule="exact"/>
        </w:trPr>
        <w:tc>
          <w:tcPr>
            <w:tcBorders/>
            <w:shd w:val="clear" w:color="auto" w:fill="FFFFFF"/>
            <w:vAlign w:val="top"/>
          </w:tcPr>
          <w:p>
            <w:pPr>
              <w:pStyle w:val="Style28"/>
              <w:keepNext w:val="0"/>
              <w:keepLines w:val="0"/>
              <w:widowControl w:val="0"/>
              <w:shd w:val="clear" w:color="auto" w:fill="auto"/>
              <w:bidi w:val="0"/>
              <w:spacing w:before="0" w:after="0" w:line="259" w:lineRule="exact"/>
              <w:ind w:left="0" w:right="0" w:firstLine="0"/>
              <w:jc w:val="left"/>
              <w:rPr>
                <w:sz w:val="20"/>
                <w:szCs w:val="20"/>
              </w:rPr>
            </w:pPr>
            <w:r>
              <w:rPr>
                <w:color w:val="000000"/>
                <w:spacing w:val="0"/>
                <w:w w:val="100"/>
                <w:position w:val="0"/>
                <w:sz w:val="20"/>
                <w:szCs w:val="20"/>
              </w:rPr>
              <w:t>归属于本公司普通</w:t>
            </w:r>
          </w:p>
          <w:p>
            <w:pPr>
              <w:pStyle w:val="Style28"/>
              <w:keepNext w:val="0"/>
              <w:keepLines w:val="0"/>
              <w:widowControl w:val="0"/>
              <w:shd w:val="clear" w:color="auto" w:fill="auto"/>
              <w:bidi w:val="0"/>
              <w:spacing w:before="0" w:after="0" w:line="259" w:lineRule="exact"/>
              <w:ind w:left="0" w:right="0" w:firstLine="200"/>
              <w:jc w:val="left"/>
              <w:rPr>
                <w:sz w:val="20"/>
                <w:szCs w:val="20"/>
              </w:rPr>
            </w:pPr>
            <w:r>
              <w:rPr>
                <w:color w:val="000000"/>
                <w:spacing w:val="0"/>
                <w:w w:val="100"/>
                <w:position w:val="0"/>
                <w:sz w:val="20"/>
                <w:szCs w:val="20"/>
              </w:rPr>
              <w:t>股股东的净利润 扣除非经常性损益</w:t>
            </w:r>
          </w:p>
          <w:p>
            <w:pPr>
              <w:pStyle w:val="Style28"/>
              <w:keepNext w:val="0"/>
              <w:keepLines w:val="0"/>
              <w:widowControl w:val="0"/>
              <w:shd w:val="clear" w:color="auto" w:fill="auto"/>
              <w:bidi w:val="0"/>
              <w:spacing w:before="0" w:after="0" w:line="259" w:lineRule="exact"/>
              <w:ind w:left="0" w:right="0" w:firstLine="200"/>
              <w:jc w:val="left"/>
              <w:rPr>
                <w:sz w:val="20"/>
                <w:szCs w:val="20"/>
              </w:rPr>
            </w:pPr>
            <w:r>
              <w:rPr>
                <w:color w:val="000000"/>
                <w:spacing w:val="0"/>
                <w:w w:val="100"/>
                <w:position w:val="0"/>
                <w:sz w:val="20"/>
                <w:szCs w:val="20"/>
              </w:rPr>
              <w:t>后归属于本公司</w:t>
            </w:r>
          </w:p>
          <w:p>
            <w:pPr>
              <w:pStyle w:val="Style28"/>
              <w:keepNext w:val="0"/>
              <w:keepLines w:val="0"/>
              <w:widowControl w:val="0"/>
              <w:shd w:val="clear" w:color="auto" w:fill="auto"/>
              <w:bidi w:val="0"/>
              <w:spacing w:before="0" w:after="0" w:line="259" w:lineRule="exact"/>
              <w:ind w:left="0" w:right="0" w:firstLine="200"/>
              <w:jc w:val="left"/>
              <w:rPr>
                <w:sz w:val="20"/>
                <w:szCs w:val="20"/>
              </w:rPr>
            </w:pPr>
            <w:r>
              <w:rPr>
                <w:color w:val="000000"/>
                <w:spacing w:val="0"/>
                <w:w w:val="100"/>
                <w:position w:val="0"/>
                <w:sz w:val="20"/>
                <w:szCs w:val="20"/>
              </w:rPr>
              <w:t>普通股股东的净</w:t>
            </w:r>
          </w:p>
        </w:tc>
        <w:tc>
          <w:tcPr>
            <w:tcBorders/>
            <w:shd w:val="clear" w:color="auto" w:fill="FFFFFF"/>
            <w:vAlign w:val="top"/>
          </w:tcPr>
          <w:p>
            <w:pPr>
              <w:pStyle w:val="Style28"/>
              <w:keepNext w:val="0"/>
              <w:keepLines w:val="0"/>
              <w:widowControl w:val="0"/>
              <w:shd w:val="clear" w:color="auto" w:fill="auto"/>
              <w:bidi w:val="0"/>
              <w:spacing w:before="26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1.41</w:t>
            </w:r>
          </w:p>
        </w:tc>
        <w:tc>
          <w:tcPr>
            <w:tcBorders/>
            <w:shd w:val="clear" w:color="auto" w:fill="FFFFFF"/>
            <w:vAlign w:val="top"/>
          </w:tcPr>
          <w:p>
            <w:pPr>
              <w:pStyle w:val="Style28"/>
              <w:keepNext w:val="0"/>
              <w:keepLines w:val="0"/>
              <w:widowControl w:val="0"/>
              <w:shd w:val="clear" w:color="auto" w:fill="auto"/>
              <w:tabs>
                <w:tab w:pos="643" w:val="left"/>
              </w:tabs>
              <w:bidi w:val="0"/>
              <w:spacing w:before="24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2.87</w:t>
              <w:tab/>
              <w:t xml:space="preserve">0.08 </w:t>
            </w:r>
            <w:r>
              <w:rPr>
                <w:color w:val="000000"/>
                <w:spacing w:val="0"/>
                <w:w w:val="100"/>
                <w:position w:val="0"/>
                <w:sz w:val="20"/>
                <w:szCs w:val="20"/>
              </w:rPr>
              <w:t>元</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股</w:t>
            </w:r>
          </w:p>
        </w:tc>
        <w:tc>
          <w:tcPr>
            <w:tcBorders/>
            <w:shd w:val="clear" w:color="auto" w:fill="FFFFFF"/>
            <w:vAlign w:val="top"/>
          </w:tcPr>
          <w:p>
            <w:pPr>
              <w:pStyle w:val="Style28"/>
              <w:keepNext w:val="0"/>
              <w:keepLines w:val="0"/>
              <w:widowControl w:val="0"/>
              <w:shd w:val="clear" w:color="auto" w:fill="auto"/>
              <w:bidi w:val="0"/>
              <w:spacing w:before="24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0.12</w:t>
            </w:r>
            <w:r>
              <w:rPr>
                <w:color w:val="000000"/>
                <w:spacing w:val="0"/>
                <w:w w:val="100"/>
                <w:position w:val="0"/>
                <w:sz w:val="20"/>
                <w:szCs w:val="20"/>
              </w:rPr>
              <w:t>元</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股</w:t>
            </w:r>
          </w:p>
        </w:tc>
        <w:tc>
          <w:tcPr>
            <w:tcBorders/>
            <w:shd w:val="clear" w:color="auto" w:fill="FFFFFF"/>
            <w:vAlign w:val="top"/>
          </w:tcPr>
          <w:p>
            <w:pPr>
              <w:pStyle w:val="Style28"/>
              <w:keepNext w:val="0"/>
              <w:keepLines w:val="0"/>
              <w:widowControl w:val="0"/>
              <w:shd w:val="clear" w:color="auto" w:fill="auto"/>
              <w:bidi w:val="0"/>
              <w:spacing w:before="24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0.08</w:t>
            </w:r>
            <w:r>
              <w:rPr>
                <w:color w:val="000000"/>
                <w:spacing w:val="0"/>
                <w:w w:val="100"/>
                <w:position w:val="0"/>
                <w:sz w:val="20"/>
                <w:szCs w:val="20"/>
              </w:rPr>
              <w:t>元</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股</w:t>
            </w:r>
          </w:p>
        </w:tc>
        <w:tc>
          <w:tcPr>
            <w:tcBorders/>
            <w:shd w:val="clear" w:color="auto" w:fill="FFFFFF"/>
            <w:vAlign w:val="top"/>
          </w:tcPr>
          <w:p>
            <w:pPr>
              <w:pStyle w:val="Style28"/>
              <w:keepNext w:val="0"/>
              <w:keepLines w:val="0"/>
              <w:widowControl w:val="0"/>
              <w:shd w:val="clear" w:color="auto" w:fill="auto"/>
              <w:bidi w:val="0"/>
              <w:spacing w:before="24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0.12</w:t>
            </w:r>
            <w:r>
              <w:rPr>
                <w:color w:val="000000"/>
                <w:spacing w:val="0"/>
                <w:w w:val="100"/>
                <w:position w:val="0"/>
                <w:sz w:val="20"/>
                <w:szCs w:val="20"/>
              </w:rPr>
              <w:t>元</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股</w:t>
            </w:r>
          </w:p>
        </w:tc>
      </w:tr>
      <w:tr>
        <w:trPr>
          <w:trHeight w:val="240"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亏损</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-2.22</w:t>
            </w:r>
          </w:p>
        </w:tc>
        <w:tc>
          <w:tcPr>
            <w:tcBorders/>
            <w:shd w:val="clear" w:color="auto" w:fill="FFFFFF"/>
            <w:vAlign w:val="bottom"/>
          </w:tcPr>
          <w:p>
            <w:pPr>
              <w:pStyle w:val="Style28"/>
              <w:keepNext w:val="0"/>
              <w:keepLines w:val="0"/>
              <w:widowControl w:val="0"/>
              <w:shd w:val="clear" w:color="auto" w:fill="auto"/>
              <w:tabs>
                <w:tab w:pos="624" w:val="left"/>
              </w:tabs>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-4.82</w:t>
              <w:tab/>
              <w:t xml:space="preserve">-0.13 </w:t>
            </w:r>
            <w:r>
              <w:rPr>
                <w:color w:val="000000"/>
                <w:spacing w:val="0"/>
                <w:w w:val="100"/>
                <w:position w:val="0"/>
                <w:sz w:val="20"/>
                <w:szCs w:val="20"/>
              </w:rPr>
              <w:t>元</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股</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-0.2</w:t>
            </w:r>
            <w:r>
              <w:rPr>
                <w:color w:val="000000"/>
                <w:spacing w:val="0"/>
                <w:w w:val="100"/>
                <w:position w:val="0"/>
                <w:sz w:val="20"/>
                <w:szCs w:val="20"/>
              </w:rPr>
              <w:t>元</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股</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-0.13</w:t>
            </w:r>
            <w:r>
              <w:rPr>
                <w:color w:val="000000"/>
                <w:spacing w:val="0"/>
                <w:w w:val="100"/>
                <w:position w:val="0"/>
                <w:sz w:val="20"/>
                <w:szCs w:val="20"/>
              </w:rPr>
              <w:t>元</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股</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-0.2</w:t>
            </w:r>
            <w:r>
              <w:rPr>
                <w:color w:val="000000"/>
                <w:spacing w:val="0"/>
                <w:w w:val="100"/>
                <w:position w:val="0"/>
                <w:sz w:val="20"/>
                <w:szCs w:val="20"/>
              </w:rPr>
              <w:t>元</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股</w:t>
            </w:r>
          </w:p>
        </w:tc>
      </w:tr>
    </w:tbl>
    <w:p>
      <w:pPr>
        <w:pStyle w:val="Style18"/>
        <w:keepNext/>
        <w:keepLines/>
        <w:widowControl w:val="0"/>
        <w:shd w:val="clear" w:color="auto" w:fill="auto"/>
        <w:bidi w:val="0"/>
        <w:spacing w:before="0" w:after="400" w:line="240" w:lineRule="auto"/>
        <w:ind w:left="0" w:right="0" w:firstLine="0"/>
        <w:jc w:val="center"/>
      </w:pPr>
      <w:bookmarkStart w:id="1208" w:name="bookmark1208"/>
      <w:bookmarkStart w:id="1209" w:name="bookmark1209"/>
      <w:bookmarkStart w:id="1210" w:name="bookmark1210"/>
      <w:bookmarkStart w:id="1211" w:name="bookmark1211"/>
      <w:r>
        <w:rPr>
          <w:color w:val="000000"/>
          <w:spacing w:val="0"/>
          <w:w w:val="100"/>
          <w:position w:val="0"/>
        </w:rPr>
        <w:t>第十一节备查文件目录</w:t>
      </w:r>
      <w:bookmarkEnd w:id="1209"/>
      <w:bookmarkEnd w:id="1210"/>
      <w:bookmarkEnd w:id="1211"/>
      <w:bookmarkEnd w:id="1208"/>
    </w:p>
    <w:p>
      <w:pPr>
        <w:pStyle w:val="Style32"/>
        <w:keepNext w:val="0"/>
        <w:keepLines w:val="0"/>
        <w:widowControl w:val="0"/>
        <w:shd w:val="clear" w:color="auto" w:fill="auto"/>
        <w:tabs>
          <w:tab w:pos="1146" w:val="left"/>
        </w:tabs>
        <w:bidi w:val="0"/>
        <w:spacing w:before="0" w:after="0" w:line="475" w:lineRule="exact"/>
        <w:ind w:left="0" w:right="0" w:firstLine="440"/>
        <w:jc w:val="left"/>
      </w:pPr>
      <w:bookmarkStart w:id="1212" w:name="bookmark1212"/>
      <w:r>
        <w:rPr>
          <w:color w:val="000000"/>
          <w:spacing w:val="0"/>
          <w:w w:val="100"/>
          <w:position w:val="0"/>
        </w:rPr>
        <w:t>（</w:t>
      </w:r>
      <w:bookmarkEnd w:id="1212"/>
      <w:r>
        <w:rPr>
          <w:color w:val="000000"/>
          <w:spacing w:val="0"/>
          <w:w w:val="100"/>
          <w:position w:val="0"/>
        </w:rPr>
        <w:t>一）</w:t>
        <w:tab/>
        <w:t>载有公司负责人、主管会计工作负责人、会计机构负责人（会计主管人员）签名并盖章 的财务报表。</w:t>
      </w:r>
    </w:p>
    <w:p>
      <w:pPr>
        <w:pStyle w:val="Style32"/>
        <w:keepNext w:val="0"/>
        <w:keepLines w:val="0"/>
        <w:widowControl w:val="0"/>
        <w:shd w:val="clear" w:color="auto" w:fill="auto"/>
        <w:tabs>
          <w:tab w:pos="1048" w:val="left"/>
        </w:tabs>
        <w:bidi w:val="0"/>
        <w:spacing w:before="0" w:after="0" w:line="475" w:lineRule="exact"/>
        <w:ind w:left="0" w:right="0" w:firstLine="440"/>
        <w:jc w:val="left"/>
      </w:pPr>
      <w:bookmarkStart w:id="1213" w:name="bookmark1213"/>
      <w:r>
        <w:rPr>
          <w:color w:val="000000"/>
          <w:spacing w:val="0"/>
          <w:w w:val="100"/>
          <w:position w:val="0"/>
        </w:rPr>
        <w:t>（</w:t>
      </w:r>
      <w:bookmarkEnd w:id="1213"/>
      <w:r>
        <w:rPr>
          <w:color w:val="000000"/>
          <w:spacing w:val="0"/>
          <w:w w:val="100"/>
          <w:position w:val="0"/>
        </w:rPr>
        <w:t>二）</w:t>
        <w:tab/>
        <w:t>载有会计师事务所盖章、注册会计师签名并盖章的审计报告原件。</w:t>
      </w:r>
    </w:p>
    <w:p>
      <w:pPr>
        <w:pStyle w:val="Style32"/>
        <w:keepNext w:val="0"/>
        <w:keepLines w:val="0"/>
        <w:widowControl w:val="0"/>
        <w:shd w:val="clear" w:color="auto" w:fill="auto"/>
        <w:tabs>
          <w:tab w:pos="1048" w:val="left"/>
        </w:tabs>
        <w:bidi w:val="0"/>
        <w:spacing w:before="0" w:after="3480" w:line="475" w:lineRule="exact"/>
        <w:ind w:left="0" w:right="0" w:firstLine="440"/>
        <w:jc w:val="left"/>
      </w:pPr>
      <w:bookmarkStart w:id="1214" w:name="bookmark1214"/>
      <w:r>
        <w:rPr>
          <w:color w:val="000000"/>
          <w:spacing w:val="0"/>
          <w:w w:val="100"/>
          <w:position w:val="0"/>
        </w:rPr>
        <w:t>（</w:t>
      </w:r>
      <w:bookmarkEnd w:id="1214"/>
      <w:r>
        <w:rPr>
          <w:color w:val="000000"/>
          <w:spacing w:val="0"/>
          <w:w w:val="100"/>
          <w:position w:val="0"/>
        </w:rPr>
        <w:t>三）</w:t>
        <w:tab/>
        <w:t>报告期内在中国证监会指定网站上公开披露过的所有公司文件的正本及公告的原稿。</w:t>
      </w:r>
    </w:p>
    <w:p>
      <w:pPr>
        <w:pStyle w:val="Style32"/>
        <w:keepNext w:val="0"/>
        <w:keepLines w:val="0"/>
        <w:widowControl w:val="0"/>
        <w:shd w:val="clear" w:color="auto" w:fill="auto"/>
        <w:bidi w:val="0"/>
        <w:spacing w:before="0" w:after="200" w:line="240" w:lineRule="auto"/>
        <w:ind w:left="0" w:right="0" w:firstLine="0"/>
        <w:jc w:val="right"/>
      </w:pPr>
      <w:r>
        <w:rPr>
          <w:color w:val="000000"/>
          <w:spacing w:val="0"/>
          <w:w w:val="100"/>
          <w:position w:val="0"/>
        </w:rPr>
        <w:t>苏宁云商集团股份有限公司</w:t>
      </w:r>
    </w:p>
    <w:p>
      <w:pPr>
        <w:pStyle w:val="Style32"/>
        <w:keepNext w:val="0"/>
        <w:keepLines w:val="0"/>
        <w:widowControl w:val="0"/>
        <w:shd w:val="clear" w:color="auto" w:fill="auto"/>
        <w:bidi w:val="0"/>
        <w:spacing w:before="0" w:after="200" w:line="240" w:lineRule="auto"/>
        <w:ind w:left="0" w:right="0" w:firstLine="0"/>
        <w:jc w:val="right"/>
      </w:pPr>
      <w:r>
        <w:rPr>
          <w:color w:val="000000"/>
          <w:spacing w:val="0"/>
          <w:w w:val="100"/>
          <w:position w:val="0"/>
        </w:rPr>
        <w:t>董事长：张近东</w:t>
      </w:r>
    </w:p>
    <w:p>
      <w:pPr>
        <w:pStyle w:val="Style53"/>
        <w:keepNext w:val="0"/>
        <w:keepLines w:val="0"/>
        <w:widowControl w:val="0"/>
        <w:shd w:val="clear" w:color="auto" w:fill="auto"/>
        <w:bidi w:val="0"/>
        <w:spacing w:before="0" w:after="300" w:line="240" w:lineRule="auto"/>
        <w:ind w:left="0" w:right="0" w:firstLine="0"/>
        <w:jc w:val="right"/>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3</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sectPr>
      <w:headerReference w:type="default" r:id="rId263"/>
      <w:footerReference w:type="default" r:id="rId264"/>
      <w:headerReference w:type="even" r:id="rId265"/>
      <w:footerReference w:type="even" r:id="rId266"/>
      <w:footnotePr>
        <w:pos w:val="pageBottom"/>
        <w:numFmt w:val="decimal"/>
        <w:numRestart w:val="continuous"/>
      </w:footnotePr>
      <w:pgSz w:w="11900" w:h="16840"/>
      <w:pgMar w:top="1354" w:right="1108" w:bottom="3783" w:left="1130"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6716395</wp:posOffset>
              </wp:positionH>
              <wp:positionV relativeFrom="page">
                <wp:posOffset>9949180</wp:posOffset>
              </wp:positionV>
              <wp:extent cx="115570" cy="85090"/>
              <wp:wrapNone/>
              <wp:docPr id="10" name="Shape 10"/>
              <a:graphic xmlns:a="http://schemas.openxmlformats.org/drawingml/2006/main">
                <a:graphicData uri="http://schemas.microsoft.com/office/word/2010/wordprocessingShape">
                  <wps:wsp>
                    <wps:cNvSpPr txBox="1"/>
                    <wps:spPr>
                      <a:xfrm>
                        <a:ext cx="115570" cy="8509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wps:txbx>
                    <wps:bodyPr wrap="none" lIns="0" tIns="0" rIns="0" bIns="0">
                      <a:spAutoFit/>
                    </wps:bodyPr>
                  </wps:wsp>
                </a:graphicData>
              </a:graphic>
            </wp:anchor>
          </w:drawing>
        </mc:Choice>
        <mc:Fallback>
          <w:pict>
            <v:shape id="_x0000_s1036" type="#_x0000_t202" style="position:absolute;margin-left:528.85000000000002pt;margin-top:783.39999999999998pt;width:9.0999999999999996pt;height:6.7000000000000002pt;z-index:-18874405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2" behindDoc="1" locked="0" layoutInCell="1" allowOverlap="1">
              <wp:simplePos x="0" y="0"/>
              <wp:positionH relativeFrom="page">
                <wp:posOffset>9660255</wp:posOffset>
              </wp:positionH>
              <wp:positionV relativeFrom="page">
                <wp:posOffset>7009765</wp:posOffset>
              </wp:positionV>
              <wp:extent cx="118745" cy="85090"/>
              <wp:wrapNone/>
              <wp:docPr id="55" name="Shape 55"/>
              <a:graphic xmlns:a="http://schemas.openxmlformats.org/drawingml/2006/main">
                <a:graphicData uri="http://schemas.microsoft.com/office/word/2010/wordprocessingShape">
                  <wps:wsp>
                    <wps:cNvSpPr txBox="1"/>
                    <wps:spPr>
                      <a:xfrm>
                        <a:ext cx="118745" cy="8509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081" type="#_x0000_t202" style="position:absolute;margin-left:760.64999999999998pt;margin-top:551.95000000000005pt;width:9.3499999999999996pt;height:6.7000000000000002pt;z-index:-188744021;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10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8" behindDoc="1" locked="0" layoutInCell="1" allowOverlap="1">
              <wp:simplePos x="0" y="0"/>
              <wp:positionH relativeFrom="page">
                <wp:posOffset>4678680</wp:posOffset>
              </wp:positionH>
              <wp:positionV relativeFrom="page">
                <wp:posOffset>6835140</wp:posOffset>
              </wp:positionV>
              <wp:extent cx="201295" cy="91440"/>
              <wp:wrapNone/>
              <wp:docPr id="448" name="Shape 448"/>
              <a:graphic xmlns:a="http://schemas.openxmlformats.org/drawingml/2006/main">
                <a:graphicData uri="http://schemas.microsoft.com/office/word/2010/wordprocessingShape">
                  <wps:wsp>
                    <wps:cNvSpPr txBox="1"/>
                    <wps:spPr>
                      <a:xfrm>
                        <a:ext cx="201295" cy="9144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rPr>
                              <w:t>#</w:t>
                            </w:r>
                          </w:fldSimple>
                        </w:p>
                      </w:txbxContent>
                    </wps:txbx>
                    <wps:bodyPr wrap="none" lIns="0" tIns="0" rIns="0" bIns="0">
                      <a:spAutoFit/>
                    </wps:bodyPr>
                  </wps:wsp>
                </a:graphicData>
              </a:graphic>
            </wp:anchor>
          </w:drawing>
        </mc:Choice>
        <mc:Fallback>
          <w:pict>
            <v:shape id="_x0000_s1474" type="#_x0000_t202" style="position:absolute;margin-left:368.40000000000003pt;margin-top:538.20000000000005pt;width:15.85pt;height:7.2000000000000002pt;z-index:-188743715;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rPr>
                        <w:t>#</w:t>
                      </w:r>
                    </w:fldSimple>
                  </w:p>
                </w:txbxContent>
              </v:textbox>
              <w10:wrap anchorx="page" anchory="page"/>
            </v:shape>
          </w:pict>
        </mc:Fallback>
      </mc:AlternateContent>
    </w:r>
  </w:p>
</w:ftr>
</file>

<file path=word/footer10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40" behindDoc="1" locked="0" layoutInCell="1" allowOverlap="1">
              <wp:simplePos x="0" y="0"/>
              <wp:positionH relativeFrom="page">
                <wp:posOffset>4678680</wp:posOffset>
              </wp:positionH>
              <wp:positionV relativeFrom="page">
                <wp:posOffset>6835140</wp:posOffset>
              </wp:positionV>
              <wp:extent cx="201295" cy="91440"/>
              <wp:wrapNone/>
              <wp:docPr id="450" name="Shape 450"/>
              <a:graphic xmlns:a="http://schemas.openxmlformats.org/drawingml/2006/main">
                <a:graphicData uri="http://schemas.microsoft.com/office/word/2010/wordprocessingShape">
                  <wps:wsp>
                    <wps:cNvSpPr txBox="1"/>
                    <wps:spPr>
                      <a:xfrm>
                        <a:ext cx="201295" cy="9144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rPr>
                              <w:t>#</w:t>
                            </w:r>
                          </w:fldSimple>
                        </w:p>
                      </w:txbxContent>
                    </wps:txbx>
                    <wps:bodyPr wrap="none" lIns="0" tIns="0" rIns="0" bIns="0">
                      <a:spAutoFit/>
                    </wps:bodyPr>
                  </wps:wsp>
                </a:graphicData>
              </a:graphic>
            </wp:anchor>
          </w:drawing>
        </mc:Choice>
        <mc:Fallback>
          <w:pict>
            <v:shape id="_x0000_s1476" type="#_x0000_t202" style="position:absolute;margin-left:368.40000000000003pt;margin-top:538.20000000000005pt;width:15.85pt;height:7.2000000000000002pt;z-index:-188743713;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rPr>
                        <w:t>#</w:t>
                      </w:r>
                    </w:fldSimple>
                  </w:p>
                </w:txbxContent>
              </v:textbox>
              <w10:wrap anchorx="page" anchory="page"/>
            </v:shape>
          </w:pict>
        </mc:Fallback>
      </mc:AlternateContent>
    </w:r>
  </w:p>
</w:ftr>
</file>

<file path=word/footer10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44" behindDoc="1" locked="0" layoutInCell="1" allowOverlap="1">
              <wp:simplePos x="0" y="0"/>
              <wp:positionH relativeFrom="page">
                <wp:posOffset>10028555</wp:posOffset>
              </wp:positionH>
              <wp:positionV relativeFrom="page">
                <wp:posOffset>6837045</wp:posOffset>
              </wp:positionV>
              <wp:extent cx="201295" cy="91440"/>
              <wp:wrapNone/>
              <wp:docPr id="454" name="Shape 454"/>
              <a:graphic xmlns:a="http://schemas.openxmlformats.org/drawingml/2006/main">
                <a:graphicData uri="http://schemas.microsoft.com/office/word/2010/wordprocessingShape">
                  <wps:wsp>
                    <wps:cNvSpPr txBox="1"/>
                    <wps:spPr>
                      <a:xfrm>
                        <a:ext cx="201295" cy="9144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rPr>
                              <w:t>#</w:t>
                            </w:r>
                          </w:fldSimple>
                        </w:p>
                      </w:txbxContent>
                    </wps:txbx>
                    <wps:bodyPr wrap="none" lIns="0" tIns="0" rIns="0" bIns="0">
                      <a:spAutoFit/>
                    </wps:bodyPr>
                  </wps:wsp>
                </a:graphicData>
              </a:graphic>
            </wp:anchor>
          </w:drawing>
        </mc:Choice>
        <mc:Fallback>
          <w:pict>
            <v:shape id="_x0000_s1480" type="#_x0000_t202" style="position:absolute;margin-left:789.64999999999998pt;margin-top:538.35000000000002pt;width:15.85pt;height:7.2000000000000002pt;z-index:-188743709;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rPr>
                        <w:t>#</w:t>
                      </w:r>
                    </w:fldSimple>
                  </w:p>
                </w:txbxContent>
              </v:textbox>
              <w10:wrap anchorx="page" anchory="page"/>
            </v:shape>
          </w:pict>
        </mc:Fallback>
      </mc:AlternateContent>
    </w:r>
  </w:p>
</w:ftr>
</file>

<file path=word/footer10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48" behindDoc="1" locked="0" layoutInCell="1" allowOverlap="1">
              <wp:simplePos x="0" y="0"/>
              <wp:positionH relativeFrom="page">
                <wp:posOffset>10028555</wp:posOffset>
              </wp:positionH>
              <wp:positionV relativeFrom="page">
                <wp:posOffset>6837045</wp:posOffset>
              </wp:positionV>
              <wp:extent cx="201295" cy="91440"/>
              <wp:wrapNone/>
              <wp:docPr id="458" name="Shape 458"/>
              <a:graphic xmlns:a="http://schemas.openxmlformats.org/drawingml/2006/main">
                <a:graphicData uri="http://schemas.microsoft.com/office/word/2010/wordprocessingShape">
                  <wps:wsp>
                    <wps:cNvSpPr txBox="1"/>
                    <wps:spPr>
                      <a:xfrm>
                        <a:ext cx="201295" cy="9144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rPr>
                              <w:t>#</w:t>
                            </w:r>
                          </w:fldSimple>
                        </w:p>
                      </w:txbxContent>
                    </wps:txbx>
                    <wps:bodyPr wrap="none" lIns="0" tIns="0" rIns="0" bIns="0">
                      <a:spAutoFit/>
                    </wps:bodyPr>
                  </wps:wsp>
                </a:graphicData>
              </a:graphic>
            </wp:anchor>
          </w:drawing>
        </mc:Choice>
        <mc:Fallback>
          <w:pict>
            <v:shape id="_x0000_s1484" type="#_x0000_t202" style="position:absolute;margin-left:789.64999999999998pt;margin-top:538.35000000000002pt;width:15.85pt;height:7.2000000000000002pt;z-index:-188743705;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rPr>
                        <w:t>#</w:t>
                      </w:r>
                    </w:fldSimple>
                  </w:p>
                </w:txbxContent>
              </v:textbox>
              <w10:wrap anchorx="page" anchory="page"/>
            </v:shape>
          </w:pict>
        </mc:Fallback>
      </mc:AlternateContent>
    </w:r>
  </w:p>
</w:ftr>
</file>

<file path=word/footer10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0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0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54" behindDoc="1" locked="0" layoutInCell="1" allowOverlap="1">
              <wp:simplePos x="0" y="0"/>
              <wp:positionH relativeFrom="page">
                <wp:posOffset>4678045</wp:posOffset>
              </wp:positionH>
              <wp:positionV relativeFrom="page">
                <wp:posOffset>6835140</wp:posOffset>
              </wp:positionV>
              <wp:extent cx="201295" cy="91440"/>
              <wp:wrapNone/>
              <wp:docPr id="464" name="Shape 464"/>
              <a:graphic xmlns:a="http://schemas.openxmlformats.org/drawingml/2006/main">
                <a:graphicData uri="http://schemas.microsoft.com/office/word/2010/wordprocessingShape">
                  <wps:wsp>
                    <wps:cNvSpPr txBox="1"/>
                    <wps:spPr>
                      <a:xfrm>
                        <a:ext cx="201295" cy="9144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rPr>
                              <w:t>#</w:t>
                            </w:r>
                          </w:fldSimple>
                        </w:p>
                      </w:txbxContent>
                    </wps:txbx>
                    <wps:bodyPr wrap="none" lIns="0" tIns="0" rIns="0" bIns="0">
                      <a:spAutoFit/>
                    </wps:bodyPr>
                  </wps:wsp>
                </a:graphicData>
              </a:graphic>
            </wp:anchor>
          </w:drawing>
        </mc:Choice>
        <mc:Fallback>
          <w:pict>
            <v:shape id="_x0000_s1490" type="#_x0000_t202" style="position:absolute;margin-left:368.35000000000002pt;margin-top:538.20000000000005pt;width:15.85pt;height:7.2000000000000002pt;z-index:-188743699;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rPr>
                        <w:t>#</w:t>
                      </w:r>
                    </w:fldSimple>
                  </w:p>
                </w:txbxContent>
              </v:textbox>
              <w10:wrap anchorx="page" anchory="page"/>
            </v:shape>
          </w:pict>
        </mc:Fallback>
      </mc:AlternateContent>
    </w:r>
  </w:p>
</w:ftr>
</file>

<file path=word/footer10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56" behindDoc="1" locked="0" layoutInCell="1" allowOverlap="1">
              <wp:simplePos x="0" y="0"/>
              <wp:positionH relativeFrom="page">
                <wp:posOffset>4678045</wp:posOffset>
              </wp:positionH>
              <wp:positionV relativeFrom="page">
                <wp:posOffset>6835140</wp:posOffset>
              </wp:positionV>
              <wp:extent cx="201295" cy="91440"/>
              <wp:wrapNone/>
              <wp:docPr id="466" name="Shape 466"/>
              <a:graphic xmlns:a="http://schemas.openxmlformats.org/drawingml/2006/main">
                <a:graphicData uri="http://schemas.microsoft.com/office/word/2010/wordprocessingShape">
                  <wps:wsp>
                    <wps:cNvSpPr txBox="1"/>
                    <wps:spPr>
                      <a:xfrm>
                        <a:ext cx="201295" cy="9144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rPr>
                              <w:t>#</w:t>
                            </w:r>
                          </w:fldSimple>
                        </w:p>
                      </w:txbxContent>
                    </wps:txbx>
                    <wps:bodyPr wrap="none" lIns="0" tIns="0" rIns="0" bIns="0">
                      <a:spAutoFit/>
                    </wps:bodyPr>
                  </wps:wsp>
                </a:graphicData>
              </a:graphic>
            </wp:anchor>
          </w:drawing>
        </mc:Choice>
        <mc:Fallback>
          <w:pict>
            <v:shape id="_x0000_s1492" type="#_x0000_t202" style="position:absolute;margin-left:368.35000000000002pt;margin-top:538.20000000000005pt;width:15.85pt;height:7.2000000000000002pt;z-index:-188743697;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rPr>
                        <w:t>#</w:t>
                      </w:r>
                    </w:fldSimple>
                  </w:p>
                </w:txbxContent>
              </v:textbox>
              <w10:wrap anchorx="page" anchory="page"/>
            </v:shape>
          </w:pict>
        </mc:Fallback>
      </mc:AlternateContent>
    </w:r>
  </w:p>
</w:ftr>
</file>

<file path=word/footer10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60" behindDoc="1" locked="0" layoutInCell="1" allowOverlap="1">
              <wp:simplePos x="0" y="0"/>
              <wp:positionH relativeFrom="page">
                <wp:posOffset>6428105</wp:posOffset>
              </wp:positionH>
              <wp:positionV relativeFrom="page">
                <wp:posOffset>10140950</wp:posOffset>
              </wp:positionV>
              <wp:extent cx="201295" cy="91440"/>
              <wp:wrapNone/>
              <wp:docPr id="470" name="Shape 470"/>
              <a:graphic xmlns:a="http://schemas.openxmlformats.org/drawingml/2006/main">
                <a:graphicData uri="http://schemas.microsoft.com/office/word/2010/wordprocessingShape">
                  <wps:wsp>
                    <wps:cNvSpPr txBox="1"/>
                    <wps:spPr>
                      <a:xfrm>
                        <a:ext cx="201295" cy="9144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rPr>
                              <w:t>#</w:t>
                            </w:r>
                          </w:fldSimple>
                        </w:p>
                      </w:txbxContent>
                    </wps:txbx>
                    <wps:bodyPr wrap="none" lIns="0" tIns="0" rIns="0" bIns="0">
                      <a:spAutoFit/>
                    </wps:bodyPr>
                  </wps:wsp>
                </a:graphicData>
              </a:graphic>
            </wp:anchor>
          </w:drawing>
        </mc:Choice>
        <mc:Fallback>
          <w:pict>
            <v:shape id="_x0000_s1496" type="#_x0000_t202" style="position:absolute;margin-left:506.15000000000003pt;margin-top:798.5pt;width:15.85pt;height:7.2000000000000002pt;z-index:-188743693;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rPr>
                        <w:t>#</w:t>
                      </w:r>
                    </w:fldSimple>
                  </w:p>
                </w:txbxContent>
              </v:textbox>
              <w10:wrap anchorx="page" anchory="page"/>
            </v:shape>
          </w:pict>
        </mc:Fallback>
      </mc:AlternateContent>
    </w:r>
  </w:p>
</w:ftr>
</file>

<file path=word/footer10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64" behindDoc="1" locked="0" layoutInCell="1" allowOverlap="1">
              <wp:simplePos x="0" y="0"/>
              <wp:positionH relativeFrom="page">
                <wp:posOffset>6428105</wp:posOffset>
              </wp:positionH>
              <wp:positionV relativeFrom="page">
                <wp:posOffset>10140950</wp:posOffset>
              </wp:positionV>
              <wp:extent cx="201295" cy="91440"/>
              <wp:wrapNone/>
              <wp:docPr id="474" name="Shape 474"/>
              <a:graphic xmlns:a="http://schemas.openxmlformats.org/drawingml/2006/main">
                <a:graphicData uri="http://schemas.microsoft.com/office/word/2010/wordprocessingShape">
                  <wps:wsp>
                    <wps:cNvSpPr txBox="1"/>
                    <wps:spPr>
                      <a:xfrm>
                        <a:ext cx="201295" cy="9144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rPr>
                              <w:t>#</w:t>
                            </w:r>
                          </w:fldSimple>
                        </w:p>
                      </w:txbxContent>
                    </wps:txbx>
                    <wps:bodyPr wrap="none" lIns="0" tIns="0" rIns="0" bIns="0">
                      <a:spAutoFit/>
                    </wps:bodyPr>
                  </wps:wsp>
                </a:graphicData>
              </a:graphic>
            </wp:anchor>
          </w:drawing>
        </mc:Choice>
        <mc:Fallback>
          <w:pict>
            <v:shape id="_x0000_s1500" type="#_x0000_t202" style="position:absolute;margin-left:506.15000000000003pt;margin-top:798.5pt;width:15.85pt;height:7.2000000000000002pt;z-index:-188743689;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rPr>
                        <w:t>#</w:t>
                      </w:r>
                    </w:fldSimple>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6" behindDoc="1" locked="0" layoutInCell="1" allowOverlap="1">
              <wp:simplePos x="0" y="0"/>
              <wp:positionH relativeFrom="page">
                <wp:posOffset>6718935</wp:posOffset>
              </wp:positionH>
              <wp:positionV relativeFrom="page">
                <wp:posOffset>9949180</wp:posOffset>
              </wp:positionV>
              <wp:extent cx="115570" cy="85090"/>
              <wp:wrapNone/>
              <wp:docPr id="60" name="Shape 60"/>
              <a:graphic xmlns:a="http://schemas.openxmlformats.org/drawingml/2006/main">
                <a:graphicData uri="http://schemas.microsoft.com/office/word/2010/wordprocessingShape">
                  <wps:wsp>
                    <wps:cNvSpPr txBox="1"/>
                    <wps:spPr>
                      <a:xfrm>
                        <a:ext cx="115570" cy="8509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086" type="#_x0000_t202" style="position:absolute;margin-left:529.04999999999995pt;margin-top:783.39999999999998pt;width:9.0999999999999996pt;height:6.7000000000000002pt;z-index:-188744017;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1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68" behindDoc="1" locked="0" layoutInCell="1" allowOverlap="1">
              <wp:simplePos x="0" y="0"/>
              <wp:positionH relativeFrom="page">
                <wp:posOffset>6430010</wp:posOffset>
              </wp:positionH>
              <wp:positionV relativeFrom="page">
                <wp:posOffset>9678670</wp:posOffset>
              </wp:positionV>
              <wp:extent cx="201295" cy="91440"/>
              <wp:wrapNone/>
              <wp:docPr id="496" name="Shape 496"/>
              <a:graphic xmlns:a="http://schemas.openxmlformats.org/drawingml/2006/main">
                <a:graphicData uri="http://schemas.microsoft.com/office/word/2010/wordprocessingShape">
                  <wps:wsp>
                    <wps:cNvSpPr txBox="1"/>
                    <wps:spPr>
                      <a:xfrm>
                        <a:ext cx="201295" cy="9144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rPr>
                              <w:t>#</w:t>
                            </w:r>
                          </w:fldSimple>
                        </w:p>
                      </w:txbxContent>
                    </wps:txbx>
                    <wps:bodyPr wrap="none" lIns="0" tIns="0" rIns="0" bIns="0">
                      <a:spAutoFit/>
                    </wps:bodyPr>
                  </wps:wsp>
                </a:graphicData>
              </a:graphic>
            </wp:anchor>
          </w:drawing>
        </mc:Choice>
        <mc:Fallback>
          <w:pict>
            <v:shape id="_x0000_s1522" type="#_x0000_t202" style="position:absolute;margin-left:506.30000000000001pt;margin-top:762.10000000000002pt;width:15.85pt;height:7.2000000000000002pt;z-index:-188743685;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rPr>
                        <w:t>#</w:t>
                      </w:r>
                    </w:fldSimple>
                  </w:p>
                </w:txbxContent>
              </v:textbox>
              <w10:wrap anchorx="page" anchory="page"/>
            </v:shape>
          </w:pict>
        </mc:Fallback>
      </mc:AlternateContent>
    </w:r>
  </w:p>
</w:ftr>
</file>

<file path=word/footer1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72" behindDoc="1" locked="0" layoutInCell="1" allowOverlap="1">
              <wp:simplePos x="0" y="0"/>
              <wp:positionH relativeFrom="page">
                <wp:posOffset>6430010</wp:posOffset>
              </wp:positionH>
              <wp:positionV relativeFrom="page">
                <wp:posOffset>9678670</wp:posOffset>
              </wp:positionV>
              <wp:extent cx="201295" cy="91440"/>
              <wp:wrapNone/>
              <wp:docPr id="500" name="Shape 500"/>
              <a:graphic xmlns:a="http://schemas.openxmlformats.org/drawingml/2006/main">
                <a:graphicData uri="http://schemas.microsoft.com/office/word/2010/wordprocessingShape">
                  <wps:wsp>
                    <wps:cNvSpPr txBox="1"/>
                    <wps:spPr>
                      <a:xfrm>
                        <a:ext cx="201295" cy="9144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rPr>
                              <w:t>#</w:t>
                            </w:r>
                          </w:fldSimple>
                        </w:p>
                      </w:txbxContent>
                    </wps:txbx>
                    <wps:bodyPr wrap="none" lIns="0" tIns="0" rIns="0" bIns="0">
                      <a:spAutoFit/>
                    </wps:bodyPr>
                  </wps:wsp>
                </a:graphicData>
              </a:graphic>
            </wp:anchor>
          </w:drawing>
        </mc:Choice>
        <mc:Fallback>
          <w:pict>
            <v:shape id="_x0000_s1526" type="#_x0000_t202" style="position:absolute;margin-left:506.30000000000001pt;margin-top:762.10000000000002pt;width:15.85pt;height:7.2000000000000002pt;z-index:-188743681;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rPr>
                        <w:t>#</w:t>
                      </w:r>
                    </w:fldSimple>
                  </w:p>
                </w:txbxContent>
              </v:textbox>
              <w10:wrap anchorx="page" anchory="page"/>
            </v:shape>
          </w:pict>
        </mc:Fallback>
      </mc:AlternateContent>
    </w:r>
  </w:p>
</w:ftr>
</file>

<file path=word/footer1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76" behindDoc="1" locked="0" layoutInCell="1" allowOverlap="1">
              <wp:simplePos x="0" y="0"/>
              <wp:positionH relativeFrom="page">
                <wp:posOffset>9578975</wp:posOffset>
              </wp:positionH>
              <wp:positionV relativeFrom="page">
                <wp:posOffset>6544945</wp:posOffset>
              </wp:positionV>
              <wp:extent cx="179705" cy="91440"/>
              <wp:wrapNone/>
              <wp:docPr id="536" name="Shape 536"/>
              <a:graphic xmlns:a="http://schemas.openxmlformats.org/drawingml/2006/main">
                <a:graphicData uri="http://schemas.microsoft.com/office/word/2010/wordprocessingShape">
                  <wps:wsp>
                    <wps:cNvSpPr txBox="1"/>
                    <wps:spPr>
                      <a:xfrm>
                        <a:ext cx="179705" cy="9144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rPr>
                              <w:t>#</w:t>
                            </w:r>
                          </w:fldSimple>
                        </w:p>
                      </w:txbxContent>
                    </wps:txbx>
                    <wps:bodyPr wrap="none" lIns="0" tIns="0" rIns="0" bIns="0">
                      <a:spAutoFit/>
                    </wps:bodyPr>
                  </wps:wsp>
                </a:graphicData>
              </a:graphic>
            </wp:anchor>
          </w:drawing>
        </mc:Choice>
        <mc:Fallback>
          <w:pict>
            <v:shape id="_x0000_s1562" type="#_x0000_t202" style="position:absolute;margin-left:754.25pt;margin-top:515.35000000000002pt;width:14.15pt;height:7.2000000000000002pt;z-index:-188743677;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rPr>
                        <w:t>#</w:t>
                      </w:r>
                    </w:fldSimple>
                  </w:p>
                </w:txbxContent>
              </v:textbox>
              <w10:wrap anchorx="page" anchory="page"/>
            </v:shape>
          </w:pict>
        </mc:Fallback>
      </mc:AlternateContent>
    </w:r>
  </w:p>
</w:ftr>
</file>

<file path=word/footer1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80" behindDoc="1" locked="0" layoutInCell="1" allowOverlap="1">
              <wp:simplePos x="0" y="0"/>
              <wp:positionH relativeFrom="page">
                <wp:posOffset>9578975</wp:posOffset>
              </wp:positionH>
              <wp:positionV relativeFrom="page">
                <wp:posOffset>6544945</wp:posOffset>
              </wp:positionV>
              <wp:extent cx="179705" cy="91440"/>
              <wp:wrapNone/>
              <wp:docPr id="540" name="Shape 540"/>
              <a:graphic xmlns:a="http://schemas.openxmlformats.org/drawingml/2006/main">
                <a:graphicData uri="http://schemas.microsoft.com/office/word/2010/wordprocessingShape">
                  <wps:wsp>
                    <wps:cNvSpPr txBox="1"/>
                    <wps:spPr>
                      <a:xfrm>
                        <a:ext cx="179705" cy="9144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rPr>
                              <w:t>#</w:t>
                            </w:r>
                          </w:fldSimple>
                        </w:p>
                      </w:txbxContent>
                    </wps:txbx>
                    <wps:bodyPr wrap="none" lIns="0" tIns="0" rIns="0" bIns="0">
                      <a:spAutoFit/>
                    </wps:bodyPr>
                  </wps:wsp>
                </a:graphicData>
              </a:graphic>
            </wp:anchor>
          </w:drawing>
        </mc:Choice>
        <mc:Fallback>
          <w:pict>
            <v:shape id="_x0000_s1566" type="#_x0000_t202" style="position:absolute;margin-left:754.25pt;margin-top:515.35000000000002pt;width:14.15pt;height:7.2000000000000002pt;z-index:-188743673;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rPr>
                        <w:t>#</w:t>
                      </w:r>
                    </w:fldSimple>
                  </w:p>
                </w:txbxContent>
              </v:textbox>
              <w10:wrap anchorx="page" anchory="page"/>
            </v:shape>
          </w:pict>
        </mc:Fallback>
      </mc:AlternateContent>
    </w:r>
  </w:p>
</w:ftr>
</file>

<file path=word/footer1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84" behindDoc="1" locked="0" layoutInCell="1" allowOverlap="1">
              <wp:simplePos x="0" y="0"/>
              <wp:positionH relativeFrom="page">
                <wp:posOffset>4721225</wp:posOffset>
              </wp:positionH>
              <wp:positionV relativeFrom="page">
                <wp:posOffset>6543040</wp:posOffset>
              </wp:positionV>
              <wp:extent cx="198120" cy="91440"/>
              <wp:wrapNone/>
              <wp:docPr id="544" name="Shape 544"/>
              <a:graphic xmlns:a="http://schemas.openxmlformats.org/drawingml/2006/main">
                <a:graphicData uri="http://schemas.microsoft.com/office/word/2010/wordprocessingShape">
                  <wps:wsp>
                    <wps:cNvSpPr txBox="1"/>
                    <wps:spPr>
                      <a:xfrm>
                        <a:ext cx="198120" cy="9144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302</w:t>
                          </w:r>
                        </w:p>
                      </w:txbxContent>
                    </wps:txbx>
                    <wps:bodyPr wrap="none" lIns="0" tIns="0" rIns="0" bIns="0">
                      <a:spAutoFit/>
                    </wps:bodyPr>
                  </wps:wsp>
                </a:graphicData>
              </a:graphic>
            </wp:anchor>
          </w:drawing>
        </mc:Choice>
        <mc:Fallback>
          <w:pict>
            <v:shape id="_x0000_s1570" type="#_x0000_t202" style="position:absolute;margin-left:371.75pt;margin-top:515.20000000000005pt;width:15.6pt;height:7.2000000000000002pt;z-index:-188743669;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302</w:t>
                    </w:r>
                  </w:p>
                </w:txbxContent>
              </v:textbox>
              <w10:wrap anchorx="page" anchory="page"/>
            </v:shape>
          </w:pict>
        </mc:Fallback>
      </mc:AlternateContent>
    </w:r>
  </w:p>
</w:ftr>
</file>

<file path=word/footer1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86" behindDoc="1" locked="0" layoutInCell="1" allowOverlap="1">
              <wp:simplePos x="0" y="0"/>
              <wp:positionH relativeFrom="page">
                <wp:posOffset>4220210</wp:posOffset>
              </wp:positionH>
              <wp:positionV relativeFrom="page">
                <wp:posOffset>6543040</wp:posOffset>
              </wp:positionV>
              <wp:extent cx="198120" cy="91440"/>
              <wp:wrapNone/>
              <wp:docPr id="554" name="Shape 554"/>
              <a:graphic xmlns:a="http://schemas.openxmlformats.org/drawingml/2006/main">
                <a:graphicData uri="http://schemas.microsoft.com/office/word/2010/wordprocessingShape">
                  <wps:wsp>
                    <wps:cNvSpPr txBox="1"/>
                    <wps:spPr>
                      <a:xfrm>
                        <a:ext cx="198120" cy="9144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rPr>
                              <w:t>#</w:t>
                            </w:r>
                          </w:fldSimple>
                        </w:p>
                      </w:txbxContent>
                    </wps:txbx>
                    <wps:bodyPr wrap="none" lIns="0" tIns="0" rIns="0" bIns="0">
                      <a:spAutoFit/>
                    </wps:bodyPr>
                  </wps:wsp>
                </a:graphicData>
              </a:graphic>
            </wp:anchor>
          </w:drawing>
        </mc:Choice>
        <mc:Fallback>
          <w:pict>
            <v:shape id="_x0000_s1580" type="#_x0000_t202" style="position:absolute;margin-left:332.30000000000001pt;margin-top:515.20000000000005pt;width:15.6pt;height:7.2000000000000002pt;z-index:-188743667;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rPr>
                        <w:t>#</w:t>
                      </w:r>
                    </w:fldSimple>
                  </w:p>
                </w:txbxContent>
              </v:textbox>
              <w10:wrap anchorx="page" anchory="page"/>
            </v:shape>
          </w:pict>
        </mc:Fallback>
      </mc:AlternateContent>
    </w:r>
  </w:p>
</w:ftr>
</file>

<file path=word/footer1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88" behindDoc="1" locked="0" layoutInCell="1" allowOverlap="1">
              <wp:simplePos x="0" y="0"/>
              <wp:positionH relativeFrom="page">
                <wp:posOffset>4220210</wp:posOffset>
              </wp:positionH>
              <wp:positionV relativeFrom="page">
                <wp:posOffset>6543040</wp:posOffset>
              </wp:positionV>
              <wp:extent cx="198120" cy="91440"/>
              <wp:wrapNone/>
              <wp:docPr id="556" name="Shape 556"/>
              <a:graphic xmlns:a="http://schemas.openxmlformats.org/drawingml/2006/main">
                <a:graphicData uri="http://schemas.microsoft.com/office/word/2010/wordprocessingShape">
                  <wps:wsp>
                    <wps:cNvSpPr txBox="1"/>
                    <wps:spPr>
                      <a:xfrm>
                        <a:ext cx="198120" cy="9144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rPr>
                              <w:t>#</w:t>
                            </w:r>
                          </w:fldSimple>
                        </w:p>
                      </w:txbxContent>
                    </wps:txbx>
                    <wps:bodyPr wrap="none" lIns="0" tIns="0" rIns="0" bIns="0">
                      <a:spAutoFit/>
                    </wps:bodyPr>
                  </wps:wsp>
                </a:graphicData>
              </a:graphic>
            </wp:anchor>
          </w:drawing>
        </mc:Choice>
        <mc:Fallback>
          <w:pict>
            <v:shape id="_x0000_s1582" type="#_x0000_t202" style="position:absolute;margin-left:332.30000000000001pt;margin-top:515.20000000000005pt;width:15.6pt;height:7.2000000000000002pt;z-index:-188743665;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rPr>
                        <w:t>#</w:t>
                      </w:r>
                    </w:fldSimple>
                  </w:p>
                </w:txbxContent>
              </v:textbox>
              <w10:wrap anchorx="page" anchory="page"/>
            </v:shape>
          </w:pict>
        </mc:Fallback>
      </mc:AlternateContent>
    </w:r>
  </w:p>
</w:ftr>
</file>

<file path=word/footer1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92" behindDoc="1" locked="0" layoutInCell="1" allowOverlap="1">
              <wp:simplePos x="0" y="0"/>
              <wp:positionH relativeFrom="page">
                <wp:posOffset>6436995</wp:posOffset>
              </wp:positionH>
              <wp:positionV relativeFrom="page">
                <wp:posOffset>9678035</wp:posOffset>
              </wp:positionV>
              <wp:extent cx="198120" cy="91440"/>
              <wp:wrapNone/>
              <wp:docPr id="560" name="Shape 560"/>
              <a:graphic xmlns:a="http://schemas.openxmlformats.org/drawingml/2006/main">
                <a:graphicData uri="http://schemas.microsoft.com/office/word/2010/wordprocessingShape">
                  <wps:wsp>
                    <wps:cNvSpPr txBox="1"/>
                    <wps:spPr>
                      <a:xfrm>
                        <a:ext cx="198120" cy="9144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rPr>
                              <w:t>#</w:t>
                            </w:r>
                          </w:fldSimple>
                        </w:p>
                      </w:txbxContent>
                    </wps:txbx>
                    <wps:bodyPr wrap="none" lIns="0" tIns="0" rIns="0" bIns="0">
                      <a:spAutoFit/>
                    </wps:bodyPr>
                  </wps:wsp>
                </a:graphicData>
              </a:graphic>
            </wp:anchor>
          </w:drawing>
        </mc:Choice>
        <mc:Fallback>
          <w:pict>
            <v:shape id="_x0000_s1586" type="#_x0000_t202" style="position:absolute;margin-left:506.85000000000002pt;margin-top:762.05000000000007pt;width:15.6pt;height:7.2000000000000002pt;z-index:-188743661;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rPr>
                        <w:t>#</w:t>
                      </w:r>
                    </w:fldSimple>
                  </w:p>
                </w:txbxContent>
              </v:textbox>
              <w10:wrap anchorx="page" anchory="page"/>
            </v:shape>
          </w:pict>
        </mc:Fallback>
      </mc:AlternateContent>
    </w:r>
  </w:p>
</w:ftr>
</file>

<file path=word/footer1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96" behindDoc="1" locked="0" layoutInCell="1" allowOverlap="1">
              <wp:simplePos x="0" y="0"/>
              <wp:positionH relativeFrom="page">
                <wp:posOffset>6436995</wp:posOffset>
              </wp:positionH>
              <wp:positionV relativeFrom="page">
                <wp:posOffset>9678035</wp:posOffset>
              </wp:positionV>
              <wp:extent cx="198120" cy="91440"/>
              <wp:wrapNone/>
              <wp:docPr id="564" name="Shape 564"/>
              <a:graphic xmlns:a="http://schemas.openxmlformats.org/drawingml/2006/main">
                <a:graphicData uri="http://schemas.microsoft.com/office/word/2010/wordprocessingShape">
                  <wps:wsp>
                    <wps:cNvSpPr txBox="1"/>
                    <wps:spPr>
                      <a:xfrm>
                        <a:ext cx="198120" cy="9144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rPr>
                              <w:t>#</w:t>
                            </w:r>
                          </w:fldSimple>
                        </w:p>
                      </w:txbxContent>
                    </wps:txbx>
                    <wps:bodyPr wrap="none" lIns="0" tIns="0" rIns="0" bIns="0">
                      <a:spAutoFit/>
                    </wps:bodyPr>
                  </wps:wsp>
                </a:graphicData>
              </a:graphic>
            </wp:anchor>
          </w:drawing>
        </mc:Choice>
        <mc:Fallback>
          <w:pict>
            <v:shape id="_x0000_s1590" type="#_x0000_t202" style="position:absolute;margin-left:506.85000000000002pt;margin-top:762.05000000000007pt;width:15.6pt;height:7.2000000000000002pt;z-index:-188743657;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rPr>
                        <w:t>#</w:t>
                      </w:r>
                    </w:fldSimple>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0" behindDoc="1" locked="0" layoutInCell="1" allowOverlap="1">
              <wp:simplePos x="0" y="0"/>
              <wp:positionH relativeFrom="page">
                <wp:posOffset>6718935</wp:posOffset>
              </wp:positionH>
              <wp:positionV relativeFrom="page">
                <wp:posOffset>9949180</wp:posOffset>
              </wp:positionV>
              <wp:extent cx="115570" cy="85090"/>
              <wp:wrapNone/>
              <wp:docPr id="65" name="Shape 65"/>
              <a:graphic xmlns:a="http://schemas.openxmlformats.org/drawingml/2006/main">
                <a:graphicData uri="http://schemas.microsoft.com/office/word/2010/wordprocessingShape">
                  <wps:wsp>
                    <wps:cNvSpPr txBox="1"/>
                    <wps:spPr>
                      <a:xfrm>
                        <a:ext cx="115570" cy="8509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091" type="#_x0000_t202" style="position:absolute;margin-left:529.04999999999995pt;margin-top:783.39999999999998pt;width:9.0999999999999996pt;height:6.7000000000000002pt;z-index:-188744013;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1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00" behindDoc="1" locked="0" layoutInCell="1" allowOverlap="1">
              <wp:simplePos x="0" y="0"/>
              <wp:positionH relativeFrom="page">
                <wp:posOffset>6436995</wp:posOffset>
              </wp:positionH>
              <wp:positionV relativeFrom="page">
                <wp:posOffset>9678035</wp:posOffset>
              </wp:positionV>
              <wp:extent cx="198120" cy="91440"/>
              <wp:wrapNone/>
              <wp:docPr id="568" name="Shape 568"/>
              <a:graphic xmlns:a="http://schemas.openxmlformats.org/drawingml/2006/main">
                <a:graphicData uri="http://schemas.microsoft.com/office/word/2010/wordprocessingShape">
                  <wps:wsp>
                    <wps:cNvSpPr txBox="1"/>
                    <wps:spPr>
                      <a:xfrm>
                        <a:ext cx="198120" cy="9144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rPr>
                              <w:t>#</w:t>
                            </w:r>
                          </w:fldSimple>
                        </w:p>
                      </w:txbxContent>
                    </wps:txbx>
                    <wps:bodyPr wrap="none" lIns="0" tIns="0" rIns="0" bIns="0">
                      <a:spAutoFit/>
                    </wps:bodyPr>
                  </wps:wsp>
                </a:graphicData>
              </a:graphic>
            </wp:anchor>
          </w:drawing>
        </mc:Choice>
        <mc:Fallback>
          <w:pict>
            <v:shape id="_x0000_s1594" type="#_x0000_t202" style="position:absolute;margin-left:506.85000000000002pt;margin-top:762.05000000000007pt;width:15.6pt;height:7.2000000000000002pt;z-index:-188743653;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rPr>
                        <w:t>#</w:t>
                      </w:r>
                    </w:fldSimple>
                  </w:p>
                </w:txbxContent>
              </v:textbox>
              <w10:wrap anchorx="page" anchory="page"/>
            </v:shape>
          </w:pict>
        </mc:Fallback>
      </mc:AlternateContent>
    </w:r>
  </w:p>
</w:ftr>
</file>

<file path=word/footer1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04" behindDoc="1" locked="0" layoutInCell="1" allowOverlap="1">
              <wp:simplePos x="0" y="0"/>
              <wp:positionH relativeFrom="page">
                <wp:posOffset>6436995</wp:posOffset>
              </wp:positionH>
              <wp:positionV relativeFrom="page">
                <wp:posOffset>9678035</wp:posOffset>
              </wp:positionV>
              <wp:extent cx="198120" cy="91440"/>
              <wp:wrapNone/>
              <wp:docPr id="572" name="Shape 572"/>
              <a:graphic xmlns:a="http://schemas.openxmlformats.org/drawingml/2006/main">
                <a:graphicData uri="http://schemas.microsoft.com/office/word/2010/wordprocessingShape">
                  <wps:wsp>
                    <wps:cNvSpPr txBox="1"/>
                    <wps:spPr>
                      <a:xfrm>
                        <a:ext cx="198120" cy="9144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rPr>
                              <w:t>#</w:t>
                            </w:r>
                          </w:fldSimple>
                        </w:p>
                      </w:txbxContent>
                    </wps:txbx>
                    <wps:bodyPr wrap="none" lIns="0" tIns="0" rIns="0" bIns="0">
                      <a:spAutoFit/>
                    </wps:bodyPr>
                  </wps:wsp>
                </a:graphicData>
              </a:graphic>
            </wp:anchor>
          </w:drawing>
        </mc:Choice>
        <mc:Fallback>
          <w:pict>
            <v:shape id="_x0000_s1598" type="#_x0000_t202" style="position:absolute;margin-left:506.85000000000002pt;margin-top:762.05000000000007pt;width:15.6pt;height:7.2000000000000002pt;z-index:-188743649;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rPr>
                        <w:t>#</w:t>
                      </w:r>
                    </w:fldSimple>
                  </w:p>
                </w:txbxContent>
              </v:textbox>
              <w10:wrap anchorx="page" anchory="page"/>
            </v:shape>
          </w:pict>
        </mc:Fallback>
      </mc:AlternateContent>
    </w:r>
  </w:p>
</w:ftr>
</file>

<file path=word/footer1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08" behindDoc="1" locked="0" layoutInCell="1" allowOverlap="1">
              <wp:simplePos x="0" y="0"/>
              <wp:positionH relativeFrom="page">
                <wp:posOffset>6458585</wp:posOffset>
              </wp:positionH>
              <wp:positionV relativeFrom="page">
                <wp:posOffset>9976485</wp:posOffset>
              </wp:positionV>
              <wp:extent cx="179705" cy="85090"/>
              <wp:wrapNone/>
              <wp:docPr id="578" name="Shape 578"/>
              <a:graphic xmlns:a="http://schemas.openxmlformats.org/drawingml/2006/main">
                <a:graphicData uri="http://schemas.microsoft.com/office/word/2010/wordprocessingShape">
                  <wps:wsp>
                    <wps:cNvSpPr txBox="1"/>
                    <wps:spPr>
                      <a:xfrm>
                        <a:ext cx="179705" cy="8509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604" type="#_x0000_t202" style="position:absolute;margin-left:508.55000000000001pt;margin-top:785.55000000000007pt;width:14.15pt;height:6.7000000000000002pt;z-index:-188743645;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1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12" behindDoc="1" locked="0" layoutInCell="1" allowOverlap="1">
              <wp:simplePos x="0" y="0"/>
              <wp:positionH relativeFrom="page">
                <wp:posOffset>6458585</wp:posOffset>
              </wp:positionH>
              <wp:positionV relativeFrom="page">
                <wp:posOffset>9976485</wp:posOffset>
              </wp:positionV>
              <wp:extent cx="179705" cy="85090"/>
              <wp:wrapNone/>
              <wp:docPr id="582" name="Shape 582"/>
              <a:graphic xmlns:a="http://schemas.openxmlformats.org/drawingml/2006/main">
                <a:graphicData uri="http://schemas.microsoft.com/office/word/2010/wordprocessingShape">
                  <wps:wsp>
                    <wps:cNvSpPr txBox="1"/>
                    <wps:spPr>
                      <a:xfrm>
                        <a:ext cx="179705" cy="8509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608" type="#_x0000_t202" style="position:absolute;margin-left:508.55000000000001pt;margin-top:785.55000000000007pt;width:14.15pt;height:6.7000000000000002pt;z-index:-188743641;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1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16" behindDoc="1" locked="0" layoutInCell="1" allowOverlap="1">
              <wp:simplePos x="0" y="0"/>
              <wp:positionH relativeFrom="page">
                <wp:posOffset>9565005</wp:posOffset>
              </wp:positionH>
              <wp:positionV relativeFrom="page">
                <wp:posOffset>6846570</wp:posOffset>
              </wp:positionV>
              <wp:extent cx="164465" cy="85090"/>
              <wp:wrapNone/>
              <wp:docPr id="598" name="Shape 598"/>
              <a:graphic xmlns:a="http://schemas.openxmlformats.org/drawingml/2006/main">
                <a:graphicData uri="http://schemas.microsoft.com/office/word/2010/wordprocessingShape">
                  <wps:wsp>
                    <wps:cNvSpPr txBox="1"/>
                    <wps:spPr>
                      <a:xfrm>
                        <a:ext cx="164465" cy="8509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624" type="#_x0000_t202" style="position:absolute;margin-left:753.14999999999998pt;margin-top:539.10000000000002pt;width:12.950000000000001pt;height:6.7000000000000002pt;z-index:-188743637;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12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20" behindDoc="1" locked="0" layoutInCell="1" allowOverlap="1">
              <wp:simplePos x="0" y="0"/>
              <wp:positionH relativeFrom="page">
                <wp:posOffset>9565005</wp:posOffset>
              </wp:positionH>
              <wp:positionV relativeFrom="page">
                <wp:posOffset>6846570</wp:posOffset>
              </wp:positionV>
              <wp:extent cx="164465" cy="85090"/>
              <wp:wrapNone/>
              <wp:docPr id="602" name="Shape 602"/>
              <a:graphic xmlns:a="http://schemas.openxmlformats.org/drawingml/2006/main">
                <a:graphicData uri="http://schemas.microsoft.com/office/word/2010/wordprocessingShape">
                  <wps:wsp>
                    <wps:cNvSpPr txBox="1"/>
                    <wps:spPr>
                      <a:xfrm>
                        <a:ext cx="164465" cy="8509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628" type="#_x0000_t202" style="position:absolute;margin-left:753.14999999999998pt;margin-top:539.10000000000002pt;width:12.950000000000001pt;height:6.7000000000000002pt;z-index:-188743633;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12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24" behindDoc="1" locked="0" layoutInCell="1" allowOverlap="1">
              <wp:simplePos x="0" y="0"/>
              <wp:positionH relativeFrom="page">
                <wp:posOffset>6458585</wp:posOffset>
              </wp:positionH>
              <wp:positionV relativeFrom="page">
                <wp:posOffset>9976485</wp:posOffset>
              </wp:positionV>
              <wp:extent cx="179705" cy="85090"/>
              <wp:wrapNone/>
              <wp:docPr id="606" name="Shape 606"/>
              <a:graphic xmlns:a="http://schemas.openxmlformats.org/drawingml/2006/main">
                <a:graphicData uri="http://schemas.microsoft.com/office/word/2010/wordprocessingShape">
                  <wps:wsp>
                    <wps:cNvSpPr txBox="1"/>
                    <wps:spPr>
                      <a:xfrm>
                        <a:ext cx="179705" cy="8509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632" type="#_x0000_t202" style="position:absolute;margin-left:508.55000000000001pt;margin-top:785.55000000000007pt;width:14.15pt;height:6.7000000000000002pt;z-index:-188743629;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12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28" behindDoc="1" locked="0" layoutInCell="1" allowOverlap="1">
              <wp:simplePos x="0" y="0"/>
              <wp:positionH relativeFrom="page">
                <wp:posOffset>6458585</wp:posOffset>
              </wp:positionH>
              <wp:positionV relativeFrom="page">
                <wp:posOffset>9976485</wp:posOffset>
              </wp:positionV>
              <wp:extent cx="179705" cy="85090"/>
              <wp:wrapNone/>
              <wp:docPr id="610" name="Shape 610"/>
              <a:graphic xmlns:a="http://schemas.openxmlformats.org/drawingml/2006/main">
                <a:graphicData uri="http://schemas.microsoft.com/office/word/2010/wordprocessingShape">
                  <wps:wsp>
                    <wps:cNvSpPr txBox="1"/>
                    <wps:spPr>
                      <a:xfrm>
                        <a:ext cx="179705" cy="8509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636" type="#_x0000_t202" style="position:absolute;margin-left:508.55000000000001pt;margin-top:785.55000000000007pt;width:14.15pt;height:6.7000000000000002pt;z-index:-188743625;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12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32" behindDoc="1" locked="0" layoutInCell="1" allowOverlap="1">
              <wp:simplePos x="0" y="0"/>
              <wp:positionH relativeFrom="page">
                <wp:posOffset>6458585</wp:posOffset>
              </wp:positionH>
              <wp:positionV relativeFrom="page">
                <wp:posOffset>9976485</wp:posOffset>
              </wp:positionV>
              <wp:extent cx="179705" cy="85090"/>
              <wp:wrapNone/>
              <wp:docPr id="614" name="Shape 614"/>
              <a:graphic xmlns:a="http://schemas.openxmlformats.org/drawingml/2006/main">
                <a:graphicData uri="http://schemas.microsoft.com/office/word/2010/wordprocessingShape">
                  <wps:wsp>
                    <wps:cNvSpPr txBox="1"/>
                    <wps:spPr>
                      <a:xfrm>
                        <a:ext cx="179705" cy="8509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640" type="#_x0000_t202" style="position:absolute;margin-left:508.55000000000001pt;margin-top:785.55000000000007pt;width:14.15pt;height:6.7000000000000002pt;z-index:-188743621;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12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36" behindDoc="1" locked="0" layoutInCell="1" allowOverlap="1">
              <wp:simplePos x="0" y="0"/>
              <wp:positionH relativeFrom="page">
                <wp:posOffset>6651625</wp:posOffset>
              </wp:positionH>
              <wp:positionV relativeFrom="page">
                <wp:posOffset>9803130</wp:posOffset>
              </wp:positionV>
              <wp:extent cx="179705" cy="85090"/>
              <wp:wrapNone/>
              <wp:docPr id="619" name="Shape 619"/>
              <a:graphic xmlns:a="http://schemas.openxmlformats.org/drawingml/2006/main">
                <a:graphicData uri="http://schemas.microsoft.com/office/word/2010/wordprocessingShape">
                  <wps:wsp>
                    <wps:cNvSpPr txBox="1"/>
                    <wps:spPr>
                      <a:xfrm>
                        <a:ext cx="179705" cy="8509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645" type="#_x0000_t202" style="position:absolute;margin-left:523.75pt;margin-top:771.89999999999998pt;width:14.15pt;height:6.7000000000000002pt;z-index:-188743617;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4" behindDoc="1" locked="0" layoutInCell="1" allowOverlap="1">
              <wp:simplePos x="0" y="0"/>
              <wp:positionH relativeFrom="page">
                <wp:posOffset>9725660</wp:posOffset>
              </wp:positionH>
              <wp:positionV relativeFrom="page">
                <wp:posOffset>6818630</wp:posOffset>
              </wp:positionV>
              <wp:extent cx="115570" cy="85090"/>
              <wp:wrapNone/>
              <wp:docPr id="69" name="Shape 69"/>
              <a:graphic xmlns:a="http://schemas.openxmlformats.org/drawingml/2006/main">
                <a:graphicData uri="http://schemas.microsoft.com/office/word/2010/wordprocessingShape">
                  <wps:wsp>
                    <wps:cNvSpPr txBox="1"/>
                    <wps:spPr>
                      <a:xfrm>
                        <a:ext cx="115570" cy="8509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095" type="#_x0000_t202" style="position:absolute;margin-left:765.80000000000007pt;margin-top:536.89999999999998pt;width:9.0999999999999996pt;height:6.7000000000000002pt;z-index:-188744009;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8" behindDoc="1" locked="0" layoutInCell="1" allowOverlap="1">
              <wp:simplePos x="0" y="0"/>
              <wp:positionH relativeFrom="page">
                <wp:posOffset>9725660</wp:posOffset>
              </wp:positionH>
              <wp:positionV relativeFrom="page">
                <wp:posOffset>6818630</wp:posOffset>
              </wp:positionV>
              <wp:extent cx="115570" cy="85090"/>
              <wp:wrapNone/>
              <wp:docPr id="73" name="Shape 73"/>
              <a:graphic xmlns:a="http://schemas.openxmlformats.org/drawingml/2006/main">
                <a:graphicData uri="http://schemas.microsoft.com/office/word/2010/wordprocessingShape">
                  <wps:wsp>
                    <wps:cNvSpPr txBox="1"/>
                    <wps:spPr>
                      <a:xfrm>
                        <a:ext cx="115570" cy="8509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099" type="#_x0000_t202" style="position:absolute;margin-left:765.80000000000007pt;margin-top:536.89999999999998pt;width:9.0999999999999996pt;height:6.7000000000000002pt;z-index:-188744005;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2" behindDoc="1" locked="0" layoutInCell="1" allowOverlap="1">
              <wp:simplePos x="0" y="0"/>
              <wp:positionH relativeFrom="page">
                <wp:posOffset>6718935</wp:posOffset>
              </wp:positionH>
              <wp:positionV relativeFrom="page">
                <wp:posOffset>9949180</wp:posOffset>
              </wp:positionV>
              <wp:extent cx="115570" cy="85090"/>
              <wp:wrapNone/>
              <wp:docPr id="78" name="Shape 78"/>
              <a:graphic xmlns:a="http://schemas.openxmlformats.org/drawingml/2006/main">
                <a:graphicData uri="http://schemas.microsoft.com/office/word/2010/wordprocessingShape">
                  <wps:wsp>
                    <wps:cNvSpPr txBox="1"/>
                    <wps:spPr>
                      <a:xfrm>
                        <a:ext cx="115570" cy="8509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04" type="#_x0000_t202" style="position:absolute;margin-left:529.04999999999995pt;margin-top:783.39999999999998pt;width:9.0999999999999996pt;height:6.7000000000000002pt;z-index:-188744001;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6" behindDoc="1" locked="0" layoutInCell="1" allowOverlap="1">
              <wp:simplePos x="0" y="0"/>
              <wp:positionH relativeFrom="page">
                <wp:posOffset>6718935</wp:posOffset>
              </wp:positionH>
              <wp:positionV relativeFrom="page">
                <wp:posOffset>9949180</wp:posOffset>
              </wp:positionV>
              <wp:extent cx="115570" cy="85090"/>
              <wp:wrapNone/>
              <wp:docPr id="83" name="Shape 83"/>
              <a:graphic xmlns:a="http://schemas.openxmlformats.org/drawingml/2006/main">
                <a:graphicData uri="http://schemas.microsoft.com/office/word/2010/wordprocessingShape">
                  <wps:wsp>
                    <wps:cNvSpPr txBox="1"/>
                    <wps:spPr>
                      <a:xfrm>
                        <a:ext cx="115570" cy="8509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09" type="#_x0000_t202" style="position:absolute;margin-left:529.04999999999995pt;margin-top:783.39999999999998pt;width:9.0999999999999996pt;height:6.7000000000000002pt;z-index:-188743997;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0" behindDoc="1" locked="0" layoutInCell="1" allowOverlap="1">
              <wp:simplePos x="0" y="0"/>
              <wp:positionH relativeFrom="page">
                <wp:posOffset>9653270</wp:posOffset>
              </wp:positionH>
              <wp:positionV relativeFrom="page">
                <wp:posOffset>6824345</wp:posOffset>
              </wp:positionV>
              <wp:extent cx="106680" cy="85090"/>
              <wp:wrapNone/>
              <wp:docPr id="88" name="Shape 88"/>
              <a:graphic xmlns:a="http://schemas.openxmlformats.org/drawingml/2006/main">
                <a:graphicData uri="http://schemas.microsoft.com/office/word/2010/wordprocessingShape">
                  <wps:wsp>
                    <wps:cNvSpPr txBox="1"/>
                    <wps:spPr>
                      <a:xfrm>
                        <a:ext cx="106680" cy="8509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14" type="#_x0000_t202" style="position:absolute;margin-left:760.10000000000002pt;margin-top:537.35000000000002pt;width:8.4000000000000004pt;height:6.7000000000000002pt;z-index:-188743993;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4" behindDoc="1" locked="0" layoutInCell="1" allowOverlap="1">
              <wp:simplePos x="0" y="0"/>
              <wp:positionH relativeFrom="page">
                <wp:posOffset>9653270</wp:posOffset>
              </wp:positionH>
              <wp:positionV relativeFrom="page">
                <wp:posOffset>6824345</wp:posOffset>
              </wp:positionV>
              <wp:extent cx="106680" cy="85090"/>
              <wp:wrapNone/>
              <wp:docPr id="93" name="Shape 93"/>
              <a:graphic xmlns:a="http://schemas.openxmlformats.org/drawingml/2006/main">
                <a:graphicData uri="http://schemas.microsoft.com/office/word/2010/wordprocessingShape">
                  <wps:wsp>
                    <wps:cNvSpPr txBox="1"/>
                    <wps:spPr>
                      <a:xfrm>
                        <a:ext cx="106680" cy="8509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19" type="#_x0000_t202" style="position:absolute;margin-left:760.10000000000002pt;margin-top:537.35000000000002pt;width:8.4000000000000004pt;height:6.7000000000000002pt;z-index:-188743989;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6716395</wp:posOffset>
              </wp:positionH>
              <wp:positionV relativeFrom="page">
                <wp:posOffset>9949180</wp:posOffset>
              </wp:positionV>
              <wp:extent cx="115570" cy="85090"/>
              <wp:wrapNone/>
              <wp:docPr id="15" name="Shape 15"/>
              <a:graphic xmlns:a="http://schemas.openxmlformats.org/drawingml/2006/main">
                <a:graphicData uri="http://schemas.microsoft.com/office/word/2010/wordprocessingShape">
                  <wps:wsp>
                    <wps:cNvSpPr txBox="1"/>
                    <wps:spPr>
                      <a:xfrm>
                        <a:ext cx="115570" cy="8509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wps:txbx>
                    <wps:bodyPr wrap="none" lIns="0" tIns="0" rIns="0" bIns="0">
                      <a:spAutoFit/>
                    </wps:bodyPr>
                  </wps:wsp>
                </a:graphicData>
              </a:graphic>
            </wp:anchor>
          </w:drawing>
        </mc:Choice>
        <mc:Fallback>
          <w:pict>
            <v:shape id="_x0000_s1041" type="#_x0000_t202" style="position:absolute;margin-left:528.85000000000002pt;margin-top:783.39999999999998pt;width:9.0999999999999996pt;height:6.7000000000000002pt;z-index:-18874405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v:textbox>
              <w10:wrap anchorx="page" anchory="page"/>
            </v:shape>
          </w:pict>
        </mc:Fallback>
      </mc:AlternateContent>
    </w:r>
  </w:p>
</w:ftr>
</file>

<file path=word/footer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8" behindDoc="1" locked="0" layoutInCell="1" allowOverlap="1">
              <wp:simplePos x="0" y="0"/>
              <wp:positionH relativeFrom="page">
                <wp:posOffset>4468495</wp:posOffset>
              </wp:positionH>
              <wp:positionV relativeFrom="page">
                <wp:posOffset>6814185</wp:posOffset>
              </wp:positionV>
              <wp:extent cx="113030" cy="88265"/>
              <wp:wrapNone/>
              <wp:docPr id="97" name="Shape 97"/>
              <a:graphic xmlns:a="http://schemas.openxmlformats.org/drawingml/2006/main">
                <a:graphicData uri="http://schemas.microsoft.com/office/word/2010/wordprocessingShape">
                  <wps:wsp>
                    <wps:cNvSpPr txBox="1"/>
                    <wps:spPr>
                      <a:xfrm>
                        <a:ext cx="113030" cy="88265"/>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23" type="#_x0000_t202" style="position:absolute;margin-left:351.85000000000002pt;margin-top:536.54999999999995pt;width:8.9000000000000004pt;height:6.9500000000000002pt;z-index:-188743985;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2" behindDoc="1" locked="0" layoutInCell="1" allowOverlap="1">
              <wp:simplePos x="0" y="0"/>
              <wp:positionH relativeFrom="page">
                <wp:posOffset>4468495</wp:posOffset>
              </wp:positionH>
              <wp:positionV relativeFrom="page">
                <wp:posOffset>6814185</wp:posOffset>
              </wp:positionV>
              <wp:extent cx="113030" cy="88265"/>
              <wp:wrapNone/>
              <wp:docPr id="101" name="Shape 101"/>
              <a:graphic xmlns:a="http://schemas.openxmlformats.org/drawingml/2006/main">
                <a:graphicData uri="http://schemas.microsoft.com/office/word/2010/wordprocessingShape">
                  <wps:wsp>
                    <wps:cNvSpPr txBox="1"/>
                    <wps:spPr>
                      <a:xfrm>
                        <a:ext cx="113030" cy="88265"/>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27" type="#_x0000_t202" style="position:absolute;margin-left:351.85000000000002pt;margin-top:536.54999999999995pt;width:8.9000000000000004pt;height:6.9500000000000002pt;z-index:-188743981;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6" behindDoc="1" locked="0" layoutInCell="1" allowOverlap="1">
              <wp:simplePos x="0" y="0"/>
              <wp:positionH relativeFrom="page">
                <wp:posOffset>4468495</wp:posOffset>
              </wp:positionH>
              <wp:positionV relativeFrom="page">
                <wp:posOffset>6814185</wp:posOffset>
              </wp:positionV>
              <wp:extent cx="106680" cy="88265"/>
              <wp:wrapNone/>
              <wp:docPr id="105" name="Shape 105"/>
              <a:graphic xmlns:a="http://schemas.openxmlformats.org/drawingml/2006/main">
                <a:graphicData uri="http://schemas.microsoft.com/office/word/2010/wordprocessingShape">
                  <wps:wsp>
                    <wps:cNvSpPr txBox="1"/>
                    <wps:spPr>
                      <a:xfrm>
                        <a:ext cx="106680" cy="88265"/>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31" type="#_x0000_t202" style="position:absolute;margin-left:351.85000000000002pt;margin-top:536.54999999999995pt;width:8.4000000000000004pt;height:6.9500000000000002pt;z-index:-188743977;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2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0" behindDoc="1" locked="0" layoutInCell="1" allowOverlap="1">
              <wp:simplePos x="0" y="0"/>
              <wp:positionH relativeFrom="page">
                <wp:posOffset>4468495</wp:posOffset>
              </wp:positionH>
              <wp:positionV relativeFrom="page">
                <wp:posOffset>6814185</wp:posOffset>
              </wp:positionV>
              <wp:extent cx="106680" cy="88265"/>
              <wp:wrapNone/>
              <wp:docPr id="109" name="Shape 109"/>
              <a:graphic xmlns:a="http://schemas.openxmlformats.org/drawingml/2006/main">
                <a:graphicData uri="http://schemas.microsoft.com/office/word/2010/wordprocessingShape">
                  <wps:wsp>
                    <wps:cNvSpPr txBox="1"/>
                    <wps:spPr>
                      <a:xfrm>
                        <a:ext cx="106680" cy="88265"/>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35" type="#_x0000_t202" style="position:absolute;margin-left:351.85000000000002pt;margin-top:536.54999999999995pt;width:8.4000000000000004pt;height:6.9500000000000002pt;z-index:-188743973;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2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4" behindDoc="1" locked="0" layoutInCell="1" allowOverlap="1">
              <wp:simplePos x="0" y="0"/>
              <wp:positionH relativeFrom="page">
                <wp:posOffset>4468495</wp:posOffset>
              </wp:positionH>
              <wp:positionV relativeFrom="page">
                <wp:posOffset>6814185</wp:posOffset>
              </wp:positionV>
              <wp:extent cx="113030" cy="88265"/>
              <wp:wrapNone/>
              <wp:docPr id="113" name="Shape 113"/>
              <a:graphic xmlns:a="http://schemas.openxmlformats.org/drawingml/2006/main">
                <a:graphicData uri="http://schemas.microsoft.com/office/word/2010/wordprocessingShape">
                  <wps:wsp>
                    <wps:cNvSpPr txBox="1"/>
                    <wps:spPr>
                      <a:xfrm>
                        <a:ext cx="113030" cy="88265"/>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39" type="#_x0000_t202" style="position:absolute;margin-left:351.85000000000002pt;margin-top:536.54999999999995pt;width:8.9000000000000004pt;height:6.9500000000000002pt;z-index:-188743969;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9656445</wp:posOffset>
              </wp:positionH>
              <wp:positionV relativeFrom="page">
                <wp:posOffset>6820535</wp:posOffset>
              </wp:positionV>
              <wp:extent cx="103505" cy="85090"/>
              <wp:wrapNone/>
              <wp:docPr id="20" name="Shape 20"/>
              <a:graphic xmlns:a="http://schemas.openxmlformats.org/drawingml/2006/main">
                <a:graphicData uri="http://schemas.microsoft.com/office/word/2010/wordprocessingShape">
                  <wps:wsp>
                    <wps:cNvSpPr txBox="1"/>
                    <wps:spPr>
                      <a:xfrm>
                        <a:ext cx="103505" cy="8509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wps:txbx>
                    <wps:bodyPr wrap="none" lIns="0" tIns="0" rIns="0" bIns="0">
                      <a:spAutoFit/>
                    </wps:bodyPr>
                  </wps:wsp>
                </a:graphicData>
              </a:graphic>
            </wp:anchor>
          </w:drawing>
        </mc:Choice>
        <mc:Fallback>
          <w:pict>
            <v:shape id="_x0000_s1046" type="#_x0000_t202" style="position:absolute;margin-left:760.35000000000002pt;margin-top:537.04999999999995pt;width:8.1500000000000004pt;height:6.7000000000000002pt;z-index:-18874404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v:textbox>
              <w10:wrap anchorx="page" anchory="page"/>
            </v:shape>
          </w:pict>
        </mc:Fallback>
      </mc:AlternateContent>
    </w:r>
  </w:p>
</w:ftr>
</file>

<file path=word/footer3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8" behindDoc="1" locked="0" layoutInCell="1" allowOverlap="1">
              <wp:simplePos x="0" y="0"/>
              <wp:positionH relativeFrom="page">
                <wp:posOffset>4468495</wp:posOffset>
              </wp:positionH>
              <wp:positionV relativeFrom="page">
                <wp:posOffset>6814185</wp:posOffset>
              </wp:positionV>
              <wp:extent cx="113030" cy="88265"/>
              <wp:wrapNone/>
              <wp:docPr id="117" name="Shape 117"/>
              <a:graphic xmlns:a="http://schemas.openxmlformats.org/drawingml/2006/main">
                <a:graphicData uri="http://schemas.microsoft.com/office/word/2010/wordprocessingShape">
                  <wps:wsp>
                    <wps:cNvSpPr txBox="1"/>
                    <wps:spPr>
                      <a:xfrm>
                        <a:ext cx="113030" cy="88265"/>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43" type="#_x0000_t202" style="position:absolute;margin-left:351.85000000000002pt;margin-top:536.54999999999995pt;width:8.9000000000000004pt;height:6.9500000000000002pt;z-index:-188743965;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3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2" behindDoc="1" locked="0" layoutInCell="1" allowOverlap="1">
              <wp:simplePos x="0" y="0"/>
              <wp:positionH relativeFrom="page">
                <wp:posOffset>9656445</wp:posOffset>
              </wp:positionH>
              <wp:positionV relativeFrom="page">
                <wp:posOffset>6829425</wp:posOffset>
              </wp:positionV>
              <wp:extent cx="113030" cy="85090"/>
              <wp:wrapNone/>
              <wp:docPr id="121" name="Shape 121"/>
              <a:graphic xmlns:a="http://schemas.openxmlformats.org/drawingml/2006/main">
                <a:graphicData uri="http://schemas.microsoft.com/office/word/2010/wordprocessingShape">
                  <wps:wsp>
                    <wps:cNvSpPr txBox="1"/>
                    <wps:spPr>
                      <a:xfrm>
                        <a:ext cx="113030" cy="8509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47" type="#_x0000_t202" style="position:absolute;margin-left:760.35000000000002pt;margin-top:537.75pt;width:8.9000000000000004pt;height:6.7000000000000002pt;z-index:-188743961;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3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6" behindDoc="1" locked="0" layoutInCell="1" allowOverlap="1">
              <wp:simplePos x="0" y="0"/>
              <wp:positionH relativeFrom="page">
                <wp:posOffset>9656445</wp:posOffset>
              </wp:positionH>
              <wp:positionV relativeFrom="page">
                <wp:posOffset>6829425</wp:posOffset>
              </wp:positionV>
              <wp:extent cx="113030" cy="85090"/>
              <wp:wrapNone/>
              <wp:docPr id="125" name="Shape 125"/>
              <a:graphic xmlns:a="http://schemas.openxmlformats.org/drawingml/2006/main">
                <a:graphicData uri="http://schemas.microsoft.com/office/word/2010/wordprocessingShape">
                  <wps:wsp>
                    <wps:cNvSpPr txBox="1"/>
                    <wps:spPr>
                      <a:xfrm>
                        <a:ext cx="113030" cy="8509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51" type="#_x0000_t202" style="position:absolute;margin-left:760.35000000000002pt;margin-top:537.75pt;width:8.9000000000000004pt;height:6.7000000000000002pt;z-index:-188743957;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3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3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3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0" behindDoc="1" locked="0" layoutInCell="1" allowOverlap="1">
              <wp:simplePos x="0" y="0"/>
              <wp:positionH relativeFrom="page">
                <wp:posOffset>4541520</wp:posOffset>
              </wp:positionH>
              <wp:positionV relativeFrom="page">
                <wp:posOffset>6814185</wp:posOffset>
              </wp:positionV>
              <wp:extent cx="109855" cy="88265"/>
              <wp:wrapNone/>
              <wp:docPr id="130" name="Shape 130"/>
              <a:graphic xmlns:a="http://schemas.openxmlformats.org/drawingml/2006/main">
                <a:graphicData uri="http://schemas.microsoft.com/office/word/2010/wordprocessingShape">
                  <wps:wsp>
                    <wps:cNvSpPr txBox="1"/>
                    <wps:spPr>
                      <a:xfrm>
                        <a:ext cx="109855" cy="88265"/>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56" type="#_x0000_t202" style="position:absolute;margin-left:357.60000000000002pt;margin-top:536.54999999999995pt;width:8.6500000000000004pt;height:6.9500000000000002pt;z-index:-188743953;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3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4" behindDoc="1" locked="0" layoutInCell="1" allowOverlap="1">
              <wp:simplePos x="0" y="0"/>
              <wp:positionH relativeFrom="page">
                <wp:posOffset>4541520</wp:posOffset>
              </wp:positionH>
              <wp:positionV relativeFrom="page">
                <wp:posOffset>6814185</wp:posOffset>
              </wp:positionV>
              <wp:extent cx="109855" cy="88265"/>
              <wp:wrapNone/>
              <wp:docPr id="135" name="Shape 135"/>
              <a:graphic xmlns:a="http://schemas.openxmlformats.org/drawingml/2006/main">
                <a:graphicData uri="http://schemas.microsoft.com/office/word/2010/wordprocessingShape">
                  <wps:wsp>
                    <wps:cNvSpPr txBox="1"/>
                    <wps:spPr>
                      <a:xfrm>
                        <a:ext cx="109855" cy="88265"/>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61" type="#_x0000_t202" style="position:absolute;margin-left:357.60000000000002pt;margin-top:536.54999999999995pt;width:8.6500000000000004pt;height:6.9500000000000002pt;z-index:-188743949;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3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8" behindDoc="1" locked="0" layoutInCell="1" allowOverlap="1">
              <wp:simplePos x="0" y="0"/>
              <wp:positionH relativeFrom="page">
                <wp:posOffset>9656445</wp:posOffset>
              </wp:positionH>
              <wp:positionV relativeFrom="page">
                <wp:posOffset>6837680</wp:posOffset>
              </wp:positionV>
              <wp:extent cx="115570" cy="85090"/>
              <wp:wrapNone/>
              <wp:docPr id="147" name="Shape 147"/>
              <a:graphic xmlns:a="http://schemas.openxmlformats.org/drawingml/2006/main">
                <a:graphicData uri="http://schemas.microsoft.com/office/word/2010/wordprocessingShape">
                  <wps:wsp>
                    <wps:cNvSpPr txBox="1"/>
                    <wps:spPr>
                      <a:xfrm>
                        <a:ext cx="115570" cy="8509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73" type="#_x0000_t202" style="position:absolute;margin-left:760.35000000000002pt;margin-top:538.39999999999998pt;width:9.0999999999999996pt;height:6.7000000000000002pt;z-index:-188743945;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3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2" behindDoc="1" locked="0" layoutInCell="1" allowOverlap="1">
              <wp:simplePos x="0" y="0"/>
              <wp:positionH relativeFrom="page">
                <wp:posOffset>9656445</wp:posOffset>
              </wp:positionH>
              <wp:positionV relativeFrom="page">
                <wp:posOffset>6837680</wp:posOffset>
              </wp:positionV>
              <wp:extent cx="115570" cy="85090"/>
              <wp:wrapNone/>
              <wp:docPr id="151" name="Shape 151"/>
              <a:graphic xmlns:a="http://schemas.openxmlformats.org/drawingml/2006/main">
                <a:graphicData uri="http://schemas.microsoft.com/office/word/2010/wordprocessingShape">
                  <wps:wsp>
                    <wps:cNvSpPr txBox="1"/>
                    <wps:spPr>
                      <a:xfrm>
                        <a:ext cx="115570" cy="8509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77" type="#_x0000_t202" style="position:absolute;margin-left:760.35000000000002pt;margin-top:538.39999999999998pt;width:9.0999999999999996pt;height:6.7000000000000002pt;z-index:-188743941;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3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6" behindDoc="1" locked="0" layoutInCell="1" allowOverlap="1">
              <wp:simplePos x="0" y="0"/>
              <wp:positionH relativeFrom="page">
                <wp:posOffset>6664960</wp:posOffset>
              </wp:positionH>
              <wp:positionV relativeFrom="page">
                <wp:posOffset>9972675</wp:posOffset>
              </wp:positionV>
              <wp:extent cx="170815" cy="85090"/>
              <wp:wrapNone/>
              <wp:docPr id="156" name="Shape 156"/>
              <a:graphic xmlns:a="http://schemas.openxmlformats.org/drawingml/2006/main">
                <a:graphicData uri="http://schemas.microsoft.com/office/word/2010/wordprocessingShape">
                  <wps:wsp>
                    <wps:cNvSpPr txBox="1"/>
                    <wps:spPr>
                      <a:xfrm>
                        <a:ext cx="170815" cy="8509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82" type="#_x0000_t202" style="position:absolute;margin-left:524.79999999999995pt;margin-top:785.25pt;width:13.450000000000001pt;height:6.7000000000000002pt;z-index:-188743937;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9656445</wp:posOffset>
              </wp:positionH>
              <wp:positionV relativeFrom="page">
                <wp:posOffset>6820535</wp:posOffset>
              </wp:positionV>
              <wp:extent cx="103505" cy="85090"/>
              <wp:wrapNone/>
              <wp:docPr id="25" name="Shape 25"/>
              <a:graphic xmlns:a="http://schemas.openxmlformats.org/drawingml/2006/main">
                <a:graphicData uri="http://schemas.microsoft.com/office/word/2010/wordprocessingShape">
                  <wps:wsp>
                    <wps:cNvSpPr txBox="1"/>
                    <wps:spPr>
                      <a:xfrm>
                        <a:ext cx="103505" cy="8509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wps:txbx>
                    <wps:bodyPr wrap="none" lIns="0" tIns="0" rIns="0" bIns="0">
                      <a:spAutoFit/>
                    </wps:bodyPr>
                  </wps:wsp>
                </a:graphicData>
              </a:graphic>
            </wp:anchor>
          </w:drawing>
        </mc:Choice>
        <mc:Fallback>
          <w:pict>
            <v:shape id="_x0000_s1051" type="#_x0000_t202" style="position:absolute;margin-left:760.35000000000002pt;margin-top:537.04999999999995pt;width:8.1500000000000004pt;height:6.7000000000000002pt;z-index:-18874404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v:textbox>
              <w10:wrap anchorx="page" anchory="page"/>
            </v:shape>
          </w:pict>
        </mc:Fallback>
      </mc:AlternateContent>
    </w:r>
  </w:p>
</w:ftr>
</file>

<file path=word/footer4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0" behindDoc="1" locked="0" layoutInCell="1" allowOverlap="1">
              <wp:simplePos x="0" y="0"/>
              <wp:positionH relativeFrom="page">
                <wp:posOffset>6664960</wp:posOffset>
              </wp:positionH>
              <wp:positionV relativeFrom="page">
                <wp:posOffset>9972675</wp:posOffset>
              </wp:positionV>
              <wp:extent cx="170815" cy="85090"/>
              <wp:wrapNone/>
              <wp:docPr id="161" name="Shape 161"/>
              <a:graphic xmlns:a="http://schemas.openxmlformats.org/drawingml/2006/main">
                <a:graphicData uri="http://schemas.microsoft.com/office/word/2010/wordprocessingShape">
                  <wps:wsp>
                    <wps:cNvSpPr txBox="1"/>
                    <wps:spPr>
                      <a:xfrm>
                        <a:ext cx="170815" cy="8509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87" type="#_x0000_t202" style="position:absolute;margin-left:524.79999999999995pt;margin-top:785.25pt;width:13.450000000000001pt;height:6.7000000000000002pt;z-index:-188743933;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4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4" behindDoc="1" locked="0" layoutInCell="1" allowOverlap="1">
              <wp:simplePos x="0" y="0"/>
              <wp:positionH relativeFrom="page">
                <wp:posOffset>6506845</wp:posOffset>
              </wp:positionH>
              <wp:positionV relativeFrom="page">
                <wp:posOffset>10234295</wp:posOffset>
              </wp:positionV>
              <wp:extent cx="191770" cy="91440"/>
              <wp:wrapNone/>
              <wp:docPr id="172" name="Shape 172"/>
              <a:graphic xmlns:a="http://schemas.openxmlformats.org/drawingml/2006/main">
                <a:graphicData uri="http://schemas.microsoft.com/office/word/2010/wordprocessingShape">
                  <wps:wsp>
                    <wps:cNvSpPr txBox="1"/>
                    <wps:spPr>
                      <a:xfrm>
                        <a:ext cx="191770" cy="9144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rPr>
                              <w:t>#</w:t>
                            </w:r>
                          </w:fldSimple>
                        </w:p>
                      </w:txbxContent>
                    </wps:txbx>
                    <wps:bodyPr wrap="none" lIns="0" tIns="0" rIns="0" bIns="0">
                      <a:spAutoFit/>
                    </wps:bodyPr>
                  </wps:wsp>
                </a:graphicData>
              </a:graphic>
            </wp:anchor>
          </w:drawing>
        </mc:Choice>
        <mc:Fallback>
          <w:pict>
            <v:shape id="_x0000_s1198" type="#_x0000_t202" style="position:absolute;margin-left:512.35000000000002pt;margin-top:805.85000000000002pt;width:15.1pt;height:7.2000000000000002pt;z-index:-188743929;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rPr>
                        <w:t>#</w:t>
                      </w:r>
                    </w:fldSimple>
                  </w:p>
                </w:txbxContent>
              </v:textbox>
              <w10:wrap anchorx="page" anchory="page"/>
            </v:shape>
          </w:pict>
        </mc:Fallback>
      </mc:AlternateContent>
    </w:r>
  </w:p>
</w:ftr>
</file>

<file path=word/footer4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8" behindDoc="1" locked="0" layoutInCell="1" allowOverlap="1">
              <wp:simplePos x="0" y="0"/>
              <wp:positionH relativeFrom="page">
                <wp:posOffset>6506845</wp:posOffset>
              </wp:positionH>
              <wp:positionV relativeFrom="page">
                <wp:posOffset>10234295</wp:posOffset>
              </wp:positionV>
              <wp:extent cx="191770" cy="91440"/>
              <wp:wrapNone/>
              <wp:docPr id="176" name="Shape 176"/>
              <a:graphic xmlns:a="http://schemas.openxmlformats.org/drawingml/2006/main">
                <a:graphicData uri="http://schemas.microsoft.com/office/word/2010/wordprocessingShape">
                  <wps:wsp>
                    <wps:cNvSpPr txBox="1"/>
                    <wps:spPr>
                      <a:xfrm>
                        <a:ext cx="191770" cy="9144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rPr>
                              <w:t>#</w:t>
                            </w:r>
                          </w:fldSimple>
                        </w:p>
                      </w:txbxContent>
                    </wps:txbx>
                    <wps:bodyPr wrap="none" lIns="0" tIns="0" rIns="0" bIns="0">
                      <a:spAutoFit/>
                    </wps:bodyPr>
                  </wps:wsp>
                </a:graphicData>
              </a:graphic>
            </wp:anchor>
          </w:drawing>
        </mc:Choice>
        <mc:Fallback>
          <w:pict>
            <v:shape id="_x0000_s1202" type="#_x0000_t202" style="position:absolute;margin-left:512.35000000000002pt;margin-top:805.85000000000002pt;width:15.1pt;height:7.2000000000000002pt;z-index:-188743925;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rPr>
                        <w:t>#</w:t>
                      </w:r>
                    </w:fldSimple>
                  </w:p>
                </w:txbxContent>
              </v:textbox>
              <w10:wrap anchorx="page" anchory="page"/>
            </v:shape>
          </w:pict>
        </mc:Fallback>
      </mc:AlternateContent>
    </w:r>
  </w:p>
</w:ftr>
</file>

<file path=word/footer4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2" behindDoc="1" locked="0" layoutInCell="1" allowOverlap="1">
              <wp:simplePos x="0" y="0"/>
              <wp:positionH relativeFrom="page">
                <wp:posOffset>6506845</wp:posOffset>
              </wp:positionH>
              <wp:positionV relativeFrom="page">
                <wp:posOffset>10090785</wp:posOffset>
              </wp:positionV>
              <wp:extent cx="191770" cy="91440"/>
              <wp:wrapNone/>
              <wp:docPr id="180" name="Shape 180"/>
              <a:graphic xmlns:a="http://schemas.openxmlformats.org/drawingml/2006/main">
                <a:graphicData uri="http://schemas.microsoft.com/office/word/2010/wordprocessingShape">
                  <wps:wsp>
                    <wps:cNvSpPr txBox="1"/>
                    <wps:spPr>
                      <a:xfrm>
                        <a:ext cx="191770" cy="9144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rPr>
                              <w:t>#</w:t>
                            </w:r>
                          </w:fldSimple>
                        </w:p>
                      </w:txbxContent>
                    </wps:txbx>
                    <wps:bodyPr wrap="none" lIns="0" tIns="0" rIns="0" bIns="0">
                      <a:spAutoFit/>
                    </wps:bodyPr>
                  </wps:wsp>
                </a:graphicData>
              </a:graphic>
            </wp:anchor>
          </w:drawing>
        </mc:Choice>
        <mc:Fallback>
          <w:pict>
            <v:shape id="_x0000_s1206" type="#_x0000_t202" style="position:absolute;margin-left:512.35000000000002pt;margin-top:794.55000000000007pt;width:15.1pt;height:7.2000000000000002pt;z-index:-188743921;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rPr>
                        <w:t>#</w:t>
                      </w:r>
                    </w:fldSimple>
                  </w:p>
                </w:txbxContent>
              </v:textbox>
              <w10:wrap anchorx="page" anchory="page"/>
            </v:shape>
          </w:pict>
        </mc:Fallback>
      </mc:AlternateContent>
    </w:r>
  </w:p>
</w:ftr>
</file>

<file path=word/footer4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6" behindDoc="1" locked="0" layoutInCell="1" allowOverlap="1">
              <wp:simplePos x="0" y="0"/>
              <wp:positionH relativeFrom="page">
                <wp:posOffset>6506845</wp:posOffset>
              </wp:positionH>
              <wp:positionV relativeFrom="page">
                <wp:posOffset>10090785</wp:posOffset>
              </wp:positionV>
              <wp:extent cx="191770" cy="91440"/>
              <wp:wrapNone/>
              <wp:docPr id="184" name="Shape 184"/>
              <a:graphic xmlns:a="http://schemas.openxmlformats.org/drawingml/2006/main">
                <a:graphicData uri="http://schemas.microsoft.com/office/word/2010/wordprocessingShape">
                  <wps:wsp>
                    <wps:cNvSpPr txBox="1"/>
                    <wps:spPr>
                      <a:xfrm>
                        <a:ext cx="191770" cy="9144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rPr>
                              <w:t>#</w:t>
                            </w:r>
                          </w:fldSimple>
                        </w:p>
                      </w:txbxContent>
                    </wps:txbx>
                    <wps:bodyPr wrap="none" lIns="0" tIns="0" rIns="0" bIns="0">
                      <a:spAutoFit/>
                    </wps:bodyPr>
                  </wps:wsp>
                </a:graphicData>
              </a:graphic>
            </wp:anchor>
          </w:drawing>
        </mc:Choice>
        <mc:Fallback>
          <w:pict>
            <v:shape id="_x0000_s1210" type="#_x0000_t202" style="position:absolute;margin-left:512.35000000000002pt;margin-top:794.55000000000007pt;width:15.1pt;height:7.2000000000000002pt;z-index:-188743917;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rPr>
                        <w:t>#</w:t>
                      </w:r>
                    </w:fldSimple>
                  </w:p>
                </w:txbxContent>
              </v:textbox>
              <w10:wrap anchorx="page" anchory="page"/>
            </v:shape>
          </w:pict>
        </mc:Fallback>
      </mc:AlternateContent>
    </w:r>
  </w:p>
</w:ftr>
</file>

<file path=word/footer4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0" behindDoc="1" locked="0" layoutInCell="1" allowOverlap="1">
              <wp:simplePos x="0" y="0"/>
              <wp:positionH relativeFrom="page">
                <wp:posOffset>6506845</wp:posOffset>
              </wp:positionH>
              <wp:positionV relativeFrom="page">
                <wp:posOffset>10090785</wp:posOffset>
              </wp:positionV>
              <wp:extent cx="191770" cy="91440"/>
              <wp:wrapNone/>
              <wp:docPr id="188" name="Shape 188"/>
              <a:graphic xmlns:a="http://schemas.openxmlformats.org/drawingml/2006/main">
                <a:graphicData uri="http://schemas.microsoft.com/office/word/2010/wordprocessingShape">
                  <wps:wsp>
                    <wps:cNvSpPr txBox="1"/>
                    <wps:spPr>
                      <a:xfrm>
                        <a:ext cx="191770" cy="9144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rPr>
                              <w:t>#</w:t>
                            </w:r>
                          </w:fldSimple>
                        </w:p>
                      </w:txbxContent>
                    </wps:txbx>
                    <wps:bodyPr wrap="none" lIns="0" tIns="0" rIns="0" bIns="0">
                      <a:spAutoFit/>
                    </wps:bodyPr>
                  </wps:wsp>
                </a:graphicData>
              </a:graphic>
            </wp:anchor>
          </w:drawing>
        </mc:Choice>
        <mc:Fallback>
          <w:pict>
            <v:shape id="_x0000_s1214" type="#_x0000_t202" style="position:absolute;margin-left:512.35000000000002pt;margin-top:794.55000000000007pt;width:15.1pt;height:7.2000000000000002pt;z-index:-188743913;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rPr>
                        <w:t>#</w:t>
                      </w:r>
                    </w:fldSimple>
                  </w:p>
                </w:txbxContent>
              </v:textbox>
              <w10:wrap anchorx="page" anchory="page"/>
            </v:shape>
          </w:pict>
        </mc:Fallback>
      </mc:AlternateContent>
    </w:r>
  </w:p>
</w:ftr>
</file>

<file path=word/footer4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4" behindDoc="1" locked="0" layoutInCell="1" allowOverlap="1">
              <wp:simplePos x="0" y="0"/>
              <wp:positionH relativeFrom="page">
                <wp:posOffset>9588500</wp:posOffset>
              </wp:positionH>
              <wp:positionV relativeFrom="page">
                <wp:posOffset>6938010</wp:posOffset>
              </wp:positionV>
              <wp:extent cx="191770" cy="91440"/>
              <wp:wrapNone/>
              <wp:docPr id="192" name="Shape 192"/>
              <a:graphic xmlns:a="http://schemas.openxmlformats.org/drawingml/2006/main">
                <a:graphicData uri="http://schemas.microsoft.com/office/word/2010/wordprocessingShape">
                  <wps:wsp>
                    <wps:cNvSpPr txBox="1"/>
                    <wps:spPr>
                      <a:xfrm>
                        <a:ext cx="191770" cy="9144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rPr>
                              <w:t>#</w:t>
                            </w:r>
                          </w:fldSimple>
                        </w:p>
                      </w:txbxContent>
                    </wps:txbx>
                    <wps:bodyPr wrap="none" lIns="0" tIns="0" rIns="0" bIns="0">
                      <a:spAutoFit/>
                    </wps:bodyPr>
                  </wps:wsp>
                </a:graphicData>
              </a:graphic>
            </wp:anchor>
          </w:drawing>
        </mc:Choice>
        <mc:Fallback>
          <w:pict>
            <v:shape id="_x0000_s1218" type="#_x0000_t202" style="position:absolute;margin-left:755.pt;margin-top:546.30000000000007pt;width:15.1pt;height:7.2000000000000002pt;z-index:-188743909;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rPr>
                        <w:t>#</w:t>
                      </w:r>
                    </w:fldSimple>
                  </w:p>
                </w:txbxContent>
              </v:textbox>
              <w10:wrap anchorx="page" anchory="page"/>
            </v:shape>
          </w:pict>
        </mc:Fallback>
      </mc:AlternateContent>
    </w:r>
  </w:p>
</w:ftr>
</file>

<file path=word/footer4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8" behindDoc="1" locked="0" layoutInCell="1" allowOverlap="1">
              <wp:simplePos x="0" y="0"/>
              <wp:positionH relativeFrom="page">
                <wp:posOffset>9588500</wp:posOffset>
              </wp:positionH>
              <wp:positionV relativeFrom="page">
                <wp:posOffset>6938010</wp:posOffset>
              </wp:positionV>
              <wp:extent cx="191770" cy="91440"/>
              <wp:wrapNone/>
              <wp:docPr id="196" name="Shape 196"/>
              <a:graphic xmlns:a="http://schemas.openxmlformats.org/drawingml/2006/main">
                <a:graphicData uri="http://schemas.microsoft.com/office/word/2010/wordprocessingShape">
                  <wps:wsp>
                    <wps:cNvSpPr txBox="1"/>
                    <wps:spPr>
                      <a:xfrm>
                        <a:ext cx="191770" cy="9144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rPr>
                              <w:t>#</w:t>
                            </w:r>
                          </w:fldSimple>
                        </w:p>
                      </w:txbxContent>
                    </wps:txbx>
                    <wps:bodyPr wrap="none" lIns="0" tIns="0" rIns="0" bIns="0">
                      <a:spAutoFit/>
                    </wps:bodyPr>
                  </wps:wsp>
                </a:graphicData>
              </a:graphic>
            </wp:anchor>
          </w:drawing>
        </mc:Choice>
        <mc:Fallback>
          <w:pict>
            <v:shape id="_x0000_s1222" type="#_x0000_t202" style="position:absolute;margin-left:755.pt;margin-top:546.30000000000007pt;width:15.1pt;height:7.2000000000000002pt;z-index:-188743905;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rPr>
                        <w:t>#</w:t>
                      </w:r>
                    </w:fldSimple>
                  </w:p>
                </w:txbxContent>
              </v:textbox>
              <w10:wrap anchorx="page" anchory="page"/>
            </v:shape>
          </w:pict>
        </mc:Fallback>
      </mc:AlternateContent>
    </w:r>
  </w:p>
</w:ftr>
</file>

<file path=word/footer4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2" behindDoc="1" locked="0" layoutInCell="1" allowOverlap="1">
              <wp:simplePos x="0" y="0"/>
              <wp:positionH relativeFrom="page">
                <wp:posOffset>6506845</wp:posOffset>
              </wp:positionH>
              <wp:positionV relativeFrom="page">
                <wp:posOffset>10090785</wp:posOffset>
              </wp:positionV>
              <wp:extent cx="191770" cy="91440"/>
              <wp:wrapNone/>
              <wp:docPr id="200" name="Shape 200"/>
              <a:graphic xmlns:a="http://schemas.openxmlformats.org/drawingml/2006/main">
                <a:graphicData uri="http://schemas.microsoft.com/office/word/2010/wordprocessingShape">
                  <wps:wsp>
                    <wps:cNvSpPr txBox="1"/>
                    <wps:spPr>
                      <a:xfrm>
                        <a:ext cx="191770" cy="9144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rPr>
                              <w:t>#</w:t>
                            </w:r>
                          </w:fldSimple>
                        </w:p>
                      </w:txbxContent>
                    </wps:txbx>
                    <wps:bodyPr wrap="none" lIns="0" tIns="0" rIns="0" bIns="0">
                      <a:spAutoFit/>
                    </wps:bodyPr>
                  </wps:wsp>
                </a:graphicData>
              </a:graphic>
            </wp:anchor>
          </w:drawing>
        </mc:Choice>
        <mc:Fallback>
          <w:pict>
            <v:shape id="_x0000_s1226" type="#_x0000_t202" style="position:absolute;margin-left:512.35000000000002pt;margin-top:794.55000000000007pt;width:15.1pt;height:7.2000000000000002pt;z-index:-188743901;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rPr>
                        <w:t>#</w:t>
                      </w:r>
                    </w:fldSimple>
                  </w:p>
                </w:txbxContent>
              </v:textbox>
              <w10:wrap anchorx="page" anchory="page"/>
            </v:shape>
          </w:pict>
        </mc:Fallback>
      </mc:AlternateContent>
    </w:r>
  </w:p>
</w:ftr>
</file>

<file path=word/footer4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6" behindDoc="1" locked="0" layoutInCell="1" allowOverlap="1">
              <wp:simplePos x="0" y="0"/>
              <wp:positionH relativeFrom="page">
                <wp:posOffset>6506845</wp:posOffset>
              </wp:positionH>
              <wp:positionV relativeFrom="page">
                <wp:posOffset>10090785</wp:posOffset>
              </wp:positionV>
              <wp:extent cx="191770" cy="91440"/>
              <wp:wrapNone/>
              <wp:docPr id="204" name="Shape 204"/>
              <a:graphic xmlns:a="http://schemas.openxmlformats.org/drawingml/2006/main">
                <a:graphicData uri="http://schemas.microsoft.com/office/word/2010/wordprocessingShape">
                  <wps:wsp>
                    <wps:cNvSpPr txBox="1"/>
                    <wps:spPr>
                      <a:xfrm>
                        <a:ext cx="191770" cy="9144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rPr>
                              <w:t>#</w:t>
                            </w:r>
                          </w:fldSimple>
                        </w:p>
                      </w:txbxContent>
                    </wps:txbx>
                    <wps:bodyPr wrap="none" lIns="0" tIns="0" rIns="0" bIns="0">
                      <a:spAutoFit/>
                    </wps:bodyPr>
                  </wps:wsp>
                </a:graphicData>
              </a:graphic>
            </wp:anchor>
          </w:drawing>
        </mc:Choice>
        <mc:Fallback>
          <w:pict>
            <v:shape id="_x0000_s1230" type="#_x0000_t202" style="position:absolute;margin-left:512.35000000000002pt;margin-top:794.55000000000007pt;width:15.1pt;height:7.2000000000000002pt;z-index:-188743897;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6716395</wp:posOffset>
              </wp:positionH>
              <wp:positionV relativeFrom="page">
                <wp:posOffset>9949180</wp:posOffset>
              </wp:positionV>
              <wp:extent cx="115570" cy="85090"/>
              <wp:wrapNone/>
              <wp:docPr id="30" name="Shape 30"/>
              <a:graphic xmlns:a="http://schemas.openxmlformats.org/drawingml/2006/main">
                <a:graphicData uri="http://schemas.microsoft.com/office/word/2010/wordprocessingShape">
                  <wps:wsp>
                    <wps:cNvSpPr txBox="1"/>
                    <wps:spPr>
                      <a:xfrm>
                        <a:ext cx="115570" cy="8509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wps:txbx>
                    <wps:bodyPr wrap="none" lIns="0" tIns="0" rIns="0" bIns="0">
                      <a:spAutoFit/>
                    </wps:bodyPr>
                  </wps:wsp>
                </a:graphicData>
              </a:graphic>
            </wp:anchor>
          </w:drawing>
        </mc:Choice>
        <mc:Fallback>
          <w:pict>
            <v:shape id="_x0000_s1056" type="#_x0000_t202" style="position:absolute;margin-left:528.85000000000002pt;margin-top:783.39999999999998pt;width:9.0999999999999996pt;height:6.7000000000000002pt;z-index:-18874404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v:textbox>
              <w10:wrap anchorx="page" anchory="page"/>
            </v:shape>
          </w:pict>
        </mc:Fallback>
      </mc:AlternateContent>
    </w:r>
  </w:p>
</w:ftr>
</file>

<file path=word/footer5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0" behindDoc="1" locked="0" layoutInCell="1" allowOverlap="1">
              <wp:simplePos x="0" y="0"/>
              <wp:positionH relativeFrom="page">
                <wp:posOffset>6442075</wp:posOffset>
              </wp:positionH>
              <wp:positionV relativeFrom="page">
                <wp:posOffset>9970770</wp:posOffset>
              </wp:positionV>
              <wp:extent cx="191770" cy="91440"/>
              <wp:wrapNone/>
              <wp:docPr id="208" name="Shape 208"/>
              <a:graphic xmlns:a="http://schemas.openxmlformats.org/drawingml/2006/main">
                <a:graphicData uri="http://schemas.microsoft.com/office/word/2010/wordprocessingShape">
                  <wps:wsp>
                    <wps:cNvSpPr txBox="1"/>
                    <wps:spPr>
                      <a:xfrm>
                        <a:ext cx="191770" cy="9144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rPr>
                              <w:t>#</w:t>
                            </w:r>
                          </w:fldSimple>
                        </w:p>
                      </w:txbxContent>
                    </wps:txbx>
                    <wps:bodyPr wrap="none" lIns="0" tIns="0" rIns="0" bIns="0">
                      <a:spAutoFit/>
                    </wps:bodyPr>
                  </wps:wsp>
                </a:graphicData>
              </a:graphic>
            </wp:anchor>
          </w:drawing>
        </mc:Choice>
        <mc:Fallback>
          <w:pict>
            <v:shape id="_x0000_s1234" type="#_x0000_t202" style="position:absolute;margin-left:507.25pt;margin-top:785.10000000000002pt;width:15.1pt;height:7.2000000000000002pt;z-index:-188743893;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rPr>
                        <w:t>#</w:t>
                      </w:r>
                    </w:fldSimple>
                  </w:p>
                </w:txbxContent>
              </v:textbox>
              <w10:wrap anchorx="page" anchory="page"/>
            </v:shape>
          </w:pict>
        </mc:Fallback>
      </mc:AlternateContent>
    </w:r>
  </w:p>
</w:ftr>
</file>

<file path=word/footer5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4" behindDoc="1" locked="0" layoutInCell="1" allowOverlap="1">
              <wp:simplePos x="0" y="0"/>
              <wp:positionH relativeFrom="page">
                <wp:posOffset>6442075</wp:posOffset>
              </wp:positionH>
              <wp:positionV relativeFrom="page">
                <wp:posOffset>9970770</wp:posOffset>
              </wp:positionV>
              <wp:extent cx="191770" cy="91440"/>
              <wp:wrapNone/>
              <wp:docPr id="212" name="Shape 212"/>
              <a:graphic xmlns:a="http://schemas.openxmlformats.org/drawingml/2006/main">
                <a:graphicData uri="http://schemas.microsoft.com/office/word/2010/wordprocessingShape">
                  <wps:wsp>
                    <wps:cNvSpPr txBox="1"/>
                    <wps:spPr>
                      <a:xfrm>
                        <a:ext cx="191770" cy="9144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rPr>
                              <w:t>#</w:t>
                            </w:r>
                          </w:fldSimple>
                        </w:p>
                      </w:txbxContent>
                    </wps:txbx>
                    <wps:bodyPr wrap="none" lIns="0" tIns="0" rIns="0" bIns="0">
                      <a:spAutoFit/>
                    </wps:bodyPr>
                  </wps:wsp>
                </a:graphicData>
              </a:graphic>
            </wp:anchor>
          </w:drawing>
        </mc:Choice>
        <mc:Fallback>
          <w:pict>
            <v:shape id="_x0000_s1238" type="#_x0000_t202" style="position:absolute;margin-left:507.25pt;margin-top:785.10000000000002pt;width:15.1pt;height:7.2000000000000002pt;z-index:-188743889;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rPr>
                        <w:t>#</w:t>
                      </w:r>
                    </w:fldSimple>
                  </w:p>
                </w:txbxContent>
              </v:textbox>
              <w10:wrap anchorx="page" anchory="page"/>
            </v:shape>
          </w:pict>
        </mc:Fallback>
      </mc:AlternateContent>
    </w:r>
  </w:p>
</w:ftr>
</file>

<file path=word/footer5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8" behindDoc="1" locked="0" layoutInCell="1" allowOverlap="1">
              <wp:simplePos x="0" y="0"/>
              <wp:positionH relativeFrom="page">
                <wp:posOffset>10028555</wp:posOffset>
              </wp:positionH>
              <wp:positionV relativeFrom="page">
                <wp:posOffset>6837045</wp:posOffset>
              </wp:positionV>
              <wp:extent cx="182880" cy="91440"/>
              <wp:wrapNone/>
              <wp:docPr id="226" name="Shape 226"/>
              <a:graphic xmlns:a="http://schemas.openxmlformats.org/drawingml/2006/main">
                <a:graphicData uri="http://schemas.microsoft.com/office/word/2010/wordprocessingShape">
                  <wps:wsp>
                    <wps:cNvSpPr txBox="1"/>
                    <wps:spPr>
                      <a:xfrm>
                        <a:ext cx="182880" cy="9144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rPr>
                              <w:t>#</w:t>
                            </w:r>
                          </w:fldSimple>
                        </w:p>
                      </w:txbxContent>
                    </wps:txbx>
                    <wps:bodyPr wrap="none" lIns="0" tIns="0" rIns="0" bIns="0">
                      <a:spAutoFit/>
                    </wps:bodyPr>
                  </wps:wsp>
                </a:graphicData>
              </a:graphic>
            </wp:anchor>
          </w:drawing>
        </mc:Choice>
        <mc:Fallback>
          <w:pict>
            <v:shape id="_x0000_s1252" type="#_x0000_t202" style="position:absolute;margin-left:789.64999999999998pt;margin-top:538.35000000000002pt;width:14.4pt;height:7.2000000000000002pt;z-index:-188743885;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rPr>
                        <w:t>#</w:t>
                      </w:r>
                    </w:fldSimple>
                  </w:p>
                </w:txbxContent>
              </v:textbox>
              <w10:wrap anchorx="page" anchory="page"/>
            </v:shape>
          </w:pict>
        </mc:Fallback>
      </mc:AlternateContent>
    </w:r>
  </w:p>
</w:ftr>
</file>

<file path=word/footer5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2" behindDoc="1" locked="0" layoutInCell="1" allowOverlap="1">
              <wp:simplePos x="0" y="0"/>
              <wp:positionH relativeFrom="page">
                <wp:posOffset>10028555</wp:posOffset>
              </wp:positionH>
              <wp:positionV relativeFrom="page">
                <wp:posOffset>6837045</wp:posOffset>
              </wp:positionV>
              <wp:extent cx="182880" cy="91440"/>
              <wp:wrapNone/>
              <wp:docPr id="230" name="Shape 230"/>
              <a:graphic xmlns:a="http://schemas.openxmlformats.org/drawingml/2006/main">
                <a:graphicData uri="http://schemas.microsoft.com/office/word/2010/wordprocessingShape">
                  <wps:wsp>
                    <wps:cNvSpPr txBox="1"/>
                    <wps:spPr>
                      <a:xfrm>
                        <a:ext cx="182880" cy="9144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rPr>
                              <w:t>#</w:t>
                            </w:r>
                          </w:fldSimple>
                        </w:p>
                      </w:txbxContent>
                    </wps:txbx>
                    <wps:bodyPr wrap="none" lIns="0" tIns="0" rIns="0" bIns="0">
                      <a:spAutoFit/>
                    </wps:bodyPr>
                  </wps:wsp>
                </a:graphicData>
              </a:graphic>
            </wp:anchor>
          </w:drawing>
        </mc:Choice>
        <mc:Fallback>
          <w:pict>
            <v:shape id="_x0000_s1256" type="#_x0000_t202" style="position:absolute;margin-left:789.64999999999998pt;margin-top:538.35000000000002pt;width:14.4pt;height:7.2000000000000002pt;z-index:-188743881;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rPr>
                        <w:t>#</w:t>
                      </w:r>
                    </w:fldSimple>
                  </w:p>
                </w:txbxContent>
              </v:textbox>
              <w10:wrap anchorx="page" anchory="page"/>
            </v:shape>
          </w:pict>
        </mc:Fallback>
      </mc:AlternateContent>
    </w:r>
  </w:p>
</w:ftr>
</file>

<file path=word/footer5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6" behindDoc="1" locked="0" layoutInCell="1" allowOverlap="1">
              <wp:simplePos x="0" y="0"/>
              <wp:positionH relativeFrom="page">
                <wp:posOffset>6442075</wp:posOffset>
              </wp:positionH>
              <wp:positionV relativeFrom="page">
                <wp:posOffset>9970770</wp:posOffset>
              </wp:positionV>
              <wp:extent cx="191770" cy="91440"/>
              <wp:wrapNone/>
              <wp:docPr id="238" name="Shape 238"/>
              <a:graphic xmlns:a="http://schemas.openxmlformats.org/drawingml/2006/main">
                <a:graphicData uri="http://schemas.microsoft.com/office/word/2010/wordprocessingShape">
                  <wps:wsp>
                    <wps:cNvSpPr txBox="1"/>
                    <wps:spPr>
                      <a:xfrm>
                        <a:ext cx="191770" cy="9144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rPr>
                              <w:t>#</w:t>
                            </w:r>
                          </w:fldSimple>
                        </w:p>
                      </w:txbxContent>
                    </wps:txbx>
                    <wps:bodyPr wrap="none" lIns="0" tIns="0" rIns="0" bIns="0">
                      <a:spAutoFit/>
                    </wps:bodyPr>
                  </wps:wsp>
                </a:graphicData>
              </a:graphic>
            </wp:anchor>
          </w:drawing>
        </mc:Choice>
        <mc:Fallback>
          <w:pict>
            <v:shape id="_x0000_s1264" type="#_x0000_t202" style="position:absolute;margin-left:507.25pt;margin-top:785.10000000000002pt;width:15.1pt;height:7.2000000000000002pt;z-index:-188743877;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rPr>
                        <w:t>#</w:t>
                      </w:r>
                    </w:fldSimple>
                  </w:p>
                </w:txbxContent>
              </v:textbox>
              <w10:wrap anchorx="page" anchory="page"/>
            </v:shape>
          </w:pict>
        </mc:Fallback>
      </mc:AlternateContent>
    </w:r>
  </w:p>
</w:ftr>
</file>

<file path=word/footer5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0" behindDoc="1" locked="0" layoutInCell="1" allowOverlap="1">
              <wp:simplePos x="0" y="0"/>
              <wp:positionH relativeFrom="page">
                <wp:posOffset>6442075</wp:posOffset>
              </wp:positionH>
              <wp:positionV relativeFrom="page">
                <wp:posOffset>9970770</wp:posOffset>
              </wp:positionV>
              <wp:extent cx="191770" cy="91440"/>
              <wp:wrapNone/>
              <wp:docPr id="242" name="Shape 242"/>
              <a:graphic xmlns:a="http://schemas.openxmlformats.org/drawingml/2006/main">
                <a:graphicData uri="http://schemas.microsoft.com/office/word/2010/wordprocessingShape">
                  <wps:wsp>
                    <wps:cNvSpPr txBox="1"/>
                    <wps:spPr>
                      <a:xfrm>
                        <a:ext cx="191770" cy="9144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rPr>
                              <w:t>#</w:t>
                            </w:r>
                          </w:fldSimple>
                        </w:p>
                      </w:txbxContent>
                    </wps:txbx>
                    <wps:bodyPr wrap="none" lIns="0" tIns="0" rIns="0" bIns="0">
                      <a:spAutoFit/>
                    </wps:bodyPr>
                  </wps:wsp>
                </a:graphicData>
              </a:graphic>
            </wp:anchor>
          </w:drawing>
        </mc:Choice>
        <mc:Fallback>
          <w:pict>
            <v:shape id="_x0000_s1268" type="#_x0000_t202" style="position:absolute;margin-left:507.25pt;margin-top:785.10000000000002pt;width:15.1pt;height:7.2000000000000002pt;z-index:-188743873;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rPr>
                        <w:t>#</w:t>
                      </w:r>
                    </w:fldSimple>
                  </w:p>
                </w:txbxContent>
              </v:textbox>
              <w10:wrap anchorx="page" anchory="page"/>
            </v:shape>
          </w:pict>
        </mc:Fallback>
      </mc:AlternateContent>
    </w:r>
  </w:p>
</w:ftr>
</file>

<file path=word/footer5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4" behindDoc="1" locked="0" layoutInCell="1" allowOverlap="1">
              <wp:simplePos x="0" y="0"/>
              <wp:positionH relativeFrom="page">
                <wp:posOffset>10028555</wp:posOffset>
              </wp:positionH>
              <wp:positionV relativeFrom="page">
                <wp:posOffset>6837045</wp:posOffset>
              </wp:positionV>
              <wp:extent cx="182880" cy="91440"/>
              <wp:wrapNone/>
              <wp:docPr id="254" name="Shape 254"/>
              <a:graphic xmlns:a="http://schemas.openxmlformats.org/drawingml/2006/main">
                <a:graphicData uri="http://schemas.microsoft.com/office/word/2010/wordprocessingShape">
                  <wps:wsp>
                    <wps:cNvSpPr txBox="1"/>
                    <wps:spPr>
                      <a:xfrm>
                        <a:ext cx="182880" cy="9144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rPr>
                              <w:t>#</w:t>
                            </w:r>
                          </w:fldSimple>
                        </w:p>
                      </w:txbxContent>
                    </wps:txbx>
                    <wps:bodyPr wrap="none" lIns="0" tIns="0" rIns="0" bIns="0">
                      <a:spAutoFit/>
                    </wps:bodyPr>
                  </wps:wsp>
                </a:graphicData>
              </a:graphic>
            </wp:anchor>
          </w:drawing>
        </mc:Choice>
        <mc:Fallback>
          <w:pict>
            <v:shape id="_x0000_s1280" type="#_x0000_t202" style="position:absolute;margin-left:789.64999999999998pt;margin-top:538.35000000000002pt;width:14.4pt;height:7.2000000000000002pt;z-index:-188743869;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rPr>
                        <w:t>#</w:t>
                      </w:r>
                    </w:fldSimple>
                  </w:p>
                </w:txbxContent>
              </v:textbox>
              <w10:wrap anchorx="page" anchory="page"/>
            </v:shape>
          </w:pict>
        </mc:Fallback>
      </mc:AlternateContent>
    </w:r>
  </w:p>
</w:ftr>
</file>

<file path=word/footer5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8" behindDoc="1" locked="0" layoutInCell="1" allowOverlap="1">
              <wp:simplePos x="0" y="0"/>
              <wp:positionH relativeFrom="page">
                <wp:posOffset>10028555</wp:posOffset>
              </wp:positionH>
              <wp:positionV relativeFrom="page">
                <wp:posOffset>6837045</wp:posOffset>
              </wp:positionV>
              <wp:extent cx="182880" cy="91440"/>
              <wp:wrapNone/>
              <wp:docPr id="258" name="Shape 258"/>
              <a:graphic xmlns:a="http://schemas.openxmlformats.org/drawingml/2006/main">
                <a:graphicData uri="http://schemas.microsoft.com/office/word/2010/wordprocessingShape">
                  <wps:wsp>
                    <wps:cNvSpPr txBox="1"/>
                    <wps:spPr>
                      <a:xfrm>
                        <a:ext cx="182880" cy="9144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rPr>
                              <w:t>#</w:t>
                            </w:r>
                          </w:fldSimple>
                        </w:p>
                      </w:txbxContent>
                    </wps:txbx>
                    <wps:bodyPr wrap="none" lIns="0" tIns="0" rIns="0" bIns="0">
                      <a:spAutoFit/>
                    </wps:bodyPr>
                  </wps:wsp>
                </a:graphicData>
              </a:graphic>
            </wp:anchor>
          </w:drawing>
        </mc:Choice>
        <mc:Fallback>
          <w:pict>
            <v:shape id="_x0000_s1284" type="#_x0000_t202" style="position:absolute;margin-left:789.64999999999998pt;margin-top:538.35000000000002pt;width:14.4pt;height:7.2000000000000002pt;z-index:-188743865;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rPr>
                        <w:t>#</w:t>
                      </w:r>
                    </w:fldSimple>
                  </w:p>
                </w:txbxContent>
              </v:textbox>
              <w10:wrap anchorx="page" anchory="page"/>
            </v:shape>
          </w:pict>
        </mc:Fallback>
      </mc:AlternateContent>
    </w:r>
  </w:p>
</w:ftr>
</file>

<file path=word/footer5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2" behindDoc="1" locked="0" layoutInCell="1" allowOverlap="1">
              <wp:simplePos x="0" y="0"/>
              <wp:positionH relativeFrom="page">
                <wp:posOffset>6442075</wp:posOffset>
              </wp:positionH>
              <wp:positionV relativeFrom="page">
                <wp:posOffset>9970770</wp:posOffset>
              </wp:positionV>
              <wp:extent cx="191770" cy="91440"/>
              <wp:wrapNone/>
              <wp:docPr id="262" name="Shape 262"/>
              <a:graphic xmlns:a="http://schemas.openxmlformats.org/drawingml/2006/main">
                <a:graphicData uri="http://schemas.microsoft.com/office/word/2010/wordprocessingShape">
                  <wps:wsp>
                    <wps:cNvSpPr txBox="1"/>
                    <wps:spPr>
                      <a:xfrm>
                        <a:ext cx="191770" cy="9144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rPr>
                              <w:t>#</w:t>
                            </w:r>
                          </w:fldSimple>
                        </w:p>
                      </w:txbxContent>
                    </wps:txbx>
                    <wps:bodyPr wrap="none" lIns="0" tIns="0" rIns="0" bIns="0">
                      <a:spAutoFit/>
                    </wps:bodyPr>
                  </wps:wsp>
                </a:graphicData>
              </a:graphic>
            </wp:anchor>
          </w:drawing>
        </mc:Choice>
        <mc:Fallback>
          <w:pict>
            <v:shape id="_x0000_s1288" type="#_x0000_t202" style="position:absolute;margin-left:507.25pt;margin-top:785.10000000000002pt;width:15.1pt;height:7.2000000000000002pt;z-index:-188743861;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rPr>
                        <w:t>#</w:t>
                      </w:r>
                    </w:fldSimple>
                  </w:p>
                </w:txbxContent>
              </v:textbox>
              <w10:wrap anchorx="page" anchory="page"/>
            </v:shape>
          </w:pict>
        </mc:Fallback>
      </mc:AlternateContent>
    </w:r>
  </w:p>
</w:ftr>
</file>

<file path=word/footer5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6" behindDoc="1" locked="0" layoutInCell="1" allowOverlap="1">
              <wp:simplePos x="0" y="0"/>
              <wp:positionH relativeFrom="page">
                <wp:posOffset>6442075</wp:posOffset>
              </wp:positionH>
              <wp:positionV relativeFrom="page">
                <wp:posOffset>9970770</wp:posOffset>
              </wp:positionV>
              <wp:extent cx="191770" cy="91440"/>
              <wp:wrapNone/>
              <wp:docPr id="266" name="Shape 266"/>
              <a:graphic xmlns:a="http://schemas.openxmlformats.org/drawingml/2006/main">
                <a:graphicData uri="http://schemas.microsoft.com/office/word/2010/wordprocessingShape">
                  <wps:wsp>
                    <wps:cNvSpPr txBox="1"/>
                    <wps:spPr>
                      <a:xfrm>
                        <a:ext cx="191770" cy="9144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rPr>
                              <w:t>#</w:t>
                            </w:r>
                          </w:fldSimple>
                        </w:p>
                      </w:txbxContent>
                    </wps:txbx>
                    <wps:bodyPr wrap="none" lIns="0" tIns="0" rIns="0" bIns="0">
                      <a:spAutoFit/>
                    </wps:bodyPr>
                  </wps:wsp>
                </a:graphicData>
              </a:graphic>
            </wp:anchor>
          </w:drawing>
        </mc:Choice>
        <mc:Fallback>
          <w:pict>
            <v:shape id="_x0000_s1292" type="#_x0000_t202" style="position:absolute;margin-left:507.25pt;margin-top:785.10000000000002pt;width:15.1pt;height:7.2000000000000002pt;z-index:-188743857;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6716395</wp:posOffset>
              </wp:positionH>
              <wp:positionV relativeFrom="page">
                <wp:posOffset>9949180</wp:posOffset>
              </wp:positionV>
              <wp:extent cx="115570" cy="85090"/>
              <wp:wrapNone/>
              <wp:docPr id="35" name="Shape 35"/>
              <a:graphic xmlns:a="http://schemas.openxmlformats.org/drawingml/2006/main">
                <a:graphicData uri="http://schemas.microsoft.com/office/word/2010/wordprocessingShape">
                  <wps:wsp>
                    <wps:cNvSpPr txBox="1"/>
                    <wps:spPr>
                      <a:xfrm>
                        <a:ext cx="115570" cy="8509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wps:txbx>
                    <wps:bodyPr wrap="none" lIns="0" tIns="0" rIns="0" bIns="0">
                      <a:spAutoFit/>
                    </wps:bodyPr>
                  </wps:wsp>
                </a:graphicData>
              </a:graphic>
            </wp:anchor>
          </w:drawing>
        </mc:Choice>
        <mc:Fallback>
          <w:pict>
            <v:shape id="_x0000_s1061" type="#_x0000_t202" style="position:absolute;margin-left:528.85000000000002pt;margin-top:783.39999999999998pt;width:9.0999999999999996pt;height:6.7000000000000002pt;z-index:-18874403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v:textbox>
              <w10:wrap anchorx="page" anchory="page"/>
            </v:shape>
          </w:pict>
        </mc:Fallback>
      </mc:AlternateContent>
    </w:r>
  </w:p>
</w:ftr>
</file>

<file path=word/footer6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0" behindDoc="1" locked="0" layoutInCell="1" allowOverlap="1">
              <wp:simplePos x="0" y="0"/>
              <wp:positionH relativeFrom="page">
                <wp:posOffset>10028555</wp:posOffset>
              </wp:positionH>
              <wp:positionV relativeFrom="page">
                <wp:posOffset>6837045</wp:posOffset>
              </wp:positionV>
              <wp:extent cx="182880" cy="91440"/>
              <wp:wrapNone/>
              <wp:docPr id="270" name="Shape 270"/>
              <a:graphic xmlns:a="http://schemas.openxmlformats.org/drawingml/2006/main">
                <a:graphicData uri="http://schemas.microsoft.com/office/word/2010/wordprocessingShape">
                  <wps:wsp>
                    <wps:cNvSpPr txBox="1"/>
                    <wps:spPr>
                      <a:xfrm>
                        <a:ext cx="182880" cy="9144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rPr>
                              <w:t>#</w:t>
                            </w:r>
                          </w:fldSimple>
                        </w:p>
                      </w:txbxContent>
                    </wps:txbx>
                    <wps:bodyPr wrap="none" lIns="0" tIns="0" rIns="0" bIns="0">
                      <a:spAutoFit/>
                    </wps:bodyPr>
                  </wps:wsp>
                </a:graphicData>
              </a:graphic>
            </wp:anchor>
          </w:drawing>
        </mc:Choice>
        <mc:Fallback>
          <w:pict>
            <v:shape id="_x0000_s1296" type="#_x0000_t202" style="position:absolute;margin-left:789.64999999999998pt;margin-top:538.35000000000002pt;width:14.4pt;height:7.2000000000000002pt;z-index:-188743853;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rPr>
                        <w:t>#</w:t>
                      </w:r>
                    </w:fldSimple>
                  </w:p>
                </w:txbxContent>
              </v:textbox>
              <w10:wrap anchorx="page" anchory="page"/>
            </v:shape>
          </w:pict>
        </mc:Fallback>
      </mc:AlternateContent>
    </w:r>
  </w:p>
</w:ftr>
</file>

<file path=word/footer6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4" behindDoc="1" locked="0" layoutInCell="1" allowOverlap="1">
              <wp:simplePos x="0" y="0"/>
              <wp:positionH relativeFrom="page">
                <wp:posOffset>10028555</wp:posOffset>
              </wp:positionH>
              <wp:positionV relativeFrom="page">
                <wp:posOffset>6837045</wp:posOffset>
              </wp:positionV>
              <wp:extent cx="182880" cy="91440"/>
              <wp:wrapNone/>
              <wp:docPr id="274" name="Shape 274"/>
              <a:graphic xmlns:a="http://schemas.openxmlformats.org/drawingml/2006/main">
                <a:graphicData uri="http://schemas.microsoft.com/office/word/2010/wordprocessingShape">
                  <wps:wsp>
                    <wps:cNvSpPr txBox="1"/>
                    <wps:spPr>
                      <a:xfrm>
                        <a:ext cx="182880" cy="9144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rPr>
                              <w:t>#</w:t>
                            </w:r>
                          </w:fldSimple>
                        </w:p>
                      </w:txbxContent>
                    </wps:txbx>
                    <wps:bodyPr wrap="none" lIns="0" tIns="0" rIns="0" bIns="0">
                      <a:spAutoFit/>
                    </wps:bodyPr>
                  </wps:wsp>
                </a:graphicData>
              </a:graphic>
            </wp:anchor>
          </w:drawing>
        </mc:Choice>
        <mc:Fallback>
          <w:pict>
            <v:shape id="_x0000_s1300" type="#_x0000_t202" style="position:absolute;margin-left:789.64999999999998pt;margin-top:538.35000000000002pt;width:14.4pt;height:7.2000000000000002pt;z-index:-188743849;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rPr>
                        <w:t>#</w:t>
                      </w:r>
                    </w:fldSimple>
                  </w:p>
                </w:txbxContent>
              </v:textbox>
              <w10:wrap anchorx="page" anchory="page"/>
            </v:shape>
          </w:pict>
        </mc:Fallback>
      </mc:AlternateContent>
    </w:r>
  </w:p>
</w:ftr>
</file>

<file path=word/footer6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6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6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0" behindDoc="1" locked="0" layoutInCell="1" allowOverlap="1">
              <wp:simplePos x="0" y="0"/>
              <wp:positionH relativeFrom="page">
                <wp:posOffset>4681855</wp:posOffset>
              </wp:positionH>
              <wp:positionV relativeFrom="page">
                <wp:posOffset>6835140</wp:posOffset>
              </wp:positionV>
              <wp:extent cx="201295" cy="91440"/>
              <wp:wrapNone/>
              <wp:docPr id="280" name="Shape 280"/>
              <a:graphic xmlns:a="http://schemas.openxmlformats.org/drawingml/2006/main">
                <a:graphicData uri="http://schemas.microsoft.com/office/word/2010/wordprocessingShape">
                  <wps:wsp>
                    <wps:cNvSpPr txBox="1"/>
                    <wps:spPr>
                      <a:xfrm>
                        <a:ext cx="201295" cy="9144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rPr>
                              <w:t>#</w:t>
                            </w:r>
                          </w:fldSimple>
                        </w:p>
                      </w:txbxContent>
                    </wps:txbx>
                    <wps:bodyPr wrap="none" lIns="0" tIns="0" rIns="0" bIns="0">
                      <a:spAutoFit/>
                    </wps:bodyPr>
                  </wps:wsp>
                </a:graphicData>
              </a:graphic>
            </wp:anchor>
          </w:drawing>
        </mc:Choice>
        <mc:Fallback>
          <w:pict>
            <v:shape id="_x0000_s1306" type="#_x0000_t202" style="position:absolute;margin-left:368.65000000000003pt;margin-top:538.20000000000005pt;width:15.85pt;height:7.2000000000000002pt;z-index:-188743843;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rPr>
                        <w:t>#</w:t>
                      </w:r>
                    </w:fldSimple>
                  </w:p>
                </w:txbxContent>
              </v:textbox>
              <w10:wrap anchorx="page" anchory="page"/>
            </v:shape>
          </w:pict>
        </mc:Fallback>
      </mc:AlternateContent>
    </w:r>
  </w:p>
</w:ftr>
</file>

<file path=word/footer6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2" behindDoc="1" locked="0" layoutInCell="1" allowOverlap="1">
              <wp:simplePos x="0" y="0"/>
              <wp:positionH relativeFrom="page">
                <wp:posOffset>4681855</wp:posOffset>
              </wp:positionH>
              <wp:positionV relativeFrom="page">
                <wp:posOffset>6835140</wp:posOffset>
              </wp:positionV>
              <wp:extent cx="201295" cy="91440"/>
              <wp:wrapNone/>
              <wp:docPr id="282" name="Shape 282"/>
              <a:graphic xmlns:a="http://schemas.openxmlformats.org/drawingml/2006/main">
                <a:graphicData uri="http://schemas.microsoft.com/office/word/2010/wordprocessingShape">
                  <wps:wsp>
                    <wps:cNvSpPr txBox="1"/>
                    <wps:spPr>
                      <a:xfrm>
                        <a:ext cx="201295" cy="9144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rPr>
                              <w:t>#</w:t>
                            </w:r>
                          </w:fldSimple>
                        </w:p>
                      </w:txbxContent>
                    </wps:txbx>
                    <wps:bodyPr wrap="none" lIns="0" tIns="0" rIns="0" bIns="0">
                      <a:spAutoFit/>
                    </wps:bodyPr>
                  </wps:wsp>
                </a:graphicData>
              </a:graphic>
            </wp:anchor>
          </w:drawing>
        </mc:Choice>
        <mc:Fallback>
          <w:pict>
            <v:shape id="_x0000_s1308" type="#_x0000_t202" style="position:absolute;margin-left:368.65000000000003pt;margin-top:538.20000000000005pt;width:15.85pt;height:7.2000000000000002pt;z-index:-188743841;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rPr>
                        <w:t>#</w:t>
                      </w:r>
                    </w:fldSimple>
                  </w:p>
                </w:txbxContent>
              </v:textbox>
              <w10:wrap anchorx="page" anchory="page"/>
            </v:shape>
          </w:pict>
        </mc:Fallback>
      </mc:AlternateContent>
    </w:r>
  </w:p>
</w:ftr>
</file>

<file path=word/footer6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6" behindDoc="1" locked="0" layoutInCell="1" allowOverlap="1">
              <wp:simplePos x="0" y="0"/>
              <wp:positionH relativeFrom="page">
                <wp:posOffset>6456045</wp:posOffset>
              </wp:positionH>
              <wp:positionV relativeFrom="page">
                <wp:posOffset>10019030</wp:posOffset>
              </wp:positionV>
              <wp:extent cx="201295" cy="91440"/>
              <wp:wrapNone/>
              <wp:docPr id="286" name="Shape 286"/>
              <a:graphic xmlns:a="http://schemas.openxmlformats.org/drawingml/2006/main">
                <a:graphicData uri="http://schemas.microsoft.com/office/word/2010/wordprocessingShape">
                  <wps:wsp>
                    <wps:cNvSpPr txBox="1"/>
                    <wps:spPr>
                      <a:xfrm>
                        <a:ext cx="201295" cy="9144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rPr>
                              <w:t>#</w:t>
                            </w:r>
                          </w:fldSimple>
                        </w:p>
                      </w:txbxContent>
                    </wps:txbx>
                    <wps:bodyPr wrap="none" lIns="0" tIns="0" rIns="0" bIns="0">
                      <a:spAutoFit/>
                    </wps:bodyPr>
                  </wps:wsp>
                </a:graphicData>
              </a:graphic>
            </wp:anchor>
          </w:drawing>
        </mc:Choice>
        <mc:Fallback>
          <w:pict>
            <v:shape id="_x0000_s1312" type="#_x0000_t202" style="position:absolute;margin-left:508.35000000000002pt;margin-top:788.89999999999998pt;width:15.85pt;height:7.2000000000000002pt;z-index:-188743837;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rPr>
                        <w:t>#</w:t>
                      </w:r>
                    </w:fldSimple>
                  </w:p>
                </w:txbxContent>
              </v:textbox>
              <w10:wrap anchorx="page" anchory="page"/>
            </v:shape>
          </w:pict>
        </mc:Fallback>
      </mc:AlternateContent>
    </w:r>
  </w:p>
</w:ftr>
</file>

<file path=word/footer6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0" behindDoc="1" locked="0" layoutInCell="1" allowOverlap="1">
              <wp:simplePos x="0" y="0"/>
              <wp:positionH relativeFrom="page">
                <wp:posOffset>6456045</wp:posOffset>
              </wp:positionH>
              <wp:positionV relativeFrom="page">
                <wp:posOffset>10019030</wp:posOffset>
              </wp:positionV>
              <wp:extent cx="201295" cy="91440"/>
              <wp:wrapNone/>
              <wp:docPr id="290" name="Shape 290"/>
              <a:graphic xmlns:a="http://schemas.openxmlformats.org/drawingml/2006/main">
                <a:graphicData uri="http://schemas.microsoft.com/office/word/2010/wordprocessingShape">
                  <wps:wsp>
                    <wps:cNvSpPr txBox="1"/>
                    <wps:spPr>
                      <a:xfrm>
                        <a:ext cx="201295" cy="9144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rPr>
                              <w:t>#</w:t>
                            </w:r>
                          </w:fldSimple>
                        </w:p>
                      </w:txbxContent>
                    </wps:txbx>
                    <wps:bodyPr wrap="none" lIns="0" tIns="0" rIns="0" bIns="0">
                      <a:spAutoFit/>
                    </wps:bodyPr>
                  </wps:wsp>
                </a:graphicData>
              </a:graphic>
            </wp:anchor>
          </w:drawing>
        </mc:Choice>
        <mc:Fallback>
          <w:pict>
            <v:shape id="_x0000_s1316" type="#_x0000_t202" style="position:absolute;margin-left:508.35000000000002pt;margin-top:788.89999999999998pt;width:15.85pt;height:7.2000000000000002pt;z-index:-188743833;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rPr>
                        <w:t>#</w:t>
                      </w:r>
                    </w:fldSimple>
                  </w:p>
                </w:txbxContent>
              </v:textbox>
              <w10:wrap anchorx="page" anchory="page"/>
            </v:shape>
          </w:pict>
        </mc:Fallback>
      </mc:AlternateContent>
    </w:r>
  </w:p>
</w:ftr>
</file>

<file path=word/footer6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4" behindDoc="1" locked="0" layoutInCell="1" allowOverlap="1">
              <wp:simplePos x="0" y="0"/>
              <wp:positionH relativeFrom="page">
                <wp:posOffset>10021570</wp:posOffset>
              </wp:positionH>
              <wp:positionV relativeFrom="page">
                <wp:posOffset>6837045</wp:posOffset>
              </wp:positionV>
              <wp:extent cx="201295" cy="91440"/>
              <wp:wrapNone/>
              <wp:docPr id="294" name="Shape 294"/>
              <a:graphic xmlns:a="http://schemas.openxmlformats.org/drawingml/2006/main">
                <a:graphicData uri="http://schemas.microsoft.com/office/word/2010/wordprocessingShape">
                  <wps:wsp>
                    <wps:cNvSpPr txBox="1"/>
                    <wps:spPr>
                      <a:xfrm>
                        <a:ext cx="201295" cy="9144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rPr>
                              <w:t>#</w:t>
                            </w:r>
                          </w:fldSimple>
                        </w:p>
                      </w:txbxContent>
                    </wps:txbx>
                    <wps:bodyPr wrap="none" lIns="0" tIns="0" rIns="0" bIns="0">
                      <a:spAutoFit/>
                    </wps:bodyPr>
                  </wps:wsp>
                </a:graphicData>
              </a:graphic>
            </wp:anchor>
          </w:drawing>
        </mc:Choice>
        <mc:Fallback>
          <w:pict>
            <v:shape id="_x0000_s1320" type="#_x0000_t202" style="position:absolute;margin-left:789.10000000000002pt;margin-top:538.35000000000002pt;width:15.85pt;height:7.2000000000000002pt;z-index:-188743829;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rPr>
                        <w:t>#</w:t>
                      </w:r>
                    </w:fldSimple>
                  </w:p>
                </w:txbxContent>
              </v:textbox>
              <w10:wrap anchorx="page" anchory="page"/>
            </v:shape>
          </w:pict>
        </mc:Fallback>
      </mc:AlternateContent>
    </w:r>
  </w:p>
</w:ftr>
</file>

<file path=word/footer6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8" behindDoc="1" locked="0" layoutInCell="1" allowOverlap="1">
              <wp:simplePos x="0" y="0"/>
              <wp:positionH relativeFrom="page">
                <wp:posOffset>10021570</wp:posOffset>
              </wp:positionH>
              <wp:positionV relativeFrom="page">
                <wp:posOffset>6837045</wp:posOffset>
              </wp:positionV>
              <wp:extent cx="201295" cy="91440"/>
              <wp:wrapNone/>
              <wp:docPr id="298" name="Shape 298"/>
              <a:graphic xmlns:a="http://schemas.openxmlformats.org/drawingml/2006/main">
                <a:graphicData uri="http://schemas.microsoft.com/office/word/2010/wordprocessingShape">
                  <wps:wsp>
                    <wps:cNvSpPr txBox="1"/>
                    <wps:spPr>
                      <a:xfrm>
                        <a:ext cx="201295" cy="9144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rPr>
                              <w:t>#</w:t>
                            </w:r>
                          </w:fldSimple>
                        </w:p>
                      </w:txbxContent>
                    </wps:txbx>
                    <wps:bodyPr wrap="none" lIns="0" tIns="0" rIns="0" bIns="0">
                      <a:spAutoFit/>
                    </wps:bodyPr>
                  </wps:wsp>
                </a:graphicData>
              </a:graphic>
            </wp:anchor>
          </w:drawing>
        </mc:Choice>
        <mc:Fallback>
          <w:pict>
            <v:shape id="_x0000_s1324" type="#_x0000_t202" style="position:absolute;margin-left:789.10000000000002pt;margin-top:538.35000000000002pt;width:15.85pt;height:7.2000000000000002pt;z-index:-188743825;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9656445</wp:posOffset>
              </wp:positionH>
              <wp:positionV relativeFrom="page">
                <wp:posOffset>6820535</wp:posOffset>
              </wp:positionV>
              <wp:extent cx="103505" cy="85090"/>
              <wp:wrapNone/>
              <wp:docPr id="40" name="Shape 40"/>
              <a:graphic xmlns:a="http://schemas.openxmlformats.org/drawingml/2006/main">
                <a:graphicData uri="http://schemas.microsoft.com/office/word/2010/wordprocessingShape">
                  <wps:wsp>
                    <wps:cNvSpPr txBox="1"/>
                    <wps:spPr>
                      <a:xfrm>
                        <a:ext cx="103505" cy="8509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wps:txbx>
                    <wps:bodyPr wrap="none" lIns="0" tIns="0" rIns="0" bIns="0">
                      <a:spAutoFit/>
                    </wps:bodyPr>
                  </wps:wsp>
                </a:graphicData>
              </a:graphic>
            </wp:anchor>
          </w:drawing>
        </mc:Choice>
        <mc:Fallback>
          <w:pict>
            <v:shape id="_x0000_s1066" type="#_x0000_t202" style="position:absolute;margin-left:760.35000000000002pt;margin-top:537.04999999999995pt;width:8.1500000000000004pt;height:6.7000000000000002pt;z-index:-18874403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v:textbox>
              <w10:wrap anchorx="page" anchory="page"/>
            </v:shape>
          </w:pict>
        </mc:Fallback>
      </mc:AlternateContent>
    </w:r>
  </w:p>
</w:ftr>
</file>

<file path=word/footer7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2" behindDoc="1" locked="0" layoutInCell="1" allowOverlap="1">
              <wp:simplePos x="0" y="0"/>
              <wp:positionH relativeFrom="page">
                <wp:posOffset>6456045</wp:posOffset>
              </wp:positionH>
              <wp:positionV relativeFrom="page">
                <wp:posOffset>10019030</wp:posOffset>
              </wp:positionV>
              <wp:extent cx="201295" cy="91440"/>
              <wp:wrapNone/>
              <wp:docPr id="322" name="Shape 322"/>
              <a:graphic xmlns:a="http://schemas.openxmlformats.org/drawingml/2006/main">
                <a:graphicData uri="http://schemas.microsoft.com/office/word/2010/wordprocessingShape">
                  <wps:wsp>
                    <wps:cNvSpPr txBox="1"/>
                    <wps:spPr>
                      <a:xfrm>
                        <a:ext cx="201295" cy="9144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rPr>
                              <w:t>#</w:t>
                            </w:r>
                          </w:fldSimple>
                        </w:p>
                      </w:txbxContent>
                    </wps:txbx>
                    <wps:bodyPr wrap="none" lIns="0" tIns="0" rIns="0" bIns="0">
                      <a:spAutoFit/>
                    </wps:bodyPr>
                  </wps:wsp>
                </a:graphicData>
              </a:graphic>
            </wp:anchor>
          </w:drawing>
        </mc:Choice>
        <mc:Fallback>
          <w:pict>
            <v:shape id="_x0000_s1348" type="#_x0000_t202" style="position:absolute;margin-left:508.35000000000002pt;margin-top:788.89999999999998pt;width:15.85pt;height:7.2000000000000002pt;z-index:-188743821;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rPr>
                        <w:t>#</w:t>
                      </w:r>
                    </w:fldSimple>
                  </w:p>
                </w:txbxContent>
              </v:textbox>
              <w10:wrap anchorx="page" anchory="page"/>
            </v:shape>
          </w:pict>
        </mc:Fallback>
      </mc:AlternateContent>
    </w:r>
  </w:p>
</w:ftr>
</file>

<file path=word/footer7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6" behindDoc="1" locked="0" layoutInCell="1" allowOverlap="1">
              <wp:simplePos x="0" y="0"/>
              <wp:positionH relativeFrom="page">
                <wp:posOffset>6456045</wp:posOffset>
              </wp:positionH>
              <wp:positionV relativeFrom="page">
                <wp:posOffset>10019030</wp:posOffset>
              </wp:positionV>
              <wp:extent cx="201295" cy="91440"/>
              <wp:wrapNone/>
              <wp:docPr id="326" name="Shape 326"/>
              <a:graphic xmlns:a="http://schemas.openxmlformats.org/drawingml/2006/main">
                <a:graphicData uri="http://schemas.microsoft.com/office/word/2010/wordprocessingShape">
                  <wps:wsp>
                    <wps:cNvSpPr txBox="1"/>
                    <wps:spPr>
                      <a:xfrm>
                        <a:ext cx="201295" cy="9144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rPr>
                              <w:t>#</w:t>
                            </w:r>
                          </w:fldSimple>
                        </w:p>
                      </w:txbxContent>
                    </wps:txbx>
                    <wps:bodyPr wrap="none" lIns="0" tIns="0" rIns="0" bIns="0">
                      <a:spAutoFit/>
                    </wps:bodyPr>
                  </wps:wsp>
                </a:graphicData>
              </a:graphic>
            </wp:anchor>
          </w:drawing>
        </mc:Choice>
        <mc:Fallback>
          <w:pict>
            <v:shape id="_x0000_s1352" type="#_x0000_t202" style="position:absolute;margin-left:508.35000000000002pt;margin-top:788.89999999999998pt;width:15.85pt;height:7.2000000000000002pt;z-index:-188743817;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rPr>
                        <w:t>#</w:t>
                      </w:r>
                    </w:fldSimple>
                  </w:p>
                </w:txbxContent>
              </v:textbox>
              <w10:wrap anchorx="page" anchory="page"/>
            </v:shape>
          </w:pict>
        </mc:Fallback>
      </mc:AlternateContent>
    </w:r>
  </w:p>
</w:ftr>
</file>

<file path=word/footer7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0" behindDoc="1" locked="0" layoutInCell="1" allowOverlap="1">
              <wp:simplePos x="0" y="0"/>
              <wp:positionH relativeFrom="page">
                <wp:posOffset>9571355</wp:posOffset>
              </wp:positionH>
              <wp:positionV relativeFrom="page">
                <wp:posOffset>6837045</wp:posOffset>
              </wp:positionV>
              <wp:extent cx="201295" cy="91440"/>
              <wp:wrapNone/>
              <wp:docPr id="332" name="Shape 332"/>
              <a:graphic xmlns:a="http://schemas.openxmlformats.org/drawingml/2006/main">
                <a:graphicData uri="http://schemas.microsoft.com/office/word/2010/wordprocessingShape">
                  <wps:wsp>
                    <wps:cNvSpPr txBox="1"/>
                    <wps:spPr>
                      <a:xfrm>
                        <a:ext cx="201295" cy="9144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rPr>
                              <w:t>#</w:t>
                            </w:r>
                          </w:fldSimple>
                        </w:p>
                      </w:txbxContent>
                    </wps:txbx>
                    <wps:bodyPr wrap="none" lIns="0" tIns="0" rIns="0" bIns="0">
                      <a:spAutoFit/>
                    </wps:bodyPr>
                  </wps:wsp>
                </a:graphicData>
              </a:graphic>
            </wp:anchor>
          </w:drawing>
        </mc:Choice>
        <mc:Fallback>
          <w:pict>
            <v:shape id="_x0000_s1358" type="#_x0000_t202" style="position:absolute;margin-left:753.64999999999998pt;margin-top:538.35000000000002pt;width:15.85pt;height:7.2000000000000002pt;z-index:-188743813;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rPr>
                        <w:t>#</w:t>
                      </w:r>
                    </w:fldSimple>
                  </w:p>
                </w:txbxContent>
              </v:textbox>
              <w10:wrap anchorx="page" anchory="page"/>
            </v:shape>
          </w:pict>
        </mc:Fallback>
      </mc:AlternateContent>
    </w:r>
  </w:p>
</w:ftr>
</file>

<file path=word/footer7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4" behindDoc="1" locked="0" layoutInCell="1" allowOverlap="1">
              <wp:simplePos x="0" y="0"/>
              <wp:positionH relativeFrom="page">
                <wp:posOffset>9571355</wp:posOffset>
              </wp:positionH>
              <wp:positionV relativeFrom="page">
                <wp:posOffset>6837045</wp:posOffset>
              </wp:positionV>
              <wp:extent cx="201295" cy="91440"/>
              <wp:wrapNone/>
              <wp:docPr id="336" name="Shape 336"/>
              <a:graphic xmlns:a="http://schemas.openxmlformats.org/drawingml/2006/main">
                <a:graphicData uri="http://schemas.microsoft.com/office/word/2010/wordprocessingShape">
                  <wps:wsp>
                    <wps:cNvSpPr txBox="1"/>
                    <wps:spPr>
                      <a:xfrm>
                        <a:ext cx="201295" cy="9144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rPr>
                              <w:t>#</w:t>
                            </w:r>
                          </w:fldSimple>
                        </w:p>
                      </w:txbxContent>
                    </wps:txbx>
                    <wps:bodyPr wrap="none" lIns="0" tIns="0" rIns="0" bIns="0">
                      <a:spAutoFit/>
                    </wps:bodyPr>
                  </wps:wsp>
                </a:graphicData>
              </a:graphic>
            </wp:anchor>
          </w:drawing>
        </mc:Choice>
        <mc:Fallback>
          <w:pict>
            <v:shape id="_x0000_s1362" type="#_x0000_t202" style="position:absolute;margin-left:753.64999999999998pt;margin-top:538.35000000000002pt;width:15.85pt;height:7.2000000000000002pt;z-index:-188743809;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rPr>
                        <w:t>#</w:t>
                      </w:r>
                    </w:fldSimple>
                  </w:p>
                </w:txbxContent>
              </v:textbox>
              <w10:wrap anchorx="page" anchory="page"/>
            </v:shape>
          </w:pict>
        </mc:Fallback>
      </mc:AlternateContent>
    </w:r>
  </w:p>
</w:ftr>
</file>

<file path=word/footer7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8" behindDoc="1" locked="0" layoutInCell="1" allowOverlap="1">
              <wp:simplePos x="0" y="0"/>
              <wp:positionH relativeFrom="page">
                <wp:posOffset>6456045</wp:posOffset>
              </wp:positionH>
              <wp:positionV relativeFrom="page">
                <wp:posOffset>10019030</wp:posOffset>
              </wp:positionV>
              <wp:extent cx="201295" cy="91440"/>
              <wp:wrapNone/>
              <wp:docPr id="340" name="Shape 340"/>
              <a:graphic xmlns:a="http://schemas.openxmlformats.org/drawingml/2006/main">
                <a:graphicData uri="http://schemas.microsoft.com/office/word/2010/wordprocessingShape">
                  <wps:wsp>
                    <wps:cNvSpPr txBox="1"/>
                    <wps:spPr>
                      <a:xfrm>
                        <a:ext cx="201295" cy="9144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rPr>
                              <w:t>#</w:t>
                            </w:r>
                          </w:fldSimple>
                        </w:p>
                      </w:txbxContent>
                    </wps:txbx>
                    <wps:bodyPr wrap="none" lIns="0" tIns="0" rIns="0" bIns="0">
                      <a:spAutoFit/>
                    </wps:bodyPr>
                  </wps:wsp>
                </a:graphicData>
              </a:graphic>
            </wp:anchor>
          </w:drawing>
        </mc:Choice>
        <mc:Fallback>
          <w:pict>
            <v:shape id="_x0000_s1366" type="#_x0000_t202" style="position:absolute;margin-left:508.35000000000002pt;margin-top:788.89999999999998pt;width:15.85pt;height:7.2000000000000002pt;z-index:-188743805;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rPr>
                        <w:t>#</w:t>
                      </w:r>
                    </w:fldSimple>
                  </w:p>
                </w:txbxContent>
              </v:textbox>
              <w10:wrap anchorx="page" anchory="page"/>
            </v:shape>
          </w:pict>
        </mc:Fallback>
      </mc:AlternateContent>
    </w:r>
  </w:p>
</w:ftr>
</file>

<file path=word/footer7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2" behindDoc="1" locked="0" layoutInCell="1" allowOverlap="1">
              <wp:simplePos x="0" y="0"/>
              <wp:positionH relativeFrom="page">
                <wp:posOffset>6456045</wp:posOffset>
              </wp:positionH>
              <wp:positionV relativeFrom="page">
                <wp:posOffset>10019030</wp:posOffset>
              </wp:positionV>
              <wp:extent cx="201295" cy="91440"/>
              <wp:wrapNone/>
              <wp:docPr id="344" name="Shape 344"/>
              <a:graphic xmlns:a="http://schemas.openxmlformats.org/drawingml/2006/main">
                <a:graphicData uri="http://schemas.microsoft.com/office/word/2010/wordprocessingShape">
                  <wps:wsp>
                    <wps:cNvSpPr txBox="1"/>
                    <wps:spPr>
                      <a:xfrm>
                        <a:ext cx="201295" cy="9144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rPr>
                              <w:t>#</w:t>
                            </w:r>
                          </w:fldSimple>
                        </w:p>
                      </w:txbxContent>
                    </wps:txbx>
                    <wps:bodyPr wrap="none" lIns="0" tIns="0" rIns="0" bIns="0">
                      <a:spAutoFit/>
                    </wps:bodyPr>
                  </wps:wsp>
                </a:graphicData>
              </a:graphic>
            </wp:anchor>
          </w:drawing>
        </mc:Choice>
        <mc:Fallback>
          <w:pict>
            <v:shape id="_x0000_s1370" type="#_x0000_t202" style="position:absolute;margin-left:508.35000000000002pt;margin-top:788.89999999999998pt;width:15.85pt;height:7.2000000000000002pt;z-index:-188743801;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rPr>
                        <w:t>#</w:t>
                      </w:r>
                    </w:fldSimple>
                  </w:p>
                </w:txbxContent>
              </v:textbox>
              <w10:wrap anchorx="page" anchory="page"/>
            </v:shape>
          </w:pict>
        </mc:Fallback>
      </mc:AlternateContent>
    </w:r>
  </w:p>
</w:ftr>
</file>

<file path=word/footer7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6" behindDoc="1" locked="0" layoutInCell="1" allowOverlap="1">
              <wp:simplePos x="0" y="0"/>
              <wp:positionH relativeFrom="page">
                <wp:posOffset>9571355</wp:posOffset>
              </wp:positionH>
              <wp:positionV relativeFrom="page">
                <wp:posOffset>6837045</wp:posOffset>
              </wp:positionV>
              <wp:extent cx="201295" cy="91440"/>
              <wp:wrapNone/>
              <wp:docPr id="350" name="Shape 350"/>
              <a:graphic xmlns:a="http://schemas.openxmlformats.org/drawingml/2006/main">
                <a:graphicData uri="http://schemas.microsoft.com/office/word/2010/wordprocessingShape">
                  <wps:wsp>
                    <wps:cNvSpPr txBox="1"/>
                    <wps:spPr>
                      <a:xfrm>
                        <a:ext cx="201295" cy="9144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rPr>
                              <w:t>#</w:t>
                            </w:r>
                          </w:fldSimple>
                        </w:p>
                      </w:txbxContent>
                    </wps:txbx>
                    <wps:bodyPr wrap="none" lIns="0" tIns="0" rIns="0" bIns="0">
                      <a:spAutoFit/>
                    </wps:bodyPr>
                  </wps:wsp>
                </a:graphicData>
              </a:graphic>
            </wp:anchor>
          </w:drawing>
        </mc:Choice>
        <mc:Fallback>
          <w:pict>
            <v:shape id="_x0000_s1376" type="#_x0000_t202" style="position:absolute;margin-left:753.64999999999998pt;margin-top:538.35000000000002pt;width:15.85pt;height:7.2000000000000002pt;z-index:-188743797;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rPr>
                        <w:t>#</w:t>
                      </w:r>
                    </w:fldSimple>
                  </w:p>
                </w:txbxContent>
              </v:textbox>
              <w10:wrap anchorx="page" anchory="page"/>
            </v:shape>
          </w:pict>
        </mc:Fallback>
      </mc:AlternateContent>
    </w:r>
  </w:p>
</w:ftr>
</file>

<file path=word/footer7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0" behindDoc="1" locked="0" layoutInCell="1" allowOverlap="1">
              <wp:simplePos x="0" y="0"/>
              <wp:positionH relativeFrom="page">
                <wp:posOffset>9571355</wp:posOffset>
              </wp:positionH>
              <wp:positionV relativeFrom="page">
                <wp:posOffset>6837045</wp:posOffset>
              </wp:positionV>
              <wp:extent cx="201295" cy="91440"/>
              <wp:wrapNone/>
              <wp:docPr id="354" name="Shape 354"/>
              <a:graphic xmlns:a="http://schemas.openxmlformats.org/drawingml/2006/main">
                <a:graphicData uri="http://schemas.microsoft.com/office/word/2010/wordprocessingShape">
                  <wps:wsp>
                    <wps:cNvSpPr txBox="1"/>
                    <wps:spPr>
                      <a:xfrm>
                        <a:ext cx="201295" cy="9144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rPr>
                              <w:t>#</w:t>
                            </w:r>
                          </w:fldSimple>
                        </w:p>
                      </w:txbxContent>
                    </wps:txbx>
                    <wps:bodyPr wrap="none" lIns="0" tIns="0" rIns="0" bIns="0">
                      <a:spAutoFit/>
                    </wps:bodyPr>
                  </wps:wsp>
                </a:graphicData>
              </a:graphic>
            </wp:anchor>
          </w:drawing>
        </mc:Choice>
        <mc:Fallback>
          <w:pict>
            <v:shape id="_x0000_s1380" type="#_x0000_t202" style="position:absolute;margin-left:753.64999999999998pt;margin-top:538.35000000000002pt;width:15.85pt;height:7.2000000000000002pt;z-index:-188743793;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rPr>
                        <w:t>#</w:t>
                      </w:r>
                    </w:fldSimple>
                  </w:p>
                </w:txbxContent>
              </v:textbox>
              <w10:wrap anchorx="page" anchory="page"/>
            </v:shape>
          </w:pict>
        </mc:Fallback>
      </mc:AlternateContent>
    </w:r>
  </w:p>
</w:ftr>
</file>

<file path=word/footer7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4" behindDoc="1" locked="0" layoutInCell="1" allowOverlap="1">
              <wp:simplePos x="0" y="0"/>
              <wp:positionH relativeFrom="page">
                <wp:posOffset>6456045</wp:posOffset>
              </wp:positionH>
              <wp:positionV relativeFrom="page">
                <wp:posOffset>10019030</wp:posOffset>
              </wp:positionV>
              <wp:extent cx="201295" cy="91440"/>
              <wp:wrapNone/>
              <wp:docPr id="358" name="Shape 358"/>
              <a:graphic xmlns:a="http://schemas.openxmlformats.org/drawingml/2006/main">
                <a:graphicData uri="http://schemas.microsoft.com/office/word/2010/wordprocessingShape">
                  <wps:wsp>
                    <wps:cNvSpPr txBox="1"/>
                    <wps:spPr>
                      <a:xfrm>
                        <a:ext cx="201295" cy="9144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rPr>
                              <w:t>#</w:t>
                            </w:r>
                          </w:fldSimple>
                        </w:p>
                      </w:txbxContent>
                    </wps:txbx>
                    <wps:bodyPr wrap="none" lIns="0" tIns="0" rIns="0" bIns="0">
                      <a:spAutoFit/>
                    </wps:bodyPr>
                  </wps:wsp>
                </a:graphicData>
              </a:graphic>
            </wp:anchor>
          </w:drawing>
        </mc:Choice>
        <mc:Fallback>
          <w:pict>
            <v:shape id="_x0000_s1384" type="#_x0000_t202" style="position:absolute;margin-left:508.35000000000002pt;margin-top:788.89999999999998pt;width:15.85pt;height:7.2000000000000002pt;z-index:-188743789;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rPr>
                        <w:t>#</w:t>
                      </w:r>
                    </w:fldSimple>
                  </w:p>
                </w:txbxContent>
              </v:textbox>
              <w10:wrap anchorx="page" anchory="page"/>
            </v:shape>
          </w:pict>
        </mc:Fallback>
      </mc:AlternateContent>
    </w:r>
  </w:p>
</w:ftr>
</file>

<file path=word/footer7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8" behindDoc="1" locked="0" layoutInCell="1" allowOverlap="1">
              <wp:simplePos x="0" y="0"/>
              <wp:positionH relativeFrom="page">
                <wp:posOffset>6456045</wp:posOffset>
              </wp:positionH>
              <wp:positionV relativeFrom="page">
                <wp:posOffset>10019030</wp:posOffset>
              </wp:positionV>
              <wp:extent cx="201295" cy="91440"/>
              <wp:wrapNone/>
              <wp:docPr id="362" name="Shape 362"/>
              <a:graphic xmlns:a="http://schemas.openxmlformats.org/drawingml/2006/main">
                <a:graphicData uri="http://schemas.microsoft.com/office/word/2010/wordprocessingShape">
                  <wps:wsp>
                    <wps:cNvSpPr txBox="1"/>
                    <wps:spPr>
                      <a:xfrm>
                        <a:ext cx="201295" cy="9144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rPr>
                              <w:t>#</w:t>
                            </w:r>
                          </w:fldSimple>
                        </w:p>
                      </w:txbxContent>
                    </wps:txbx>
                    <wps:bodyPr wrap="none" lIns="0" tIns="0" rIns="0" bIns="0">
                      <a:spAutoFit/>
                    </wps:bodyPr>
                  </wps:wsp>
                </a:graphicData>
              </a:graphic>
            </wp:anchor>
          </w:drawing>
        </mc:Choice>
        <mc:Fallback>
          <w:pict>
            <v:shape id="_x0000_s1388" type="#_x0000_t202" style="position:absolute;margin-left:508.35000000000002pt;margin-top:788.89999999999998pt;width:15.85pt;height:7.2000000000000002pt;z-index:-188743785;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9656445</wp:posOffset>
              </wp:positionH>
              <wp:positionV relativeFrom="page">
                <wp:posOffset>6820535</wp:posOffset>
              </wp:positionV>
              <wp:extent cx="103505" cy="85090"/>
              <wp:wrapNone/>
              <wp:docPr id="45" name="Shape 45"/>
              <a:graphic xmlns:a="http://schemas.openxmlformats.org/drawingml/2006/main">
                <a:graphicData uri="http://schemas.microsoft.com/office/word/2010/wordprocessingShape">
                  <wps:wsp>
                    <wps:cNvSpPr txBox="1"/>
                    <wps:spPr>
                      <a:xfrm>
                        <a:ext cx="103505" cy="8509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wps:txbx>
                    <wps:bodyPr wrap="none" lIns="0" tIns="0" rIns="0" bIns="0">
                      <a:spAutoFit/>
                    </wps:bodyPr>
                  </wps:wsp>
                </a:graphicData>
              </a:graphic>
            </wp:anchor>
          </w:drawing>
        </mc:Choice>
        <mc:Fallback>
          <w:pict>
            <v:shape id="_x0000_s1071" type="#_x0000_t202" style="position:absolute;margin-left:760.35000000000002pt;margin-top:537.04999999999995pt;width:8.1500000000000004pt;height:6.7000000000000002pt;z-index:-18874402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v:textbox>
              <w10:wrap anchorx="page" anchory="page"/>
            </v:shape>
          </w:pict>
        </mc:Fallback>
      </mc:AlternateContent>
    </w:r>
  </w:p>
</w:ftr>
</file>

<file path=word/footer8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2" behindDoc="1" locked="0" layoutInCell="1" allowOverlap="1">
              <wp:simplePos x="0" y="0"/>
              <wp:positionH relativeFrom="page">
                <wp:posOffset>9571355</wp:posOffset>
              </wp:positionH>
              <wp:positionV relativeFrom="page">
                <wp:posOffset>6837045</wp:posOffset>
              </wp:positionV>
              <wp:extent cx="201295" cy="91440"/>
              <wp:wrapNone/>
              <wp:docPr id="366" name="Shape 366"/>
              <a:graphic xmlns:a="http://schemas.openxmlformats.org/drawingml/2006/main">
                <a:graphicData uri="http://schemas.microsoft.com/office/word/2010/wordprocessingShape">
                  <wps:wsp>
                    <wps:cNvSpPr txBox="1"/>
                    <wps:spPr>
                      <a:xfrm>
                        <a:ext cx="201295" cy="9144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rPr>
                              <w:t>#</w:t>
                            </w:r>
                          </w:fldSimple>
                        </w:p>
                      </w:txbxContent>
                    </wps:txbx>
                    <wps:bodyPr wrap="none" lIns="0" tIns="0" rIns="0" bIns="0">
                      <a:spAutoFit/>
                    </wps:bodyPr>
                  </wps:wsp>
                </a:graphicData>
              </a:graphic>
            </wp:anchor>
          </w:drawing>
        </mc:Choice>
        <mc:Fallback>
          <w:pict>
            <v:shape id="_x0000_s1392" type="#_x0000_t202" style="position:absolute;margin-left:753.64999999999998pt;margin-top:538.35000000000002pt;width:15.85pt;height:7.2000000000000002pt;z-index:-188743781;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rPr>
                        <w:t>#</w:t>
                      </w:r>
                    </w:fldSimple>
                  </w:p>
                </w:txbxContent>
              </v:textbox>
              <w10:wrap anchorx="page" anchory="page"/>
            </v:shape>
          </w:pict>
        </mc:Fallback>
      </mc:AlternateContent>
    </w:r>
  </w:p>
</w:ftr>
</file>

<file path=word/footer8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6" behindDoc="1" locked="0" layoutInCell="1" allowOverlap="1">
              <wp:simplePos x="0" y="0"/>
              <wp:positionH relativeFrom="page">
                <wp:posOffset>9571355</wp:posOffset>
              </wp:positionH>
              <wp:positionV relativeFrom="page">
                <wp:posOffset>6837045</wp:posOffset>
              </wp:positionV>
              <wp:extent cx="201295" cy="91440"/>
              <wp:wrapNone/>
              <wp:docPr id="370" name="Shape 370"/>
              <a:graphic xmlns:a="http://schemas.openxmlformats.org/drawingml/2006/main">
                <a:graphicData uri="http://schemas.microsoft.com/office/word/2010/wordprocessingShape">
                  <wps:wsp>
                    <wps:cNvSpPr txBox="1"/>
                    <wps:spPr>
                      <a:xfrm>
                        <a:ext cx="201295" cy="9144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rPr>
                              <w:t>#</w:t>
                            </w:r>
                          </w:fldSimple>
                        </w:p>
                      </w:txbxContent>
                    </wps:txbx>
                    <wps:bodyPr wrap="none" lIns="0" tIns="0" rIns="0" bIns="0">
                      <a:spAutoFit/>
                    </wps:bodyPr>
                  </wps:wsp>
                </a:graphicData>
              </a:graphic>
            </wp:anchor>
          </w:drawing>
        </mc:Choice>
        <mc:Fallback>
          <w:pict>
            <v:shape id="_x0000_s1396" type="#_x0000_t202" style="position:absolute;margin-left:753.64999999999998pt;margin-top:538.35000000000002pt;width:15.85pt;height:7.2000000000000002pt;z-index:-188743777;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rPr>
                        <w:t>#</w:t>
                      </w:r>
                    </w:fldSimple>
                  </w:p>
                </w:txbxContent>
              </v:textbox>
              <w10:wrap anchorx="page" anchory="page"/>
            </v:shape>
          </w:pict>
        </mc:Fallback>
      </mc:AlternateContent>
    </w:r>
  </w:p>
</w:ftr>
</file>

<file path=word/footer8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0" behindDoc="1" locked="0" layoutInCell="1" allowOverlap="1">
              <wp:simplePos x="0" y="0"/>
              <wp:positionH relativeFrom="page">
                <wp:posOffset>6456045</wp:posOffset>
              </wp:positionH>
              <wp:positionV relativeFrom="page">
                <wp:posOffset>10019030</wp:posOffset>
              </wp:positionV>
              <wp:extent cx="201295" cy="91440"/>
              <wp:wrapNone/>
              <wp:docPr id="374" name="Shape 374"/>
              <a:graphic xmlns:a="http://schemas.openxmlformats.org/drawingml/2006/main">
                <a:graphicData uri="http://schemas.microsoft.com/office/word/2010/wordprocessingShape">
                  <wps:wsp>
                    <wps:cNvSpPr txBox="1"/>
                    <wps:spPr>
                      <a:xfrm>
                        <a:ext cx="201295" cy="9144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rPr>
                              <w:t>#</w:t>
                            </w:r>
                          </w:fldSimple>
                        </w:p>
                      </w:txbxContent>
                    </wps:txbx>
                    <wps:bodyPr wrap="none" lIns="0" tIns="0" rIns="0" bIns="0">
                      <a:spAutoFit/>
                    </wps:bodyPr>
                  </wps:wsp>
                </a:graphicData>
              </a:graphic>
            </wp:anchor>
          </w:drawing>
        </mc:Choice>
        <mc:Fallback>
          <w:pict>
            <v:shape id="_x0000_s1400" type="#_x0000_t202" style="position:absolute;margin-left:508.35000000000002pt;margin-top:788.89999999999998pt;width:15.85pt;height:7.2000000000000002pt;z-index:-188743773;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rPr>
                        <w:t>#</w:t>
                      </w:r>
                    </w:fldSimple>
                  </w:p>
                </w:txbxContent>
              </v:textbox>
              <w10:wrap anchorx="page" anchory="page"/>
            </v:shape>
          </w:pict>
        </mc:Fallback>
      </mc:AlternateContent>
    </w:r>
  </w:p>
</w:ftr>
</file>

<file path=word/footer8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4" behindDoc="1" locked="0" layoutInCell="1" allowOverlap="1">
              <wp:simplePos x="0" y="0"/>
              <wp:positionH relativeFrom="page">
                <wp:posOffset>6456045</wp:posOffset>
              </wp:positionH>
              <wp:positionV relativeFrom="page">
                <wp:posOffset>10019030</wp:posOffset>
              </wp:positionV>
              <wp:extent cx="201295" cy="91440"/>
              <wp:wrapNone/>
              <wp:docPr id="378" name="Shape 378"/>
              <a:graphic xmlns:a="http://schemas.openxmlformats.org/drawingml/2006/main">
                <a:graphicData uri="http://schemas.microsoft.com/office/word/2010/wordprocessingShape">
                  <wps:wsp>
                    <wps:cNvSpPr txBox="1"/>
                    <wps:spPr>
                      <a:xfrm>
                        <a:ext cx="201295" cy="9144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rPr>
                              <w:t>#</w:t>
                            </w:r>
                          </w:fldSimple>
                        </w:p>
                      </w:txbxContent>
                    </wps:txbx>
                    <wps:bodyPr wrap="none" lIns="0" tIns="0" rIns="0" bIns="0">
                      <a:spAutoFit/>
                    </wps:bodyPr>
                  </wps:wsp>
                </a:graphicData>
              </a:graphic>
            </wp:anchor>
          </w:drawing>
        </mc:Choice>
        <mc:Fallback>
          <w:pict>
            <v:shape id="_x0000_s1404" type="#_x0000_t202" style="position:absolute;margin-left:508.35000000000002pt;margin-top:788.89999999999998pt;width:15.85pt;height:7.2000000000000002pt;z-index:-188743769;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rPr>
                        <w:t>#</w:t>
                      </w:r>
                    </w:fldSimple>
                  </w:p>
                </w:txbxContent>
              </v:textbox>
              <w10:wrap anchorx="page" anchory="page"/>
            </v:shape>
          </w:pict>
        </mc:Fallback>
      </mc:AlternateContent>
    </w:r>
  </w:p>
</w:ftr>
</file>

<file path=word/footer8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8" behindDoc="1" locked="0" layoutInCell="1" allowOverlap="1">
              <wp:simplePos x="0" y="0"/>
              <wp:positionH relativeFrom="page">
                <wp:posOffset>9571355</wp:posOffset>
              </wp:positionH>
              <wp:positionV relativeFrom="page">
                <wp:posOffset>6837045</wp:posOffset>
              </wp:positionV>
              <wp:extent cx="201295" cy="91440"/>
              <wp:wrapNone/>
              <wp:docPr id="384" name="Shape 384"/>
              <a:graphic xmlns:a="http://schemas.openxmlformats.org/drawingml/2006/main">
                <a:graphicData uri="http://schemas.microsoft.com/office/word/2010/wordprocessingShape">
                  <wps:wsp>
                    <wps:cNvSpPr txBox="1"/>
                    <wps:spPr>
                      <a:xfrm>
                        <a:ext cx="201295" cy="9144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rPr>
                              <w:t>#</w:t>
                            </w:r>
                          </w:fldSimple>
                        </w:p>
                      </w:txbxContent>
                    </wps:txbx>
                    <wps:bodyPr wrap="none" lIns="0" tIns="0" rIns="0" bIns="0">
                      <a:spAutoFit/>
                    </wps:bodyPr>
                  </wps:wsp>
                </a:graphicData>
              </a:graphic>
            </wp:anchor>
          </w:drawing>
        </mc:Choice>
        <mc:Fallback>
          <w:pict>
            <v:shape id="_x0000_s1410" type="#_x0000_t202" style="position:absolute;margin-left:753.64999999999998pt;margin-top:538.35000000000002pt;width:15.85pt;height:7.2000000000000002pt;z-index:-188743765;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rPr>
                        <w:t>#</w:t>
                      </w:r>
                    </w:fldSimple>
                  </w:p>
                </w:txbxContent>
              </v:textbox>
              <w10:wrap anchorx="page" anchory="page"/>
            </v:shape>
          </w:pict>
        </mc:Fallback>
      </mc:AlternateContent>
    </w:r>
  </w:p>
</w:ftr>
</file>

<file path=word/footer8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2" behindDoc="1" locked="0" layoutInCell="1" allowOverlap="1">
              <wp:simplePos x="0" y="0"/>
              <wp:positionH relativeFrom="page">
                <wp:posOffset>9571355</wp:posOffset>
              </wp:positionH>
              <wp:positionV relativeFrom="page">
                <wp:posOffset>6837045</wp:posOffset>
              </wp:positionV>
              <wp:extent cx="201295" cy="91440"/>
              <wp:wrapNone/>
              <wp:docPr id="388" name="Shape 388"/>
              <a:graphic xmlns:a="http://schemas.openxmlformats.org/drawingml/2006/main">
                <a:graphicData uri="http://schemas.microsoft.com/office/word/2010/wordprocessingShape">
                  <wps:wsp>
                    <wps:cNvSpPr txBox="1"/>
                    <wps:spPr>
                      <a:xfrm>
                        <a:ext cx="201295" cy="9144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rPr>
                              <w:t>#</w:t>
                            </w:r>
                          </w:fldSimple>
                        </w:p>
                      </w:txbxContent>
                    </wps:txbx>
                    <wps:bodyPr wrap="none" lIns="0" tIns="0" rIns="0" bIns="0">
                      <a:spAutoFit/>
                    </wps:bodyPr>
                  </wps:wsp>
                </a:graphicData>
              </a:graphic>
            </wp:anchor>
          </w:drawing>
        </mc:Choice>
        <mc:Fallback>
          <w:pict>
            <v:shape id="_x0000_s1414" type="#_x0000_t202" style="position:absolute;margin-left:753.64999999999998pt;margin-top:538.35000000000002pt;width:15.85pt;height:7.2000000000000002pt;z-index:-188743761;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rPr>
                        <w:t>#</w:t>
                      </w:r>
                    </w:fldSimple>
                  </w:p>
                </w:txbxContent>
              </v:textbox>
              <w10:wrap anchorx="page" anchory="page"/>
            </v:shape>
          </w:pict>
        </mc:Fallback>
      </mc:AlternateContent>
    </w:r>
  </w:p>
</w:ftr>
</file>

<file path=word/footer8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6" behindDoc="1" locked="0" layoutInCell="1" allowOverlap="1">
              <wp:simplePos x="0" y="0"/>
              <wp:positionH relativeFrom="page">
                <wp:posOffset>6456045</wp:posOffset>
              </wp:positionH>
              <wp:positionV relativeFrom="page">
                <wp:posOffset>10019030</wp:posOffset>
              </wp:positionV>
              <wp:extent cx="201295" cy="91440"/>
              <wp:wrapNone/>
              <wp:docPr id="392" name="Shape 392"/>
              <a:graphic xmlns:a="http://schemas.openxmlformats.org/drawingml/2006/main">
                <a:graphicData uri="http://schemas.microsoft.com/office/word/2010/wordprocessingShape">
                  <wps:wsp>
                    <wps:cNvSpPr txBox="1"/>
                    <wps:spPr>
                      <a:xfrm>
                        <a:ext cx="201295" cy="9144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rPr>
                              <w:t>#</w:t>
                            </w:r>
                          </w:fldSimple>
                        </w:p>
                      </w:txbxContent>
                    </wps:txbx>
                    <wps:bodyPr wrap="none" lIns="0" tIns="0" rIns="0" bIns="0">
                      <a:spAutoFit/>
                    </wps:bodyPr>
                  </wps:wsp>
                </a:graphicData>
              </a:graphic>
            </wp:anchor>
          </w:drawing>
        </mc:Choice>
        <mc:Fallback>
          <w:pict>
            <v:shape id="_x0000_s1418" type="#_x0000_t202" style="position:absolute;margin-left:508.35000000000002pt;margin-top:788.89999999999998pt;width:15.85pt;height:7.2000000000000002pt;z-index:-188743757;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rPr>
                        <w:t>#</w:t>
                      </w:r>
                    </w:fldSimple>
                  </w:p>
                </w:txbxContent>
              </v:textbox>
              <w10:wrap anchorx="page" anchory="page"/>
            </v:shape>
          </w:pict>
        </mc:Fallback>
      </mc:AlternateContent>
    </w:r>
  </w:p>
</w:ftr>
</file>

<file path=word/footer8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0" behindDoc="1" locked="0" layoutInCell="1" allowOverlap="1">
              <wp:simplePos x="0" y="0"/>
              <wp:positionH relativeFrom="page">
                <wp:posOffset>6456045</wp:posOffset>
              </wp:positionH>
              <wp:positionV relativeFrom="page">
                <wp:posOffset>10019030</wp:posOffset>
              </wp:positionV>
              <wp:extent cx="201295" cy="91440"/>
              <wp:wrapNone/>
              <wp:docPr id="396" name="Shape 396"/>
              <a:graphic xmlns:a="http://schemas.openxmlformats.org/drawingml/2006/main">
                <a:graphicData uri="http://schemas.microsoft.com/office/word/2010/wordprocessingShape">
                  <wps:wsp>
                    <wps:cNvSpPr txBox="1"/>
                    <wps:spPr>
                      <a:xfrm>
                        <a:ext cx="201295" cy="9144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rPr>
                              <w:t>#</w:t>
                            </w:r>
                          </w:fldSimple>
                        </w:p>
                      </w:txbxContent>
                    </wps:txbx>
                    <wps:bodyPr wrap="none" lIns="0" tIns="0" rIns="0" bIns="0">
                      <a:spAutoFit/>
                    </wps:bodyPr>
                  </wps:wsp>
                </a:graphicData>
              </a:graphic>
            </wp:anchor>
          </w:drawing>
        </mc:Choice>
        <mc:Fallback>
          <w:pict>
            <v:shape id="_x0000_s1422" type="#_x0000_t202" style="position:absolute;margin-left:508.35000000000002pt;margin-top:788.89999999999998pt;width:15.85pt;height:7.2000000000000002pt;z-index:-188743753;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rPr>
                        <w:t>#</w:t>
                      </w:r>
                    </w:fldSimple>
                  </w:p>
                </w:txbxContent>
              </v:textbox>
              <w10:wrap anchorx="page" anchory="page"/>
            </v:shape>
          </w:pict>
        </mc:Fallback>
      </mc:AlternateContent>
    </w:r>
  </w:p>
</w:ftr>
</file>

<file path=word/footer8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4" behindDoc="1" locked="0" layoutInCell="1" allowOverlap="1">
              <wp:simplePos x="0" y="0"/>
              <wp:positionH relativeFrom="page">
                <wp:posOffset>9571355</wp:posOffset>
              </wp:positionH>
              <wp:positionV relativeFrom="page">
                <wp:posOffset>6837045</wp:posOffset>
              </wp:positionV>
              <wp:extent cx="201295" cy="91440"/>
              <wp:wrapNone/>
              <wp:docPr id="414" name="Shape 414"/>
              <a:graphic xmlns:a="http://schemas.openxmlformats.org/drawingml/2006/main">
                <a:graphicData uri="http://schemas.microsoft.com/office/word/2010/wordprocessingShape">
                  <wps:wsp>
                    <wps:cNvSpPr txBox="1"/>
                    <wps:spPr>
                      <a:xfrm>
                        <a:ext cx="201295" cy="9144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rPr>
                              <w:t>#</w:t>
                            </w:r>
                          </w:fldSimple>
                        </w:p>
                      </w:txbxContent>
                    </wps:txbx>
                    <wps:bodyPr wrap="none" lIns="0" tIns="0" rIns="0" bIns="0">
                      <a:spAutoFit/>
                    </wps:bodyPr>
                  </wps:wsp>
                </a:graphicData>
              </a:graphic>
            </wp:anchor>
          </w:drawing>
        </mc:Choice>
        <mc:Fallback>
          <w:pict>
            <v:shape id="_x0000_s1440" type="#_x0000_t202" style="position:absolute;margin-left:753.64999999999998pt;margin-top:538.35000000000002pt;width:15.85pt;height:7.2000000000000002pt;z-index:-188743749;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rPr>
                        <w:t>#</w:t>
                      </w:r>
                    </w:fldSimple>
                  </w:p>
                </w:txbxContent>
              </v:textbox>
              <w10:wrap anchorx="page" anchory="page"/>
            </v:shape>
          </w:pict>
        </mc:Fallback>
      </mc:AlternateContent>
    </w:r>
  </w:p>
</w:ftr>
</file>

<file path=word/footer8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8" behindDoc="1" locked="0" layoutInCell="1" allowOverlap="1">
              <wp:simplePos x="0" y="0"/>
              <wp:positionH relativeFrom="page">
                <wp:posOffset>9571355</wp:posOffset>
              </wp:positionH>
              <wp:positionV relativeFrom="page">
                <wp:posOffset>6837045</wp:posOffset>
              </wp:positionV>
              <wp:extent cx="201295" cy="91440"/>
              <wp:wrapNone/>
              <wp:docPr id="418" name="Shape 418"/>
              <a:graphic xmlns:a="http://schemas.openxmlformats.org/drawingml/2006/main">
                <a:graphicData uri="http://schemas.microsoft.com/office/word/2010/wordprocessingShape">
                  <wps:wsp>
                    <wps:cNvSpPr txBox="1"/>
                    <wps:spPr>
                      <a:xfrm>
                        <a:ext cx="201295" cy="9144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rPr>
                              <w:t>#</w:t>
                            </w:r>
                          </w:fldSimple>
                        </w:p>
                      </w:txbxContent>
                    </wps:txbx>
                    <wps:bodyPr wrap="none" lIns="0" tIns="0" rIns="0" bIns="0">
                      <a:spAutoFit/>
                    </wps:bodyPr>
                  </wps:wsp>
                </a:graphicData>
              </a:graphic>
            </wp:anchor>
          </w:drawing>
        </mc:Choice>
        <mc:Fallback>
          <w:pict>
            <v:shape id="_x0000_s1444" type="#_x0000_t202" style="position:absolute;margin-left:753.64999999999998pt;margin-top:538.35000000000002pt;width:15.85pt;height:7.2000000000000002pt;z-index:-188743745;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rPr>
                        <w:t>#</w:t>
                      </w:r>
                    </w:fldSimple>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8" behindDoc="1" locked="0" layoutInCell="1" allowOverlap="1">
              <wp:simplePos x="0" y="0"/>
              <wp:positionH relativeFrom="page">
                <wp:posOffset>9660255</wp:posOffset>
              </wp:positionH>
              <wp:positionV relativeFrom="page">
                <wp:posOffset>7009765</wp:posOffset>
              </wp:positionV>
              <wp:extent cx="118745" cy="85090"/>
              <wp:wrapNone/>
              <wp:docPr id="50" name="Shape 50"/>
              <a:graphic xmlns:a="http://schemas.openxmlformats.org/drawingml/2006/main">
                <a:graphicData uri="http://schemas.microsoft.com/office/word/2010/wordprocessingShape">
                  <wps:wsp>
                    <wps:cNvSpPr txBox="1"/>
                    <wps:spPr>
                      <a:xfrm>
                        <a:ext cx="118745" cy="8509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076" type="#_x0000_t202" style="position:absolute;margin-left:760.64999999999998pt;margin-top:551.95000000000005pt;width:9.3499999999999996pt;height:6.7000000000000002pt;z-index:-188744025;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9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2" behindDoc="1" locked="0" layoutInCell="1" allowOverlap="1">
              <wp:simplePos x="0" y="0"/>
              <wp:positionH relativeFrom="page">
                <wp:posOffset>6456045</wp:posOffset>
              </wp:positionH>
              <wp:positionV relativeFrom="page">
                <wp:posOffset>10019030</wp:posOffset>
              </wp:positionV>
              <wp:extent cx="201295" cy="91440"/>
              <wp:wrapNone/>
              <wp:docPr id="422" name="Shape 422"/>
              <a:graphic xmlns:a="http://schemas.openxmlformats.org/drawingml/2006/main">
                <a:graphicData uri="http://schemas.microsoft.com/office/word/2010/wordprocessingShape">
                  <wps:wsp>
                    <wps:cNvSpPr txBox="1"/>
                    <wps:spPr>
                      <a:xfrm>
                        <a:ext cx="201295" cy="9144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rPr>
                              <w:t>#</w:t>
                            </w:r>
                          </w:fldSimple>
                        </w:p>
                      </w:txbxContent>
                    </wps:txbx>
                    <wps:bodyPr wrap="none" lIns="0" tIns="0" rIns="0" bIns="0">
                      <a:spAutoFit/>
                    </wps:bodyPr>
                  </wps:wsp>
                </a:graphicData>
              </a:graphic>
            </wp:anchor>
          </w:drawing>
        </mc:Choice>
        <mc:Fallback>
          <w:pict>
            <v:shape id="_x0000_s1448" type="#_x0000_t202" style="position:absolute;margin-left:508.35000000000002pt;margin-top:788.89999999999998pt;width:15.85pt;height:7.2000000000000002pt;z-index:-188743741;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rPr>
                        <w:t>#</w:t>
                      </w:r>
                    </w:fldSimple>
                  </w:p>
                </w:txbxContent>
              </v:textbox>
              <w10:wrap anchorx="page" anchory="page"/>
            </v:shape>
          </w:pict>
        </mc:Fallback>
      </mc:AlternateContent>
    </w:r>
  </w:p>
</w:ftr>
</file>

<file path=word/footer9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6" behindDoc="1" locked="0" layoutInCell="1" allowOverlap="1">
              <wp:simplePos x="0" y="0"/>
              <wp:positionH relativeFrom="page">
                <wp:posOffset>6456045</wp:posOffset>
              </wp:positionH>
              <wp:positionV relativeFrom="page">
                <wp:posOffset>10019030</wp:posOffset>
              </wp:positionV>
              <wp:extent cx="201295" cy="91440"/>
              <wp:wrapNone/>
              <wp:docPr id="426" name="Shape 426"/>
              <a:graphic xmlns:a="http://schemas.openxmlformats.org/drawingml/2006/main">
                <a:graphicData uri="http://schemas.microsoft.com/office/word/2010/wordprocessingShape">
                  <wps:wsp>
                    <wps:cNvSpPr txBox="1"/>
                    <wps:spPr>
                      <a:xfrm>
                        <a:ext cx="201295" cy="9144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rPr>
                              <w:t>#</w:t>
                            </w:r>
                          </w:fldSimple>
                        </w:p>
                      </w:txbxContent>
                    </wps:txbx>
                    <wps:bodyPr wrap="none" lIns="0" tIns="0" rIns="0" bIns="0">
                      <a:spAutoFit/>
                    </wps:bodyPr>
                  </wps:wsp>
                </a:graphicData>
              </a:graphic>
            </wp:anchor>
          </w:drawing>
        </mc:Choice>
        <mc:Fallback>
          <w:pict>
            <v:shape id="_x0000_s1452" type="#_x0000_t202" style="position:absolute;margin-left:508.35000000000002pt;margin-top:788.89999999999998pt;width:15.85pt;height:7.2000000000000002pt;z-index:-188743737;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rPr>
                        <w:t>#</w:t>
                      </w:r>
                    </w:fldSimple>
                  </w:p>
                </w:txbxContent>
              </v:textbox>
              <w10:wrap anchorx="page" anchory="page"/>
            </v:shape>
          </w:pict>
        </mc:Fallback>
      </mc:AlternateContent>
    </w:r>
  </w:p>
</w:ftr>
</file>

<file path=word/footer9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9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9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2" behindDoc="1" locked="0" layoutInCell="1" allowOverlap="1">
              <wp:simplePos x="0" y="0"/>
              <wp:positionH relativeFrom="page">
                <wp:posOffset>4995545</wp:posOffset>
              </wp:positionH>
              <wp:positionV relativeFrom="page">
                <wp:posOffset>6835140</wp:posOffset>
              </wp:positionV>
              <wp:extent cx="201295" cy="91440"/>
              <wp:wrapNone/>
              <wp:docPr id="432" name="Shape 432"/>
              <a:graphic xmlns:a="http://schemas.openxmlformats.org/drawingml/2006/main">
                <a:graphicData uri="http://schemas.microsoft.com/office/word/2010/wordprocessingShape">
                  <wps:wsp>
                    <wps:cNvSpPr txBox="1"/>
                    <wps:spPr>
                      <a:xfrm>
                        <a:ext cx="201295" cy="9144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rPr>
                              <w:t>#</w:t>
                            </w:r>
                          </w:fldSimple>
                        </w:p>
                      </w:txbxContent>
                    </wps:txbx>
                    <wps:bodyPr wrap="none" lIns="0" tIns="0" rIns="0" bIns="0">
                      <a:spAutoFit/>
                    </wps:bodyPr>
                  </wps:wsp>
                </a:graphicData>
              </a:graphic>
            </wp:anchor>
          </w:drawing>
        </mc:Choice>
        <mc:Fallback>
          <w:pict>
            <v:shape id="_x0000_s1458" type="#_x0000_t202" style="position:absolute;margin-left:393.35000000000002pt;margin-top:538.20000000000005pt;width:15.85pt;height:7.2000000000000002pt;z-index:-188743731;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rPr>
                        <w:t>#</w:t>
                      </w:r>
                    </w:fldSimple>
                  </w:p>
                </w:txbxContent>
              </v:textbox>
              <w10:wrap anchorx="page" anchory="page"/>
            </v:shape>
          </w:pict>
        </mc:Fallback>
      </mc:AlternateContent>
    </w:r>
  </w:p>
</w:ftr>
</file>

<file path=word/footer9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4" behindDoc="1" locked="0" layoutInCell="1" allowOverlap="1">
              <wp:simplePos x="0" y="0"/>
              <wp:positionH relativeFrom="page">
                <wp:posOffset>4995545</wp:posOffset>
              </wp:positionH>
              <wp:positionV relativeFrom="page">
                <wp:posOffset>6835140</wp:posOffset>
              </wp:positionV>
              <wp:extent cx="201295" cy="91440"/>
              <wp:wrapNone/>
              <wp:docPr id="434" name="Shape 434"/>
              <a:graphic xmlns:a="http://schemas.openxmlformats.org/drawingml/2006/main">
                <a:graphicData uri="http://schemas.microsoft.com/office/word/2010/wordprocessingShape">
                  <wps:wsp>
                    <wps:cNvSpPr txBox="1"/>
                    <wps:spPr>
                      <a:xfrm>
                        <a:ext cx="201295" cy="9144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rPr>
                              <w:t>#</w:t>
                            </w:r>
                          </w:fldSimple>
                        </w:p>
                      </w:txbxContent>
                    </wps:txbx>
                    <wps:bodyPr wrap="none" lIns="0" tIns="0" rIns="0" bIns="0">
                      <a:spAutoFit/>
                    </wps:bodyPr>
                  </wps:wsp>
                </a:graphicData>
              </a:graphic>
            </wp:anchor>
          </w:drawing>
        </mc:Choice>
        <mc:Fallback>
          <w:pict>
            <v:shape id="_x0000_s1460" type="#_x0000_t202" style="position:absolute;margin-left:393.35000000000002pt;margin-top:538.20000000000005pt;width:15.85pt;height:7.2000000000000002pt;z-index:-188743729;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rPr>
                        <w:t>#</w:t>
                      </w:r>
                    </w:fldSimple>
                  </w:p>
                </w:txbxContent>
              </v:textbox>
              <w10:wrap anchorx="page" anchory="page"/>
            </v:shape>
          </w:pict>
        </mc:Fallback>
      </mc:AlternateContent>
    </w:r>
  </w:p>
</w:ftr>
</file>

<file path=word/footer9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8" behindDoc="1" locked="0" layoutInCell="1" allowOverlap="1">
              <wp:simplePos x="0" y="0"/>
              <wp:positionH relativeFrom="page">
                <wp:posOffset>10028555</wp:posOffset>
              </wp:positionH>
              <wp:positionV relativeFrom="page">
                <wp:posOffset>6837045</wp:posOffset>
              </wp:positionV>
              <wp:extent cx="201295" cy="91440"/>
              <wp:wrapNone/>
              <wp:docPr id="438" name="Shape 438"/>
              <a:graphic xmlns:a="http://schemas.openxmlformats.org/drawingml/2006/main">
                <a:graphicData uri="http://schemas.microsoft.com/office/word/2010/wordprocessingShape">
                  <wps:wsp>
                    <wps:cNvSpPr txBox="1"/>
                    <wps:spPr>
                      <a:xfrm>
                        <a:ext cx="201295" cy="9144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rPr>
                              <w:t>#</w:t>
                            </w:r>
                          </w:fldSimple>
                        </w:p>
                      </w:txbxContent>
                    </wps:txbx>
                    <wps:bodyPr wrap="none" lIns="0" tIns="0" rIns="0" bIns="0">
                      <a:spAutoFit/>
                    </wps:bodyPr>
                  </wps:wsp>
                </a:graphicData>
              </a:graphic>
            </wp:anchor>
          </w:drawing>
        </mc:Choice>
        <mc:Fallback>
          <w:pict>
            <v:shape id="_x0000_s1464" type="#_x0000_t202" style="position:absolute;margin-left:789.64999999999998pt;margin-top:538.35000000000002pt;width:15.85pt;height:7.2000000000000002pt;z-index:-188743725;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rPr>
                        <w:t>#</w:t>
                      </w:r>
                    </w:fldSimple>
                  </w:p>
                </w:txbxContent>
              </v:textbox>
              <w10:wrap anchorx="page" anchory="page"/>
            </v:shape>
          </w:pict>
        </mc:Fallback>
      </mc:AlternateContent>
    </w:r>
  </w:p>
</w:ftr>
</file>

<file path=word/footer9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2" behindDoc="1" locked="0" layoutInCell="1" allowOverlap="1">
              <wp:simplePos x="0" y="0"/>
              <wp:positionH relativeFrom="page">
                <wp:posOffset>10028555</wp:posOffset>
              </wp:positionH>
              <wp:positionV relativeFrom="page">
                <wp:posOffset>6837045</wp:posOffset>
              </wp:positionV>
              <wp:extent cx="201295" cy="91440"/>
              <wp:wrapNone/>
              <wp:docPr id="442" name="Shape 442"/>
              <a:graphic xmlns:a="http://schemas.openxmlformats.org/drawingml/2006/main">
                <a:graphicData uri="http://schemas.microsoft.com/office/word/2010/wordprocessingShape">
                  <wps:wsp>
                    <wps:cNvSpPr txBox="1"/>
                    <wps:spPr>
                      <a:xfrm>
                        <a:ext cx="201295" cy="9144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rPr>
                              <w:t>#</w:t>
                            </w:r>
                          </w:fldSimple>
                        </w:p>
                      </w:txbxContent>
                    </wps:txbx>
                    <wps:bodyPr wrap="none" lIns="0" tIns="0" rIns="0" bIns="0">
                      <a:spAutoFit/>
                    </wps:bodyPr>
                  </wps:wsp>
                </a:graphicData>
              </a:graphic>
            </wp:anchor>
          </w:drawing>
        </mc:Choice>
        <mc:Fallback>
          <w:pict>
            <v:shape id="_x0000_s1468" type="#_x0000_t202" style="position:absolute;margin-left:789.64999999999998pt;margin-top:538.35000000000002pt;width:15.85pt;height:7.2000000000000002pt;z-index:-188743721;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rPr>
                        <w:t>#</w:t>
                      </w:r>
                    </w:fldSimple>
                  </w:p>
                </w:txbxContent>
              </v:textbox>
              <w10:wrap anchorx="page" anchory="page"/>
            </v:shape>
          </w:pict>
        </mc:Fallback>
      </mc:AlternateContent>
    </w:r>
  </w:p>
</w:ftr>
</file>

<file path=word/footer9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9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4122420</wp:posOffset>
              </wp:positionH>
              <wp:positionV relativeFrom="page">
                <wp:posOffset>481965</wp:posOffset>
              </wp:positionV>
              <wp:extent cx="2706370" cy="115570"/>
              <wp:wrapNone/>
              <wp:docPr id="1" name="Shape 1"/>
              <a:graphic xmlns:a="http://schemas.openxmlformats.org/drawingml/2006/main">
                <a:graphicData uri="http://schemas.microsoft.com/office/word/2010/wordprocessingShape">
                  <wps:wsp>
                    <wps:cNvSpPr txBox="1"/>
                    <wps:spPr>
                      <a:xfrm>
                        <a:ext cx="2706370" cy="11557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苏宁云商集团股份有限公司</w:t>
                          </w:r>
                          <w:r>
                            <w:rPr>
                              <w:color w:val="000000"/>
                              <w:spacing w:val="0"/>
                              <w:w w:val="100"/>
                              <w:position w:val="0"/>
                            </w:rPr>
                            <w:t>2016</w:t>
                          </w:r>
                          <w:r>
                            <w:rPr>
                              <w:rFonts w:ascii="SimSun" w:eastAsia="SimSun" w:hAnsi="SimSun" w:cs="SimSun"/>
                              <w:color w:val="000000"/>
                              <w:spacing w:val="0"/>
                              <w:w w:val="100"/>
                              <w:position w:val="0"/>
                            </w:rPr>
                            <w:t>年年度报告全文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24.60000000000002pt;margin-top:37.950000000000003pt;width:213.09999999999999pt;height:9.0999999999999996pt;z-index:-18874406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苏宁云商集团股份有限公司</w:t>
                    </w:r>
                    <w:r>
                      <w:rPr>
                        <w:color w:val="000000"/>
                        <w:spacing w:val="0"/>
                        <w:w w:val="100"/>
                        <w:position w:val="0"/>
                      </w:rPr>
                      <w:t>2016</w:t>
                    </w:r>
                    <w:r>
                      <w:rPr>
                        <w:rFonts w:ascii="SimSun" w:eastAsia="SimSun" w:hAnsi="SimSun" w:cs="SimSun"/>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718185</wp:posOffset>
              </wp:positionH>
              <wp:positionV relativeFrom="page">
                <wp:posOffset>638810</wp:posOffset>
              </wp:positionV>
              <wp:extent cx="6123305" cy="0"/>
              <wp:wrapNone/>
              <wp:docPr id="3" name="Shape 3"/>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6.550000000000004pt;margin-top:50.300000000000004pt;width:482.15000000000003pt;height:0;z-index:-251658240;mso-position-horizontal-relative:page;mso-position-vertical-relative:page">
              <v:stroke weight="1.pt"/>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7062470</wp:posOffset>
              </wp:positionH>
              <wp:positionV relativeFrom="page">
                <wp:posOffset>562610</wp:posOffset>
              </wp:positionV>
              <wp:extent cx="2706370" cy="115570"/>
              <wp:wrapNone/>
              <wp:docPr id="42" name="Shape 42"/>
              <a:graphic xmlns:a="http://schemas.openxmlformats.org/drawingml/2006/main">
                <a:graphicData uri="http://schemas.microsoft.com/office/word/2010/wordprocessingShape">
                  <wps:wsp>
                    <wps:cNvSpPr txBox="1"/>
                    <wps:spPr>
                      <a:xfrm>
                        <a:ext cx="2706370" cy="11557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苏宁云商集团股份有限公司</w:t>
                          </w:r>
                          <w:r>
                            <w:rPr>
                              <w:color w:val="000000"/>
                              <w:spacing w:val="0"/>
                              <w:w w:val="100"/>
                              <w:position w:val="0"/>
                            </w:rPr>
                            <w:t>2016</w:t>
                          </w:r>
                          <w:r>
                            <w:rPr>
                              <w:rFonts w:ascii="SimSun" w:eastAsia="SimSun" w:hAnsi="SimSun" w:cs="SimSun"/>
                              <w:color w:val="000000"/>
                              <w:spacing w:val="0"/>
                              <w:w w:val="100"/>
                              <w:position w:val="0"/>
                            </w:rPr>
                            <w:t>年年度报告全文</w:t>
                          </w:r>
                        </w:p>
                      </w:txbxContent>
                    </wps:txbx>
                    <wps:bodyPr wrap="none" lIns="0" tIns="0" rIns="0" bIns="0">
                      <a:spAutoFit/>
                    </wps:bodyPr>
                  </wps:wsp>
                </a:graphicData>
              </a:graphic>
            </wp:anchor>
          </w:drawing>
        </mc:Choice>
        <mc:Fallback>
          <w:pict>
            <v:shape id="_x0000_s1068" type="#_x0000_t202" style="position:absolute;margin-left:556.10000000000002pt;margin-top:44.300000000000004pt;width:213.09999999999999pt;height:9.0999999999999996pt;z-index:-18874403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苏宁云商集团股份有限公司</w:t>
                    </w:r>
                    <w:r>
                      <w:rPr>
                        <w:color w:val="000000"/>
                        <w:spacing w:val="0"/>
                        <w:w w:val="100"/>
                        <w:position w:val="0"/>
                      </w:rPr>
                      <w:t>2016</w:t>
                    </w:r>
                    <w:r>
                      <w:rPr>
                        <w:rFonts w:ascii="SimSun" w:eastAsia="SimSun" w:hAnsi="SimSun" w:cs="SimSun"/>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911860</wp:posOffset>
              </wp:positionH>
              <wp:positionV relativeFrom="page">
                <wp:posOffset>719455</wp:posOffset>
              </wp:positionV>
              <wp:extent cx="8866505" cy="0"/>
              <wp:wrapNone/>
              <wp:docPr id="44" name="Shape 44"/>
              <a:graphic xmlns:a="http://schemas.openxmlformats.org/drawingml/2006/main">
                <a:graphicData uri="http://schemas.microsoft.com/office/word/2010/wordprocessingShape">
                  <wps:wsp>
                    <wps:cNvCnPr/>
                    <wps:spPr>
                      <a:xfrm>
                        <a:ext cx="8866505" cy="0"/>
                      </a:xfrm>
                      <a:prstGeom prst="straightConnector1"/>
                      <a:ln w="12700">
                        <a:solidFill/>
                      </a:ln>
                    </wps:spPr>
                    <wps:bodyPr/>
                  </wps:wsp>
                </a:graphicData>
              </a:graphic>
            </wp:anchor>
          </w:drawing>
        </mc:Choice>
        <mc:Fallback>
          <w:pict>
            <v:shape o:spt="32" o:oned="true" path="m,l21600,21600e" style="position:absolute;margin-left:71.799999999999997pt;margin-top:56.649999999999999pt;width:698.14999999999998pt;height:0;z-index:-251658240;mso-position-horizontal-relative:page;mso-position-vertical-relative:page">
              <v:stroke weight="1.pt"/>
            </v:shape>
          </w:pict>
        </mc:Fallback>
      </mc:AlternateContent>
    </w:r>
  </w:p>
</w:hdr>
</file>

<file path=word/header10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4" behindDoc="1" locked="0" layoutInCell="1" allowOverlap="1">
              <wp:simplePos x="0" y="0"/>
              <wp:positionH relativeFrom="page">
                <wp:posOffset>1374775</wp:posOffset>
              </wp:positionH>
              <wp:positionV relativeFrom="page">
                <wp:posOffset>483870</wp:posOffset>
              </wp:positionV>
              <wp:extent cx="1804670" cy="140335"/>
              <wp:wrapNone/>
              <wp:docPr id="444" name="Shape 444"/>
              <a:graphic xmlns:a="http://schemas.openxmlformats.org/drawingml/2006/main">
                <a:graphicData uri="http://schemas.microsoft.com/office/word/2010/wordprocessingShape">
                  <wps:wsp>
                    <wps:cNvSpPr txBox="1"/>
                    <wps:spPr>
                      <a:xfrm>
                        <a:ext cx="1804670" cy="140335"/>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苏宁云商集团股份有限公司</w:t>
                          </w:r>
                        </w:p>
                      </w:txbxContent>
                    </wps:txbx>
                    <wps:bodyPr wrap="none" lIns="0" tIns="0" rIns="0" bIns="0">
                      <a:spAutoFit/>
                    </wps:bodyPr>
                  </wps:wsp>
                </a:graphicData>
              </a:graphic>
            </wp:anchor>
          </w:drawing>
        </mc:Choice>
        <mc:Fallback>
          <w:pict>
            <v:shape id="_x0000_s1470" type="#_x0000_t202" style="position:absolute;margin-left:108.25pt;margin-top:38.100000000000001pt;width:142.09999999999999pt;height:11.050000000000001pt;z-index:-188743719;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苏宁云商集团股份有限公司</w:t>
                    </w:r>
                  </w:p>
                </w:txbxContent>
              </v:textbox>
              <w10:wrap anchorx="page" anchory="page"/>
            </v:shape>
          </w:pict>
        </mc:Fallback>
      </mc:AlternateContent>
    </w:r>
  </w:p>
</w:hdr>
</file>

<file path=word/header10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6" behindDoc="1" locked="0" layoutInCell="1" allowOverlap="1">
              <wp:simplePos x="0" y="0"/>
              <wp:positionH relativeFrom="page">
                <wp:posOffset>1374775</wp:posOffset>
              </wp:positionH>
              <wp:positionV relativeFrom="page">
                <wp:posOffset>483870</wp:posOffset>
              </wp:positionV>
              <wp:extent cx="1804670" cy="140335"/>
              <wp:wrapNone/>
              <wp:docPr id="446" name="Shape 446"/>
              <a:graphic xmlns:a="http://schemas.openxmlformats.org/drawingml/2006/main">
                <a:graphicData uri="http://schemas.microsoft.com/office/word/2010/wordprocessingShape">
                  <wps:wsp>
                    <wps:cNvSpPr txBox="1"/>
                    <wps:spPr>
                      <a:xfrm>
                        <a:ext cx="1804670" cy="140335"/>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苏宁云商集团股份有限公司</w:t>
                          </w:r>
                        </w:p>
                      </w:txbxContent>
                    </wps:txbx>
                    <wps:bodyPr wrap="none" lIns="0" tIns="0" rIns="0" bIns="0">
                      <a:spAutoFit/>
                    </wps:bodyPr>
                  </wps:wsp>
                </a:graphicData>
              </a:graphic>
            </wp:anchor>
          </w:drawing>
        </mc:Choice>
        <mc:Fallback>
          <w:pict>
            <v:shape id="_x0000_s1472" type="#_x0000_t202" style="position:absolute;margin-left:108.25pt;margin-top:38.100000000000001pt;width:142.09999999999999pt;height:11.050000000000001pt;z-index:-188743717;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苏宁云商集团股份有限公司</w:t>
                    </w:r>
                  </w:p>
                </w:txbxContent>
              </v:textbox>
              <w10:wrap anchorx="page" anchory="page"/>
            </v:shape>
          </w:pict>
        </mc:Fallback>
      </mc:AlternateContent>
    </w:r>
  </w:p>
</w:hdr>
</file>

<file path=word/header10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0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0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42" behindDoc="1" locked="0" layoutInCell="1" allowOverlap="1">
              <wp:simplePos x="0" y="0"/>
              <wp:positionH relativeFrom="page">
                <wp:posOffset>1375410</wp:posOffset>
              </wp:positionH>
              <wp:positionV relativeFrom="page">
                <wp:posOffset>481965</wp:posOffset>
              </wp:positionV>
              <wp:extent cx="1804670" cy="140335"/>
              <wp:wrapNone/>
              <wp:docPr id="452" name="Shape 452"/>
              <a:graphic xmlns:a="http://schemas.openxmlformats.org/drawingml/2006/main">
                <a:graphicData uri="http://schemas.microsoft.com/office/word/2010/wordprocessingShape">
                  <wps:wsp>
                    <wps:cNvSpPr txBox="1"/>
                    <wps:spPr>
                      <a:xfrm>
                        <a:ext cx="1804670" cy="140335"/>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苏宁云商集团股份有限公司</w:t>
                          </w:r>
                        </w:p>
                      </w:txbxContent>
                    </wps:txbx>
                    <wps:bodyPr wrap="none" lIns="0" tIns="0" rIns="0" bIns="0">
                      <a:spAutoFit/>
                    </wps:bodyPr>
                  </wps:wsp>
                </a:graphicData>
              </a:graphic>
            </wp:anchor>
          </w:drawing>
        </mc:Choice>
        <mc:Fallback>
          <w:pict>
            <v:shape id="_x0000_s1478" type="#_x0000_t202" style="position:absolute;margin-left:108.3pt;margin-top:37.950000000000003pt;width:142.09999999999999pt;height:11.050000000000001pt;z-index:-188743711;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苏宁云商集团股份有限公司</w:t>
                    </w:r>
                  </w:p>
                </w:txbxContent>
              </v:textbox>
              <w10:wrap anchorx="page" anchory="page"/>
            </v:shape>
          </w:pict>
        </mc:Fallback>
      </mc:AlternateContent>
    </w:r>
  </w:p>
</w:hdr>
</file>

<file path=word/header10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46" behindDoc="1" locked="0" layoutInCell="1" allowOverlap="1">
              <wp:simplePos x="0" y="0"/>
              <wp:positionH relativeFrom="page">
                <wp:posOffset>1375410</wp:posOffset>
              </wp:positionH>
              <wp:positionV relativeFrom="page">
                <wp:posOffset>481965</wp:posOffset>
              </wp:positionV>
              <wp:extent cx="1804670" cy="140335"/>
              <wp:wrapNone/>
              <wp:docPr id="456" name="Shape 456"/>
              <a:graphic xmlns:a="http://schemas.openxmlformats.org/drawingml/2006/main">
                <a:graphicData uri="http://schemas.microsoft.com/office/word/2010/wordprocessingShape">
                  <wps:wsp>
                    <wps:cNvSpPr txBox="1"/>
                    <wps:spPr>
                      <a:xfrm>
                        <a:ext cx="1804670" cy="140335"/>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苏宁云商集团股份有限公司</w:t>
                          </w:r>
                        </w:p>
                      </w:txbxContent>
                    </wps:txbx>
                    <wps:bodyPr wrap="none" lIns="0" tIns="0" rIns="0" bIns="0">
                      <a:spAutoFit/>
                    </wps:bodyPr>
                  </wps:wsp>
                </a:graphicData>
              </a:graphic>
            </wp:anchor>
          </w:drawing>
        </mc:Choice>
        <mc:Fallback>
          <w:pict>
            <v:shape id="_x0000_s1482" type="#_x0000_t202" style="position:absolute;margin-left:108.3pt;margin-top:37.950000000000003pt;width:142.09999999999999pt;height:11.050000000000001pt;z-index:-188743707;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苏宁云商集团股份有限公司</w:t>
                    </w:r>
                  </w:p>
                </w:txbxContent>
              </v:textbox>
              <w10:wrap anchorx="page" anchory="page"/>
            </v:shape>
          </w:pict>
        </mc:Fallback>
      </mc:AlternateContent>
    </w:r>
  </w:p>
</w:hdr>
</file>

<file path=word/header10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50" behindDoc="1" locked="0" layoutInCell="1" allowOverlap="1">
              <wp:simplePos x="0" y="0"/>
              <wp:positionH relativeFrom="page">
                <wp:posOffset>1362710</wp:posOffset>
              </wp:positionH>
              <wp:positionV relativeFrom="page">
                <wp:posOffset>483870</wp:posOffset>
              </wp:positionV>
              <wp:extent cx="1804670" cy="140335"/>
              <wp:wrapNone/>
              <wp:docPr id="460" name="Shape 460"/>
              <a:graphic xmlns:a="http://schemas.openxmlformats.org/drawingml/2006/main">
                <a:graphicData uri="http://schemas.microsoft.com/office/word/2010/wordprocessingShape">
                  <wps:wsp>
                    <wps:cNvSpPr txBox="1"/>
                    <wps:spPr>
                      <a:xfrm>
                        <a:ext cx="1804670" cy="140335"/>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苏宁云商集团股份有限公司</w:t>
                          </w:r>
                        </w:p>
                      </w:txbxContent>
                    </wps:txbx>
                    <wps:bodyPr wrap="none" lIns="0" tIns="0" rIns="0" bIns="0">
                      <a:spAutoFit/>
                    </wps:bodyPr>
                  </wps:wsp>
                </a:graphicData>
              </a:graphic>
            </wp:anchor>
          </w:drawing>
        </mc:Choice>
        <mc:Fallback>
          <w:pict>
            <v:shape id="_x0000_s1486" type="#_x0000_t202" style="position:absolute;margin-left:107.3pt;margin-top:38.100000000000001pt;width:142.09999999999999pt;height:11.050000000000001pt;z-index:-188743703;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苏宁云商集团股份有限公司</w:t>
                    </w:r>
                  </w:p>
                </w:txbxContent>
              </v:textbox>
              <w10:wrap anchorx="page" anchory="page"/>
            </v:shape>
          </w:pict>
        </mc:Fallback>
      </mc:AlternateContent>
    </w:r>
  </w:p>
</w:hdr>
</file>

<file path=word/header10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52" behindDoc="1" locked="0" layoutInCell="1" allowOverlap="1">
              <wp:simplePos x="0" y="0"/>
              <wp:positionH relativeFrom="page">
                <wp:posOffset>1362710</wp:posOffset>
              </wp:positionH>
              <wp:positionV relativeFrom="page">
                <wp:posOffset>483870</wp:posOffset>
              </wp:positionV>
              <wp:extent cx="1804670" cy="140335"/>
              <wp:wrapNone/>
              <wp:docPr id="462" name="Shape 462"/>
              <a:graphic xmlns:a="http://schemas.openxmlformats.org/drawingml/2006/main">
                <a:graphicData uri="http://schemas.microsoft.com/office/word/2010/wordprocessingShape">
                  <wps:wsp>
                    <wps:cNvSpPr txBox="1"/>
                    <wps:spPr>
                      <a:xfrm>
                        <a:ext cx="1804670" cy="140335"/>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苏宁云商集团股份有限公司</w:t>
                          </w:r>
                        </w:p>
                      </w:txbxContent>
                    </wps:txbx>
                    <wps:bodyPr wrap="none" lIns="0" tIns="0" rIns="0" bIns="0">
                      <a:spAutoFit/>
                    </wps:bodyPr>
                  </wps:wsp>
                </a:graphicData>
              </a:graphic>
            </wp:anchor>
          </w:drawing>
        </mc:Choice>
        <mc:Fallback>
          <w:pict>
            <v:shape id="_x0000_s1488" type="#_x0000_t202" style="position:absolute;margin-left:107.3pt;margin-top:38.100000000000001pt;width:142.09999999999999pt;height:11.050000000000001pt;z-index:-188743701;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苏宁云商集团股份有限公司</w:t>
                    </w:r>
                  </w:p>
                </w:txbxContent>
              </v:textbox>
              <w10:wrap anchorx="page" anchory="page"/>
            </v:shape>
          </w:pict>
        </mc:Fallback>
      </mc:AlternateContent>
    </w:r>
  </w:p>
</w:hdr>
</file>

<file path=word/header10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0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7069455</wp:posOffset>
              </wp:positionH>
              <wp:positionV relativeFrom="page">
                <wp:posOffset>474980</wp:posOffset>
              </wp:positionV>
              <wp:extent cx="2706370" cy="115570"/>
              <wp:wrapNone/>
              <wp:docPr id="47" name="Shape 47"/>
              <a:graphic xmlns:a="http://schemas.openxmlformats.org/drawingml/2006/main">
                <a:graphicData uri="http://schemas.microsoft.com/office/word/2010/wordprocessingShape">
                  <wps:wsp>
                    <wps:cNvSpPr txBox="1"/>
                    <wps:spPr>
                      <a:xfrm>
                        <a:ext cx="2706370" cy="11557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苏宁云商集团股份有限公司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73" type="#_x0000_t202" style="position:absolute;margin-left:556.64999999999998pt;margin-top:37.399999999999999pt;width:213.09999999999999pt;height:9.0999999999999996pt;z-index:-188744027;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苏宁云商集团股份有限公司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918210</wp:posOffset>
              </wp:positionH>
              <wp:positionV relativeFrom="page">
                <wp:posOffset>631825</wp:posOffset>
              </wp:positionV>
              <wp:extent cx="8866505" cy="0"/>
              <wp:wrapNone/>
              <wp:docPr id="49" name="Shape 49"/>
              <a:graphic xmlns:a="http://schemas.openxmlformats.org/drawingml/2006/main">
                <a:graphicData uri="http://schemas.microsoft.com/office/word/2010/wordprocessingShape">
                  <wps:wsp>
                    <wps:cNvCnPr/>
                    <wps:spPr>
                      <a:xfrm>
                        <a:ext cx="8866505" cy="0"/>
                      </a:xfrm>
                      <a:prstGeom prst="straightConnector1"/>
                      <a:ln w="12700">
                        <a:solidFill/>
                      </a:ln>
                    </wps:spPr>
                    <wps:bodyPr/>
                  </wps:wsp>
                </a:graphicData>
              </a:graphic>
            </wp:anchor>
          </w:drawing>
        </mc:Choice>
        <mc:Fallback>
          <w:pict>
            <v:shape o:spt="32" o:oned="true" path="m,l21600,21600e" style="position:absolute;margin-left:72.299999999999997pt;margin-top:49.75pt;width:698.14999999999998pt;height:0;z-index:-251658240;mso-position-horizontal-relative:page;mso-position-vertical-relative:page">
              <v:stroke weight="1.pt"/>
            </v:shape>
          </w:pict>
        </mc:Fallback>
      </mc:AlternateContent>
    </w:r>
  </w:p>
</w:hdr>
</file>

<file path=word/header1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58" behindDoc="1" locked="0" layoutInCell="1" allowOverlap="1">
              <wp:simplePos x="0" y="0"/>
              <wp:positionH relativeFrom="page">
                <wp:posOffset>1548765</wp:posOffset>
              </wp:positionH>
              <wp:positionV relativeFrom="page">
                <wp:posOffset>676910</wp:posOffset>
              </wp:positionV>
              <wp:extent cx="1804670" cy="140335"/>
              <wp:wrapNone/>
              <wp:docPr id="468" name="Shape 468"/>
              <a:graphic xmlns:a="http://schemas.openxmlformats.org/drawingml/2006/main">
                <a:graphicData uri="http://schemas.microsoft.com/office/word/2010/wordprocessingShape">
                  <wps:wsp>
                    <wps:cNvSpPr txBox="1"/>
                    <wps:spPr>
                      <a:xfrm>
                        <a:ext cx="1804670" cy="140335"/>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苏宁云商集团股份有限公司</w:t>
                          </w:r>
                        </w:p>
                      </w:txbxContent>
                    </wps:txbx>
                    <wps:bodyPr wrap="none" lIns="0" tIns="0" rIns="0" bIns="0">
                      <a:spAutoFit/>
                    </wps:bodyPr>
                  </wps:wsp>
                </a:graphicData>
              </a:graphic>
            </wp:anchor>
          </w:drawing>
        </mc:Choice>
        <mc:Fallback>
          <w:pict>
            <v:shape id="_x0000_s1494" type="#_x0000_t202" style="position:absolute;margin-left:121.95pt;margin-top:53.300000000000004pt;width:142.09999999999999pt;height:11.050000000000001pt;z-index:-188743695;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苏宁云商集团股份有限公司</w:t>
                    </w:r>
                  </w:p>
                </w:txbxContent>
              </v:textbox>
              <w10:wrap anchorx="page" anchory="page"/>
            </v:shape>
          </w:pict>
        </mc:Fallback>
      </mc:AlternateContent>
    </w:r>
  </w:p>
</w:hdr>
</file>

<file path=word/header1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62" behindDoc="1" locked="0" layoutInCell="1" allowOverlap="1">
              <wp:simplePos x="0" y="0"/>
              <wp:positionH relativeFrom="page">
                <wp:posOffset>1548765</wp:posOffset>
              </wp:positionH>
              <wp:positionV relativeFrom="page">
                <wp:posOffset>676910</wp:posOffset>
              </wp:positionV>
              <wp:extent cx="1804670" cy="140335"/>
              <wp:wrapNone/>
              <wp:docPr id="472" name="Shape 472"/>
              <a:graphic xmlns:a="http://schemas.openxmlformats.org/drawingml/2006/main">
                <a:graphicData uri="http://schemas.microsoft.com/office/word/2010/wordprocessingShape">
                  <wps:wsp>
                    <wps:cNvSpPr txBox="1"/>
                    <wps:spPr>
                      <a:xfrm>
                        <a:ext cx="1804670" cy="140335"/>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苏宁云商集团股份有限公司</w:t>
                          </w:r>
                        </w:p>
                      </w:txbxContent>
                    </wps:txbx>
                    <wps:bodyPr wrap="none" lIns="0" tIns="0" rIns="0" bIns="0">
                      <a:spAutoFit/>
                    </wps:bodyPr>
                  </wps:wsp>
                </a:graphicData>
              </a:graphic>
            </wp:anchor>
          </w:drawing>
        </mc:Choice>
        <mc:Fallback>
          <w:pict>
            <v:shape id="_x0000_s1498" type="#_x0000_t202" style="position:absolute;margin-left:121.95pt;margin-top:53.300000000000004pt;width:142.09999999999999pt;height:11.050000000000001pt;z-index:-188743691;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苏宁云商集团股份有限公司</w:t>
                    </w:r>
                  </w:p>
                </w:txbxContent>
              </v:textbox>
              <w10:wrap anchorx="page" anchory="page"/>
            </v:shape>
          </w:pict>
        </mc:Fallback>
      </mc:AlternateContent>
    </w:r>
  </w:p>
</w:hdr>
</file>

<file path=word/header1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66" behindDoc="1" locked="0" layoutInCell="1" allowOverlap="1">
              <wp:simplePos x="0" y="0"/>
              <wp:positionH relativeFrom="page">
                <wp:posOffset>1556385</wp:posOffset>
              </wp:positionH>
              <wp:positionV relativeFrom="page">
                <wp:posOffset>477520</wp:posOffset>
              </wp:positionV>
              <wp:extent cx="1804670" cy="140335"/>
              <wp:wrapNone/>
              <wp:docPr id="494" name="Shape 494"/>
              <a:graphic xmlns:a="http://schemas.openxmlformats.org/drawingml/2006/main">
                <a:graphicData uri="http://schemas.microsoft.com/office/word/2010/wordprocessingShape">
                  <wps:wsp>
                    <wps:cNvSpPr txBox="1"/>
                    <wps:spPr>
                      <a:xfrm>
                        <a:ext cx="1804670" cy="140335"/>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苏宁云商集团股份有限公司</w:t>
                          </w:r>
                        </w:p>
                      </w:txbxContent>
                    </wps:txbx>
                    <wps:bodyPr wrap="none" lIns="0" tIns="0" rIns="0" bIns="0">
                      <a:spAutoFit/>
                    </wps:bodyPr>
                  </wps:wsp>
                </a:graphicData>
              </a:graphic>
            </wp:anchor>
          </w:drawing>
        </mc:Choice>
        <mc:Fallback>
          <w:pict>
            <v:shape id="_x0000_s1520" type="#_x0000_t202" style="position:absolute;margin-left:122.55pt;margin-top:37.600000000000001pt;width:142.09999999999999pt;height:11.050000000000001pt;z-index:-188743687;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苏宁云商集团股份有限公司</w:t>
                    </w:r>
                  </w:p>
                </w:txbxContent>
              </v:textbox>
              <w10:wrap anchorx="page" anchory="page"/>
            </v:shape>
          </w:pict>
        </mc:Fallback>
      </mc:AlternateContent>
    </w:r>
  </w:p>
</w:hdr>
</file>

<file path=word/header1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70" behindDoc="1" locked="0" layoutInCell="1" allowOverlap="1">
              <wp:simplePos x="0" y="0"/>
              <wp:positionH relativeFrom="page">
                <wp:posOffset>1556385</wp:posOffset>
              </wp:positionH>
              <wp:positionV relativeFrom="page">
                <wp:posOffset>477520</wp:posOffset>
              </wp:positionV>
              <wp:extent cx="1804670" cy="140335"/>
              <wp:wrapNone/>
              <wp:docPr id="498" name="Shape 498"/>
              <a:graphic xmlns:a="http://schemas.openxmlformats.org/drawingml/2006/main">
                <a:graphicData uri="http://schemas.microsoft.com/office/word/2010/wordprocessingShape">
                  <wps:wsp>
                    <wps:cNvSpPr txBox="1"/>
                    <wps:spPr>
                      <a:xfrm>
                        <a:ext cx="1804670" cy="140335"/>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苏宁云商集团股份有限公司</w:t>
                          </w:r>
                        </w:p>
                      </w:txbxContent>
                    </wps:txbx>
                    <wps:bodyPr wrap="none" lIns="0" tIns="0" rIns="0" bIns="0">
                      <a:spAutoFit/>
                    </wps:bodyPr>
                  </wps:wsp>
                </a:graphicData>
              </a:graphic>
            </wp:anchor>
          </w:drawing>
        </mc:Choice>
        <mc:Fallback>
          <w:pict>
            <v:shape id="_x0000_s1524" type="#_x0000_t202" style="position:absolute;margin-left:122.55pt;margin-top:37.600000000000001pt;width:142.09999999999999pt;height:11.050000000000001pt;z-index:-188743683;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苏宁云商集团股份有限公司</w:t>
                    </w:r>
                  </w:p>
                </w:txbxContent>
              </v:textbox>
              <w10:wrap anchorx="page" anchory="page"/>
            </v:shape>
          </w:pict>
        </mc:Fallback>
      </mc:AlternateContent>
    </w:r>
  </w:p>
</w:hdr>
</file>

<file path=word/header1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74" behindDoc="1" locked="0" layoutInCell="1" allowOverlap="1">
              <wp:simplePos x="0" y="0"/>
              <wp:positionH relativeFrom="page">
                <wp:posOffset>928370</wp:posOffset>
              </wp:positionH>
              <wp:positionV relativeFrom="page">
                <wp:posOffset>482600</wp:posOffset>
              </wp:positionV>
              <wp:extent cx="1804670" cy="140335"/>
              <wp:wrapNone/>
              <wp:docPr id="534" name="Shape 534"/>
              <a:graphic xmlns:a="http://schemas.openxmlformats.org/drawingml/2006/main">
                <a:graphicData uri="http://schemas.microsoft.com/office/word/2010/wordprocessingShape">
                  <wps:wsp>
                    <wps:cNvSpPr txBox="1"/>
                    <wps:spPr>
                      <a:xfrm>
                        <a:ext cx="1804670" cy="140335"/>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苏宁云商集团股份有限公司</w:t>
                          </w:r>
                        </w:p>
                      </w:txbxContent>
                    </wps:txbx>
                    <wps:bodyPr wrap="none" lIns="0" tIns="0" rIns="0" bIns="0">
                      <a:spAutoFit/>
                    </wps:bodyPr>
                  </wps:wsp>
                </a:graphicData>
              </a:graphic>
            </wp:anchor>
          </w:drawing>
        </mc:Choice>
        <mc:Fallback>
          <w:pict>
            <v:shape id="_x0000_s1560" type="#_x0000_t202" style="position:absolute;margin-left:73.100000000000009pt;margin-top:38.pt;width:142.09999999999999pt;height:11.050000000000001pt;z-index:-188743679;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苏宁云商集团股份有限公司</w:t>
                    </w:r>
                  </w:p>
                </w:txbxContent>
              </v:textbox>
              <w10:wrap anchorx="page" anchory="page"/>
            </v:shape>
          </w:pict>
        </mc:Fallback>
      </mc:AlternateContent>
    </w:r>
  </w:p>
</w:hdr>
</file>

<file path=word/header1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78" behindDoc="1" locked="0" layoutInCell="1" allowOverlap="1">
              <wp:simplePos x="0" y="0"/>
              <wp:positionH relativeFrom="page">
                <wp:posOffset>928370</wp:posOffset>
              </wp:positionH>
              <wp:positionV relativeFrom="page">
                <wp:posOffset>482600</wp:posOffset>
              </wp:positionV>
              <wp:extent cx="1804670" cy="140335"/>
              <wp:wrapNone/>
              <wp:docPr id="538" name="Shape 538"/>
              <a:graphic xmlns:a="http://schemas.openxmlformats.org/drawingml/2006/main">
                <a:graphicData uri="http://schemas.microsoft.com/office/word/2010/wordprocessingShape">
                  <wps:wsp>
                    <wps:cNvSpPr txBox="1"/>
                    <wps:spPr>
                      <a:xfrm>
                        <a:ext cx="1804670" cy="140335"/>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苏宁云商集团股份有限公司</w:t>
                          </w:r>
                        </w:p>
                      </w:txbxContent>
                    </wps:txbx>
                    <wps:bodyPr wrap="none" lIns="0" tIns="0" rIns="0" bIns="0">
                      <a:spAutoFit/>
                    </wps:bodyPr>
                  </wps:wsp>
                </a:graphicData>
              </a:graphic>
            </wp:anchor>
          </w:drawing>
        </mc:Choice>
        <mc:Fallback>
          <w:pict>
            <v:shape id="_x0000_s1564" type="#_x0000_t202" style="position:absolute;margin-left:73.100000000000009pt;margin-top:38.pt;width:142.09999999999999pt;height:11.050000000000001pt;z-index:-188743675;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苏宁云商集团股份有限公司</w:t>
                    </w:r>
                  </w:p>
                </w:txbxContent>
              </v:textbox>
              <w10:wrap anchorx="page" anchory="page"/>
            </v:shape>
          </w:pict>
        </mc:Fallback>
      </mc:AlternateContent>
    </w:r>
  </w:p>
</w:hdr>
</file>

<file path=word/header1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82" behindDoc="1" locked="0" layoutInCell="1" allowOverlap="1">
              <wp:simplePos x="0" y="0"/>
              <wp:positionH relativeFrom="page">
                <wp:posOffset>923290</wp:posOffset>
              </wp:positionH>
              <wp:positionV relativeFrom="page">
                <wp:posOffset>483235</wp:posOffset>
              </wp:positionV>
              <wp:extent cx="1804670" cy="140335"/>
              <wp:wrapNone/>
              <wp:docPr id="542" name="Shape 542"/>
              <a:graphic xmlns:a="http://schemas.openxmlformats.org/drawingml/2006/main">
                <a:graphicData uri="http://schemas.microsoft.com/office/word/2010/wordprocessingShape">
                  <wps:wsp>
                    <wps:cNvSpPr txBox="1"/>
                    <wps:spPr>
                      <a:xfrm>
                        <a:ext cx="1804670" cy="140335"/>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苏宁云商集团股份有限公司</w:t>
                          </w:r>
                        </w:p>
                      </w:txbxContent>
                    </wps:txbx>
                    <wps:bodyPr wrap="none" lIns="0" tIns="0" rIns="0" bIns="0">
                      <a:spAutoFit/>
                    </wps:bodyPr>
                  </wps:wsp>
                </a:graphicData>
              </a:graphic>
            </wp:anchor>
          </w:drawing>
        </mc:Choice>
        <mc:Fallback>
          <w:pict>
            <v:shape id="_x0000_s1568" type="#_x0000_t202" style="position:absolute;margin-left:72.700000000000003pt;margin-top:38.050000000000004pt;width:142.09999999999999pt;height:11.050000000000001pt;z-index:-188743671;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苏宁云商集团股份有限公司</w:t>
                    </w:r>
                  </w:p>
                </w:txbxContent>
              </v:textbox>
              <w10:wrap anchorx="page" anchory="page"/>
            </v:shape>
          </w:pict>
        </mc:Fallback>
      </mc:AlternateContent>
    </w:r>
  </w:p>
</w:hdr>
</file>

<file path=word/header1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1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0" behindDoc="1" locked="0" layoutInCell="1" allowOverlap="1">
              <wp:simplePos x="0" y="0"/>
              <wp:positionH relativeFrom="page">
                <wp:posOffset>7069455</wp:posOffset>
              </wp:positionH>
              <wp:positionV relativeFrom="page">
                <wp:posOffset>474980</wp:posOffset>
              </wp:positionV>
              <wp:extent cx="2706370" cy="115570"/>
              <wp:wrapNone/>
              <wp:docPr id="52" name="Shape 52"/>
              <a:graphic xmlns:a="http://schemas.openxmlformats.org/drawingml/2006/main">
                <a:graphicData uri="http://schemas.microsoft.com/office/word/2010/wordprocessingShape">
                  <wps:wsp>
                    <wps:cNvSpPr txBox="1"/>
                    <wps:spPr>
                      <a:xfrm>
                        <a:ext cx="2706370" cy="11557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苏宁云商集团股份有限公司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78" type="#_x0000_t202" style="position:absolute;margin-left:556.64999999999998pt;margin-top:37.399999999999999pt;width:213.09999999999999pt;height:9.0999999999999996pt;z-index:-188744023;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苏宁云商集团股份有限公司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918210</wp:posOffset>
              </wp:positionH>
              <wp:positionV relativeFrom="page">
                <wp:posOffset>631825</wp:posOffset>
              </wp:positionV>
              <wp:extent cx="8866505" cy="0"/>
              <wp:wrapNone/>
              <wp:docPr id="54" name="Shape 54"/>
              <a:graphic xmlns:a="http://schemas.openxmlformats.org/drawingml/2006/main">
                <a:graphicData uri="http://schemas.microsoft.com/office/word/2010/wordprocessingShape">
                  <wps:wsp>
                    <wps:cNvCnPr/>
                    <wps:spPr>
                      <a:xfrm>
                        <a:ext cx="8866505" cy="0"/>
                      </a:xfrm>
                      <a:prstGeom prst="straightConnector1"/>
                      <a:ln w="12700">
                        <a:solidFill/>
                      </a:ln>
                    </wps:spPr>
                    <wps:bodyPr/>
                  </wps:wsp>
                </a:graphicData>
              </a:graphic>
            </wp:anchor>
          </w:drawing>
        </mc:Choice>
        <mc:Fallback>
          <w:pict>
            <v:shape o:spt="32" o:oned="true" path="m,l21600,21600e" style="position:absolute;margin-left:72.299999999999997pt;margin-top:49.75pt;width:698.14999999999998pt;height:0;z-index:-251658240;mso-position-horizontal-relative:page;mso-position-vertical-relative:page">
              <v:stroke weight="1.pt"/>
            </v:shape>
          </w:pict>
        </mc:Fallback>
      </mc:AlternateContent>
    </w:r>
  </w:p>
</w:hdr>
</file>

<file path=word/header1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90" behindDoc="1" locked="0" layoutInCell="1" allowOverlap="1">
              <wp:simplePos x="0" y="0"/>
              <wp:positionH relativeFrom="page">
                <wp:posOffset>1560195</wp:posOffset>
              </wp:positionH>
              <wp:positionV relativeFrom="page">
                <wp:posOffset>485140</wp:posOffset>
              </wp:positionV>
              <wp:extent cx="1804670" cy="140335"/>
              <wp:wrapNone/>
              <wp:docPr id="558" name="Shape 558"/>
              <a:graphic xmlns:a="http://schemas.openxmlformats.org/drawingml/2006/main">
                <a:graphicData uri="http://schemas.microsoft.com/office/word/2010/wordprocessingShape">
                  <wps:wsp>
                    <wps:cNvSpPr txBox="1"/>
                    <wps:spPr>
                      <a:xfrm>
                        <a:ext cx="1804670" cy="140335"/>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苏宁云商集团股份有限公司</w:t>
                          </w:r>
                        </w:p>
                      </w:txbxContent>
                    </wps:txbx>
                    <wps:bodyPr wrap="none" lIns="0" tIns="0" rIns="0" bIns="0">
                      <a:spAutoFit/>
                    </wps:bodyPr>
                  </wps:wsp>
                </a:graphicData>
              </a:graphic>
            </wp:anchor>
          </w:drawing>
        </mc:Choice>
        <mc:Fallback>
          <w:pict>
            <v:shape id="_x0000_s1584" type="#_x0000_t202" style="position:absolute;margin-left:122.85000000000001pt;margin-top:38.200000000000003pt;width:142.09999999999999pt;height:11.050000000000001pt;z-index:-188743663;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苏宁云商集团股份有限公司</w:t>
                    </w:r>
                  </w:p>
                </w:txbxContent>
              </v:textbox>
              <w10:wrap anchorx="page" anchory="page"/>
            </v:shape>
          </w:pict>
        </mc:Fallback>
      </mc:AlternateContent>
    </w:r>
  </w:p>
</w:hdr>
</file>

<file path=word/header1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94" behindDoc="1" locked="0" layoutInCell="1" allowOverlap="1">
              <wp:simplePos x="0" y="0"/>
              <wp:positionH relativeFrom="page">
                <wp:posOffset>1560195</wp:posOffset>
              </wp:positionH>
              <wp:positionV relativeFrom="page">
                <wp:posOffset>485140</wp:posOffset>
              </wp:positionV>
              <wp:extent cx="1804670" cy="140335"/>
              <wp:wrapNone/>
              <wp:docPr id="562" name="Shape 562"/>
              <a:graphic xmlns:a="http://schemas.openxmlformats.org/drawingml/2006/main">
                <a:graphicData uri="http://schemas.microsoft.com/office/word/2010/wordprocessingShape">
                  <wps:wsp>
                    <wps:cNvSpPr txBox="1"/>
                    <wps:spPr>
                      <a:xfrm>
                        <a:ext cx="1804670" cy="140335"/>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苏宁云商集团股份有限公司</w:t>
                          </w:r>
                        </w:p>
                      </w:txbxContent>
                    </wps:txbx>
                    <wps:bodyPr wrap="none" lIns="0" tIns="0" rIns="0" bIns="0">
                      <a:spAutoFit/>
                    </wps:bodyPr>
                  </wps:wsp>
                </a:graphicData>
              </a:graphic>
            </wp:anchor>
          </w:drawing>
        </mc:Choice>
        <mc:Fallback>
          <w:pict>
            <v:shape id="_x0000_s1588" type="#_x0000_t202" style="position:absolute;margin-left:122.85000000000001pt;margin-top:38.200000000000003pt;width:142.09999999999999pt;height:11.050000000000001pt;z-index:-188743659;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苏宁云商集团股份有限公司</w:t>
                    </w:r>
                  </w:p>
                </w:txbxContent>
              </v:textbox>
              <w10:wrap anchorx="page" anchory="page"/>
            </v:shape>
          </w:pict>
        </mc:Fallback>
      </mc:AlternateContent>
    </w:r>
  </w:p>
</w:hdr>
</file>

<file path=word/header12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98" behindDoc="1" locked="0" layoutInCell="1" allowOverlap="1">
              <wp:simplePos x="0" y="0"/>
              <wp:positionH relativeFrom="page">
                <wp:posOffset>1560195</wp:posOffset>
              </wp:positionH>
              <wp:positionV relativeFrom="page">
                <wp:posOffset>485140</wp:posOffset>
              </wp:positionV>
              <wp:extent cx="1804670" cy="140335"/>
              <wp:wrapNone/>
              <wp:docPr id="566" name="Shape 566"/>
              <a:graphic xmlns:a="http://schemas.openxmlformats.org/drawingml/2006/main">
                <a:graphicData uri="http://schemas.microsoft.com/office/word/2010/wordprocessingShape">
                  <wps:wsp>
                    <wps:cNvSpPr txBox="1"/>
                    <wps:spPr>
                      <a:xfrm>
                        <a:ext cx="1804670" cy="140335"/>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苏宁云商集团股份有限公司</w:t>
                          </w:r>
                        </w:p>
                      </w:txbxContent>
                    </wps:txbx>
                    <wps:bodyPr wrap="none" lIns="0" tIns="0" rIns="0" bIns="0">
                      <a:spAutoFit/>
                    </wps:bodyPr>
                  </wps:wsp>
                </a:graphicData>
              </a:graphic>
            </wp:anchor>
          </w:drawing>
        </mc:Choice>
        <mc:Fallback>
          <w:pict>
            <v:shape id="_x0000_s1592" type="#_x0000_t202" style="position:absolute;margin-left:122.85000000000001pt;margin-top:38.200000000000003pt;width:142.09999999999999pt;height:11.050000000000001pt;z-index:-188743655;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苏宁云商集团股份有限公司</w:t>
                    </w:r>
                  </w:p>
                </w:txbxContent>
              </v:textbox>
              <w10:wrap anchorx="page" anchory="page"/>
            </v:shape>
          </w:pict>
        </mc:Fallback>
      </mc:AlternateContent>
    </w:r>
  </w:p>
</w:hdr>
</file>

<file path=word/header12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02" behindDoc="1" locked="0" layoutInCell="1" allowOverlap="1">
              <wp:simplePos x="0" y="0"/>
              <wp:positionH relativeFrom="page">
                <wp:posOffset>1560195</wp:posOffset>
              </wp:positionH>
              <wp:positionV relativeFrom="page">
                <wp:posOffset>485140</wp:posOffset>
              </wp:positionV>
              <wp:extent cx="1804670" cy="140335"/>
              <wp:wrapNone/>
              <wp:docPr id="570" name="Shape 570"/>
              <a:graphic xmlns:a="http://schemas.openxmlformats.org/drawingml/2006/main">
                <a:graphicData uri="http://schemas.microsoft.com/office/word/2010/wordprocessingShape">
                  <wps:wsp>
                    <wps:cNvSpPr txBox="1"/>
                    <wps:spPr>
                      <a:xfrm>
                        <a:ext cx="1804670" cy="140335"/>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苏宁云商集团股份有限公司</w:t>
                          </w:r>
                        </w:p>
                      </w:txbxContent>
                    </wps:txbx>
                    <wps:bodyPr wrap="none" lIns="0" tIns="0" rIns="0" bIns="0">
                      <a:spAutoFit/>
                    </wps:bodyPr>
                  </wps:wsp>
                </a:graphicData>
              </a:graphic>
            </wp:anchor>
          </w:drawing>
        </mc:Choice>
        <mc:Fallback>
          <w:pict>
            <v:shape id="_x0000_s1596" type="#_x0000_t202" style="position:absolute;margin-left:122.85000000000001pt;margin-top:38.200000000000003pt;width:142.09999999999999pt;height:11.050000000000001pt;z-index:-188743651;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苏宁云商集团股份有限公司</w:t>
                    </w:r>
                  </w:p>
                </w:txbxContent>
              </v:textbox>
              <w10:wrap anchorx="page" anchory="page"/>
            </v:shape>
          </w:pict>
        </mc:Fallback>
      </mc:AlternateContent>
    </w:r>
  </w:p>
</w:hdr>
</file>

<file path=word/header12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06" behindDoc="1" locked="0" layoutInCell="1" allowOverlap="1">
              <wp:simplePos x="0" y="0"/>
              <wp:positionH relativeFrom="page">
                <wp:posOffset>1566545</wp:posOffset>
              </wp:positionH>
              <wp:positionV relativeFrom="page">
                <wp:posOffset>485140</wp:posOffset>
              </wp:positionV>
              <wp:extent cx="1804670" cy="140335"/>
              <wp:wrapNone/>
              <wp:docPr id="576" name="Shape 576"/>
              <a:graphic xmlns:a="http://schemas.openxmlformats.org/drawingml/2006/main">
                <a:graphicData uri="http://schemas.microsoft.com/office/word/2010/wordprocessingShape">
                  <wps:wsp>
                    <wps:cNvSpPr txBox="1"/>
                    <wps:spPr>
                      <a:xfrm>
                        <a:ext cx="1804670" cy="140335"/>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苏宁云商集团股份有限公司</w:t>
                          </w:r>
                        </w:p>
                      </w:txbxContent>
                    </wps:txbx>
                    <wps:bodyPr wrap="none" lIns="0" tIns="0" rIns="0" bIns="0">
                      <a:spAutoFit/>
                    </wps:bodyPr>
                  </wps:wsp>
                </a:graphicData>
              </a:graphic>
            </wp:anchor>
          </w:drawing>
        </mc:Choice>
        <mc:Fallback>
          <w:pict>
            <v:shape id="_x0000_s1602" type="#_x0000_t202" style="position:absolute;margin-left:123.35000000000001pt;margin-top:38.200000000000003pt;width:142.09999999999999pt;height:11.050000000000001pt;z-index:-188743647;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苏宁云商集团股份有限公司</w:t>
                    </w:r>
                  </w:p>
                </w:txbxContent>
              </v:textbox>
              <w10:wrap anchorx="page" anchory="page"/>
            </v:shape>
          </w:pict>
        </mc:Fallback>
      </mc:AlternateContent>
    </w:r>
  </w:p>
</w:hdr>
</file>

<file path=word/header12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10" behindDoc="1" locked="0" layoutInCell="1" allowOverlap="1">
              <wp:simplePos x="0" y="0"/>
              <wp:positionH relativeFrom="page">
                <wp:posOffset>1566545</wp:posOffset>
              </wp:positionH>
              <wp:positionV relativeFrom="page">
                <wp:posOffset>485140</wp:posOffset>
              </wp:positionV>
              <wp:extent cx="1804670" cy="140335"/>
              <wp:wrapNone/>
              <wp:docPr id="580" name="Shape 580"/>
              <a:graphic xmlns:a="http://schemas.openxmlformats.org/drawingml/2006/main">
                <a:graphicData uri="http://schemas.microsoft.com/office/word/2010/wordprocessingShape">
                  <wps:wsp>
                    <wps:cNvSpPr txBox="1"/>
                    <wps:spPr>
                      <a:xfrm>
                        <a:ext cx="1804670" cy="140335"/>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苏宁云商集团股份有限公司</w:t>
                          </w:r>
                        </w:p>
                      </w:txbxContent>
                    </wps:txbx>
                    <wps:bodyPr wrap="none" lIns="0" tIns="0" rIns="0" bIns="0">
                      <a:spAutoFit/>
                    </wps:bodyPr>
                  </wps:wsp>
                </a:graphicData>
              </a:graphic>
            </wp:anchor>
          </w:drawing>
        </mc:Choice>
        <mc:Fallback>
          <w:pict>
            <v:shape id="_x0000_s1606" type="#_x0000_t202" style="position:absolute;margin-left:123.35000000000001pt;margin-top:38.200000000000003pt;width:142.09999999999999pt;height:11.050000000000001pt;z-index:-188743643;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苏宁云商集团股份有限公司</w:t>
                    </w:r>
                  </w:p>
                </w:txbxContent>
              </v:textbox>
              <w10:wrap anchorx="page" anchory="page"/>
            </v:shape>
          </w:pict>
        </mc:Fallback>
      </mc:AlternateContent>
    </w:r>
  </w:p>
</w:hdr>
</file>

<file path=word/header12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14" behindDoc="1" locked="0" layoutInCell="1" allowOverlap="1">
              <wp:simplePos x="0" y="0"/>
              <wp:positionH relativeFrom="page">
                <wp:posOffset>1076325</wp:posOffset>
              </wp:positionH>
              <wp:positionV relativeFrom="page">
                <wp:posOffset>464185</wp:posOffset>
              </wp:positionV>
              <wp:extent cx="1804670" cy="140335"/>
              <wp:wrapNone/>
              <wp:docPr id="596" name="Shape 596"/>
              <a:graphic xmlns:a="http://schemas.openxmlformats.org/drawingml/2006/main">
                <a:graphicData uri="http://schemas.microsoft.com/office/word/2010/wordprocessingShape">
                  <wps:wsp>
                    <wps:cNvSpPr txBox="1"/>
                    <wps:spPr>
                      <a:xfrm>
                        <a:ext cx="1804670" cy="140335"/>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苏宁云商集团股份有限公司</w:t>
                          </w:r>
                        </w:p>
                      </w:txbxContent>
                    </wps:txbx>
                    <wps:bodyPr wrap="none" lIns="0" tIns="0" rIns="0" bIns="0">
                      <a:spAutoFit/>
                    </wps:bodyPr>
                  </wps:wsp>
                </a:graphicData>
              </a:graphic>
            </wp:anchor>
          </w:drawing>
        </mc:Choice>
        <mc:Fallback>
          <w:pict>
            <v:shape id="_x0000_s1622" type="#_x0000_t202" style="position:absolute;margin-left:84.75pt;margin-top:36.550000000000004pt;width:142.09999999999999pt;height:11.050000000000001pt;z-index:-188743639;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苏宁云商集团股份有限公司</w:t>
                    </w:r>
                  </w:p>
                </w:txbxContent>
              </v:textbox>
              <w10:wrap anchorx="page" anchory="page"/>
            </v:shape>
          </w:pict>
        </mc:Fallback>
      </mc:AlternateContent>
    </w:r>
  </w:p>
</w:hdr>
</file>

<file path=word/header12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18" behindDoc="1" locked="0" layoutInCell="1" allowOverlap="1">
              <wp:simplePos x="0" y="0"/>
              <wp:positionH relativeFrom="page">
                <wp:posOffset>1076325</wp:posOffset>
              </wp:positionH>
              <wp:positionV relativeFrom="page">
                <wp:posOffset>464185</wp:posOffset>
              </wp:positionV>
              <wp:extent cx="1804670" cy="140335"/>
              <wp:wrapNone/>
              <wp:docPr id="600" name="Shape 600"/>
              <a:graphic xmlns:a="http://schemas.openxmlformats.org/drawingml/2006/main">
                <a:graphicData uri="http://schemas.microsoft.com/office/word/2010/wordprocessingShape">
                  <wps:wsp>
                    <wps:cNvSpPr txBox="1"/>
                    <wps:spPr>
                      <a:xfrm>
                        <a:ext cx="1804670" cy="140335"/>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苏宁云商集团股份有限公司</w:t>
                          </w:r>
                        </w:p>
                      </w:txbxContent>
                    </wps:txbx>
                    <wps:bodyPr wrap="none" lIns="0" tIns="0" rIns="0" bIns="0">
                      <a:spAutoFit/>
                    </wps:bodyPr>
                  </wps:wsp>
                </a:graphicData>
              </a:graphic>
            </wp:anchor>
          </w:drawing>
        </mc:Choice>
        <mc:Fallback>
          <w:pict>
            <v:shape id="_x0000_s1626" type="#_x0000_t202" style="position:absolute;margin-left:84.75pt;margin-top:36.550000000000004pt;width:142.09999999999999pt;height:11.050000000000001pt;z-index:-188743635;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苏宁云商集团股份有限公司</w:t>
                    </w:r>
                  </w:p>
                </w:txbxContent>
              </v:textbox>
              <w10:wrap anchorx="page" anchory="page"/>
            </v:shape>
          </w:pict>
        </mc:Fallback>
      </mc:AlternateContent>
    </w:r>
  </w:p>
</w:hdr>
</file>

<file path=word/header12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22" behindDoc="1" locked="0" layoutInCell="1" allowOverlap="1">
              <wp:simplePos x="0" y="0"/>
              <wp:positionH relativeFrom="page">
                <wp:posOffset>1566545</wp:posOffset>
              </wp:positionH>
              <wp:positionV relativeFrom="page">
                <wp:posOffset>485140</wp:posOffset>
              </wp:positionV>
              <wp:extent cx="1804670" cy="140335"/>
              <wp:wrapNone/>
              <wp:docPr id="604" name="Shape 604"/>
              <a:graphic xmlns:a="http://schemas.openxmlformats.org/drawingml/2006/main">
                <a:graphicData uri="http://schemas.microsoft.com/office/word/2010/wordprocessingShape">
                  <wps:wsp>
                    <wps:cNvSpPr txBox="1"/>
                    <wps:spPr>
                      <a:xfrm>
                        <a:ext cx="1804670" cy="140335"/>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苏宁云商集团股份有限公司</w:t>
                          </w:r>
                        </w:p>
                      </w:txbxContent>
                    </wps:txbx>
                    <wps:bodyPr wrap="none" lIns="0" tIns="0" rIns="0" bIns="0">
                      <a:spAutoFit/>
                    </wps:bodyPr>
                  </wps:wsp>
                </a:graphicData>
              </a:graphic>
            </wp:anchor>
          </w:drawing>
        </mc:Choice>
        <mc:Fallback>
          <w:pict>
            <v:shape id="_x0000_s1630" type="#_x0000_t202" style="position:absolute;margin-left:123.35000000000001pt;margin-top:38.200000000000003pt;width:142.09999999999999pt;height:11.050000000000001pt;z-index:-188743631;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苏宁云商集团股份有限公司</w:t>
                    </w:r>
                  </w:p>
                </w:txbxContent>
              </v:textbox>
              <w10:wrap anchorx="page" anchory="page"/>
            </v:shape>
          </w:pict>
        </mc:Fallback>
      </mc:AlternateContent>
    </w:r>
  </w:p>
</w:hdr>
</file>

<file path=word/header12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26" behindDoc="1" locked="0" layoutInCell="1" allowOverlap="1">
              <wp:simplePos x="0" y="0"/>
              <wp:positionH relativeFrom="page">
                <wp:posOffset>1566545</wp:posOffset>
              </wp:positionH>
              <wp:positionV relativeFrom="page">
                <wp:posOffset>485140</wp:posOffset>
              </wp:positionV>
              <wp:extent cx="1804670" cy="140335"/>
              <wp:wrapNone/>
              <wp:docPr id="608" name="Shape 608"/>
              <a:graphic xmlns:a="http://schemas.openxmlformats.org/drawingml/2006/main">
                <a:graphicData uri="http://schemas.microsoft.com/office/word/2010/wordprocessingShape">
                  <wps:wsp>
                    <wps:cNvSpPr txBox="1"/>
                    <wps:spPr>
                      <a:xfrm>
                        <a:ext cx="1804670" cy="140335"/>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苏宁云商集团股份有限公司</w:t>
                          </w:r>
                        </w:p>
                      </w:txbxContent>
                    </wps:txbx>
                    <wps:bodyPr wrap="none" lIns="0" tIns="0" rIns="0" bIns="0">
                      <a:spAutoFit/>
                    </wps:bodyPr>
                  </wps:wsp>
                </a:graphicData>
              </a:graphic>
            </wp:anchor>
          </w:drawing>
        </mc:Choice>
        <mc:Fallback>
          <w:pict>
            <v:shape id="_x0000_s1634" type="#_x0000_t202" style="position:absolute;margin-left:123.35000000000001pt;margin-top:38.200000000000003pt;width:142.09999999999999pt;height:11.050000000000001pt;z-index:-188743627;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苏宁云商集团股份有限公司</w:t>
                    </w:r>
                  </w:p>
                </w:txbxContent>
              </v:textbox>
              <w10:wrap anchorx="page" anchory="page"/>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4" behindDoc="1" locked="0" layoutInCell="1" allowOverlap="1">
              <wp:simplePos x="0" y="0"/>
              <wp:positionH relativeFrom="page">
                <wp:posOffset>4128135</wp:posOffset>
              </wp:positionH>
              <wp:positionV relativeFrom="page">
                <wp:posOffset>564515</wp:posOffset>
              </wp:positionV>
              <wp:extent cx="2706370" cy="115570"/>
              <wp:wrapNone/>
              <wp:docPr id="57" name="Shape 57"/>
              <a:graphic xmlns:a="http://schemas.openxmlformats.org/drawingml/2006/main">
                <a:graphicData uri="http://schemas.microsoft.com/office/word/2010/wordprocessingShape">
                  <wps:wsp>
                    <wps:cNvSpPr txBox="1"/>
                    <wps:spPr>
                      <a:xfrm>
                        <a:ext cx="2706370" cy="11557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苏宁云商集团股份有限公司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83" type="#_x0000_t202" style="position:absolute;margin-left:325.05000000000001pt;margin-top:44.450000000000003pt;width:213.09999999999999pt;height:9.0999999999999996pt;z-index:-188744019;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苏宁云商集团股份有限公司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723900</wp:posOffset>
              </wp:positionH>
              <wp:positionV relativeFrom="page">
                <wp:posOffset>721360</wp:posOffset>
              </wp:positionV>
              <wp:extent cx="6123305" cy="0"/>
              <wp:wrapNone/>
              <wp:docPr id="59" name="Shape 59"/>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7.pt;margin-top:56.800000000000004pt;width:482.15000000000003pt;height:0;z-index:-251658240;mso-position-horizontal-relative:page;mso-position-vertical-relative:page">
              <v:stroke weight="1.pt"/>
            </v:shape>
          </w:pict>
        </mc:Fallback>
      </mc:AlternateContent>
    </w:r>
  </w:p>
</w:hdr>
</file>

<file path=word/header13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30" behindDoc="1" locked="0" layoutInCell="1" allowOverlap="1">
              <wp:simplePos x="0" y="0"/>
              <wp:positionH relativeFrom="page">
                <wp:posOffset>1566545</wp:posOffset>
              </wp:positionH>
              <wp:positionV relativeFrom="page">
                <wp:posOffset>485140</wp:posOffset>
              </wp:positionV>
              <wp:extent cx="1804670" cy="140335"/>
              <wp:wrapNone/>
              <wp:docPr id="612" name="Shape 612"/>
              <a:graphic xmlns:a="http://schemas.openxmlformats.org/drawingml/2006/main">
                <a:graphicData uri="http://schemas.microsoft.com/office/word/2010/wordprocessingShape">
                  <wps:wsp>
                    <wps:cNvSpPr txBox="1"/>
                    <wps:spPr>
                      <a:xfrm>
                        <a:ext cx="1804670" cy="140335"/>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苏宁云商集团股份有限公司</w:t>
                          </w:r>
                        </w:p>
                      </w:txbxContent>
                    </wps:txbx>
                    <wps:bodyPr wrap="none" lIns="0" tIns="0" rIns="0" bIns="0">
                      <a:spAutoFit/>
                    </wps:bodyPr>
                  </wps:wsp>
                </a:graphicData>
              </a:graphic>
            </wp:anchor>
          </w:drawing>
        </mc:Choice>
        <mc:Fallback>
          <w:pict>
            <v:shape id="_x0000_s1638" type="#_x0000_t202" style="position:absolute;margin-left:123.35000000000001pt;margin-top:38.200000000000003pt;width:142.09999999999999pt;height:11.050000000000001pt;z-index:-188743623;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苏宁云商集团股份有限公司</w:t>
                    </w:r>
                  </w:p>
                </w:txbxContent>
              </v:textbox>
              <w10:wrap anchorx="page" anchory="page"/>
            </v:shape>
          </w:pict>
        </mc:Fallback>
      </mc:AlternateContent>
    </w:r>
  </w:p>
</w:hdr>
</file>

<file path=word/header13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34" behindDoc="1" locked="0" layoutInCell="1" allowOverlap="1">
              <wp:simplePos x="0" y="0"/>
              <wp:positionH relativeFrom="page">
                <wp:posOffset>4121785</wp:posOffset>
              </wp:positionH>
              <wp:positionV relativeFrom="page">
                <wp:posOffset>564515</wp:posOffset>
              </wp:positionV>
              <wp:extent cx="2706370" cy="115570"/>
              <wp:wrapNone/>
              <wp:docPr id="616" name="Shape 616"/>
              <a:graphic xmlns:a="http://schemas.openxmlformats.org/drawingml/2006/main">
                <a:graphicData uri="http://schemas.microsoft.com/office/word/2010/wordprocessingShape">
                  <wps:wsp>
                    <wps:cNvSpPr txBox="1"/>
                    <wps:spPr>
                      <a:xfrm>
                        <a:ext cx="2706370" cy="11557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苏宁云商集团股份有限公司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642" type="#_x0000_t202" style="position:absolute;margin-left:324.55000000000001pt;margin-top:44.450000000000003pt;width:213.09999999999999pt;height:9.0999999999999996pt;z-index:-188743619;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苏宁云商集团股份有限公司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717550</wp:posOffset>
              </wp:positionH>
              <wp:positionV relativeFrom="page">
                <wp:posOffset>721360</wp:posOffset>
              </wp:positionV>
              <wp:extent cx="6123305" cy="0"/>
              <wp:wrapNone/>
              <wp:docPr id="618" name="Shape 618"/>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6.5pt;margin-top:56.800000000000004pt;width:482.15000000000003pt;height:0;z-index:-251658240;mso-position-horizontal-relative:page;mso-position-vertical-relative:page">
              <v:stroke weight="1.pt"/>
            </v:shape>
          </w:pict>
        </mc:Fallback>
      </mc:AlternateContent>
    </w: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8" behindDoc="1" locked="0" layoutInCell="1" allowOverlap="1">
              <wp:simplePos x="0" y="0"/>
              <wp:positionH relativeFrom="page">
                <wp:posOffset>4128135</wp:posOffset>
              </wp:positionH>
              <wp:positionV relativeFrom="page">
                <wp:posOffset>564515</wp:posOffset>
              </wp:positionV>
              <wp:extent cx="2706370" cy="115570"/>
              <wp:wrapNone/>
              <wp:docPr id="62" name="Shape 62"/>
              <a:graphic xmlns:a="http://schemas.openxmlformats.org/drawingml/2006/main">
                <a:graphicData uri="http://schemas.microsoft.com/office/word/2010/wordprocessingShape">
                  <wps:wsp>
                    <wps:cNvSpPr txBox="1"/>
                    <wps:spPr>
                      <a:xfrm>
                        <a:ext cx="2706370" cy="11557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苏宁云商集团股份有限公司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88" type="#_x0000_t202" style="position:absolute;margin-left:325.05000000000001pt;margin-top:44.450000000000003pt;width:213.09999999999999pt;height:9.0999999999999996pt;z-index:-188744015;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苏宁云商集团股份有限公司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723900</wp:posOffset>
              </wp:positionH>
              <wp:positionV relativeFrom="page">
                <wp:posOffset>721360</wp:posOffset>
              </wp:positionV>
              <wp:extent cx="6123305" cy="0"/>
              <wp:wrapNone/>
              <wp:docPr id="64" name="Shape 64"/>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7.pt;margin-top:56.800000000000004pt;width:482.15000000000003pt;height:0;z-index:-251658240;mso-position-horizontal-relative:page;mso-position-vertical-relative:page">
              <v:stroke weight="1.pt"/>
            </v:shape>
          </w:pict>
        </mc:Fallback>
      </mc:AlternateContent>
    </w: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2" behindDoc="1" locked="0" layoutInCell="1" allowOverlap="1">
              <wp:simplePos x="0" y="0"/>
              <wp:positionH relativeFrom="page">
                <wp:posOffset>7011035</wp:posOffset>
              </wp:positionH>
              <wp:positionV relativeFrom="page">
                <wp:posOffset>562610</wp:posOffset>
              </wp:positionV>
              <wp:extent cx="2706370" cy="115570"/>
              <wp:wrapNone/>
              <wp:docPr id="67" name="Shape 67"/>
              <a:graphic xmlns:a="http://schemas.openxmlformats.org/drawingml/2006/main">
                <a:graphicData uri="http://schemas.microsoft.com/office/word/2010/wordprocessingShape">
                  <wps:wsp>
                    <wps:cNvSpPr txBox="1"/>
                    <wps:spPr>
                      <a:xfrm>
                        <a:ext cx="2706370" cy="115570"/>
                      </a:xfrm>
                      <a:prstGeom prst="rect"/>
                      <a:noFill/>
                    </wps:spPr>
                    <wps:txbx>
                      <w:txbxContent>
                        <w:p>
                          <w:pPr>
                            <w:pStyle w:val="Style63"/>
                            <w:keepNext w:val="0"/>
                            <w:keepLines w:val="0"/>
                            <w:widowControl w:val="0"/>
                            <w:shd w:val="clear" w:color="auto" w:fill="auto"/>
                            <w:tabs>
                              <w:tab w:pos="4262" w:val="right"/>
                            </w:tabs>
                            <w:bidi w:val="0"/>
                            <w:spacing w:before="0" w:after="0" w:line="240" w:lineRule="auto"/>
                            <w:ind w:left="0" w:right="0" w:firstLine="0"/>
                            <w:jc w:val="left"/>
                          </w:pPr>
                          <w:r>
                            <w:rPr>
                              <w:color w:val="000000"/>
                              <w:spacing w:val="0"/>
                              <w:w w:val="100"/>
                              <w:position w:val="0"/>
                            </w:rPr>
                            <w:t>苏宁云商集团股份有限公司</w:t>
                            <w:tab/>
                          </w:r>
                          <w:r>
                            <w:rPr>
                              <w:rFonts w:ascii="Times New Roman" w:eastAsia="Times New Roman" w:hAnsi="Times New Roman" w:cs="Times New Roman"/>
                              <w:color w:val="000000"/>
                              <w:spacing w:val="0"/>
                              <w:w w:val="100"/>
                              <w:position w:val="0"/>
                            </w:rPr>
                            <w:t>2016</w:t>
                          </w:r>
                          <w:r>
                            <w:rPr>
                              <w:color w:val="000000"/>
                              <w:spacing w:val="0"/>
                              <w:w w:val="100"/>
                              <w:position w:val="0"/>
                            </w:rPr>
                            <w:t>年年度报告全文</w:t>
                          </w:r>
                        </w:p>
                      </w:txbxContent>
                    </wps:txbx>
                    <wps:bodyPr lIns="0" tIns="0" rIns="0" bIns="0">
                      <a:spAutoFit/>
                    </wps:bodyPr>
                  </wps:wsp>
                </a:graphicData>
              </a:graphic>
            </wp:anchor>
          </w:drawing>
        </mc:Choice>
        <mc:Fallback>
          <w:pict>
            <v:shape id="_x0000_s1093" type="#_x0000_t202" style="position:absolute;margin-left:552.05000000000007pt;margin-top:44.300000000000004pt;width:213.09999999999999pt;height:9.0999999999999996pt;z-index:-188744011;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tabs>
                        <w:tab w:pos="4262" w:val="right"/>
                      </w:tabs>
                      <w:bidi w:val="0"/>
                      <w:spacing w:before="0" w:after="0" w:line="240" w:lineRule="auto"/>
                      <w:ind w:left="0" w:right="0" w:firstLine="0"/>
                      <w:jc w:val="left"/>
                    </w:pPr>
                    <w:r>
                      <w:rPr>
                        <w:color w:val="000000"/>
                        <w:spacing w:val="0"/>
                        <w:w w:val="100"/>
                        <w:position w:val="0"/>
                      </w:rPr>
                      <w:t>苏宁云商集团股份有限公司</w:t>
                      <w:tab/>
                    </w:r>
                    <w:r>
                      <w:rPr>
                        <w:rFonts w:ascii="Times New Roman" w:eastAsia="Times New Roman" w:hAnsi="Times New Roman" w:cs="Times New Roman"/>
                        <w:color w:val="000000"/>
                        <w:spacing w:val="0"/>
                        <w:w w:val="100"/>
                        <w:position w:val="0"/>
                      </w:rPr>
                      <w:t>2016</w:t>
                    </w:r>
                    <w:r>
                      <w:rPr>
                        <w:color w:val="000000"/>
                        <w:spacing w:val="0"/>
                        <w:w w:val="100"/>
                        <w:position w:val="0"/>
                      </w:rPr>
                      <w:t>年年度报告全文</w:t>
                    </w:r>
                  </w:p>
                </w:txbxContent>
              </v:textbox>
              <w10:wrap anchorx="page" anchory="page"/>
            </v:shape>
          </w:pict>
        </mc:Fallback>
      </mc:AlternateContent>
    </w: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6" behindDoc="1" locked="0" layoutInCell="1" allowOverlap="1">
              <wp:simplePos x="0" y="0"/>
              <wp:positionH relativeFrom="page">
                <wp:posOffset>7011035</wp:posOffset>
              </wp:positionH>
              <wp:positionV relativeFrom="page">
                <wp:posOffset>562610</wp:posOffset>
              </wp:positionV>
              <wp:extent cx="2706370" cy="115570"/>
              <wp:wrapNone/>
              <wp:docPr id="71" name="Shape 71"/>
              <a:graphic xmlns:a="http://schemas.openxmlformats.org/drawingml/2006/main">
                <a:graphicData uri="http://schemas.microsoft.com/office/word/2010/wordprocessingShape">
                  <wps:wsp>
                    <wps:cNvSpPr txBox="1"/>
                    <wps:spPr>
                      <a:xfrm>
                        <a:ext cx="2706370" cy="115570"/>
                      </a:xfrm>
                      <a:prstGeom prst="rect"/>
                      <a:noFill/>
                    </wps:spPr>
                    <wps:txbx>
                      <w:txbxContent>
                        <w:p>
                          <w:pPr>
                            <w:pStyle w:val="Style63"/>
                            <w:keepNext w:val="0"/>
                            <w:keepLines w:val="0"/>
                            <w:widowControl w:val="0"/>
                            <w:shd w:val="clear" w:color="auto" w:fill="auto"/>
                            <w:tabs>
                              <w:tab w:pos="4262" w:val="right"/>
                            </w:tabs>
                            <w:bidi w:val="0"/>
                            <w:spacing w:before="0" w:after="0" w:line="240" w:lineRule="auto"/>
                            <w:ind w:left="0" w:right="0" w:firstLine="0"/>
                            <w:jc w:val="left"/>
                          </w:pPr>
                          <w:r>
                            <w:rPr>
                              <w:color w:val="000000"/>
                              <w:spacing w:val="0"/>
                              <w:w w:val="100"/>
                              <w:position w:val="0"/>
                            </w:rPr>
                            <w:t>苏宁云商集团股份有限公司</w:t>
                            <w:tab/>
                          </w:r>
                          <w:r>
                            <w:rPr>
                              <w:rFonts w:ascii="Times New Roman" w:eastAsia="Times New Roman" w:hAnsi="Times New Roman" w:cs="Times New Roman"/>
                              <w:color w:val="000000"/>
                              <w:spacing w:val="0"/>
                              <w:w w:val="100"/>
                              <w:position w:val="0"/>
                            </w:rPr>
                            <w:t>2016</w:t>
                          </w:r>
                          <w:r>
                            <w:rPr>
                              <w:color w:val="000000"/>
                              <w:spacing w:val="0"/>
                              <w:w w:val="100"/>
                              <w:position w:val="0"/>
                            </w:rPr>
                            <w:t>年年度报告全文</w:t>
                          </w:r>
                        </w:p>
                      </w:txbxContent>
                    </wps:txbx>
                    <wps:bodyPr lIns="0" tIns="0" rIns="0" bIns="0">
                      <a:spAutoFit/>
                    </wps:bodyPr>
                  </wps:wsp>
                </a:graphicData>
              </a:graphic>
            </wp:anchor>
          </w:drawing>
        </mc:Choice>
        <mc:Fallback>
          <w:pict>
            <v:shape id="_x0000_s1097" type="#_x0000_t202" style="position:absolute;margin-left:552.05000000000007pt;margin-top:44.300000000000004pt;width:213.09999999999999pt;height:9.0999999999999996pt;z-index:-188744007;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tabs>
                        <w:tab w:pos="4262" w:val="right"/>
                      </w:tabs>
                      <w:bidi w:val="0"/>
                      <w:spacing w:before="0" w:after="0" w:line="240" w:lineRule="auto"/>
                      <w:ind w:left="0" w:right="0" w:firstLine="0"/>
                      <w:jc w:val="left"/>
                    </w:pPr>
                    <w:r>
                      <w:rPr>
                        <w:color w:val="000000"/>
                        <w:spacing w:val="0"/>
                        <w:w w:val="100"/>
                        <w:position w:val="0"/>
                      </w:rPr>
                      <w:t>苏宁云商集团股份有限公司</w:t>
                      <w:tab/>
                    </w:r>
                    <w:r>
                      <w:rPr>
                        <w:rFonts w:ascii="Times New Roman" w:eastAsia="Times New Roman" w:hAnsi="Times New Roman" w:cs="Times New Roman"/>
                        <w:color w:val="000000"/>
                        <w:spacing w:val="0"/>
                        <w:w w:val="100"/>
                        <w:position w:val="0"/>
                      </w:rPr>
                      <w:t>2016</w:t>
                    </w:r>
                    <w:r>
                      <w:rPr>
                        <w:color w:val="000000"/>
                        <w:spacing w:val="0"/>
                        <w:w w:val="100"/>
                        <w:position w:val="0"/>
                      </w:rPr>
                      <w:t>年年度报告全文</w:t>
                    </w:r>
                  </w:p>
                </w:txbxContent>
              </v:textbox>
              <w10:wrap anchorx="page" anchory="page"/>
            </v:shape>
          </w:pict>
        </mc:Fallback>
      </mc:AlternateContent>
    </w:r>
  </w:p>
</w:hdr>
</file>

<file path=word/header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0" behindDoc="1" locked="0" layoutInCell="1" allowOverlap="1">
              <wp:simplePos x="0" y="0"/>
              <wp:positionH relativeFrom="page">
                <wp:posOffset>4128135</wp:posOffset>
              </wp:positionH>
              <wp:positionV relativeFrom="page">
                <wp:posOffset>564515</wp:posOffset>
              </wp:positionV>
              <wp:extent cx="2706370" cy="115570"/>
              <wp:wrapNone/>
              <wp:docPr id="75" name="Shape 75"/>
              <a:graphic xmlns:a="http://schemas.openxmlformats.org/drawingml/2006/main">
                <a:graphicData uri="http://schemas.microsoft.com/office/word/2010/wordprocessingShape">
                  <wps:wsp>
                    <wps:cNvSpPr txBox="1"/>
                    <wps:spPr>
                      <a:xfrm>
                        <a:ext cx="2706370" cy="11557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苏宁云商集团股份有限公司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01" type="#_x0000_t202" style="position:absolute;margin-left:325.05000000000001pt;margin-top:44.450000000000003pt;width:213.09999999999999pt;height:9.0999999999999996pt;z-index:-188744003;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苏宁云商集团股份有限公司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723900</wp:posOffset>
              </wp:positionH>
              <wp:positionV relativeFrom="page">
                <wp:posOffset>721360</wp:posOffset>
              </wp:positionV>
              <wp:extent cx="6123305" cy="0"/>
              <wp:wrapNone/>
              <wp:docPr id="77" name="Shape 77"/>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7.pt;margin-top:56.800000000000004pt;width:482.15000000000003pt;height:0;z-index:-251658240;mso-position-horizontal-relative:page;mso-position-vertical-relative:page">
              <v:stroke weight="1.pt"/>
            </v:shape>
          </w:pict>
        </mc:Fallback>
      </mc:AlternateContent>
    </w:r>
  </w:p>
</w:hdr>
</file>

<file path=word/header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4" behindDoc="1" locked="0" layoutInCell="1" allowOverlap="1">
              <wp:simplePos x="0" y="0"/>
              <wp:positionH relativeFrom="page">
                <wp:posOffset>4128135</wp:posOffset>
              </wp:positionH>
              <wp:positionV relativeFrom="page">
                <wp:posOffset>564515</wp:posOffset>
              </wp:positionV>
              <wp:extent cx="2706370" cy="115570"/>
              <wp:wrapNone/>
              <wp:docPr id="80" name="Shape 80"/>
              <a:graphic xmlns:a="http://schemas.openxmlformats.org/drawingml/2006/main">
                <a:graphicData uri="http://schemas.microsoft.com/office/word/2010/wordprocessingShape">
                  <wps:wsp>
                    <wps:cNvSpPr txBox="1"/>
                    <wps:spPr>
                      <a:xfrm>
                        <a:ext cx="2706370" cy="11557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苏宁云商集团股份有限公司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06" type="#_x0000_t202" style="position:absolute;margin-left:325.05000000000001pt;margin-top:44.450000000000003pt;width:213.09999999999999pt;height:9.0999999999999996pt;z-index:-188743999;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苏宁云商集团股份有限公司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723900</wp:posOffset>
              </wp:positionH>
              <wp:positionV relativeFrom="page">
                <wp:posOffset>721360</wp:posOffset>
              </wp:positionV>
              <wp:extent cx="6123305" cy="0"/>
              <wp:wrapNone/>
              <wp:docPr id="82" name="Shape 82"/>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7.pt;margin-top:56.800000000000004pt;width:482.15000000000003pt;height:0;z-index:-251658240;mso-position-horizontal-relative:page;mso-position-vertical-relative:page">
              <v:stroke weight="1.pt"/>
            </v:shape>
          </w:pict>
        </mc:Fallback>
      </mc:AlternateContent>
    </w:r>
  </w:p>
</w:hdr>
</file>

<file path=word/header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8" behindDoc="1" locked="0" layoutInCell="1" allowOverlap="1">
              <wp:simplePos x="0" y="0"/>
              <wp:positionH relativeFrom="page">
                <wp:posOffset>7062470</wp:posOffset>
              </wp:positionH>
              <wp:positionV relativeFrom="page">
                <wp:posOffset>561975</wp:posOffset>
              </wp:positionV>
              <wp:extent cx="2706370" cy="115570"/>
              <wp:wrapNone/>
              <wp:docPr id="85" name="Shape 85"/>
              <a:graphic xmlns:a="http://schemas.openxmlformats.org/drawingml/2006/main">
                <a:graphicData uri="http://schemas.microsoft.com/office/word/2010/wordprocessingShape">
                  <wps:wsp>
                    <wps:cNvSpPr txBox="1"/>
                    <wps:spPr>
                      <a:xfrm>
                        <a:ext cx="2706370" cy="11557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苏宁云商集团股份有限公司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11" type="#_x0000_t202" style="position:absolute;margin-left:556.10000000000002pt;margin-top:44.25pt;width:213.09999999999999pt;height:9.0999999999999996pt;z-index:-188743995;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苏宁云商集团股份有限公司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911860</wp:posOffset>
              </wp:positionH>
              <wp:positionV relativeFrom="page">
                <wp:posOffset>718820</wp:posOffset>
              </wp:positionV>
              <wp:extent cx="8866505" cy="0"/>
              <wp:wrapNone/>
              <wp:docPr id="87" name="Shape 87"/>
              <a:graphic xmlns:a="http://schemas.openxmlformats.org/drawingml/2006/main">
                <a:graphicData uri="http://schemas.microsoft.com/office/word/2010/wordprocessingShape">
                  <wps:wsp>
                    <wps:cNvCnPr/>
                    <wps:spPr>
                      <a:xfrm>
                        <a:ext cx="8866505" cy="0"/>
                      </a:xfrm>
                      <a:prstGeom prst="straightConnector1"/>
                      <a:ln w="12700">
                        <a:solidFill/>
                      </a:ln>
                    </wps:spPr>
                    <wps:bodyPr/>
                  </wps:wsp>
                </a:graphicData>
              </a:graphic>
            </wp:anchor>
          </w:drawing>
        </mc:Choice>
        <mc:Fallback>
          <w:pict>
            <v:shape o:spt="32" o:oned="true" path="m,l21600,21600e" style="position:absolute;margin-left:71.799999999999997pt;margin-top:56.600000000000001pt;width:698.14999999999998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4122420</wp:posOffset>
              </wp:positionH>
              <wp:positionV relativeFrom="page">
                <wp:posOffset>481965</wp:posOffset>
              </wp:positionV>
              <wp:extent cx="2706370" cy="115570"/>
              <wp:wrapNone/>
              <wp:docPr id="4" name="Shape 4"/>
              <a:graphic xmlns:a="http://schemas.openxmlformats.org/drawingml/2006/main">
                <a:graphicData uri="http://schemas.microsoft.com/office/word/2010/wordprocessingShape">
                  <wps:wsp>
                    <wps:cNvSpPr txBox="1"/>
                    <wps:spPr>
                      <a:xfrm>
                        <a:ext cx="2706370" cy="11557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苏宁云商集团股份有限公司</w:t>
                          </w:r>
                          <w:r>
                            <w:rPr>
                              <w:color w:val="000000"/>
                              <w:spacing w:val="0"/>
                              <w:w w:val="100"/>
                              <w:position w:val="0"/>
                            </w:rPr>
                            <w:t>2016</w:t>
                          </w:r>
                          <w:r>
                            <w:rPr>
                              <w:rFonts w:ascii="SimSun" w:eastAsia="SimSun" w:hAnsi="SimSun" w:cs="SimSun"/>
                              <w:color w:val="000000"/>
                              <w:spacing w:val="0"/>
                              <w:w w:val="100"/>
                              <w:position w:val="0"/>
                            </w:rPr>
                            <w:t>年年度报告全文</w:t>
                          </w:r>
                        </w:p>
                      </w:txbxContent>
                    </wps:txbx>
                    <wps:bodyPr wrap="none" lIns="0" tIns="0" rIns="0" bIns="0">
                      <a:spAutoFit/>
                    </wps:bodyPr>
                  </wps:wsp>
                </a:graphicData>
              </a:graphic>
            </wp:anchor>
          </w:drawing>
        </mc:Choice>
        <mc:Fallback>
          <w:pict>
            <v:shape id="_x0000_s1030" type="#_x0000_t202" style="position:absolute;margin-left:324.60000000000002pt;margin-top:37.950000000000003pt;width:213.09999999999999pt;height:9.0999999999999996pt;z-index:-18874406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苏宁云商集团股份有限公司</w:t>
                    </w:r>
                    <w:r>
                      <w:rPr>
                        <w:color w:val="000000"/>
                        <w:spacing w:val="0"/>
                        <w:w w:val="100"/>
                        <w:position w:val="0"/>
                      </w:rPr>
                      <w:t>2016</w:t>
                    </w:r>
                    <w:r>
                      <w:rPr>
                        <w:rFonts w:ascii="SimSun" w:eastAsia="SimSun" w:hAnsi="SimSun" w:cs="SimSun"/>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718185</wp:posOffset>
              </wp:positionH>
              <wp:positionV relativeFrom="page">
                <wp:posOffset>638810</wp:posOffset>
              </wp:positionV>
              <wp:extent cx="6123305" cy="0"/>
              <wp:wrapNone/>
              <wp:docPr id="6" name="Shape 6"/>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6.550000000000004pt;margin-top:50.300000000000004pt;width:482.15000000000003pt;height:0;z-index:-251658240;mso-position-horizontal-relative:page;mso-position-vertical-relative:page">
              <v:stroke weight="1.pt"/>
            </v:shape>
          </w:pict>
        </mc:Fallback>
      </mc:AlternateContent>
    </w:r>
  </w:p>
</w:hdr>
</file>

<file path=word/header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2" behindDoc="1" locked="0" layoutInCell="1" allowOverlap="1">
              <wp:simplePos x="0" y="0"/>
              <wp:positionH relativeFrom="page">
                <wp:posOffset>7062470</wp:posOffset>
              </wp:positionH>
              <wp:positionV relativeFrom="page">
                <wp:posOffset>561975</wp:posOffset>
              </wp:positionV>
              <wp:extent cx="2706370" cy="115570"/>
              <wp:wrapNone/>
              <wp:docPr id="90" name="Shape 90"/>
              <a:graphic xmlns:a="http://schemas.openxmlformats.org/drawingml/2006/main">
                <a:graphicData uri="http://schemas.microsoft.com/office/word/2010/wordprocessingShape">
                  <wps:wsp>
                    <wps:cNvSpPr txBox="1"/>
                    <wps:spPr>
                      <a:xfrm>
                        <a:ext cx="2706370" cy="11557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苏宁云商集团股份有限公司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16" type="#_x0000_t202" style="position:absolute;margin-left:556.10000000000002pt;margin-top:44.25pt;width:213.09999999999999pt;height:9.0999999999999996pt;z-index:-188743991;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苏宁云商集团股份有限公司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911860</wp:posOffset>
              </wp:positionH>
              <wp:positionV relativeFrom="page">
                <wp:posOffset>718820</wp:posOffset>
              </wp:positionV>
              <wp:extent cx="8866505" cy="0"/>
              <wp:wrapNone/>
              <wp:docPr id="92" name="Shape 92"/>
              <a:graphic xmlns:a="http://schemas.openxmlformats.org/drawingml/2006/main">
                <a:graphicData uri="http://schemas.microsoft.com/office/word/2010/wordprocessingShape">
                  <wps:wsp>
                    <wps:cNvCnPr/>
                    <wps:spPr>
                      <a:xfrm>
                        <a:ext cx="8866505" cy="0"/>
                      </a:xfrm>
                      <a:prstGeom prst="straightConnector1"/>
                      <a:ln w="12700">
                        <a:solidFill/>
                      </a:ln>
                    </wps:spPr>
                    <wps:bodyPr/>
                  </wps:wsp>
                </a:graphicData>
              </a:graphic>
            </wp:anchor>
          </w:drawing>
        </mc:Choice>
        <mc:Fallback>
          <w:pict>
            <v:shape o:spt="32" o:oned="true" path="m,l21600,21600e" style="position:absolute;margin-left:71.799999999999997pt;margin-top:56.600000000000001pt;width:698.14999999999998pt;height:0;z-index:-251658240;mso-position-horizontal-relative:page;mso-position-vertical-relative:page">
              <v:stroke weight="1.pt"/>
            </v:shape>
          </w:pict>
        </mc:Fallback>
      </mc:AlternateContent>
    </w:r>
  </w:p>
</w:hdr>
</file>

<file path=word/header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2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2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6" behindDoc="1" locked="0" layoutInCell="1" allowOverlap="1">
              <wp:simplePos x="0" y="0"/>
              <wp:positionH relativeFrom="page">
                <wp:posOffset>1874520</wp:posOffset>
              </wp:positionH>
              <wp:positionV relativeFrom="page">
                <wp:posOffset>562610</wp:posOffset>
              </wp:positionV>
              <wp:extent cx="2703830" cy="115570"/>
              <wp:wrapNone/>
              <wp:docPr id="95" name="Shape 95"/>
              <a:graphic xmlns:a="http://schemas.openxmlformats.org/drawingml/2006/main">
                <a:graphicData uri="http://schemas.microsoft.com/office/word/2010/wordprocessingShape">
                  <wps:wsp>
                    <wps:cNvSpPr txBox="1"/>
                    <wps:spPr>
                      <a:xfrm>
                        <a:ext cx="2703830" cy="11557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苏宁云商集团股份有限公司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21" type="#_x0000_t202" style="position:absolute;margin-left:147.59999999999999pt;margin-top:44.300000000000004pt;width:212.90000000000001pt;height:9.0999999999999996pt;z-index:-188743987;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苏宁云商集团股份有限公司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年年度报告全文</w:t>
                    </w:r>
                  </w:p>
                </w:txbxContent>
              </v:textbox>
              <w10:wrap anchorx="page" anchory="page"/>
            </v:shape>
          </w:pict>
        </mc:Fallback>
      </mc:AlternateContent>
    </w:r>
  </w:p>
</w:hdr>
</file>

<file path=word/header2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0" behindDoc="1" locked="0" layoutInCell="1" allowOverlap="1">
              <wp:simplePos x="0" y="0"/>
              <wp:positionH relativeFrom="page">
                <wp:posOffset>1874520</wp:posOffset>
              </wp:positionH>
              <wp:positionV relativeFrom="page">
                <wp:posOffset>562610</wp:posOffset>
              </wp:positionV>
              <wp:extent cx="2703830" cy="115570"/>
              <wp:wrapNone/>
              <wp:docPr id="99" name="Shape 99"/>
              <a:graphic xmlns:a="http://schemas.openxmlformats.org/drawingml/2006/main">
                <a:graphicData uri="http://schemas.microsoft.com/office/word/2010/wordprocessingShape">
                  <wps:wsp>
                    <wps:cNvSpPr txBox="1"/>
                    <wps:spPr>
                      <a:xfrm>
                        <a:ext cx="2703830" cy="11557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苏宁云商集团股份有限公司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25" type="#_x0000_t202" style="position:absolute;margin-left:147.59999999999999pt;margin-top:44.300000000000004pt;width:212.90000000000001pt;height:9.0999999999999996pt;z-index:-188743983;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苏宁云商集团股份有限公司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年年度报告全文</w:t>
                    </w:r>
                  </w:p>
                </w:txbxContent>
              </v:textbox>
              <w10:wrap anchorx="page" anchory="page"/>
            </v:shape>
          </w:pict>
        </mc:Fallback>
      </mc:AlternateContent>
    </w:r>
  </w:p>
</w:hdr>
</file>

<file path=word/header2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2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2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4" behindDoc="1" locked="0" layoutInCell="1" allowOverlap="1">
              <wp:simplePos x="0" y="0"/>
              <wp:positionH relativeFrom="page">
                <wp:posOffset>1874520</wp:posOffset>
              </wp:positionH>
              <wp:positionV relativeFrom="page">
                <wp:posOffset>562610</wp:posOffset>
              </wp:positionV>
              <wp:extent cx="2703830" cy="115570"/>
              <wp:wrapNone/>
              <wp:docPr id="103" name="Shape 103"/>
              <a:graphic xmlns:a="http://schemas.openxmlformats.org/drawingml/2006/main">
                <a:graphicData uri="http://schemas.microsoft.com/office/word/2010/wordprocessingShape">
                  <wps:wsp>
                    <wps:cNvSpPr txBox="1"/>
                    <wps:spPr>
                      <a:xfrm>
                        <a:ext cx="2703830" cy="11557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苏宁云商集团股份有限公司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29" type="#_x0000_t202" style="position:absolute;margin-left:147.59999999999999pt;margin-top:44.300000000000004pt;width:212.90000000000001pt;height:9.0999999999999996pt;z-index:-188743979;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苏宁云商集团股份有限公司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年年度报告全文</w:t>
                    </w:r>
                  </w:p>
                </w:txbxContent>
              </v:textbox>
              <w10:wrap anchorx="page" anchory="page"/>
            </v:shape>
          </w:pict>
        </mc:Fallback>
      </mc:AlternateContent>
    </w:r>
  </w:p>
</w:hdr>
</file>

<file path=word/header2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8" behindDoc="1" locked="0" layoutInCell="1" allowOverlap="1">
              <wp:simplePos x="0" y="0"/>
              <wp:positionH relativeFrom="page">
                <wp:posOffset>1874520</wp:posOffset>
              </wp:positionH>
              <wp:positionV relativeFrom="page">
                <wp:posOffset>562610</wp:posOffset>
              </wp:positionV>
              <wp:extent cx="2703830" cy="115570"/>
              <wp:wrapNone/>
              <wp:docPr id="107" name="Shape 107"/>
              <a:graphic xmlns:a="http://schemas.openxmlformats.org/drawingml/2006/main">
                <a:graphicData uri="http://schemas.microsoft.com/office/word/2010/wordprocessingShape">
                  <wps:wsp>
                    <wps:cNvSpPr txBox="1"/>
                    <wps:spPr>
                      <a:xfrm>
                        <a:ext cx="2703830" cy="11557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苏宁云商集团股份有限公司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33" type="#_x0000_t202" style="position:absolute;margin-left:147.59999999999999pt;margin-top:44.300000000000004pt;width:212.90000000000001pt;height:9.0999999999999996pt;z-index:-188743975;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苏宁云商集团股份有限公司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年年度报告全文</w:t>
                    </w:r>
                  </w:p>
                </w:txbxContent>
              </v:textbox>
              <w10:wrap anchorx="page" anchory="page"/>
            </v:shape>
          </w:pict>
        </mc:Fallback>
      </mc:AlternateContent>
    </w:r>
  </w:p>
</w:hdr>
</file>

<file path=word/header2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4122420</wp:posOffset>
              </wp:positionH>
              <wp:positionV relativeFrom="page">
                <wp:posOffset>564515</wp:posOffset>
              </wp:positionV>
              <wp:extent cx="2706370" cy="115570"/>
              <wp:wrapNone/>
              <wp:docPr id="7" name="Shape 7"/>
              <a:graphic xmlns:a="http://schemas.openxmlformats.org/drawingml/2006/main">
                <a:graphicData uri="http://schemas.microsoft.com/office/word/2010/wordprocessingShape">
                  <wps:wsp>
                    <wps:cNvSpPr txBox="1"/>
                    <wps:spPr>
                      <a:xfrm>
                        <a:ext cx="2706370" cy="11557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苏宁云商集团股份有限公司</w:t>
                          </w:r>
                          <w:r>
                            <w:rPr>
                              <w:color w:val="000000"/>
                              <w:spacing w:val="0"/>
                              <w:w w:val="100"/>
                              <w:position w:val="0"/>
                            </w:rPr>
                            <w:t>2016</w:t>
                          </w:r>
                          <w:r>
                            <w:rPr>
                              <w:rFonts w:ascii="SimSun" w:eastAsia="SimSun" w:hAnsi="SimSun" w:cs="SimSun"/>
                              <w:color w:val="000000"/>
                              <w:spacing w:val="0"/>
                              <w:w w:val="100"/>
                              <w:position w:val="0"/>
                            </w:rPr>
                            <w:t>年年度报告全文</w:t>
                          </w:r>
                        </w:p>
                      </w:txbxContent>
                    </wps:txbx>
                    <wps:bodyPr wrap="none" lIns="0" tIns="0" rIns="0" bIns="0">
                      <a:spAutoFit/>
                    </wps:bodyPr>
                  </wps:wsp>
                </a:graphicData>
              </a:graphic>
            </wp:anchor>
          </w:drawing>
        </mc:Choice>
        <mc:Fallback>
          <w:pict>
            <v:shape id="_x0000_s1033" type="#_x0000_t202" style="position:absolute;margin-left:324.60000000000002pt;margin-top:44.450000000000003pt;width:213.09999999999999pt;height:9.0999999999999996pt;z-index:-18874405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苏宁云商集团股份有限公司</w:t>
                    </w:r>
                    <w:r>
                      <w:rPr>
                        <w:color w:val="000000"/>
                        <w:spacing w:val="0"/>
                        <w:w w:val="100"/>
                        <w:position w:val="0"/>
                      </w:rPr>
                      <w:t>2016</w:t>
                    </w:r>
                    <w:r>
                      <w:rPr>
                        <w:rFonts w:ascii="SimSun" w:eastAsia="SimSun" w:hAnsi="SimSun" w:cs="SimSun"/>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718185</wp:posOffset>
              </wp:positionH>
              <wp:positionV relativeFrom="page">
                <wp:posOffset>721360</wp:posOffset>
              </wp:positionV>
              <wp:extent cx="6123305" cy="0"/>
              <wp:wrapNone/>
              <wp:docPr id="9" name="Shape 9"/>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6.550000000000004pt;margin-top:56.800000000000004pt;width:482.15000000000003pt;height:0;z-index:-251658240;mso-position-horizontal-relative:page;mso-position-vertical-relative:page">
              <v:stroke weight="1.pt"/>
            </v:shape>
          </w:pict>
        </mc:Fallback>
      </mc:AlternateContent>
    </w:r>
  </w:p>
</w:hdr>
</file>

<file path=word/header3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3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2" behindDoc="1" locked="0" layoutInCell="1" allowOverlap="1">
              <wp:simplePos x="0" y="0"/>
              <wp:positionH relativeFrom="page">
                <wp:posOffset>1874520</wp:posOffset>
              </wp:positionH>
              <wp:positionV relativeFrom="page">
                <wp:posOffset>562610</wp:posOffset>
              </wp:positionV>
              <wp:extent cx="2703830" cy="115570"/>
              <wp:wrapNone/>
              <wp:docPr id="111" name="Shape 111"/>
              <a:graphic xmlns:a="http://schemas.openxmlformats.org/drawingml/2006/main">
                <a:graphicData uri="http://schemas.microsoft.com/office/word/2010/wordprocessingShape">
                  <wps:wsp>
                    <wps:cNvSpPr txBox="1"/>
                    <wps:spPr>
                      <a:xfrm>
                        <a:ext cx="2703830" cy="11557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苏宁云商集团股份有限公司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37" type="#_x0000_t202" style="position:absolute;margin-left:147.59999999999999pt;margin-top:44.300000000000004pt;width:212.90000000000001pt;height:9.0999999999999996pt;z-index:-188743971;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苏宁云商集团股份有限公司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年年度报告全文</w:t>
                    </w:r>
                  </w:p>
                </w:txbxContent>
              </v:textbox>
              <w10:wrap anchorx="page" anchory="page"/>
            </v:shape>
          </w:pict>
        </mc:Fallback>
      </mc:AlternateContent>
    </w:r>
  </w:p>
</w:hdr>
</file>

<file path=word/header3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6" behindDoc="1" locked="0" layoutInCell="1" allowOverlap="1">
              <wp:simplePos x="0" y="0"/>
              <wp:positionH relativeFrom="page">
                <wp:posOffset>1874520</wp:posOffset>
              </wp:positionH>
              <wp:positionV relativeFrom="page">
                <wp:posOffset>562610</wp:posOffset>
              </wp:positionV>
              <wp:extent cx="2703830" cy="115570"/>
              <wp:wrapNone/>
              <wp:docPr id="115" name="Shape 115"/>
              <a:graphic xmlns:a="http://schemas.openxmlformats.org/drawingml/2006/main">
                <a:graphicData uri="http://schemas.microsoft.com/office/word/2010/wordprocessingShape">
                  <wps:wsp>
                    <wps:cNvSpPr txBox="1"/>
                    <wps:spPr>
                      <a:xfrm>
                        <a:ext cx="2703830" cy="11557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苏宁云商集团股份有限公司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41" type="#_x0000_t202" style="position:absolute;margin-left:147.59999999999999pt;margin-top:44.300000000000004pt;width:212.90000000000001pt;height:9.0999999999999996pt;z-index:-188743967;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苏宁云商集团股份有限公司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年年度报告全文</w:t>
                    </w:r>
                  </w:p>
                </w:txbxContent>
              </v:textbox>
              <w10:wrap anchorx="page" anchory="page"/>
            </v:shape>
          </w:pict>
        </mc:Fallback>
      </mc:AlternateContent>
    </w:r>
  </w:p>
</w:hdr>
</file>

<file path=word/header3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0" behindDoc="1" locked="0" layoutInCell="1" allowOverlap="1">
              <wp:simplePos x="0" y="0"/>
              <wp:positionH relativeFrom="page">
                <wp:posOffset>7062470</wp:posOffset>
              </wp:positionH>
              <wp:positionV relativeFrom="page">
                <wp:posOffset>550545</wp:posOffset>
              </wp:positionV>
              <wp:extent cx="2706370" cy="115570"/>
              <wp:wrapNone/>
              <wp:docPr id="119" name="Shape 119"/>
              <a:graphic xmlns:a="http://schemas.openxmlformats.org/drawingml/2006/main">
                <a:graphicData uri="http://schemas.microsoft.com/office/word/2010/wordprocessingShape">
                  <wps:wsp>
                    <wps:cNvSpPr txBox="1"/>
                    <wps:spPr>
                      <a:xfrm>
                        <a:ext cx="2706370" cy="11557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苏宁云商集团股份有限公司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45" type="#_x0000_t202" style="position:absolute;margin-left:556.10000000000002pt;margin-top:43.350000000000001pt;width:213.09999999999999pt;height:9.0999999999999996pt;z-index:-188743963;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苏宁云商集团股份有限公司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年年度报告全文</w:t>
                    </w:r>
                  </w:p>
                </w:txbxContent>
              </v:textbox>
              <w10:wrap anchorx="page" anchory="page"/>
            </v:shape>
          </w:pict>
        </mc:Fallback>
      </mc:AlternateContent>
    </w:r>
  </w:p>
</w:hdr>
</file>

<file path=word/header3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4" behindDoc="1" locked="0" layoutInCell="1" allowOverlap="1">
              <wp:simplePos x="0" y="0"/>
              <wp:positionH relativeFrom="page">
                <wp:posOffset>7062470</wp:posOffset>
              </wp:positionH>
              <wp:positionV relativeFrom="page">
                <wp:posOffset>550545</wp:posOffset>
              </wp:positionV>
              <wp:extent cx="2706370" cy="115570"/>
              <wp:wrapNone/>
              <wp:docPr id="123" name="Shape 123"/>
              <a:graphic xmlns:a="http://schemas.openxmlformats.org/drawingml/2006/main">
                <a:graphicData uri="http://schemas.microsoft.com/office/word/2010/wordprocessingShape">
                  <wps:wsp>
                    <wps:cNvSpPr txBox="1"/>
                    <wps:spPr>
                      <a:xfrm>
                        <a:ext cx="2706370" cy="11557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苏宁云商集团股份有限公司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49" type="#_x0000_t202" style="position:absolute;margin-left:556.10000000000002pt;margin-top:43.350000000000001pt;width:213.09999999999999pt;height:9.0999999999999996pt;z-index:-188743959;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苏宁云商集团股份有限公司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年年度报告全文</w:t>
                    </w:r>
                  </w:p>
                </w:txbxContent>
              </v:textbox>
              <w10:wrap anchorx="page" anchory="page"/>
            </v:shape>
          </w:pict>
        </mc:Fallback>
      </mc:AlternateContent>
    </w:r>
  </w:p>
</w:hdr>
</file>

<file path=word/header3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3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3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8" behindDoc="1" locked="0" layoutInCell="1" allowOverlap="1">
              <wp:simplePos x="0" y="0"/>
              <wp:positionH relativeFrom="page">
                <wp:posOffset>1947545</wp:posOffset>
              </wp:positionH>
              <wp:positionV relativeFrom="page">
                <wp:posOffset>562610</wp:posOffset>
              </wp:positionV>
              <wp:extent cx="2703830" cy="115570"/>
              <wp:wrapNone/>
              <wp:docPr id="127" name="Shape 127"/>
              <a:graphic xmlns:a="http://schemas.openxmlformats.org/drawingml/2006/main">
                <a:graphicData uri="http://schemas.microsoft.com/office/word/2010/wordprocessingShape">
                  <wps:wsp>
                    <wps:cNvSpPr txBox="1"/>
                    <wps:spPr>
                      <a:xfrm>
                        <a:ext cx="2703830" cy="11557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苏宁云商集团股份有限公司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53" type="#_x0000_t202" style="position:absolute;margin-left:153.34999999999999pt;margin-top:44.300000000000004pt;width:212.90000000000001pt;height:9.0999999999999996pt;z-index:-188743955;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苏宁云商集团股份有限公司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0</wp:posOffset>
              </wp:positionH>
              <wp:positionV relativeFrom="page">
                <wp:posOffset>722630</wp:posOffset>
              </wp:positionV>
              <wp:extent cx="4663440" cy="0"/>
              <wp:wrapNone/>
              <wp:docPr id="129" name="Shape 129"/>
              <a:graphic xmlns:a="http://schemas.openxmlformats.org/drawingml/2006/main">
                <a:graphicData uri="http://schemas.microsoft.com/office/word/2010/wordprocessingShape">
                  <wps:wsp>
                    <wps:cNvCnPr/>
                    <wps:spPr>
                      <a:xfrm>
                        <a:ext cx="4663440" cy="0"/>
                      </a:xfrm>
                      <a:prstGeom prst="straightConnector1"/>
                      <a:ln w="12700">
                        <a:solidFill/>
                      </a:ln>
                    </wps:spPr>
                    <wps:bodyPr/>
                  </wps:wsp>
                </a:graphicData>
              </a:graphic>
            </wp:anchor>
          </w:drawing>
        </mc:Choice>
        <mc:Fallback>
          <w:pict>
            <v:shape o:spt="32" o:oned="true" path="m,l21600,21600e" style="position:absolute;margin-left:0;margin-top:56.899999999999999pt;width:367.19999999999999pt;height:0;z-index:-251658240;mso-position-horizontal-relative:page;mso-position-vertical-relative:page">
              <v:stroke weight="1.pt"/>
            </v:shape>
          </w:pict>
        </mc:Fallback>
      </mc:AlternateContent>
    </w:r>
  </w:p>
</w:hdr>
</file>

<file path=word/header3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2" behindDoc="1" locked="0" layoutInCell="1" allowOverlap="1">
              <wp:simplePos x="0" y="0"/>
              <wp:positionH relativeFrom="page">
                <wp:posOffset>1947545</wp:posOffset>
              </wp:positionH>
              <wp:positionV relativeFrom="page">
                <wp:posOffset>562610</wp:posOffset>
              </wp:positionV>
              <wp:extent cx="2703830" cy="115570"/>
              <wp:wrapNone/>
              <wp:docPr id="132" name="Shape 132"/>
              <a:graphic xmlns:a="http://schemas.openxmlformats.org/drawingml/2006/main">
                <a:graphicData uri="http://schemas.microsoft.com/office/word/2010/wordprocessingShape">
                  <wps:wsp>
                    <wps:cNvSpPr txBox="1"/>
                    <wps:spPr>
                      <a:xfrm>
                        <a:ext cx="2703830" cy="11557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苏宁云商集团股份有限公司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58" type="#_x0000_t202" style="position:absolute;margin-left:153.34999999999999pt;margin-top:44.300000000000004pt;width:212.90000000000001pt;height:9.0999999999999996pt;z-index:-188743951;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苏宁云商集团股份有限公司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0</wp:posOffset>
              </wp:positionH>
              <wp:positionV relativeFrom="page">
                <wp:posOffset>722630</wp:posOffset>
              </wp:positionV>
              <wp:extent cx="4663440" cy="0"/>
              <wp:wrapNone/>
              <wp:docPr id="134" name="Shape 134"/>
              <a:graphic xmlns:a="http://schemas.openxmlformats.org/drawingml/2006/main">
                <a:graphicData uri="http://schemas.microsoft.com/office/word/2010/wordprocessingShape">
                  <wps:wsp>
                    <wps:cNvCnPr/>
                    <wps:spPr>
                      <a:xfrm>
                        <a:ext cx="4663440" cy="0"/>
                      </a:xfrm>
                      <a:prstGeom prst="straightConnector1"/>
                      <a:ln w="12700">
                        <a:solidFill/>
                      </a:ln>
                    </wps:spPr>
                    <wps:bodyPr/>
                  </wps:wsp>
                </a:graphicData>
              </a:graphic>
            </wp:anchor>
          </w:drawing>
        </mc:Choice>
        <mc:Fallback>
          <w:pict>
            <v:shape o:spt="32" o:oned="true" path="m,l21600,21600e" style="position:absolute;margin-left:0;margin-top:56.899999999999999pt;width:367.19999999999999pt;height:0;z-index:-251658240;mso-position-horizontal-relative:page;mso-position-vertical-relative:page">
              <v:stroke weight="1.pt"/>
            </v:shape>
          </w:pict>
        </mc:Fallback>
      </mc:AlternateContent>
    </w:r>
  </w:p>
</w:hdr>
</file>

<file path=word/header3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6" behindDoc="1" locked="0" layoutInCell="1" allowOverlap="1">
              <wp:simplePos x="0" y="0"/>
              <wp:positionH relativeFrom="page">
                <wp:posOffset>7062470</wp:posOffset>
              </wp:positionH>
              <wp:positionV relativeFrom="page">
                <wp:posOffset>556260</wp:posOffset>
              </wp:positionV>
              <wp:extent cx="2706370" cy="115570"/>
              <wp:wrapNone/>
              <wp:docPr id="145" name="Shape 145"/>
              <a:graphic xmlns:a="http://schemas.openxmlformats.org/drawingml/2006/main">
                <a:graphicData uri="http://schemas.microsoft.com/office/word/2010/wordprocessingShape">
                  <wps:wsp>
                    <wps:cNvSpPr txBox="1"/>
                    <wps:spPr>
                      <a:xfrm>
                        <a:ext cx="2706370" cy="11557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苏宁云商集团股份有限公司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71" type="#_x0000_t202" style="position:absolute;margin-left:556.10000000000002pt;margin-top:43.800000000000004pt;width:213.09999999999999pt;height:9.0999999999999996pt;z-index:-188743947;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苏宁云商集团股份有限公司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年年度报告全文</w:t>
                    </w:r>
                  </w:p>
                </w:txbxContent>
              </v:textbox>
              <w10:wrap anchorx="page" anchory="page"/>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4122420</wp:posOffset>
              </wp:positionH>
              <wp:positionV relativeFrom="page">
                <wp:posOffset>564515</wp:posOffset>
              </wp:positionV>
              <wp:extent cx="2706370" cy="115570"/>
              <wp:wrapNone/>
              <wp:docPr id="12" name="Shape 12"/>
              <a:graphic xmlns:a="http://schemas.openxmlformats.org/drawingml/2006/main">
                <a:graphicData uri="http://schemas.microsoft.com/office/word/2010/wordprocessingShape">
                  <wps:wsp>
                    <wps:cNvSpPr txBox="1"/>
                    <wps:spPr>
                      <a:xfrm>
                        <a:ext cx="2706370" cy="11557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苏宁云商集团股份有限公司</w:t>
                          </w:r>
                          <w:r>
                            <w:rPr>
                              <w:color w:val="000000"/>
                              <w:spacing w:val="0"/>
                              <w:w w:val="100"/>
                              <w:position w:val="0"/>
                            </w:rPr>
                            <w:t>2016</w:t>
                          </w:r>
                          <w:r>
                            <w:rPr>
                              <w:rFonts w:ascii="SimSun" w:eastAsia="SimSun" w:hAnsi="SimSun" w:cs="SimSun"/>
                              <w:color w:val="000000"/>
                              <w:spacing w:val="0"/>
                              <w:w w:val="100"/>
                              <w:position w:val="0"/>
                            </w:rPr>
                            <w:t>年年度报告全文</w:t>
                          </w:r>
                        </w:p>
                      </w:txbxContent>
                    </wps:txbx>
                    <wps:bodyPr wrap="none" lIns="0" tIns="0" rIns="0" bIns="0">
                      <a:spAutoFit/>
                    </wps:bodyPr>
                  </wps:wsp>
                </a:graphicData>
              </a:graphic>
            </wp:anchor>
          </w:drawing>
        </mc:Choice>
        <mc:Fallback>
          <w:pict>
            <v:shape id="_x0000_s1038" type="#_x0000_t202" style="position:absolute;margin-left:324.60000000000002pt;margin-top:44.450000000000003pt;width:213.09999999999999pt;height:9.0999999999999996pt;z-index:-18874405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苏宁云商集团股份有限公司</w:t>
                    </w:r>
                    <w:r>
                      <w:rPr>
                        <w:color w:val="000000"/>
                        <w:spacing w:val="0"/>
                        <w:w w:val="100"/>
                        <w:position w:val="0"/>
                      </w:rPr>
                      <w:t>2016</w:t>
                    </w:r>
                    <w:r>
                      <w:rPr>
                        <w:rFonts w:ascii="SimSun" w:eastAsia="SimSun" w:hAnsi="SimSun" w:cs="SimSun"/>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718185</wp:posOffset>
              </wp:positionH>
              <wp:positionV relativeFrom="page">
                <wp:posOffset>721360</wp:posOffset>
              </wp:positionV>
              <wp:extent cx="6123305" cy="0"/>
              <wp:wrapNone/>
              <wp:docPr id="14" name="Shape 14"/>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6.550000000000004pt;margin-top:56.800000000000004pt;width:482.15000000000003pt;height:0;z-index:-251658240;mso-position-horizontal-relative:page;mso-position-vertical-relative:page">
              <v:stroke weight="1.pt"/>
            </v:shape>
          </w:pict>
        </mc:Fallback>
      </mc:AlternateContent>
    </w:r>
  </w:p>
</w:hdr>
</file>

<file path=word/header4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0" behindDoc="1" locked="0" layoutInCell="1" allowOverlap="1">
              <wp:simplePos x="0" y="0"/>
              <wp:positionH relativeFrom="page">
                <wp:posOffset>7062470</wp:posOffset>
              </wp:positionH>
              <wp:positionV relativeFrom="page">
                <wp:posOffset>556260</wp:posOffset>
              </wp:positionV>
              <wp:extent cx="2706370" cy="115570"/>
              <wp:wrapNone/>
              <wp:docPr id="149" name="Shape 149"/>
              <a:graphic xmlns:a="http://schemas.openxmlformats.org/drawingml/2006/main">
                <a:graphicData uri="http://schemas.microsoft.com/office/word/2010/wordprocessingShape">
                  <wps:wsp>
                    <wps:cNvSpPr txBox="1"/>
                    <wps:spPr>
                      <a:xfrm>
                        <a:ext cx="2706370" cy="11557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苏宁云商集团股份有限公司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75" type="#_x0000_t202" style="position:absolute;margin-left:556.10000000000002pt;margin-top:43.800000000000004pt;width:213.09999999999999pt;height:9.0999999999999996pt;z-index:-188743943;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苏宁云商集团股份有限公司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年年度报告全文</w:t>
                    </w:r>
                  </w:p>
                </w:txbxContent>
              </v:textbox>
              <w10:wrap anchorx="page" anchory="page"/>
            </v:shape>
          </w:pict>
        </mc:Fallback>
      </mc:AlternateContent>
    </w:r>
  </w:p>
</w:hdr>
</file>

<file path=word/header4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4" behindDoc="1" locked="0" layoutInCell="1" allowOverlap="1">
              <wp:simplePos x="0" y="0"/>
              <wp:positionH relativeFrom="page">
                <wp:posOffset>4128770</wp:posOffset>
              </wp:positionH>
              <wp:positionV relativeFrom="page">
                <wp:posOffset>437515</wp:posOffset>
              </wp:positionV>
              <wp:extent cx="2706370" cy="115570"/>
              <wp:wrapNone/>
              <wp:docPr id="153" name="Shape 153"/>
              <a:graphic xmlns:a="http://schemas.openxmlformats.org/drawingml/2006/main">
                <a:graphicData uri="http://schemas.microsoft.com/office/word/2010/wordprocessingShape">
                  <wps:wsp>
                    <wps:cNvSpPr txBox="1"/>
                    <wps:spPr>
                      <a:xfrm>
                        <a:ext cx="2706370" cy="11557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苏宁云商集团股份有限公司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79" type="#_x0000_t202" style="position:absolute;margin-left:325.10000000000002pt;margin-top:34.450000000000003pt;width:213.09999999999999pt;height:9.0999999999999996pt;z-index:-188743939;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苏宁云商集团股份有限公司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723900</wp:posOffset>
              </wp:positionH>
              <wp:positionV relativeFrom="page">
                <wp:posOffset>721360</wp:posOffset>
              </wp:positionV>
              <wp:extent cx="6123305" cy="0"/>
              <wp:wrapNone/>
              <wp:docPr id="155" name="Shape 155"/>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7.pt;margin-top:56.800000000000004pt;width:482.15000000000003pt;height:0;z-index:-251658240;mso-position-horizontal-relative:page;mso-position-vertical-relative:page">
              <v:stroke weight="1.pt"/>
            </v:shape>
          </w:pict>
        </mc:Fallback>
      </mc:AlternateContent>
    </w:r>
  </w:p>
</w:hdr>
</file>

<file path=word/header4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8" behindDoc="1" locked="0" layoutInCell="1" allowOverlap="1">
              <wp:simplePos x="0" y="0"/>
              <wp:positionH relativeFrom="page">
                <wp:posOffset>4128770</wp:posOffset>
              </wp:positionH>
              <wp:positionV relativeFrom="page">
                <wp:posOffset>437515</wp:posOffset>
              </wp:positionV>
              <wp:extent cx="2706370" cy="115570"/>
              <wp:wrapNone/>
              <wp:docPr id="158" name="Shape 158"/>
              <a:graphic xmlns:a="http://schemas.openxmlformats.org/drawingml/2006/main">
                <a:graphicData uri="http://schemas.microsoft.com/office/word/2010/wordprocessingShape">
                  <wps:wsp>
                    <wps:cNvSpPr txBox="1"/>
                    <wps:spPr>
                      <a:xfrm>
                        <a:ext cx="2706370" cy="11557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苏宁云商集团股份有限公司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84" type="#_x0000_t202" style="position:absolute;margin-left:325.10000000000002pt;margin-top:34.450000000000003pt;width:213.09999999999999pt;height:9.0999999999999996pt;z-index:-188743935;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苏宁云商集团股份有限公司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723900</wp:posOffset>
              </wp:positionH>
              <wp:positionV relativeFrom="page">
                <wp:posOffset>721360</wp:posOffset>
              </wp:positionV>
              <wp:extent cx="6123305" cy="0"/>
              <wp:wrapNone/>
              <wp:docPr id="160" name="Shape 160"/>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7.pt;margin-top:56.800000000000004pt;width:482.15000000000003pt;height:0;z-index:-251658240;mso-position-horizontal-relative:page;mso-position-vertical-relative:page">
              <v:stroke weight="1.pt"/>
            </v:shape>
          </w:pict>
        </mc:Fallback>
      </mc:AlternateContent>
    </w:r>
  </w:p>
</w:hdr>
</file>

<file path=word/header4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2" behindDoc="1" locked="0" layoutInCell="1" allowOverlap="1">
              <wp:simplePos x="0" y="0"/>
              <wp:positionH relativeFrom="page">
                <wp:posOffset>883285</wp:posOffset>
              </wp:positionH>
              <wp:positionV relativeFrom="page">
                <wp:posOffset>413385</wp:posOffset>
              </wp:positionV>
              <wp:extent cx="1804670" cy="140335"/>
              <wp:wrapNone/>
              <wp:docPr id="170" name="Shape 170"/>
              <a:graphic xmlns:a="http://schemas.openxmlformats.org/drawingml/2006/main">
                <a:graphicData uri="http://schemas.microsoft.com/office/word/2010/wordprocessingShape">
                  <wps:wsp>
                    <wps:cNvSpPr txBox="1"/>
                    <wps:spPr>
                      <a:xfrm>
                        <a:ext cx="1804670" cy="140335"/>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苏宁云商集团股份有限公司</w:t>
                          </w:r>
                        </w:p>
                      </w:txbxContent>
                    </wps:txbx>
                    <wps:bodyPr wrap="none" lIns="0" tIns="0" rIns="0" bIns="0">
                      <a:spAutoFit/>
                    </wps:bodyPr>
                  </wps:wsp>
                </a:graphicData>
              </a:graphic>
            </wp:anchor>
          </w:drawing>
        </mc:Choice>
        <mc:Fallback>
          <w:pict>
            <v:shape id="_x0000_s1196" type="#_x0000_t202" style="position:absolute;margin-left:69.549999999999997pt;margin-top:32.549999999999997pt;width:142.09999999999999pt;height:11.050000000000001pt;z-index:-188743931;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苏宁云商集团股份有限公司</w:t>
                    </w:r>
                  </w:p>
                </w:txbxContent>
              </v:textbox>
              <w10:wrap anchorx="page" anchory="page"/>
            </v:shape>
          </w:pict>
        </mc:Fallback>
      </mc:AlternateContent>
    </w:r>
  </w:p>
</w:hdr>
</file>

<file path=word/header4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6" behindDoc="1" locked="0" layoutInCell="1" allowOverlap="1">
              <wp:simplePos x="0" y="0"/>
              <wp:positionH relativeFrom="page">
                <wp:posOffset>883285</wp:posOffset>
              </wp:positionH>
              <wp:positionV relativeFrom="page">
                <wp:posOffset>413385</wp:posOffset>
              </wp:positionV>
              <wp:extent cx="1804670" cy="140335"/>
              <wp:wrapNone/>
              <wp:docPr id="174" name="Shape 174"/>
              <a:graphic xmlns:a="http://schemas.openxmlformats.org/drawingml/2006/main">
                <a:graphicData uri="http://schemas.microsoft.com/office/word/2010/wordprocessingShape">
                  <wps:wsp>
                    <wps:cNvSpPr txBox="1"/>
                    <wps:spPr>
                      <a:xfrm>
                        <a:ext cx="1804670" cy="140335"/>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苏宁云商集团股份有限公司</w:t>
                          </w:r>
                        </w:p>
                      </w:txbxContent>
                    </wps:txbx>
                    <wps:bodyPr wrap="none" lIns="0" tIns="0" rIns="0" bIns="0">
                      <a:spAutoFit/>
                    </wps:bodyPr>
                  </wps:wsp>
                </a:graphicData>
              </a:graphic>
            </wp:anchor>
          </w:drawing>
        </mc:Choice>
        <mc:Fallback>
          <w:pict>
            <v:shape id="_x0000_s1200" type="#_x0000_t202" style="position:absolute;margin-left:69.549999999999997pt;margin-top:32.549999999999997pt;width:142.09999999999999pt;height:11.050000000000001pt;z-index:-188743927;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苏宁云商集团股份有限公司</w:t>
                    </w:r>
                  </w:p>
                </w:txbxContent>
              </v:textbox>
              <w10:wrap anchorx="page" anchory="page"/>
            </v:shape>
          </w:pict>
        </mc:Fallback>
      </mc:AlternateContent>
    </w:r>
  </w:p>
</w:hdr>
</file>

<file path=word/header4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0" behindDoc="1" locked="0" layoutInCell="1" allowOverlap="1">
              <wp:simplePos x="0" y="0"/>
              <wp:positionH relativeFrom="page">
                <wp:posOffset>937895</wp:posOffset>
              </wp:positionH>
              <wp:positionV relativeFrom="page">
                <wp:posOffset>392430</wp:posOffset>
              </wp:positionV>
              <wp:extent cx="1804670" cy="140335"/>
              <wp:wrapNone/>
              <wp:docPr id="178" name="Shape 178"/>
              <a:graphic xmlns:a="http://schemas.openxmlformats.org/drawingml/2006/main">
                <a:graphicData uri="http://schemas.microsoft.com/office/word/2010/wordprocessingShape">
                  <wps:wsp>
                    <wps:cNvSpPr txBox="1"/>
                    <wps:spPr>
                      <a:xfrm>
                        <a:ext cx="1804670" cy="140335"/>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苏宁云商集团股份有限公司</w:t>
                          </w:r>
                        </w:p>
                      </w:txbxContent>
                    </wps:txbx>
                    <wps:bodyPr wrap="none" lIns="0" tIns="0" rIns="0" bIns="0">
                      <a:spAutoFit/>
                    </wps:bodyPr>
                  </wps:wsp>
                </a:graphicData>
              </a:graphic>
            </wp:anchor>
          </w:drawing>
        </mc:Choice>
        <mc:Fallback>
          <w:pict>
            <v:shape id="_x0000_s1204" type="#_x0000_t202" style="position:absolute;margin-left:73.850000000000009pt;margin-top:30.900000000000002pt;width:142.09999999999999pt;height:11.050000000000001pt;z-index:-188743923;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苏宁云商集团股份有限公司</w:t>
                    </w:r>
                  </w:p>
                </w:txbxContent>
              </v:textbox>
              <w10:wrap anchorx="page" anchory="page"/>
            </v:shape>
          </w:pict>
        </mc:Fallback>
      </mc:AlternateContent>
    </w:r>
  </w:p>
</w:hdr>
</file>

<file path=word/header4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4" behindDoc="1" locked="0" layoutInCell="1" allowOverlap="1">
              <wp:simplePos x="0" y="0"/>
              <wp:positionH relativeFrom="page">
                <wp:posOffset>937895</wp:posOffset>
              </wp:positionH>
              <wp:positionV relativeFrom="page">
                <wp:posOffset>392430</wp:posOffset>
              </wp:positionV>
              <wp:extent cx="1804670" cy="140335"/>
              <wp:wrapNone/>
              <wp:docPr id="182" name="Shape 182"/>
              <a:graphic xmlns:a="http://schemas.openxmlformats.org/drawingml/2006/main">
                <a:graphicData uri="http://schemas.microsoft.com/office/word/2010/wordprocessingShape">
                  <wps:wsp>
                    <wps:cNvSpPr txBox="1"/>
                    <wps:spPr>
                      <a:xfrm>
                        <a:ext cx="1804670" cy="140335"/>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苏宁云商集团股份有限公司</w:t>
                          </w:r>
                        </w:p>
                      </w:txbxContent>
                    </wps:txbx>
                    <wps:bodyPr wrap="none" lIns="0" tIns="0" rIns="0" bIns="0">
                      <a:spAutoFit/>
                    </wps:bodyPr>
                  </wps:wsp>
                </a:graphicData>
              </a:graphic>
            </wp:anchor>
          </w:drawing>
        </mc:Choice>
        <mc:Fallback>
          <w:pict>
            <v:shape id="_x0000_s1208" type="#_x0000_t202" style="position:absolute;margin-left:73.850000000000009pt;margin-top:30.900000000000002pt;width:142.09999999999999pt;height:11.050000000000001pt;z-index:-188743919;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苏宁云商集团股份有限公司</w:t>
                    </w:r>
                  </w:p>
                </w:txbxContent>
              </v:textbox>
              <w10:wrap anchorx="page" anchory="page"/>
            </v:shape>
          </w:pict>
        </mc:Fallback>
      </mc:AlternateContent>
    </w:r>
  </w:p>
</w:hdr>
</file>

<file path=word/header4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8" behindDoc="1" locked="0" layoutInCell="1" allowOverlap="1">
              <wp:simplePos x="0" y="0"/>
              <wp:positionH relativeFrom="page">
                <wp:posOffset>937895</wp:posOffset>
              </wp:positionH>
              <wp:positionV relativeFrom="page">
                <wp:posOffset>392430</wp:posOffset>
              </wp:positionV>
              <wp:extent cx="1804670" cy="140335"/>
              <wp:wrapNone/>
              <wp:docPr id="186" name="Shape 186"/>
              <a:graphic xmlns:a="http://schemas.openxmlformats.org/drawingml/2006/main">
                <a:graphicData uri="http://schemas.microsoft.com/office/word/2010/wordprocessingShape">
                  <wps:wsp>
                    <wps:cNvSpPr txBox="1"/>
                    <wps:spPr>
                      <a:xfrm>
                        <a:ext cx="1804670" cy="140335"/>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苏宁云商集团股份有限公司</w:t>
                          </w:r>
                        </w:p>
                      </w:txbxContent>
                    </wps:txbx>
                    <wps:bodyPr wrap="none" lIns="0" tIns="0" rIns="0" bIns="0">
                      <a:spAutoFit/>
                    </wps:bodyPr>
                  </wps:wsp>
                </a:graphicData>
              </a:graphic>
            </wp:anchor>
          </w:drawing>
        </mc:Choice>
        <mc:Fallback>
          <w:pict>
            <v:shape id="_x0000_s1212" type="#_x0000_t202" style="position:absolute;margin-left:73.850000000000009pt;margin-top:30.900000000000002pt;width:142.09999999999999pt;height:11.050000000000001pt;z-index:-188743915;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苏宁云商集团股份有限公司</w:t>
                    </w:r>
                  </w:p>
                </w:txbxContent>
              </v:textbox>
              <w10:wrap anchorx="page" anchory="page"/>
            </v:shape>
          </w:pict>
        </mc:Fallback>
      </mc:AlternateContent>
    </w:r>
  </w:p>
</w:hdr>
</file>

<file path=word/header4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2" behindDoc="1" locked="0" layoutInCell="1" allowOverlap="1">
              <wp:simplePos x="0" y="0"/>
              <wp:positionH relativeFrom="page">
                <wp:posOffset>514985</wp:posOffset>
              </wp:positionH>
              <wp:positionV relativeFrom="page">
                <wp:posOffset>387985</wp:posOffset>
              </wp:positionV>
              <wp:extent cx="1804670" cy="140335"/>
              <wp:wrapNone/>
              <wp:docPr id="190" name="Shape 190"/>
              <a:graphic xmlns:a="http://schemas.openxmlformats.org/drawingml/2006/main">
                <a:graphicData uri="http://schemas.microsoft.com/office/word/2010/wordprocessingShape">
                  <wps:wsp>
                    <wps:cNvSpPr txBox="1"/>
                    <wps:spPr>
                      <a:xfrm>
                        <a:ext cx="1804670" cy="140335"/>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苏宁云商集团股份有限公司</w:t>
                          </w:r>
                        </w:p>
                      </w:txbxContent>
                    </wps:txbx>
                    <wps:bodyPr wrap="none" lIns="0" tIns="0" rIns="0" bIns="0">
                      <a:spAutoFit/>
                    </wps:bodyPr>
                  </wps:wsp>
                </a:graphicData>
              </a:graphic>
            </wp:anchor>
          </w:drawing>
        </mc:Choice>
        <mc:Fallback>
          <w:pict>
            <v:shape id="_x0000_s1216" type="#_x0000_t202" style="position:absolute;margin-left:40.550000000000004pt;margin-top:30.550000000000001pt;width:142.09999999999999pt;height:11.050000000000001pt;z-index:-188743911;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苏宁云商集团股份有限公司</w:t>
                    </w:r>
                  </w:p>
                </w:txbxContent>
              </v:textbox>
              <w10:wrap anchorx="page" anchory="page"/>
            </v:shape>
          </w:pict>
        </mc:Fallback>
      </mc:AlternateContent>
    </w:r>
  </w:p>
</w:hdr>
</file>

<file path=word/header4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6" behindDoc="1" locked="0" layoutInCell="1" allowOverlap="1">
              <wp:simplePos x="0" y="0"/>
              <wp:positionH relativeFrom="page">
                <wp:posOffset>514985</wp:posOffset>
              </wp:positionH>
              <wp:positionV relativeFrom="page">
                <wp:posOffset>387985</wp:posOffset>
              </wp:positionV>
              <wp:extent cx="1804670" cy="140335"/>
              <wp:wrapNone/>
              <wp:docPr id="194" name="Shape 194"/>
              <a:graphic xmlns:a="http://schemas.openxmlformats.org/drawingml/2006/main">
                <a:graphicData uri="http://schemas.microsoft.com/office/word/2010/wordprocessingShape">
                  <wps:wsp>
                    <wps:cNvSpPr txBox="1"/>
                    <wps:spPr>
                      <a:xfrm>
                        <a:ext cx="1804670" cy="140335"/>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苏宁云商集团股份有限公司</w:t>
                          </w:r>
                        </w:p>
                      </w:txbxContent>
                    </wps:txbx>
                    <wps:bodyPr wrap="none" lIns="0" tIns="0" rIns="0" bIns="0">
                      <a:spAutoFit/>
                    </wps:bodyPr>
                  </wps:wsp>
                </a:graphicData>
              </a:graphic>
            </wp:anchor>
          </w:drawing>
        </mc:Choice>
        <mc:Fallback>
          <w:pict>
            <v:shape id="_x0000_s1220" type="#_x0000_t202" style="position:absolute;margin-left:40.550000000000004pt;margin-top:30.550000000000001pt;width:142.09999999999999pt;height:11.050000000000001pt;z-index:-188743907;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苏宁云商集团股份有限公司</w:t>
                    </w:r>
                  </w:p>
                </w:txbxContent>
              </v:textbox>
              <w10:wrap anchorx="page" anchory="page"/>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7062470</wp:posOffset>
              </wp:positionH>
              <wp:positionV relativeFrom="page">
                <wp:posOffset>562610</wp:posOffset>
              </wp:positionV>
              <wp:extent cx="2706370" cy="115570"/>
              <wp:wrapNone/>
              <wp:docPr id="17" name="Shape 17"/>
              <a:graphic xmlns:a="http://schemas.openxmlformats.org/drawingml/2006/main">
                <a:graphicData uri="http://schemas.microsoft.com/office/word/2010/wordprocessingShape">
                  <wps:wsp>
                    <wps:cNvSpPr txBox="1"/>
                    <wps:spPr>
                      <a:xfrm>
                        <a:ext cx="2706370" cy="11557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苏宁云商集团股份有限公司</w:t>
                          </w:r>
                          <w:r>
                            <w:rPr>
                              <w:color w:val="000000"/>
                              <w:spacing w:val="0"/>
                              <w:w w:val="100"/>
                              <w:position w:val="0"/>
                            </w:rPr>
                            <w:t>2016</w:t>
                          </w:r>
                          <w:r>
                            <w:rPr>
                              <w:rFonts w:ascii="SimSun" w:eastAsia="SimSun" w:hAnsi="SimSun" w:cs="SimSun"/>
                              <w:color w:val="000000"/>
                              <w:spacing w:val="0"/>
                              <w:w w:val="100"/>
                              <w:position w:val="0"/>
                            </w:rPr>
                            <w:t>年年度报告全文</w:t>
                          </w:r>
                        </w:p>
                      </w:txbxContent>
                    </wps:txbx>
                    <wps:bodyPr wrap="none" lIns="0" tIns="0" rIns="0" bIns="0">
                      <a:spAutoFit/>
                    </wps:bodyPr>
                  </wps:wsp>
                </a:graphicData>
              </a:graphic>
            </wp:anchor>
          </w:drawing>
        </mc:Choice>
        <mc:Fallback>
          <w:pict>
            <v:shape id="_x0000_s1043" type="#_x0000_t202" style="position:absolute;margin-left:556.10000000000002pt;margin-top:44.300000000000004pt;width:213.09999999999999pt;height:9.0999999999999996pt;z-index:-18874405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苏宁云商集团股份有限公司</w:t>
                    </w:r>
                    <w:r>
                      <w:rPr>
                        <w:color w:val="000000"/>
                        <w:spacing w:val="0"/>
                        <w:w w:val="100"/>
                        <w:position w:val="0"/>
                      </w:rPr>
                      <w:t>2016</w:t>
                    </w:r>
                    <w:r>
                      <w:rPr>
                        <w:rFonts w:ascii="SimSun" w:eastAsia="SimSun" w:hAnsi="SimSun" w:cs="SimSun"/>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911860</wp:posOffset>
              </wp:positionH>
              <wp:positionV relativeFrom="page">
                <wp:posOffset>719455</wp:posOffset>
              </wp:positionV>
              <wp:extent cx="8866505" cy="0"/>
              <wp:wrapNone/>
              <wp:docPr id="19" name="Shape 19"/>
              <a:graphic xmlns:a="http://schemas.openxmlformats.org/drawingml/2006/main">
                <a:graphicData uri="http://schemas.microsoft.com/office/word/2010/wordprocessingShape">
                  <wps:wsp>
                    <wps:cNvCnPr/>
                    <wps:spPr>
                      <a:xfrm>
                        <a:ext cx="8866505" cy="0"/>
                      </a:xfrm>
                      <a:prstGeom prst="straightConnector1"/>
                      <a:ln w="12700">
                        <a:solidFill/>
                      </a:ln>
                    </wps:spPr>
                    <wps:bodyPr/>
                  </wps:wsp>
                </a:graphicData>
              </a:graphic>
            </wp:anchor>
          </w:drawing>
        </mc:Choice>
        <mc:Fallback>
          <w:pict>
            <v:shape o:spt="32" o:oned="true" path="m,l21600,21600e" style="position:absolute;margin-left:71.799999999999997pt;margin-top:56.649999999999999pt;width:698.14999999999998pt;height:0;z-index:-251658240;mso-position-horizontal-relative:page;mso-position-vertical-relative:page">
              <v:stroke weight="1.pt"/>
            </v:shape>
          </w:pict>
        </mc:Fallback>
      </mc:AlternateContent>
    </w:r>
  </w:p>
</w:hdr>
</file>

<file path=word/header5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0" behindDoc="1" locked="0" layoutInCell="1" allowOverlap="1">
              <wp:simplePos x="0" y="0"/>
              <wp:positionH relativeFrom="page">
                <wp:posOffset>937895</wp:posOffset>
              </wp:positionH>
              <wp:positionV relativeFrom="page">
                <wp:posOffset>392430</wp:posOffset>
              </wp:positionV>
              <wp:extent cx="1804670" cy="140335"/>
              <wp:wrapNone/>
              <wp:docPr id="198" name="Shape 198"/>
              <a:graphic xmlns:a="http://schemas.openxmlformats.org/drawingml/2006/main">
                <a:graphicData uri="http://schemas.microsoft.com/office/word/2010/wordprocessingShape">
                  <wps:wsp>
                    <wps:cNvSpPr txBox="1"/>
                    <wps:spPr>
                      <a:xfrm>
                        <a:ext cx="1804670" cy="140335"/>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苏宁云商集团股份有限公司</w:t>
                          </w:r>
                        </w:p>
                      </w:txbxContent>
                    </wps:txbx>
                    <wps:bodyPr wrap="none" lIns="0" tIns="0" rIns="0" bIns="0">
                      <a:spAutoFit/>
                    </wps:bodyPr>
                  </wps:wsp>
                </a:graphicData>
              </a:graphic>
            </wp:anchor>
          </w:drawing>
        </mc:Choice>
        <mc:Fallback>
          <w:pict>
            <v:shape id="_x0000_s1224" type="#_x0000_t202" style="position:absolute;margin-left:73.850000000000009pt;margin-top:30.900000000000002pt;width:142.09999999999999pt;height:11.050000000000001pt;z-index:-188743903;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苏宁云商集团股份有限公司</w:t>
                    </w:r>
                  </w:p>
                </w:txbxContent>
              </v:textbox>
              <w10:wrap anchorx="page" anchory="page"/>
            </v:shape>
          </w:pict>
        </mc:Fallback>
      </mc:AlternateContent>
    </w:r>
  </w:p>
</w:hdr>
</file>

<file path=word/header5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4" behindDoc="1" locked="0" layoutInCell="1" allowOverlap="1">
              <wp:simplePos x="0" y="0"/>
              <wp:positionH relativeFrom="page">
                <wp:posOffset>937895</wp:posOffset>
              </wp:positionH>
              <wp:positionV relativeFrom="page">
                <wp:posOffset>392430</wp:posOffset>
              </wp:positionV>
              <wp:extent cx="1804670" cy="140335"/>
              <wp:wrapNone/>
              <wp:docPr id="202" name="Shape 202"/>
              <a:graphic xmlns:a="http://schemas.openxmlformats.org/drawingml/2006/main">
                <a:graphicData uri="http://schemas.microsoft.com/office/word/2010/wordprocessingShape">
                  <wps:wsp>
                    <wps:cNvSpPr txBox="1"/>
                    <wps:spPr>
                      <a:xfrm>
                        <a:ext cx="1804670" cy="140335"/>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苏宁云商集团股份有限公司</w:t>
                          </w:r>
                        </w:p>
                      </w:txbxContent>
                    </wps:txbx>
                    <wps:bodyPr wrap="none" lIns="0" tIns="0" rIns="0" bIns="0">
                      <a:spAutoFit/>
                    </wps:bodyPr>
                  </wps:wsp>
                </a:graphicData>
              </a:graphic>
            </wp:anchor>
          </w:drawing>
        </mc:Choice>
        <mc:Fallback>
          <w:pict>
            <v:shape id="_x0000_s1228" type="#_x0000_t202" style="position:absolute;margin-left:73.850000000000009pt;margin-top:30.900000000000002pt;width:142.09999999999999pt;height:11.050000000000001pt;z-index:-188743899;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苏宁云商集团股份有限公司</w:t>
                    </w:r>
                  </w:p>
                </w:txbxContent>
              </v:textbox>
              <w10:wrap anchorx="page" anchory="page"/>
            </v:shape>
          </w:pict>
        </mc:Fallback>
      </mc:AlternateContent>
    </w:r>
  </w:p>
</w:hdr>
</file>

<file path=word/header5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8" behindDoc="1" locked="0" layoutInCell="1" allowOverlap="1">
              <wp:simplePos x="0" y="0"/>
              <wp:positionH relativeFrom="page">
                <wp:posOffset>1537970</wp:posOffset>
              </wp:positionH>
              <wp:positionV relativeFrom="page">
                <wp:posOffset>485140</wp:posOffset>
              </wp:positionV>
              <wp:extent cx="1804670" cy="140335"/>
              <wp:wrapNone/>
              <wp:docPr id="206" name="Shape 206"/>
              <a:graphic xmlns:a="http://schemas.openxmlformats.org/drawingml/2006/main">
                <a:graphicData uri="http://schemas.microsoft.com/office/word/2010/wordprocessingShape">
                  <wps:wsp>
                    <wps:cNvSpPr txBox="1"/>
                    <wps:spPr>
                      <a:xfrm>
                        <a:ext cx="1804670" cy="140335"/>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苏宁云商集团股份有限公司</w:t>
                          </w:r>
                        </w:p>
                      </w:txbxContent>
                    </wps:txbx>
                    <wps:bodyPr wrap="none" lIns="0" tIns="0" rIns="0" bIns="0">
                      <a:spAutoFit/>
                    </wps:bodyPr>
                  </wps:wsp>
                </a:graphicData>
              </a:graphic>
            </wp:anchor>
          </w:drawing>
        </mc:Choice>
        <mc:Fallback>
          <w:pict>
            <v:shape id="_x0000_s1232" type="#_x0000_t202" style="position:absolute;margin-left:121.10000000000001pt;margin-top:38.200000000000003pt;width:142.09999999999999pt;height:11.050000000000001pt;z-index:-188743895;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苏宁云商集团股份有限公司</w:t>
                    </w:r>
                  </w:p>
                </w:txbxContent>
              </v:textbox>
              <w10:wrap anchorx="page" anchory="page"/>
            </v:shape>
          </w:pict>
        </mc:Fallback>
      </mc:AlternateContent>
    </w:r>
  </w:p>
</w:hdr>
</file>

<file path=word/header5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2" behindDoc="1" locked="0" layoutInCell="1" allowOverlap="1">
              <wp:simplePos x="0" y="0"/>
              <wp:positionH relativeFrom="page">
                <wp:posOffset>1537970</wp:posOffset>
              </wp:positionH>
              <wp:positionV relativeFrom="page">
                <wp:posOffset>485140</wp:posOffset>
              </wp:positionV>
              <wp:extent cx="1804670" cy="140335"/>
              <wp:wrapNone/>
              <wp:docPr id="210" name="Shape 210"/>
              <a:graphic xmlns:a="http://schemas.openxmlformats.org/drawingml/2006/main">
                <a:graphicData uri="http://schemas.microsoft.com/office/word/2010/wordprocessingShape">
                  <wps:wsp>
                    <wps:cNvSpPr txBox="1"/>
                    <wps:spPr>
                      <a:xfrm>
                        <a:ext cx="1804670" cy="140335"/>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苏宁云商集团股份有限公司</w:t>
                          </w:r>
                        </w:p>
                      </w:txbxContent>
                    </wps:txbx>
                    <wps:bodyPr wrap="none" lIns="0" tIns="0" rIns="0" bIns="0">
                      <a:spAutoFit/>
                    </wps:bodyPr>
                  </wps:wsp>
                </a:graphicData>
              </a:graphic>
            </wp:anchor>
          </w:drawing>
        </mc:Choice>
        <mc:Fallback>
          <w:pict>
            <v:shape id="_x0000_s1236" type="#_x0000_t202" style="position:absolute;margin-left:121.10000000000001pt;margin-top:38.200000000000003pt;width:142.09999999999999pt;height:11.050000000000001pt;z-index:-188743891;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苏宁云商集团股份有限公司</w:t>
                    </w:r>
                  </w:p>
                </w:txbxContent>
              </v:textbox>
              <w10:wrap anchorx="page" anchory="page"/>
            </v:shape>
          </w:pict>
        </mc:Fallback>
      </mc:AlternateContent>
    </w:r>
  </w:p>
</w:hdr>
</file>

<file path=word/header5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6" behindDoc="1" locked="0" layoutInCell="1" allowOverlap="1">
              <wp:simplePos x="0" y="0"/>
              <wp:positionH relativeFrom="page">
                <wp:posOffset>1311275</wp:posOffset>
              </wp:positionH>
              <wp:positionV relativeFrom="page">
                <wp:posOffset>481965</wp:posOffset>
              </wp:positionV>
              <wp:extent cx="1804670" cy="140335"/>
              <wp:wrapNone/>
              <wp:docPr id="224" name="Shape 224"/>
              <a:graphic xmlns:a="http://schemas.openxmlformats.org/drawingml/2006/main">
                <a:graphicData uri="http://schemas.microsoft.com/office/word/2010/wordprocessingShape">
                  <wps:wsp>
                    <wps:cNvSpPr txBox="1"/>
                    <wps:spPr>
                      <a:xfrm>
                        <a:ext cx="1804670" cy="140335"/>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苏宁云商集团股份有限公司</w:t>
                          </w:r>
                        </w:p>
                      </w:txbxContent>
                    </wps:txbx>
                    <wps:bodyPr wrap="none" lIns="0" tIns="0" rIns="0" bIns="0">
                      <a:spAutoFit/>
                    </wps:bodyPr>
                  </wps:wsp>
                </a:graphicData>
              </a:graphic>
            </wp:anchor>
          </w:drawing>
        </mc:Choice>
        <mc:Fallback>
          <w:pict>
            <v:shape id="_x0000_s1250" type="#_x0000_t202" style="position:absolute;margin-left:103.25pt;margin-top:37.950000000000003pt;width:142.09999999999999pt;height:11.050000000000001pt;z-index:-188743887;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苏宁云商集团股份有限公司</w:t>
                    </w:r>
                  </w:p>
                </w:txbxContent>
              </v:textbox>
              <w10:wrap anchorx="page" anchory="page"/>
            </v:shape>
          </w:pict>
        </mc:Fallback>
      </mc:AlternateContent>
    </w:r>
  </w:p>
</w:hdr>
</file>

<file path=word/header5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0" behindDoc="1" locked="0" layoutInCell="1" allowOverlap="1">
              <wp:simplePos x="0" y="0"/>
              <wp:positionH relativeFrom="page">
                <wp:posOffset>1311275</wp:posOffset>
              </wp:positionH>
              <wp:positionV relativeFrom="page">
                <wp:posOffset>481965</wp:posOffset>
              </wp:positionV>
              <wp:extent cx="1804670" cy="140335"/>
              <wp:wrapNone/>
              <wp:docPr id="228" name="Shape 228"/>
              <a:graphic xmlns:a="http://schemas.openxmlformats.org/drawingml/2006/main">
                <a:graphicData uri="http://schemas.microsoft.com/office/word/2010/wordprocessingShape">
                  <wps:wsp>
                    <wps:cNvSpPr txBox="1"/>
                    <wps:spPr>
                      <a:xfrm>
                        <a:ext cx="1804670" cy="140335"/>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苏宁云商集团股份有限公司</w:t>
                          </w:r>
                        </w:p>
                      </w:txbxContent>
                    </wps:txbx>
                    <wps:bodyPr wrap="none" lIns="0" tIns="0" rIns="0" bIns="0">
                      <a:spAutoFit/>
                    </wps:bodyPr>
                  </wps:wsp>
                </a:graphicData>
              </a:graphic>
            </wp:anchor>
          </w:drawing>
        </mc:Choice>
        <mc:Fallback>
          <w:pict>
            <v:shape id="_x0000_s1254" type="#_x0000_t202" style="position:absolute;margin-left:103.25pt;margin-top:37.950000000000003pt;width:142.09999999999999pt;height:11.050000000000001pt;z-index:-188743883;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苏宁云商集团股份有限公司</w:t>
                    </w:r>
                  </w:p>
                </w:txbxContent>
              </v:textbox>
              <w10:wrap anchorx="page" anchory="page"/>
            </v:shape>
          </w:pict>
        </mc:Fallback>
      </mc:AlternateContent>
    </w:r>
  </w:p>
</w:hdr>
</file>

<file path=word/header5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4" behindDoc="1" locked="0" layoutInCell="1" allowOverlap="1">
              <wp:simplePos x="0" y="0"/>
              <wp:positionH relativeFrom="page">
                <wp:posOffset>1537970</wp:posOffset>
              </wp:positionH>
              <wp:positionV relativeFrom="page">
                <wp:posOffset>485140</wp:posOffset>
              </wp:positionV>
              <wp:extent cx="1804670" cy="140335"/>
              <wp:wrapNone/>
              <wp:docPr id="236" name="Shape 236"/>
              <a:graphic xmlns:a="http://schemas.openxmlformats.org/drawingml/2006/main">
                <a:graphicData uri="http://schemas.microsoft.com/office/word/2010/wordprocessingShape">
                  <wps:wsp>
                    <wps:cNvSpPr txBox="1"/>
                    <wps:spPr>
                      <a:xfrm>
                        <a:ext cx="1804670" cy="140335"/>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苏宁云商集团股份有限公司</w:t>
                          </w:r>
                        </w:p>
                      </w:txbxContent>
                    </wps:txbx>
                    <wps:bodyPr wrap="none" lIns="0" tIns="0" rIns="0" bIns="0">
                      <a:spAutoFit/>
                    </wps:bodyPr>
                  </wps:wsp>
                </a:graphicData>
              </a:graphic>
            </wp:anchor>
          </w:drawing>
        </mc:Choice>
        <mc:Fallback>
          <w:pict>
            <v:shape id="_x0000_s1262" type="#_x0000_t202" style="position:absolute;margin-left:121.10000000000001pt;margin-top:38.200000000000003pt;width:142.09999999999999pt;height:11.050000000000001pt;z-index:-188743879;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苏宁云商集团股份有限公司</w:t>
                    </w:r>
                  </w:p>
                </w:txbxContent>
              </v:textbox>
              <w10:wrap anchorx="page" anchory="page"/>
            </v:shape>
          </w:pict>
        </mc:Fallback>
      </mc:AlternateContent>
    </w:r>
  </w:p>
</w:hdr>
</file>

<file path=word/header5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8" behindDoc="1" locked="0" layoutInCell="1" allowOverlap="1">
              <wp:simplePos x="0" y="0"/>
              <wp:positionH relativeFrom="page">
                <wp:posOffset>1537970</wp:posOffset>
              </wp:positionH>
              <wp:positionV relativeFrom="page">
                <wp:posOffset>485140</wp:posOffset>
              </wp:positionV>
              <wp:extent cx="1804670" cy="140335"/>
              <wp:wrapNone/>
              <wp:docPr id="240" name="Shape 240"/>
              <a:graphic xmlns:a="http://schemas.openxmlformats.org/drawingml/2006/main">
                <a:graphicData uri="http://schemas.microsoft.com/office/word/2010/wordprocessingShape">
                  <wps:wsp>
                    <wps:cNvSpPr txBox="1"/>
                    <wps:spPr>
                      <a:xfrm>
                        <a:ext cx="1804670" cy="140335"/>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苏宁云商集团股份有限公司</w:t>
                          </w:r>
                        </w:p>
                      </w:txbxContent>
                    </wps:txbx>
                    <wps:bodyPr wrap="none" lIns="0" tIns="0" rIns="0" bIns="0">
                      <a:spAutoFit/>
                    </wps:bodyPr>
                  </wps:wsp>
                </a:graphicData>
              </a:graphic>
            </wp:anchor>
          </w:drawing>
        </mc:Choice>
        <mc:Fallback>
          <w:pict>
            <v:shape id="_x0000_s1266" type="#_x0000_t202" style="position:absolute;margin-left:121.10000000000001pt;margin-top:38.200000000000003pt;width:142.09999999999999pt;height:11.050000000000001pt;z-index:-188743875;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苏宁云商集团股份有限公司</w:t>
                    </w:r>
                  </w:p>
                </w:txbxContent>
              </v:textbox>
              <w10:wrap anchorx="page" anchory="page"/>
            </v:shape>
          </w:pict>
        </mc:Fallback>
      </mc:AlternateContent>
    </w:r>
  </w:p>
</w:hdr>
</file>

<file path=word/header5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2" behindDoc="1" locked="0" layoutInCell="1" allowOverlap="1">
              <wp:simplePos x="0" y="0"/>
              <wp:positionH relativeFrom="page">
                <wp:posOffset>1311275</wp:posOffset>
              </wp:positionH>
              <wp:positionV relativeFrom="page">
                <wp:posOffset>481965</wp:posOffset>
              </wp:positionV>
              <wp:extent cx="1804670" cy="140335"/>
              <wp:wrapNone/>
              <wp:docPr id="252" name="Shape 252"/>
              <a:graphic xmlns:a="http://schemas.openxmlformats.org/drawingml/2006/main">
                <a:graphicData uri="http://schemas.microsoft.com/office/word/2010/wordprocessingShape">
                  <wps:wsp>
                    <wps:cNvSpPr txBox="1"/>
                    <wps:spPr>
                      <a:xfrm>
                        <a:ext cx="1804670" cy="140335"/>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苏宁云商集团股份有限公司</w:t>
                          </w:r>
                        </w:p>
                      </w:txbxContent>
                    </wps:txbx>
                    <wps:bodyPr wrap="none" lIns="0" tIns="0" rIns="0" bIns="0">
                      <a:spAutoFit/>
                    </wps:bodyPr>
                  </wps:wsp>
                </a:graphicData>
              </a:graphic>
            </wp:anchor>
          </w:drawing>
        </mc:Choice>
        <mc:Fallback>
          <w:pict>
            <v:shape id="_x0000_s1278" type="#_x0000_t202" style="position:absolute;margin-left:103.25pt;margin-top:37.950000000000003pt;width:142.09999999999999pt;height:11.050000000000001pt;z-index:-188743871;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苏宁云商集团股份有限公司</w:t>
                    </w:r>
                  </w:p>
                </w:txbxContent>
              </v:textbox>
              <w10:wrap anchorx="page" anchory="page"/>
            </v:shape>
          </w:pict>
        </mc:Fallback>
      </mc:AlternateContent>
    </w:r>
  </w:p>
</w:hdr>
</file>

<file path=word/header5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6" behindDoc="1" locked="0" layoutInCell="1" allowOverlap="1">
              <wp:simplePos x="0" y="0"/>
              <wp:positionH relativeFrom="page">
                <wp:posOffset>1311275</wp:posOffset>
              </wp:positionH>
              <wp:positionV relativeFrom="page">
                <wp:posOffset>481965</wp:posOffset>
              </wp:positionV>
              <wp:extent cx="1804670" cy="140335"/>
              <wp:wrapNone/>
              <wp:docPr id="256" name="Shape 256"/>
              <a:graphic xmlns:a="http://schemas.openxmlformats.org/drawingml/2006/main">
                <a:graphicData uri="http://schemas.microsoft.com/office/word/2010/wordprocessingShape">
                  <wps:wsp>
                    <wps:cNvSpPr txBox="1"/>
                    <wps:spPr>
                      <a:xfrm>
                        <a:ext cx="1804670" cy="140335"/>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苏宁云商集团股份有限公司</w:t>
                          </w:r>
                        </w:p>
                      </w:txbxContent>
                    </wps:txbx>
                    <wps:bodyPr wrap="none" lIns="0" tIns="0" rIns="0" bIns="0">
                      <a:spAutoFit/>
                    </wps:bodyPr>
                  </wps:wsp>
                </a:graphicData>
              </a:graphic>
            </wp:anchor>
          </w:drawing>
        </mc:Choice>
        <mc:Fallback>
          <w:pict>
            <v:shape id="_x0000_s1282" type="#_x0000_t202" style="position:absolute;margin-left:103.25pt;margin-top:37.950000000000003pt;width:142.09999999999999pt;height:11.050000000000001pt;z-index:-188743867;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苏宁云商集团股份有限公司</w:t>
                    </w:r>
                  </w:p>
                </w:txbxContent>
              </v:textbox>
              <w10:wrap anchorx="page" anchory="page"/>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7062470</wp:posOffset>
              </wp:positionH>
              <wp:positionV relativeFrom="page">
                <wp:posOffset>562610</wp:posOffset>
              </wp:positionV>
              <wp:extent cx="2706370" cy="115570"/>
              <wp:wrapNone/>
              <wp:docPr id="22" name="Shape 22"/>
              <a:graphic xmlns:a="http://schemas.openxmlformats.org/drawingml/2006/main">
                <a:graphicData uri="http://schemas.microsoft.com/office/word/2010/wordprocessingShape">
                  <wps:wsp>
                    <wps:cNvSpPr txBox="1"/>
                    <wps:spPr>
                      <a:xfrm>
                        <a:ext cx="2706370" cy="11557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苏宁云商集团股份有限公司</w:t>
                          </w:r>
                          <w:r>
                            <w:rPr>
                              <w:color w:val="000000"/>
                              <w:spacing w:val="0"/>
                              <w:w w:val="100"/>
                              <w:position w:val="0"/>
                            </w:rPr>
                            <w:t>2016</w:t>
                          </w:r>
                          <w:r>
                            <w:rPr>
                              <w:rFonts w:ascii="SimSun" w:eastAsia="SimSun" w:hAnsi="SimSun" w:cs="SimSun"/>
                              <w:color w:val="000000"/>
                              <w:spacing w:val="0"/>
                              <w:w w:val="100"/>
                              <w:position w:val="0"/>
                            </w:rPr>
                            <w:t>年年度报告全文</w:t>
                          </w:r>
                        </w:p>
                      </w:txbxContent>
                    </wps:txbx>
                    <wps:bodyPr wrap="none" lIns="0" tIns="0" rIns="0" bIns="0">
                      <a:spAutoFit/>
                    </wps:bodyPr>
                  </wps:wsp>
                </a:graphicData>
              </a:graphic>
            </wp:anchor>
          </w:drawing>
        </mc:Choice>
        <mc:Fallback>
          <w:pict>
            <v:shape id="_x0000_s1048" type="#_x0000_t202" style="position:absolute;margin-left:556.10000000000002pt;margin-top:44.300000000000004pt;width:213.09999999999999pt;height:9.0999999999999996pt;z-index:-18874404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苏宁云商集团股份有限公司</w:t>
                    </w:r>
                    <w:r>
                      <w:rPr>
                        <w:color w:val="000000"/>
                        <w:spacing w:val="0"/>
                        <w:w w:val="100"/>
                        <w:position w:val="0"/>
                      </w:rPr>
                      <w:t>2016</w:t>
                    </w:r>
                    <w:r>
                      <w:rPr>
                        <w:rFonts w:ascii="SimSun" w:eastAsia="SimSun" w:hAnsi="SimSun" w:cs="SimSun"/>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911860</wp:posOffset>
              </wp:positionH>
              <wp:positionV relativeFrom="page">
                <wp:posOffset>719455</wp:posOffset>
              </wp:positionV>
              <wp:extent cx="8866505" cy="0"/>
              <wp:wrapNone/>
              <wp:docPr id="24" name="Shape 24"/>
              <a:graphic xmlns:a="http://schemas.openxmlformats.org/drawingml/2006/main">
                <a:graphicData uri="http://schemas.microsoft.com/office/word/2010/wordprocessingShape">
                  <wps:wsp>
                    <wps:cNvCnPr/>
                    <wps:spPr>
                      <a:xfrm>
                        <a:ext cx="8866505" cy="0"/>
                      </a:xfrm>
                      <a:prstGeom prst="straightConnector1"/>
                      <a:ln w="12700">
                        <a:solidFill/>
                      </a:ln>
                    </wps:spPr>
                    <wps:bodyPr/>
                  </wps:wsp>
                </a:graphicData>
              </a:graphic>
            </wp:anchor>
          </w:drawing>
        </mc:Choice>
        <mc:Fallback>
          <w:pict>
            <v:shape o:spt="32" o:oned="true" path="m,l21600,21600e" style="position:absolute;margin-left:71.799999999999997pt;margin-top:56.649999999999999pt;width:698.14999999999998pt;height:0;z-index:-251658240;mso-position-horizontal-relative:page;mso-position-vertical-relative:page">
              <v:stroke weight="1.pt"/>
            </v:shape>
          </w:pict>
        </mc:Fallback>
      </mc:AlternateContent>
    </w:r>
  </w:p>
</w:hdr>
</file>

<file path=word/header6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0" behindDoc="1" locked="0" layoutInCell="1" allowOverlap="1">
              <wp:simplePos x="0" y="0"/>
              <wp:positionH relativeFrom="page">
                <wp:posOffset>1537970</wp:posOffset>
              </wp:positionH>
              <wp:positionV relativeFrom="page">
                <wp:posOffset>485140</wp:posOffset>
              </wp:positionV>
              <wp:extent cx="1804670" cy="140335"/>
              <wp:wrapNone/>
              <wp:docPr id="260" name="Shape 260"/>
              <a:graphic xmlns:a="http://schemas.openxmlformats.org/drawingml/2006/main">
                <a:graphicData uri="http://schemas.microsoft.com/office/word/2010/wordprocessingShape">
                  <wps:wsp>
                    <wps:cNvSpPr txBox="1"/>
                    <wps:spPr>
                      <a:xfrm>
                        <a:ext cx="1804670" cy="140335"/>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苏宁云商集团股份有限公司</w:t>
                          </w:r>
                        </w:p>
                      </w:txbxContent>
                    </wps:txbx>
                    <wps:bodyPr wrap="none" lIns="0" tIns="0" rIns="0" bIns="0">
                      <a:spAutoFit/>
                    </wps:bodyPr>
                  </wps:wsp>
                </a:graphicData>
              </a:graphic>
            </wp:anchor>
          </w:drawing>
        </mc:Choice>
        <mc:Fallback>
          <w:pict>
            <v:shape id="_x0000_s1286" type="#_x0000_t202" style="position:absolute;margin-left:121.10000000000001pt;margin-top:38.200000000000003pt;width:142.09999999999999pt;height:11.050000000000001pt;z-index:-188743863;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苏宁云商集团股份有限公司</w:t>
                    </w:r>
                  </w:p>
                </w:txbxContent>
              </v:textbox>
              <w10:wrap anchorx="page" anchory="page"/>
            </v:shape>
          </w:pict>
        </mc:Fallback>
      </mc:AlternateContent>
    </w:r>
  </w:p>
</w:hdr>
</file>

<file path=word/header6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4" behindDoc="1" locked="0" layoutInCell="1" allowOverlap="1">
              <wp:simplePos x="0" y="0"/>
              <wp:positionH relativeFrom="page">
                <wp:posOffset>1537970</wp:posOffset>
              </wp:positionH>
              <wp:positionV relativeFrom="page">
                <wp:posOffset>485140</wp:posOffset>
              </wp:positionV>
              <wp:extent cx="1804670" cy="140335"/>
              <wp:wrapNone/>
              <wp:docPr id="264" name="Shape 264"/>
              <a:graphic xmlns:a="http://schemas.openxmlformats.org/drawingml/2006/main">
                <a:graphicData uri="http://schemas.microsoft.com/office/word/2010/wordprocessingShape">
                  <wps:wsp>
                    <wps:cNvSpPr txBox="1"/>
                    <wps:spPr>
                      <a:xfrm>
                        <a:ext cx="1804670" cy="140335"/>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苏宁云商集团股份有限公司</w:t>
                          </w:r>
                        </w:p>
                      </w:txbxContent>
                    </wps:txbx>
                    <wps:bodyPr wrap="none" lIns="0" tIns="0" rIns="0" bIns="0">
                      <a:spAutoFit/>
                    </wps:bodyPr>
                  </wps:wsp>
                </a:graphicData>
              </a:graphic>
            </wp:anchor>
          </w:drawing>
        </mc:Choice>
        <mc:Fallback>
          <w:pict>
            <v:shape id="_x0000_s1290" type="#_x0000_t202" style="position:absolute;margin-left:121.10000000000001pt;margin-top:38.200000000000003pt;width:142.09999999999999pt;height:11.050000000000001pt;z-index:-188743859;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苏宁云商集团股份有限公司</w:t>
                    </w:r>
                  </w:p>
                </w:txbxContent>
              </v:textbox>
              <w10:wrap anchorx="page" anchory="page"/>
            </v:shape>
          </w:pict>
        </mc:Fallback>
      </mc:AlternateContent>
    </w:r>
  </w:p>
</w:hdr>
</file>

<file path=word/header6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8" behindDoc="1" locked="0" layoutInCell="1" allowOverlap="1">
              <wp:simplePos x="0" y="0"/>
              <wp:positionH relativeFrom="page">
                <wp:posOffset>1311275</wp:posOffset>
              </wp:positionH>
              <wp:positionV relativeFrom="page">
                <wp:posOffset>481965</wp:posOffset>
              </wp:positionV>
              <wp:extent cx="1804670" cy="140335"/>
              <wp:wrapNone/>
              <wp:docPr id="268" name="Shape 268"/>
              <a:graphic xmlns:a="http://schemas.openxmlformats.org/drawingml/2006/main">
                <a:graphicData uri="http://schemas.microsoft.com/office/word/2010/wordprocessingShape">
                  <wps:wsp>
                    <wps:cNvSpPr txBox="1"/>
                    <wps:spPr>
                      <a:xfrm>
                        <a:ext cx="1804670" cy="140335"/>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苏宁云商集团股份有限公司</w:t>
                          </w:r>
                        </w:p>
                      </w:txbxContent>
                    </wps:txbx>
                    <wps:bodyPr wrap="none" lIns="0" tIns="0" rIns="0" bIns="0">
                      <a:spAutoFit/>
                    </wps:bodyPr>
                  </wps:wsp>
                </a:graphicData>
              </a:graphic>
            </wp:anchor>
          </w:drawing>
        </mc:Choice>
        <mc:Fallback>
          <w:pict>
            <v:shape id="_x0000_s1294" type="#_x0000_t202" style="position:absolute;margin-left:103.25pt;margin-top:37.950000000000003pt;width:142.09999999999999pt;height:11.050000000000001pt;z-index:-188743855;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苏宁云商集团股份有限公司</w:t>
                    </w:r>
                  </w:p>
                </w:txbxContent>
              </v:textbox>
              <w10:wrap anchorx="page" anchory="page"/>
            </v:shape>
          </w:pict>
        </mc:Fallback>
      </mc:AlternateContent>
    </w:r>
  </w:p>
</w:hdr>
</file>

<file path=word/header6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2" behindDoc="1" locked="0" layoutInCell="1" allowOverlap="1">
              <wp:simplePos x="0" y="0"/>
              <wp:positionH relativeFrom="page">
                <wp:posOffset>1311275</wp:posOffset>
              </wp:positionH>
              <wp:positionV relativeFrom="page">
                <wp:posOffset>481965</wp:posOffset>
              </wp:positionV>
              <wp:extent cx="1804670" cy="140335"/>
              <wp:wrapNone/>
              <wp:docPr id="272" name="Shape 272"/>
              <a:graphic xmlns:a="http://schemas.openxmlformats.org/drawingml/2006/main">
                <a:graphicData uri="http://schemas.microsoft.com/office/word/2010/wordprocessingShape">
                  <wps:wsp>
                    <wps:cNvSpPr txBox="1"/>
                    <wps:spPr>
                      <a:xfrm>
                        <a:ext cx="1804670" cy="140335"/>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苏宁云商集团股份有限公司</w:t>
                          </w:r>
                        </w:p>
                      </w:txbxContent>
                    </wps:txbx>
                    <wps:bodyPr wrap="none" lIns="0" tIns="0" rIns="0" bIns="0">
                      <a:spAutoFit/>
                    </wps:bodyPr>
                  </wps:wsp>
                </a:graphicData>
              </a:graphic>
            </wp:anchor>
          </w:drawing>
        </mc:Choice>
        <mc:Fallback>
          <w:pict>
            <v:shape id="_x0000_s1298" type="#_x0000_t202" style="position:absolute;margin-left:103.25pt;margin-top:37.950000000000003pt;width:142.09999999999999pt;height:11.050000000000001pt;z-index:-188743851;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苏宁云商集团股份有限公司</w:t>
                    </w:r>
                  </w:p>
                </w:txbxContent>
              </v:textbox>
              <w10:wrap anchorx="page" anchory="page"/>
            </v:shape>
          </w:pict>
        </mc:Fallback>
      </mc:AlternateContent>
    </w:r>
  </w:p>
</w:hdr>
</file>

<file path=word/header6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6" behindDoc="1" locked="0" layoutInCell="1" allowOverlap="1">
              <wp:simplePos x="0" y="0"/>
              <wp:positionH relativeFrom="page">
                <wp:posOffset>1298575</wp:posOffset>
              </wp:positionH>
              <wp:positionV relativeFrom="page">
                <wp:posOffset>483870</wp:posOffset>
              </wp:positionV>
              <wp:extent cx="1804670" cy="140335"/>
              <wp:wrapNone/>
              <wp:docPr id="276" name="Shape 276"/>
              <a:graphic xmlns:a="http://schemas.openxmlformats.org/drawingml/2006/main">
                <a:graphicData uri="http://schemas.microsoft.com/office/word/2010/wordprocessingShape">
                  <wps:wsp>
                    <wps:cNvSpPr txBox="1"/>
                    <wps:spPr>
                      <a:xfrm>
                        <a:ext cx="1804670" cy="140335"/>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苏宁云商集团股份有限公司</w:t>
                          </w:r>
                        </w:p>
                      </w:txbxContent>
                    </wps:txbx>
                    <wps:bodyPr wrap="none" lIns="0" tIns="0" rIns="0" bIns="0">
                      <a:spAutoFit/>
                    </wps:bodyPr>
                  </wps:wsp>
                </a:graphicData>
              </a:graphic>
            </wp:anchor>
          </w:drawing>
        </mc:Choice>
        <mc:Fallback>
          <w:pict>
            <v:shape id="_x0000_s1302" type="#_x0000_t202" style="position:absolute;margin-left:102.25pt;margin-top:38.100000000000001pt;width:142.09999999999999pt;height:11.050000000000001pt;z-index:-188743847;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苏宁云商集团股份有限公司</w:t>
                    </w:r>
                  </w:p>
                </w:txbxContent>
              </v:textbox>
              <w10:wrap anchorx="page" anchory="page"/>
            </v:shape>
          </w:pict>
        </mc:Fallback>
      </mc:AlternateContent>
    </w:r>
  </w:p>
</w:hdr>
</file>

<file path=word/header6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8" behindDoc="1" locked="0" layoutInCell="1" allowOverlap="1">
              <wp:simplePos x="0" y="0"/>
              <wp:positionH relativeFrom="page">
                <wp:posOffset>1298575</wp:posOffset>
              </wp:positionH>
              <wp:positionV relativeFrom="page">
                <wp:posOffset>483870</wp:posOffset>
              </wp:positionV>
              <wp:extent cx="1804670" cy="140335"/>
              <wp:wrapNone/>
              <wp:docPr id="278" name="Shape 278"/>
              <a:graphic xmlns:a="http://schemas.openxmlformats.org/drawingml/2006/main">
                <a:graphicData uri="http://schemas.microsoft.com/office/word/2010/wordprocessingShape">
                  <wps:wsp>
                    <wps:cNvSpPr txBox="1"/>
                    <wps:spPr>
                      <a:xfrm>
                        <a:ext cx="1804670" cy="140335"/>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苏宁云商集团股份有限公司</w:t>
                          </w:r>
                        </w:p>
                      </w:txbxContent>
                    </wps:txbx>
                    <wps:bodyPr wrap="none" lIns="0" tIns="0" rIns="0" bIns="0">
                      <a:spAutoFit/>
                    </wps:bodyPr>
                  </wps:wsp>
                </a:graphicData>
              </a:graphic>
            </wp:anchor>
          </w:drawing>
        </mc:Choice>
        <mc:Fallback>
          <w:pict>
            <v:shape id="_x0000_s1304" type="#_x0000_t202" style="position:absolute;margin-left:102.25pt;margin-top:38.100000000000001pt;width:142.09999999999999pt;height:11.050000000000001pt;z-index:-188743845;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苏宁云商集团股份有限公司</w:t>
                    </w:r>
                  </w:p>
                </w:txbxContent>
              </v:textbox>
              <w10:wrap anchorx="page" anchory="page"/>
            </v:shape>
          </w:pict>
        </mc:Fallback>
      </mc:AlternateContent>
    </w:r>
  </w:p>
</w:hdr>
</file>

<file path=word/header6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6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6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4" behindDoc="1" locked="0" layoutInCell="1" allowOverlap="1">
              <wp:simplePos x="0" y="0"/>
              <wp:positionH relativeFrom="page">
                <wp:posOffset>1512570</wp:posOffset>
              </wp:positionH>
              <wp:positionV relativeFrom="page">
                <wp:posOffset>485140</wp:posOffset>
              </wp:positionV>
              <wp:extent cx="1804670" cy="140335"/>
              <wp:wrapNone/>
              <wp:docPr id="284" name="Shape 284"/>
              <a:graphic xmlns:a="http://schemas.openxmlformats.org/drawingml/2006/main">
                <a:graphicData uri="http://schemas.microsoft.com/office/word/2010/wordprocessingShape">
                  <wps:wsp>
                    <wps:cNvSpPr txBox="1"/>
                    <wps:spPr>
                      <a:xfrm>
                        <a:ext cx="1804670" cy="140335"/>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苏宁云商集团股份有限公司</w:t>
                          </w:r>
                        </w:p>
                      </w:txbxContent>
                    </wps:txbx>
                    <wps:bodyPr wrap="none" lIns="0" tIns="0" rIns="0" bIns="0">
                      <a:spAutoFit/>
                    </wps:bodyPr>
                  </wps:wsp>
                </a:graphicData>
              </a:graphic>
            </wp:anchor>
          </w:drawing>
        </mc:Choice>
        <mc:Fallback>
          <w:pict>
            <v:shape id="_x0000_s1310" type="#_x0000_t202" style="position:absolute;margin-left:119.10000000000001pt;margin-top:38.200000000000003pt;width:142.09999999999999pt;height:11.050000000000001pt;z-index:-188743839;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苏宁云商集团股份有限公司</w:t>
                    </w:r>
                  </w:p>
                </w:txbxContent>
              </v:textbox>
              <w10:wrap anchorx="page" anchory="page"/>
            </v:shape>
          </w:pict>
        </mc:Fallback>
      </mc:AlternateContent>
    </w:r>
  </w:p>
</w:hdr>
</file>

<file path=word/header6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8" behindDoc="1" locked="0" layoutInCell="1" allowOverlap="1">
              <wp:simplePos x="0" y="0"/>
              <wp:positionH relativeFrom="page">
                <wp:posOffset>1512570</wp:posOffset>
              </wp:positionH>
              <wp:positionV relativeFrom="page">
                <wp:posOffset>485140</wp:posOffset>
              </wp:positionV>
              <wp:extent cx="1804670" cy="140335"/>
              <wp:wrapNone/>
              <wp:docPr id="288" name="Shape 288"/>
              <a:graphic xmlns:a="http://schemas.openxmlformats.org/drawingml/2006/main">
                <a:graphicData uri="http://schemas.microsoft.com/office/word/2010/wordprocessingShape">
                  <wps:wsp>
                    <wps:cNvSpPr txBox="1"/>
                    <wps:spPr>
                      <a:xfrm>
                        <a:ext cx="1804670" cy="140335"/>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苏宁云商集团股份有限公司</w:t>
                          </w:r>
                        </w:p>
                      </w:txbxContent>
                    </wps:txbx>
                    <wps:bodyPr wrap="none" lIns="0" tIns="0" rIns="0" bIns="0">
                      <a:spAutoFit/>
                    </wps:bodyPr>
                  </wps:wsp>
                </a:graphicData>
              </a:graphic>
            </wp:anchor>
          </w:drawing>
        </mc:Choice>
        <mc:Fallback>
          <w:pict>
            <v:shape id="_x0000_s1314" type="#_x0000_t202" style="position:absolute;margin-left:119.10000000000001pt;margin-top:38.200000000000003pt;width:142.09999999999999pt;height:11.050000000000001pt;z-index:-188743835;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苏宁云商集团股份有限公司</w:t>
                    </w:r>
                  </w:p>
                </w:txbxContent>
              </v:textbox>
              <w10:wrap anchorx="page" anchory="page"/>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4122420</wp:posOffset>
              </wp:positionH>
              <wp:positionV relativeFrom="page">
                <wp:posOffset>564515</wp:posOffset>
              </wp:positionV>
              <wp:extent cx="2706370" cy="115570"/>
              <wp:wrapNone/>
              <wp:docPr id="27" name="Shape 27"/>
              <a:graphic xmlns:a="http://schemas.openxmlformats.org/drawingml/2006/main">
                <a:graphicData uri="http://schemas.microsoft.com/office/word/2010/wordprocessingShape">
                  <wps:wsp>
                    <wps:cNvSpPr txBox="1"/>
                    <wps:spPr>
                      <a:xfrm>
                        <a:ext cx="2706370" cy="11557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苏宁云商集团股份有限公司</w:t>
                          </w:r>
                          <w:r>
                            <w:rPr>
                              <w:color w:val="000000"/>
                              <w:spacing w:val="0"/>
                              <w:w w:val="100"/>
                              <w:position w:val="0"/>
                            </w:rPr>
                            <w:t>2016</w:t>
                          </w:r>
                          <w:r>
                            <w:rPr>
                              <w:rFonts w:ascii="SimSun" w:eastAsia="SimSun" w:hAnsi="SimSun" w:cs="SimSun"/>
                              <w:color w:val="000000"/>
                              <w:spacing w:val="0"/>
                              <w:w w:val="100"/>
                              <w:position w:val="0"/>
                            </w:rPr>
                            <w:t>年年度报告全文</w:t>
                          </w:r>
                        </w:p>
                      </w:txbxContent>
                    </wps:txbx>
                    <wps:bodyPr wrap="none" lIns="0" tIns="0" rIns="0" bIns="0">
                      <a:spAutoFit/>
                    </wps:bodyPr>
                  </wps:wsp>
                </a:graphicData>
              </a:graphic>
            </wp:anchor>
          </w:drawing>
        </mc:Choice>
        <mc:Fallback>
          <w:pict>
            <v:shape id="_x0000_s1053" type="#_x0000_t202" style="position:absolute;margin-left:324.60000000000002pt;margin-top:44.450000000000003pt;width:213.09999999999999pt;height:9.0999999999999996pt;z-index:-18874404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苏宁云商集团股份有限公司</w:t>
                    </w:r>
                    <w:r>
                      <w:rPr>
                        <w:color w:val="000000"/>
                        <w:spacing w:val="0"/>
                        <w:w w:val="100"/>
                        <w:position w:val="0"/>
                      </w:rPr>
                      <w:t>2016</w:t>
                    </w:r>
                    <w:r>
                      <w:rPr>
                        <w:rFonts w:ascii="SimSun" w:eastAsia="SimSun" w:hAnsi="SimSun" w:cs="SimSun"/>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718185</wp:posOffset>
              </wp:positionH>
              <wp:positionV relativeFrom="page">
                <wp:posOffset>721360</wp:posOffset>
              </wp:positionV>
              <wp:extent cx="6123305" cy="0"/>
              <wp:wrapNone/>
              <wp:docPr id="29" name="Shape 29"/>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6.550000000000004pt;margin-top:56.800000000000004pt;width:482.15000000000003pt;height:0;z-index:-251658240;mso-position-horizontal-relative:page;mso-position-vertical-relative:page">
              <v:stroke weight="1.pt"/>
            </v:shape>
          </w:pict>
        </mc:Fallback>
      </mc:AlternateContent>
    </w:r>
  </w:p>
</w:hdr>
</file>

<file path=word/header7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2" behindDoc="1" locked="0" layoutInCell="1" allowOverlap="1">
              <wp:simplePos x="0" y="0"/>
              <wp:positionH relativeFrom="page">
                <wp:posOffset>916940</wp:posOffset>
              </wp:positionH>
              <wp:positionV relativeFrom="page">
                <wp:posOffset>481965</wp:posOffset>
              </wp:positionV>
              <wp:extent cx="1804670" cy="140335"/>
              <wp:wrapNone/>
              <wp:docPr id="292" name="Shape 292"/>
              <a:graphic xmlns:a="http://schemas.openxmlformats.org/drawingml/2006/main">
                <a:graphicData uri="http://schemas.microsoft.com/office/word/2010/wordprocessingShape">
                  <wps:wsp>
                    <wps:cNvSpPr txBox="1"/>
                    <wps:spPr>
                      <a:xfrm>
                        <a:ext cx="1804670" cy="140335"/>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苏宁云商集团股份有限公司</w:t>
                          </w:r>
                        </w:p>
                      </w:txbxContent>
                    </wps:txbx>
                    <wps:bodyPr wrap="none" lIns="0" tIns="0" rIns="0" bIns="0">
                      <a:spAutoFit/>
                    </wps:bodyPr>
                  </wps:wsp>
                </a:graphicData>
              </a:graphic>
            </wp:anchor>
          </w:drawing>
        </mc:Choice>
        <mc:Fallback>
          <w:pict>
            <v:shape id="_x0000_s1318" type="#_x0000_t202" style="position:absolute;margin-left:72.200000000000003pt;margin-top:37.950000000000003pt;width:142.09999999999999pt;height:11.050000000000001pt;z-index:-188743831;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苏宁云商集团股份有限公司</w:t>
                    </w:r>
                  </w:p>
                </w:txbxContent>
              </v:textbox>
              <w10:wrap anchorx="page" anchory="page"/>
            </v:shape>
          </w:pict>
        </mc:Fallback>
      </mc:AlternateContent>
    </w:r>
  </w:p>
</w:hdr>
</file>

<file path=word/header7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6" behindDoc="1" locked="0" layoutInCell="1" allowOverlap="1">
              <wp:simplePos x="0" y="0"/>
              <wp:positionH relativeFrom="page">
                <wp:posOffset>916940</wp:posOffset>
              </wp:positionH>
              <wp:positionV relativeFrom="page">
                <wp:posOffset>481965</wp:posOffset>
              </wp:positionV>
              <wp:extent cx="1804670" cy="140335"/>
              <wp:wrapNone/>
              <wp:docPr id="296" name="Shape 296"/>
              <a:graphic xmlns:a="http://schemas.openxmlformats.org/drawingml/2006/main">
                <a:graphicData uri="http://schemas.microsoft.com/office/word/2010/wordprocessingShape">
                  <wps:wsp>
                    <wps:cNvSpPr txBox="1"/>
                    <wps:spPr>
                      <a:xfrm>
                        <a:ext cx="1804670" cy="140335"/>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苏宁云商集团股份有限公司</w:t>
                          </w:r>
                        </w:p>
                      </w:txbxContent>
                    </wps:txbx>
                    <wps:bodyPr wrap="none" lIns="0" tIns="0" rIns="0" bIns="0">
                      <a:spAutoFit/>
                    </wps:bodyPr>
                  </wps:wsp>
                </a:graphicData>
              </a:graphic>
            </wp:anchor>
          </w:drawing>
        </mc:Choice>
        <mc:Fallback>
          <w:pict>
            <v:shape id="_x0000_s1322" type="#_x0000_t202" style="position:absolute;margin-left:72.200000000000003pt;margin-top:37.950000000000003pt;width:142.09999999999999pt;height:11.050000000000001pt;z-index:-188743827;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苏宁云商集团股份有限公司</w:t>
                    </w:r>
                  </w:p>
                </w:txbxContent>
              </v:textbox>
              <w10:wrap anchorx="page" anchory="page"/>
            </v:shape>
          </w:pict>
        </mc:Fallback>
      </mc:AlternateContent>
    </w:r>
  </w:p>
</w:hdr>
</file>

<file path=word/header7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0" behindDoc="1" locked="0" layoutInCell="1" allowOverlap="1">
              <wp:simplePos x="0" y="0"/>
              <wp:positionH relativeFrom="page">
                <wp:posOffset>1512570</wp:posOffset>
              </wp:positionH>
              <wp:positionV relativeFrom="page">
                <wp:posOffset>485140</wp:posOffset>
              </wp:positionV>
              <wp:extent cx="1804670" cy="140335"/>
              <wp:wrapNone/>
              <wp:docPr id="320" name="Shape 320"/>
              <a:graphic xmlns:a="http://schemas.openxmlformats.org/drawingml/2006/main">
                <a:graphicData uri="http://schemas.microsoft.com/office/word/2010/wordprocessingShape">
                  <wps:wsp>
                    <wps:cNvSpPr txBox="1"/>
                    <wps:spPr>
                      <a:xfrm>
                        <a:ext cx="1804670" cy="140335"/>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苏宁云商集团股份有限公司</w:t>
                          </w:r>
                        </w:p>
                      </w:txbxContent>
                    </wps:txbx>
                    <wps:bodyPr wrap="none" lIns="0" tIns="0" rIns="0" bIns="0">
                      <a:spAutoFit/>
                    </wps:bodyPr>
                  </wps:wsp>
                </a:graphicData>
              </a:graphic>
            </wp:anchor>
          </w:drawing>
        </mc:Choice>
        <mc:Fallback>
          <w:pict>
            <v:shape id="_x0000_s1346" type="#_x0000_t202" style="position:absolute;margin-left:119.10000000000001pt;margin-top:38.200000000000003pt;width:142.09999999999999pt;height:11.050000000000001pt;z-index:-188743823;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苏宁云商集团股份有限公司</w:t>
                    </w:r>
                  </w:p>
                </w:txbxContent>
              </v:textbox>
              <w10:wrap anchorx="page" anchory="page"/>
            </v:shape>
          </w:pict>
        </mc:Fallback>
      </mc:AlternateContent>
    </w:r>
  </w:p>
</w:hdr>
</file>

<file path=word/header7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4" behindDoc="1" locked="0" layoutInCell="1" allowOverlap="1">
              <wp:simplePos x="0" y="0"/>
              <wp:positionH relativeFrom="page">
                <wp:posOffset>1512570</wp:posOffset>
              </wp:positionH>
              <wp:positionV relativeFrom="page">
                <wp:posOffset>485140</wp:posOffset>
              </wp:positionV>
              <wp:extent cx="1804670" cy="140335"/>
              <wp:wrapNone/>
              <wp:docPr id="324" name="Shape 324"/>
              <a:graphic xmlns:a="http://schemas.openxmlformats.org/drawingml/2006/main">
                <a:graphicData uri="http://schemas.microsoft.com/office/word/2010/wordprocessingShape">
                  <wps:wsp>
                    <wps:cNvSpPr txBox="1"/>
                    <wps:spPr>
                      <a:xfrm>
                        <a:ext cx="1804670" cy="140335"/>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苏宁云商集团股份有限公司</w:t>
                          </w:r>
                        </w:p>
                      </w:txbxContent>
                    </wps:txbx>
                    <wps:bodyPr wrap="none" lIns="0" tIns="0" rIns="0" bIns="0">
                      <a:spAutoFit/>
                    </wps:bodyPr>
                  </wps:wsp>
                </a:graphicData>
              </a:graphic>
            </wp:anchor>
          </w:drawing>
        </mc:Choice>
        <mc:Fallback>
          <w:pict>
            <v:shape id="_x0000_s1350" type="#_x0000_t202" style="position:absolute;margin-left:119.10000000000001pt;margin-top:38.200000000000003pt;width:142.09999999999999pt;height:11.050000000000001pt;z-index:-188743819;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苏宁云商集团股份有限公司</w:t>
                    </w:r>
                  </w:p>
                </w:txbxContent>
              </v:textbox>
              <w10:wrap anchorx="page" anchory="page"/>
            </v:shape>
          </w:pict>
        </mc:Fallback>
      </mc:AlternateContent>
    </w:r>
  </w:p>
</w:hdr>
</file>

<file path=word/header7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8" behindDoc="1" locked="0" layoutInCell="1" allowOverlap="1">
              <wp:simplePos x="0" y="0"/>
              <wp:positionH relativeFrom="page">
                <wp:posOffset>832485</wp:posOffset>
              </wp:positionH>
              <wp:positionV relativeFrom="page">
                <wp:posOffset>481965</wp:posOffset>
              </wp:positionV>
              <wp:extent cx="1804670" cy="140335"/>
              <wp:wrapNone/>
              <wp:docPr id="330" name="Shape 330"/>
              <a:graphic xmlns:a="http://schemas.openxmlformats.org/drawingml/2006/main">
                <a:graphicData uri="http://schemas.microsoft.com/office/word/2010/wordprocessingShape">
                  <wps:wsp>
                    <wps:cNvSpPr txBox="1"/>
                    <wps:spPr>
                      <a:xfrm>
                        <a:ext cx="1804670" cy="140335"/>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苏宁云商集团股份有限公司</w:t>
                          </w:r>
                        </w:p>
                      </w:txbxContent>
                    </wps:txbx>
                    <wps:bodyPr wrap="none" lIns="0" tIns="0" rIns="0" bIns="0">
                      <a:spAutoFit/>
                    </wps:bodyPr>
                  </wps:wsp>
                </a:graphicData>
              </a:graphic>
            </wp:anchor>
          </w:drawing>
        </mc:Choice>
        <mc:Fallback>
          <w:pict>
            <v:shape id="_x0000_s1356" type="#_x0000_t202" style="position:absolute;margin-left:65.549999999999997pt;margin-top:37.950000000000003pt;width:142.09999999999999pt;height:11.050000000000001pt;z-index:-188743815;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苏宁云商集团股份有限公司</w:t>
                    </w:r>
                  </w:p>
                </w:txbxContent>
              </v:textbox>
              <w10:wrap anchorx="page" anchory="page"/>
            </v:shape>
          </w:pict>
        </mc:Fallback>
      </mc:AlternateContent>
    </w:r>
  </w:p>
</w:hdr>
</file>

<file path=word/header7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2" behindDoc="1" locked="0" layoutInCell="1" allowOverlap="1">
              <wp:simplePos x="0" y="0"/>
              <wp:positionH relativeFrom="page">
                <wp:posOffset>832485</wp:posOffset>
              </wp:positionH>
              <wp:positionV relativeFrom="page">
                <wp:posOffset>481965</wp:posOffset>
              </wp:positionV>
              <wp:extent cx="1804670" cy="140335"/>
              <wp:wrapNone/>
              <wp:docPr id="334" name="Shape 334"/>
              <a:graphic xmlns:a="http://schemas.openxmlformats.org/drawingml/2006/main">
                <a:graphicData uri="http://schemas.microsoft.com/office/word/2010/wordprocessingShape">
                  <wps:wsp>
                    <wps:cNvSpPr txBox="1"/>
                    <wps:spPr>
                      <a:xfrm>
                        <a:ext cx="1804670" cy="140335"/>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苏宁云商集团股份有限公司</w:t>
                          </w:r>
                        </w:p>
                      </w:txbxContent>
                    </wps:txbx>
                    <wps:bodyPr wrap="none" lIns="0" tIns="0" rIns="0" bIns="0">
                      <a:spAutoFit/>
                    </wps:bodyPr>
                  </wps:wsp>
                </a:graphicData>
              </a:graphic>
            </wp:anchor>
          </w:drawing>
        </mc:Choice>
        <mc:Fallback>
          <w:pict>
            <v:shape id="_x0000_s1360" type="#_x0000_t202" style="position:absolute;margin-left:65.549999999999997pt;margin-top:37.950000000000003pt;width:142.09999999999999pt;height:11.050000000000001pt;z-index:-188743811;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苏宁云商集团股份有限公司</w:t>
                    </w:r>
                  </w:p>
                </w:txbxContent>
              </v:textbox>
              <w10:wrap anchorx="page" anchory="page"/>
            </v:shape>
          </w:pict>
        </mc:Fallback>
      </mc:AlternateContent>
    </w:r>
  </w:p>
</w:hdr>
</file>

<file path=word/header7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6" behindDoc="1" locked="0" layoutInCell="1" allowOverlap="1">
              <wp:simplePos x="0" y="0"/>
              <wp:positionH relativeFrom="page">
                <wp:posOffset>1512570</wp:posOffset>
              </wp:positionH>
              <wp:positionV relativeFrom="page">
                <wp:posOffset>485140</wp:posOffset>
              </wp:positionV>
              <wp:extent cx="1804670" cy="140335"/>
              <wp:wrapNone/>
              <wp:docPr id="338" name="Shape 338"/>
              <a:graphic xmlns:a="http://schemas.openxmlformats.org/drawingml/2006/main">
                <a:graphicData uri="http://schemas.microsoft.com/office/word/2010/wordprocessingShape">
                  <wps:wsp>
                    <wps:cNvSpPr txBox="1"/>
                    <wps:spPr>
                      <a:xfrm>
                        <a:ext cx="1804670" cy="140335"/>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苏宁云商集团股份有限公司</w:t>
                          </w:r>
                        </w:p>
                      </w:txbxContent>
                    </wps:txbx>
                    <wps:bodyPr wrap="none" lIns="0" tIns="0" rIns="0" bIns="0">
                      <a:spAutoFit/>
                    </wps:bodyPr>
                  </wps:wsp>
                </a:graphicData>
              </a:graphic>
            </wp:anchor>
          </w:drawing>
        </mc:Choice>
        <mc:Fallback>
          <w:pict>
            <v:shape id="_x0000_s1364" type="#_x0000_t202" style="position:absolute;margin-left:119.10000000000001pt;margin-top:38.200000000000003pt;width:142.09999999999999pt;height:11.050000000000001pt;z-index:-188743807;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苏宁云商集团股份有限公司</w:t>
                    </w:r>
                  </w:p>
                </w:txbxContent>
              </v:textbox>
              <w10:wrap anchorx="page" anchory="page"/>
            </v:shape>
          </w:pict>
        </mc:Fallback>
      </mc:AlternateContent>
    </w:r>
  </w:p>
</w:hdr>
</file>

<file path=word/header7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0" behindDoc="1" locked="0" layoutInCell="1" allowOverlap="1">
              <wp:simplePos x="0" y="0"/>
              <wp:positionH relativeFrom="page">
                <wp:posOffset>1512570</wp:posOffset>
              </wp:positionH>
              <wp:positionV relativeFrom="page">
                <wp:posOffset>485140</wp:posOffset>
              </wp:positionV>
              <wp:extent cx="1804670" cy="140335"/>
              <wp:wrapNone/>
              <wp:docPr id="342" name="Shape 342"/>
              <a:graphic xmlns:a="http://schemas.openxmlformats.org/drawingml/2006/main">
                <a:graphicData uri="http://schemas.microsoft.com/office/word/2010/wordprocessingShape">
                  <wps:wsp>
                    <wps:cNvSpPr txBox="1"/>
                    <wps:spPr>
                      <a:xfrm>
                        <a:ext cx="1804670" cy="140335"/>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苏宁云商集团股份有限公司</w:t>
                          </w:r>
                        </w:p>
                      </w:txbxContent>
                    </wps:txbx>
                    <wps:bodyPr wrap="none" lIns="0" tIns="0" rIns="0" bIns="0">
                      <a:spAutoFit/>
                    </wps:bodyPr>
                  </wps:wsp>
                </a:graphicData>
              </a:graphic>
            </wp:anchor>
          </w:drawing>
        </mc:Choice>
        <mc:Fallback>
          <w:pict>
            <v:shape id="_x0000_s1368" type="#_x0000_t202" style="position:absolute;margin-left:119.10000000000001pt;margin-top:38.200000000000003pt;width:142.09999999999999pt;height:11.050000000000001pt;z-index:-188743803;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苏宁云商集团股份有限公司</w:t>
                    </w:r>
                  </w:p>
                </w:txbxContent>
              </v:textbox>
              <w10:wrap anchorx="page" anchory="page"/>
            </v:shape>
          </w:pict>
        </mc:Fallback>
      </mc:AlternateContent>
    </w:r>
  </w:p>
</w:hdr>
</file>

<file path=word/header7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4" behindDoc="1" locked="0" layoutInCell="1" allowOverlap="1">
              <wp:simplePos x="0" y="0"/>
              <wp:positionH relativeFrom="page">
                <wp:posOffset>832485</wp:posOffset>
              </wp:positionH>
              <wp:positionV relativeFrom="page">
                <wp:posOffset>481965</wp:posOffset>
              </wp:positionV>
              <wp:extent cx="1804670" cy="140335"/>
              <wp:wrapNone/>
              <wp:docPr id="348" name="Shape 348"/>
              <a:graphic xmlns:a="http://schemas.openxmlformats.org/drawingml/2006/main">
                <a:graphicData uri="http://schemas.microsoft.com/office/word/2010/wordprocessingShape">
                  <wps:wsp>
                    <wps:cNvSpPr txBox="1"/>
                    <wps:spPr>
                      <a:xfrm>
                        <a:ext cx="1804670" cy="140335"/>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苏宁云商集团股份有限公司</w:t>
                          </w:r>
                        </w:p>
                      </w:txbxContent>
                    </wps:txbx>
                    <wps:bodyPr wrap="none" lIns="0" tIns="0" rIns="0" bIns="0">
                      <a:spAutoFit/>
                    </wps:bodyPr>
                  </wps:wsp>
                </a:graphicData>
              </a:graphic>
            </wp:anchor>
          </w:drawing>
        </mc:Choice>
        <mc:Fallback>
          <w:pict>
            <v:shape id="_x0000_s1374" type="#_x0000_t202" style="position:absolute;margin-left:65.549999999999997pt;margin-top:37.950000000000003pt;width:142.09999999999999pt;height:11.050000000000001pt;z-index:-188743799;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苏宁云商集团股份有限公司</w:t>
                    </w:r>
                  </w:p>
                </w:txbxContent>
              </v:textbox>
              <w10:wrap anchorx="page" anchory="page"/>
            </v:shape>
          </w:pict>
        </mc:Fallback>
      </mc:AlternateContent>
    </w:r>
  </w:p>
</w:hdr>
</file>

<file path=word/header7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8" behindDoc="1" locked="0" layoutInCell="1" allowOverlap="1">
              <wp:simplePos x="0" y="0"/>
              <wp:positionH relativeFrom="page">
                <wp:posOffset>832485</wp:posOffset>
              </wp:positionH>
              <wp:positionV relativeFrom="page">
                <wp:posOffset>481965</wp:posOffset>
              </wp:positionV>
              <wp:extent cx="1804670" cy="140335"/>
              <wp:wrapNone/>
              <wp:docPr id="352" name="Shape 352"/>
              <a:graphic xmlns:a="http://schemas.openxmlformats.org/drawingml/2006/main">
                <a:graphicData uri="http://schemas.microsoft.com/office/word/2010/wordprocessingShape">
                  <wps:wsp>
                    <wps:cNvSpPr txBox="1"/>
                    <wps:spPr>
                      <a:xfrm>
                        <a:ext cx="1804670" cy="140335"/>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苏宁云商集团股份有限公司</w:t>
                          </w:r>
                        </w:p>
                      </w:txbxContent>
                    </wps:txbx>
                    <wps:bodyPr wrap="none" lIns="0" tIns="0" rIns="0" bIns="0">
                      <a:spAutoFit/>
                    </wps:bodyPr>
                  </wps:wsp>
                </a:graphicData>
              </a:graphic>
            </wp:anchor>
          </w:drawing>
        </mc:Choice>
        <mc:Fallback>
          <w:pict>
            <v:shape id="_x0000_s1378" type="#_x0000_t202" style="position:absolute;margin-left:65.549999999999997pt;margin-top:37.950000000000003pt;width:142.09999999999999pt;height:11.050000000000001pt;z-index:-188743795;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苏宁云商集团股份有限公司</w:t>
                    </w:r>
                  </w:p>
                </w:txbxContent>
              </v:textbox>
              <w10:wrap anchorx="page" anchory="page"/>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4122420</wp:posOffset>
              </wp:positionH>
              <wp:positionV relativeFrom="page">
                <wp:posOffset>564515</wp:posOffset>
              </wp:positionV>
              <wp:extent cx="2706370" cy="115570"/>
              <wp:wrapNone/>
              <wp:docPr id="32" name="Shape 32"/>
              <a:graphic xmlns:a="http://schemas.openxmlformats.org/drawingml/2006/main">
                <a:graphicData uri="http://schemas.microsoft.com/office/word/2010/wordprocessingShape">
                  <wps:wsp>
                    <wps:cNvSpPr txBox="1"/>
                    <wps:spPr>
                      <a:xfrm>
                        <a:ext cx="2706370" cy="11557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苏宁云商集团股份有限公司</w:t>
                          </w:r>
                          <w:r>
                            <w:rPr>
                              <w:color w:val="000000"/>
                              <w:spacing w:val="0"/>
                              <w:w w:val="100"/>
                              <w:position w:val="0"/>
                            </w:rPr>
                            <w:t>2016</w:t>
                          </w:r>
                          <w:r>
                            <w:rPr>
                              <w:rFonts w:ascii="SimSun" w:eastAsia="SimSun" w:hAnsi="SimSun" w:cs="SimSun"/>
                              <w:color w:val="000000"/>
                              <w:spacing w:val="0"/>
                              <w:w w:val="100"/>
                              <w:position w:val="0"/>
                            </w:rPr>
                            <w:t>年年度报告全文</w:t>
                          </w:r>
                        </w:p>
                      </w:txbxContent>
                    </wps:txbx>
                    <wps:bodyPr wrap="none" lIns="0" tIns="0" rIns="0" bIns="0">
                      <a:spAutoFit/>
                    </wps:bodyPr>
                  </wps:wsp>
                </a:graphicData>
              </a:graphic>
            </wp:anchor>
          </w:drawing>
        </mc:Choice>
        <mc:Fallback>
          <w:pict>
            <v:shape id="_x0000_s1058" type="#_x0000_t202" style="position:absolute;margin-left:324.60000000000002pt;margin-top:44.450000000000003pt;width:213.09999999999999pt;height:9.0999999999999996pt;z-index:-18874403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苏宁云商集团股份有限公司</w:t>
                    </w:r>
                    <w:r>
                      <w:rPr>
                        <w:color w:val="000000"/>
                        <w:spacing w:val="0"/>
                        <w:w w:val="100"/>
                        <w:position w:val="0"/>
                      </w:rPr>
                      <w:t>2016</w:t>
                    </w:r>
                    <w:r>
                      <w:rPr>
                        <w:rFonts w:ascii="SimSun" w:eastAsia="SimSun" w:hAnsi="SimSun" w:cs="SimSun"/>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718185</wp:posOffset>
              </wp:positionH>
              <wp:positionV relativeFrom="page">
                <wp:posOffset>721360</wp:posOffset>
              </wp:positionV>
              <wp:extent cx="6123305" cy="0"/>
              <wp:wrapNone/>
              <wp:docPr id="34" name="Shape 34"/>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6.550000000000004pt;margin-top:56.800000000000004pt;width:482.15000000000003pt;height:0;z-index:-251658240;mso-position-horizontal-relative:page;mso-position-vertical-relative:page">
              <v:stroke weight="1.pt"/>
            </v:shape>
          </w:pict>
        </mc:Fallback>
      </mc:AlternateContent>
    </w:r>
  </w:p>
</w:hdr>
</file>

<file path=word/header8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2" behindDoc="1" locked="0" layoutInCell="1" allowOverlap="1">
              <wp:simplePos x="0" y="0"/>
              <wp:positionH relativeFrom="page">
                <wp:posOffset>1512570</wp:posOffset>
              </wp:positionH>
              <wp:positionV relativeFrom="page">
                <wp:posOffset>485140</wp:posOffset>
              </wp:positionV>
              <wp:extent cx="1804670" cy="140335"/>
              <wp:wrapNone/>
              <wp:docPr id="356" name="Shape 356"/>
              <a:graphic xmlns:a="http://schemas.openxmlformats.org/drawingml/2006/main">
                <a:graphicData uri="http://schemas.microsoft.com/office/word/2010/wordprocessingShape">
                  <wps:wsp>
                    <wps:cNvSpPr txBox="1"/>
                    <wps:spPr>
                      <a:xfrm>
                        <a:ext cx="1804670" cy="140335"/>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苏宁云商集团股份有限公司</w:t>
                          </w:r>
                        </w:p>
                      </w:txbxContent>
                    </wps:txbx>
                    <wps:bodyPr wrap="none" lIns="0" tIns="0" rIns="0" bIns="0">
                      <a:spAutoFit/>
                    </wps:bodyPr>
                  </wps:wsp>
                </a:graphicData>
              </a:graphic>
            </wp:anchor>
          </w:drawing>
        </mc:Choice>
        <mc:Fallback>
          <w:pict>
            <v:shape id="_x0000_s1382" type="#_x0000_t202" style="position:absolute;margin-left:119.10000000000001pt;margin-top:38.200000000000003pt;width:142.09999999999999pt;height:11.050000000000001pt;z-index:-188743791;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苏宁云商集团股份有限公司</w:t>
                    </w:r>
                  </w:p>
                </w:txbxContent>
              </v:textbox>
              <w10:wrap anchorx="page" anchory="page"/>
            </v:shape>
          </w:pict>
        </mc:Fallback>
      </mc:AlternateContent>
    </w:r>
  </w:p>
</w:hdr>
</file>

<file path=word/header8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6" behindDoc="1" locked="0" layoutInCell="1" allowOverlap="1">
              <wp:simplePos x="0" y="0"/>
              <wp:positionH relativeFrom="page">
                <wp:posOffset>1512570</wp:posOffset>
              </wp:positionH>
              <wp:positionV relativeFrom="page">
                <wp:posOffset>485140</wp:posOffset>
              </wp:positionV>
              <wp:extent cx="1804670" cy="140335"/>
              <wp:wrapNone/>
              <wp:docPr id="360" name="Shape 360"/>
              <a:graphic xmlns:a="http://schemas.openxmlformats.org/drawingml/2006/main">
                <a:graphicData uri="http://schemas.microsoft.com/office/word/2010/wordprocessingShape">
                  <wps:wsp>
                    <wps:cNvSpPr txBox="1"/>
                    <wps:spPr>
                      <a:xfrm>
                        <a:ext cx="1804670" cy="140335"/>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苏宁云商集团股份有限公司</w:t>
                          </w:r>
                        </w:p>
                      </w:txbxContent>
                    </wps:txbx>
                    <wps:bodyPr wrap="none" lIns="0" tIns="0" rIns="0" bIns="0">
                      <a:spAutoFit/>
                    </wps:bodyPr>
                  </wps:wsp>
                </a:graphicData>
              </a:graphic>
            </wp:anchor>
          </w:drawing>
        </mc:Choice>
        <mc:Fallback>
          <w:pict>
            <v:shape id="_x0000_s1386" type="#_x0000_t202" style="position:absolute;margin-left:119.10000000000001pt;margin-top:38.200000000000003pt;width:142.09999999999999pt;height:11.050000000000001pt;z-index:-188743787;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苏宁云商集团股份有限公司</w:t>
                    </w:r>
                  </w:p>
                </w:txbxContent>
              </v:textbox>
              <w10:wrap anchorx="page" anchory="page"/>
            </v:shape>
          </w:pict>
        </mc:Fallback>
      </mc:AlternateContent>
    </w:r>
  </w:p>
</w:hdr>
</file>

<file path=word/header8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0" behindDoc="1" locked="0" layoutInCell="1" allowOverlap="1">
              <wp:simplePos x="0" y="0"/>
              <wp:positionH relativeFrom="page">
                <wp:posOffset>832485</wp:posOffset>
              </wp:positionH>
              <wp:positionV relativeFrom="page">
                <wp:posOffset>481965</wp:posOffset>
              </wp:positionV>
              <wp:extent cx="1804670" cy="140335"/>
              <wp:wrapNone/>
              <wp:docPr id="364" name="Shape 364"/>
              <a:graphic xmlns:a="http://schemas.openxmlformats.org/drawingml/2006/main">
                <a:graphicData uri="http://schemas.microsoft.com/office/word/2010/wordprocessingShape">
                  <wps:wsp>
                    <wps:cNvSpPr txBox="1"/>
                    <wps:spPr>
                      <a:xfrm>
                        <a:ext cx="1804670" cy="140335"/>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苏宁云商集团股份有限公司</w:t>
                          </w:r>
                        </w:p>
                      </w:txbxContent>
                    </wps:txbx>
                    <wps:bodyPr wrap="none" lIns="0" tIns="0" rIns="0" bIns="0">
                      <a:spAutoFit/>
                    </wps:bodyPr>
                  </wps:wsp>
                </a:graphicData>
              </a:graphic>
            </wp:anchor>
          </w:drawing>
        </mc:Choice>
        <mc:Fallback>
          <w:pict>
            <v:shape id="_x0000_s1390" type="#_x0000_t202" style="position:absolute;margin-left:65.549999999999997pt;margin-top:37.950000000000003pt;width:142.09999999999999pt;height:11.050000000000001pt;z-index:-188743783;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苏宁云商集团股份有限公司</w:t>
                    </w:r>
                  </w:p>
                </w:txbxContent>
              </v:textbox>
              <w10:wrap anchorx="page" anchory="page"/>
            </v:shape>
          </w:pict>
        </mc:Fallback>
      </mc:AlternateContent>
    </w:r>
  </w:p>
</w:hdr>
</file>

<file path=word/header8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4" behindDoc="1" locked="0" layoutInCell="1" allowOverlap="1">
              <wp:simplePos x="0" y="0"/>
              <wp:positionH relativeFrom="page">
                <wp:posOffset>832485</wp:posOffset>
              </wp:positionH>
              <wp:positionV relativeFrom="page">
                <wp:posOffset>481965</wp:posOffset>
              </wp:positionV>
              <wp:extent cx="1804670" cy="140335"/>
              <wp:wrapNone/>
              <wp:docPr id="368" name="Shape 368"/>
              <a:graphic xmlns:a="http://schemas.openxmlformats.org/drawingml/2006/main">
                <a:graphicData uri="http://schemas.microsoft.com/office/word/2010/wordprocessingShape">
                  <wps:wsp>
                    <wps:cNvSpPr txBox="1"/>
                    <wps:spPr>
                      <a:xfrm>
                        <a:ext cx="1804670" cy="140335"/>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苏宁云商集团股份有限公司</w:t>
                          </w:r>
                        </w:p>
                      </w:txbxContent>
                    </wps:txbx>
                    <wps:bodyPr wrap="none" lIns="0" tIns="0" rIns="0" bIns="0">
                      <a:spAutoFit/>
                    </wps:bodyPr>
                  </wps:wsp>
                </a:graphicData>
              </a:graphic>
            </wp:anchor>
          </w:drawing>
        </mc:Choice>
        <mc:Fallback>
          <w:pict>
            <v:shape id="_x0000_s1394" type="#_x0000_t202" style="position:absolute;margin-left:65.549999999999997pt;margin-top:37.950000000000003pt;width:142.09999999999999pt;height:11.050000000000001pt;z-index:-188743779;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苏宁云商集团股份有限公司</w:t>
                    </w:r>
                  </w:p>
                </w:txbxContent>
              </v:textbox>
              <w10:wrap anchorx="page" anchory="page"/>
            </v:shape>
          </w:pict>
        </mc:Fallback>
      </mc:AlternateContent>
    </w:r>
  </w:p>
</w:hdr>
</file>

<file path=word/header8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8" behindDoc="1" locked="0" layoutInCell="1" allowOverlap="1">
              <wp:simplePos x="0" y="0"/>
              <wp:positionH relativeFrom="page">
                <wp:posOffset>1512570</wp:posOffset>
              </wp:positionH>
              <wp:positionV relativeFrom="page">
                <wp:posOffset>485140</wp:posOffset>
              </wp:positionV>
              <wp:extent cx="1804670" cy="140335"/>
              <wp:wrapNone/>
              <wp:docPr id="372" name="Shape 372"/>
              <a:graphic xmlns:a="http://schemas.openxmlformats.org/drawingml/2006/main">
                <a:graphicData uri="http://schemas.microsoft.com/office/word/2010/wordprocessingShape">
                  <wps:wsp>
                    <wps:cNvSpPr txBox="1"/>
                    <wps:spPr>
                      <a:xfrm>
                        <a:ext cx="1804670" cy="140335"/>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苏宁云商集团股份有限公司</w:t>
                          </w:r>
                        </w:p>
                      </w:txbxContent>
                    </wps:txbx>
                    <wps:bodyPr wrap="none" lIns="0" tIns="0" rIns="0" bIns="0">
                      <a:spAutoFit/>
                    </wps:bodyPr>
                  </wps:wsp>
                </a:graphicData>
              </a:graphic>
            </wp:anchor>
          </w:drawing>
        </mc:Choice>
        <mc:Fallback>
          <w:pict>
            <v:shape id="_x0000_s1398" type="#_x0000_t202" style="position:absolute;margin-left:119.10000000000001pt;margin-top:38.200000000000003pt;width:142.09999999999999pt;height:11.050000000000001pt;z-index:-188743775;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苏宁云商集团股份有限公司</w:t>
                    </w:r>
                  </w:p>
                </w:txbxContent>
              </v:textbox>
              <w10:wrap anchorx="page" anchory="page"/>
            </v:shape>
          </w:pict>
        </mc:Fallback>
      </mc:AlternateContent>
    </w:r>
  </w:p>
</w:hdr>
</file>

<file path=word/header8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2" behindDoc="1" locked="0" layoutInCell="1" allowOverlap="1">
              <wp:simplePos x="0" y="0"/>
              <wp:positionH relativeFrom="page">
                <wp:posOffset>1512570</wp:posOffset>
              </wp:positionH>
              <wp:positionV relativeFrom="page">
                <wp:posOffset>485140</wp:posOffset>
              </wp:positionV>
              <wp:extent cx="1804670" cy="140335"/>
              <wp:wrapNone/>
              <wp:docPr id="376" name="Shape 376"/>
              <a:graphic xmlns:a="http://schemas.openxmlformats.org/drawingml/2006/main">
                <a:graphicData uri="http://schemas.microsoft.com/office/word/2010/wordprocessingShape">
                  <wps:wsp>
                    <wps:cNvSpPr txBox="1"/>
                    <wps:spPr>
                      <a:xfrm>
                        <a:ext cx="1804670" cy="140335"/>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苏宁云商集团股份有限公司</w:t>
                          </w:r>
                        </w:p>
                      </w:txbxContent>
                    </wps:txbx>
                    <wps:bodyPr wrap="none" lIns="0" tIns="0" rIns="0" bIns="0">
                      <a:spAutoFit/>
                    </wps:bodyPr>
                  </wps:wsp>
                </a:graphicData>
              </a:graphic>
            </wp:anchor>
          </w:drawing>
        </mc:Choice>
        <mc:Fallback>
          <w:pict>
            <v:shape id="_x0000_s1402" type="#_x0000_t202" style="position:absolute;margin-left:119.10000000000001pt;margin-top:38.200000000000003pt;width:142.09999999999999pt;height:11.050000000000001pt;z-index:-188743771;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苏宁云商集团股份有限公司</w:t>
                    </w:r>
                  </w:p>
                </w:txbxContent>
              </v:textbox>
              <w10:wrap anchorx="page" anchory="page"/>
            </v:shape>
          </w:pict>
        </mc:Fallback>
      </mc:AlternateContent>
    </w:r>
  </w:p>
</w:hdr>
</file>

<file path=word/header8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6" behindDoc="1" locked="0" layoutInCell="1" allowOverlap="1">
              <wp:simplePos x="0" y="0"/>
              <wp:positionH relativeFrom="page">
                <wp:posOffset>918210</wp:posOffset>
              </wp:positionH>
              <wp:positionV relativeFrom="page">
                <wp:posOffset>481965</wp:posOffset>
              </wp:positionV>
              <wp:extent cx="1804670" cy="140335"/>
              <wp:wrapNone/>
              <wp:docPr id="382" name="Shape 382"/>
              <a:graphic xmlns:a="http://schemas.openxmlformats.org/drawingml/2006/main">
                <a:graphicData uri="http://schemas.microsoft.com/office/word/2010/wordprocessingShape">
                  <wps:wsp>
                    <wps:cNvSpPr txBox="1"/>
                    <wps:spPr>
                      <a:xfrm>
                        <a:ext cx="1804670" cy="140335"/>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苏宁云商集团股份有限公司</w:t>
                          </w:r>
                        </w:p>
                      </w:txbxContent>
                    </wps:txbx>
                    <wps:bodyPr wrap="none" lIns="0" tIns="0" rIns="0" bIns="0">
                      <a:spAutoFit/>
                    </wps:bodyPr>
                  </wps:wsp>
                </a:graphicData>
              </a:graphic>
            </wp:anchor>
          </w:drawing>
        </mc:Choice>
        <mc:Fallback>
          <w:pict>
            <v:shape id="_x0000_s1408" type="#_x0000_t202" style="position:absolute;margin-left:72.299999999999997pt;margin-top:37.950000000000003pt;width:142.09999999999999pt;height:11.050000000000001pt;z-index:-188743767;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苏宁云商集团股份有限公司</w:t>
                    </w:r>
                  </w:p>
                </w:txbxContent>
              </v:textbox>
              <w10:wrap anchorx="page" anchory="page"/>
            </v:shape>
          </w:pict>
        </mc:Fallback>
      </mc:AlternateContent>
    </w:r>
  </w:p>
</w:hdr>
</file>

<file path=word/header8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0" behindDoc="1" locked="0" layoutInCell="1" allowOverlap="1">
              <wp:simplePos x="0" y="0"/>
              <wp:positionH relativeFrom="page">
                <wp:posOffset>918210</wp:posOffset>
              </wp:positionH>
              <wp:positionV relativeFrom="page">
                <wp:posOffset>481965</wp:posOffset>
              </wp:positionV>
              <wp:extent cx="1804670" cy="140335"/>
              <wp:wrapNone/>
              <wp:docPr id="386" name="Shape 386"/>
              <a:graphic xmlns:a="http://schemas.openxmlformats.org/drawingml/2006/main">
                <a:graphicData uri="http://schemas.microsoft.com/office/word/2010/wordprocessingShape">
                  <wps:wsp>
                    <wps:cNvSpPr txBox="1"/>
                    <wps:spPr>
                      <a:xfrm>
                        <a:ext cx="1804670" cy="140335"/>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苏宁云商集团股份有限公司</w:t>
                          </w:r>
                        </w:p>
                      </w:txbxContent>
                    </wps:txbx>
                    <wps:bodyPr wrap="none" lIns="0" tIns="0" rIns="0" bIns="0">
                      <a:spAutoFit/>
                    </wps:bodyPr>
                  </wps:wsp>
                </a:graphicData>
              </a:graphic>
            </wp:anchor>
          </w:drawing>
        </mc:Choice>
        <mc:Fallback>
          <w:pict>
            <v:shape id="_x0000_s1412" type="#_x0000_t202" style="position:absolute;margin-left:72.299999999999997pt;margin-top:37.950000000000003pt;width:142.09999999999999pt;height:11.050000000000001pt;z-index:-188743763;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苏宁云商集团股份有限公司</w:t>
                    </w:r>
                  </w:p>
                </w:txbxContent>
              </v:textbox>
              <w10:wrap anchorx="page" anchory="page"/>
            </v:shape>
          </w:pict>
        </mc:Fallback>
      </mc:AlternateContent>
    </w:r>
  </w:p>
</w:hdr>
</file>

<file path=word/header8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4" behindDoc="1" locked="0" layoutInCell="1" allowOverlap="1">
              <wp:simplePos x="0" y="0"/>
              <wp:positionH relativeFrom="page">
                <wp:posOffset>1512570</wp:posOffset>
              </wp:positionH>
              <wp:positionV relativeFrom="page">
                <wp:posOffset>485140</wp:posOffset>
              </wp:positionV>
              <wp:extent cx="1804670" cy="140335"/>
              <wp:wrapNone/>
              <wp:docPr id="390" name="Shape 390"/>
              <a:graphic xmlns:a="http://schemas.openxmlformats.org/drawingml/2006/main">
                <a:graphicData uri="http://schemas.microsoft.com/office/word/2010/wordprocessingShape">
                  <wps:wsp>
                    <wps:cNvSpPr txBox="1"/>
                    <wps:spPr>
                      <a:xfrm>
                        <a:ext cx="1804670" cy="140335"/>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苏宁云商集团股份有限公司</w:t>
                          </w:r>
                        </w:p>
                      </w:txbxContent>
                    </wps:txbx>
                    <wps:bodyPr wrap="none" lIns="0" tIns="0" rIns="0" bIns="0">
                      <a:spAutoFit/>
                    </wps:bodyPr>
                  </wps:wsp>
                </a:graphicData>
              </a:graphic>
            </wp:anchor>
          </w:drawing>
        </mc:Choice>
        <mc:Fallback>
          <w:pict>
            <v:shape id="_x0000_s1416" type="#_x0000_t202" style="position:absolute;margin-left:119.10000000000001pt;margin-top:38.200000000000003pt;width:142.09999999999999pt;height:11.050000000000001pt;z-index:-188743759;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苏宁云商集团股份有限公司</w:t>
                    </w:r>
                  </w:p>
                </w:txbxContent>
              </v:textbox>
              <w10:wrap anchorx="page" anchory="page"/>
            </v:shape>
          </w:pict>
        </mc:Fallback>
      </mc:AlternateContent>
    </w:r>
  </w:p>
</w:hdr>
</file>

<file path=word/header8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8" behindDoc="1" locked="0" layoutInCell="1" allowOverlap="1">
              <wp:simplePos x="0" y="0"/>
              <wp:positionH relativeFrom="page">
                <wp:posOffset>1512570</wp:posOffset>
              </wp:positionH>
              <wp:positionV relativeFrom="page">
                <wp:posOffset>485140</wp:posOffset>
              </wp:positionV>
              <wp:extent cx="1804670" cy="140335"/>
              <wp:wrapNone/>
              <wp:docPr id="394" name="Shape 394"/>
              <a:graphic xmlns:a="http://schemas.openxmlformats.org/drawingml/2006/main">
                <a:graphicData uri="http://schemas.microsoft.com/office/word/2010/wordprocessingShape">
                  <wps:wsp>
                    <wps:cNvSpPr txBox="1"/>
                    <wps:spPr>
                      <a:xfrm>
                        <a:ext cx="1804670" cy="140335"/>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苏宁云商集团股份有限公司</w:t>
                          </w:r>
                        </w:p>
                      </w:txbxContent>
                    </wps:txbx>
                    <wps:bodyPr wrap="none" lIns="0" tIns="0" rIns="0" bIns="0">
                      <a:spAutoFit/>
                    </wps:bodyPr>
                  </wps:wsp>
                </a:graphicData>
              </a:graphic>
            </wp:anchor>
          </w:drawing>
        </mc:Choice>
        <mc:Fallback>
          <w:pict>
            <v:shape id="_x0000_s1420" type="#_x0000_t202" style="position:absolute;margin-left:119.10000000000001pt;margin-top:38.200000000000003pt;width:142.09999999999999pt;height:11.050000000000001pt;z-index:-188743755;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苏宁云商集团股份有限公司</w:t>
                    </w:r>
                  </w:p>
                </w:txbxContent>
              </v:textbox>
              <w10:wrap anchorx="page" anchory="page"/>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7062470</wp:posOffset>
              </wp:positionH>
              <wp:positionV relativeFrom="page">
                <wp:posOffset>562610</wp:posOffset>
              </wp:positionV>
              <wp:extent cx="2706370" cy="115570"/>
              <wp:wrapNone/>
              <wp:docPr id="37" name="Shape 37"/>
              <a:graphic xmlns:a="http://schemas.openxmlformats.org/drawingml/2006/main">
                <a:graphicData uri="http://schemas.microsoft.com/office/word/2010/wordprocessingShape">
                  <wps:wsp>
                    <wps:cNvSpPr txBox="1"/>
                    <wps:spPr>
                      <a:xfrm>
                        <a:ext cx="2706370" cy="11557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苏宁云商集团股份有限公司</w:t>
                          </w:r>
                          <w:r>
                            <w:rPr>
                              <w:color w:val="000000"/>
                              <w:spacing w:val="0"/>
                              <w:w w:val="100"/>
                              <w:position w:val="0"/>
                            </w:rPr>
                            <w:t>2016</w:t>
                          </w:r>
                          <w:r>
                            <w:rPr>
                              <w:rFonts w:ascii="SimSun" w:eastAsia="SimSun" w:hAnsi="SimSun" w:cs="SimSun"/>
                              <w:color w:val="000000"/>
                              <w:spacing w:val="0"/>
                              <w:w w:val="100"/>
                              <w:position w:val="0"/>
                            </w:rPr>
                            <w:t>年年度报告全文</w:t>
                          </w:r>
                        </w:p>
                      </w:txbxContent>
                    </wps:txbx>
                    <wps:bodyPr wrap="none" lIns="0" tIns="0" rIns="0" bIns="0">
                      <a:spAutoFit/>
                    </wps:bodyPr>
                  </wps:wsp>
                </a:graphicData>
              </a:graphic>
            </wp:anchor>
          </w:drawing>
        </mc:Choice>
        <mc:Fallback>
          <w:pict>
            <v:shape id="_x0000_s1063" type="#_x0000_t202" style="position:absolute;margin-left:556.10000000000002pt;margin-top:44.300000000000004pt;width:213.09999999999999pt;height:9.0999999999999996pt;z-index:-18874403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苏宁云商集团股份有限公司</w:t>
                    </w:r>
                    <w:r>
                      <w:rPr>
                        <w:color w:val="000000"/>
                        <w:spacing w:val="0"/>
                        <w:w w:val="100"/>
                        <w:position w:val="0"/>
                      </w:rPr>
                      <w:t>2016</w:t>
                    </w:r>
                    <w:r>
                      <w:rPr>
                        <w:rFonts w:ascii="SimSun" w:eastAsia="SimSun" w:hAnsi="SimSun" w:cs="SimSun"/>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911860</wp:posOffset>
              </wp:positionH>
              <wp:positionV relativeFrom="page">
                <wp:posOffset>719455</wp:posOffset>
              </wp:positionV>
              <wp:extent cx="8866505" cy="0"/>
              <wp:wrapNone/>
              <wp:docPr id="39" name="Shape 39"/>
              <a:graphic xmlns:a="http://schemas.openxmlformats.org/drawingml/2006/main">
                <a:graphicData uri="http://schemas.microsoft.com/office/word/2010/wordprocessingShape">
                  <wps:wsp>
                    <wps:cNvCnPr/>
                    <wps:spPr>
                      <a:xfrm>
                        <a:ext cx="8866505" cy="0"/>
                      </a:xfrm>
                      <a:prstGeom prst="straightConnector1"/>
                      <a:ln w="12700">
                        <a:solidFill/>
                      </a:ln>
                    </wps:spPr>
                    <wps:bodyPr/>
                  </wps:wsp>
                </a:graphicData>
              </a:graphic>
            </wp:anchor>
          </w:drawing>
        </mc:Choice>
        <mc:Fallback>
          <w:pict>
            <v:shape o:spt="32" o:oned="true" path="m,l21600,21600e" style="position:absolute;margin-left:71.799999999999997pt;margin-top:56.649999999999999pt;width:698.14999999999998pt;height:0;z-index:-251658240;mso-position-horizontal-relative:page;mso-position-vertical-relative:page">
              <v:stroke weight="1.pt"/>
            </v:shape>
          </w:pict>
        </mc:Fallback>
      </mc:AlternateContent>
    </w:r>
  </w:p>
</w:hdr>
</file>

<file path=word/header9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2" behindDoc="1" locked="0" layoutInCell="1" allowOverlap="1">
              <wp:simplePos x="0" y="0"/>
              <wp:positionH relativeFrom="page">
                <wp:posOffset>918210</wp:posOffset>
              </wp:positionH>
              <wp:positionV relativeFrom="page">
                <wp:posOffset>481965</wp:posOffset>
              </wp:positionV>
              <wp:extent cx="1804670" cy="140335"/>
              <wp:wrapNone/>
              <wp:docPr id="412" name="Shape 412"/>
              <a:graphic xmlns:a="http://schemas.openxmlformats.org/drawingml/2006/main">
                <a:graphicData uri="http://schemas.microsoft.com/office/word/2010/wordprocessingShape">
                  <wps:wsp>
                    <wps:cNvSpPr txBox="1"/>
                    <wps:spPr>
                      <a:xfrm>
                        <a:ext cx="1804670" cy="140335"/>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苏宁云商集团股份有限公司</w:t>
                          </w:r>
                        </w:p>
                      </w:txbxContent>
                    </wps:txbx>
                    <wps:bodyPr wrap="none" lIns="0" tIns="0" rIns="0" bIns="0">
                      <a:spAutoFit/>
                    </wps:bodyPr>
                  </wps:wsp>
                </a:graphicData>
              </a:graphic>
            </wp:anchor>
          </w:drawing>
        </mc:Choice>
        <mc:Fallback>
          <w:pict>
            <v:shape id="_x0000_s1438" type="#_x0000_t202" style="position:absolute;margin-left:72.299999999999997pt;margin-top:37.950000000000003pt;width:142.09999999999999pt;height:11.050000000000001pt;z-index:-188743751;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苏宁云商集团股份有限公司</w:t>
                    </w:r>
                  </w:p>
                </w:txbxContent>
              </v:textbox>
              <w10:wrap anchorx="page" anchory="page"/>
            </v:shape>
          </w:pict>
        </mc:Fallback>
      </mc:AlternateContent>
    </w:r>
  </w:p>
</w:hdr>
</file>

<file path=word/header9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6" behindDoc="1" locked="0" layoutInCell="1" allowOverlap="1">
              <wp:simplePos x="0" y="0"/>
              <wp:positionH relativeFrom="page">
                <wp:posOffset>918210</wp:posOffset>
              </wp:positionH>
              <wp:positionV relativeFrom="page">
                <wp:posOffset>481965</wp:posOffset>
              </wp:positionV>
              <wp:extent cx="1804670" cy="140335"/>
              <wp:wrapNone/>
              <wp:docPr id="416" name="Shape 416"/>
              <a:graphic xmlns:a="http://schemas.openxmlformats.org/drawingml/2006/main">
                <a:graphicData uri="http://schemas.microsoft.com/office/word/2010/wordprocessingShape">
                  <wps:wsp>
                    <wps:cNvSpPr txBox="1"/>
                    <wps:spPr>
                      <a:xfrm>
                        <a:ext cx="1804670" cy="140335"/>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苏宁云商集团股份有限公司</w:t>
                          </w:r>
                        </w:p>
                      </w:txbxContent>
                    </wps:txbx>
                    <wps:bodyPr wrap="none" lIns="0" tIns="0" rIns="0" bIns="0">
                      <a:spAutoFit/>
                    </wps:bodyPr>
                  </wps:wsp>
                </a:graphicData>
              </a:graphic>
            </wp:anchor>
          </w:drawing>
        </mc:Choice>
        <mc:Fallback>
          <w:pict>
            <v:shape id="_x0000_s1442" type="#_x0000_t202" style="position:absolute;margin-left:72.299999999999997pt;margin-top:37.950000000000003pt;width:142.09999999999999pt;height:11.050000000000001pt;z-index:-188743747;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苏宁云商集团股份有限公司</w:t>
                    </w:r>
                  </w:p>
                </w:txbxContent>
              </v:textbox>
              <w10:wrap anchorx="page" anchory="page"/>
            </v:shape>
          </w:pict>
        </mc:Fallback>
      </mc:AlternateContent>
    </w:r>
  </w:p>
</w:hdr>
</file>

<file path=word/header9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0" behindDoc="1" locked="0" layoutInCell="1" allowOverlap="1">
              <wp:simplePos x="0" y="0"/>
              <wp:positionH relativeFrom="page">
                <wp:posOffset>1512570</wp:posOffset>
              </wp:positionH>
              <wp:positionV relativeFrom="page">
                <wp:posOffset>485140</wp:posOffset>
              </wp:positionV>
              <wp:extent cx="1804670" cy="140335"/>
              <wp:wrapNone/>
              <wp:docPr id="420" name="Shape 420"/>
              <a:graphic xmlns:a="http://schemas.openxmlformats.org/drawingml/2006/main">
                <a:graphicData uri="http://schemas.microsoft.com/office/word/2010/wordprocessingShape">
                  <wps:wsp>
                    <wps:cNvSpPr txBox="1"/>
                    <wps:spPr>
                      <a:xfrm>
                        <a:ext cx="1804670" cy="140335"/>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苏宁云商集团股份有限公司</w:t>
                          </w:r>
                        </w:p>
                      </w:txbxContent>
                    </wps:txbx>
                    <wps:bodyPr wrap="none" lIns="0" tIns="0" rIns="0" bIns="0">
                      <a:spAutoFit/>
                    </wps:bodyPr>
                  </wps:wsp>
                </a:graphicData>
              </a:graphic>
            </wp:anchor>
          </w:drawing>
        </mc:Choice>
        <mc:Fallback>
          <w:pict>
            <v:shape id="_x0000_s1446" type="#_x0000_t202" style="position:absolute;margin-left:119.10000000000001pt;margin-top:38.200000000000003pt;width:142.09999999999999pt;height:11.050000000000001pt;z-index:-188743743;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苏宁云商集团股份有限公司</w:t>
                    </w:r>
                  </w:p>
                </w:txbxContent>
              </v:textbox>
              <w10:wrap anchorx="page" anchory="page"/>
            </v:shape>
          </w:pict>
        </mc:Fallback>
      </mc:AlternateContent>
    </w:r>
  </w:p>
</w:hdr>
</file>

<file path=word/header9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4" behindDoc="1" locked="0" layoutInCell="1" allowOverlap="1">
              <wp:simplePos x="0" y="0"/>
              <wp:positionH relativeFrom="page">
                <wp:posOffset>1512570</wp:posOffset>
              </wp:positionH>
              <wp:positionV relativeFrom="page">
                <wp:posOffset>485140</wp:posOffset>
              </wp:positionV>
              <wp:extent cx="1804670" cy="140335"/>
              <wp:wrapNone/>
              <wp:docPr id="424" name="Shape 424"/>
              <a:graphic xmlns:a="http://schemas.openxmlformats.org/drawingml/2006/main">
                <a:graphicData uri="http://schemas.microsoft.com/office/word/2010/wordprocessingShape">
                  <wps:wsp>
                    <wps:cNvSpPr txBox="1"/>
                    <wps:spPr>
                      <a:xfrm>
                        <a:ext cx="1804670" cy="140335"/>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苏宁云商集团股份有限公司</w:t>
                          </w:r>
                        </w:p>
                      </w:txbxContent>
                    </wps:txbx>
                    <wps:bodyPr wrap="none" lIns="0" tIns="0" rIns="0" bIns="0">
                      <a:spAutoFit/>
                    </wps:bodyPr>
                  </wps:wsp>
                </a:graphicData>
              </a:graphic>
            </wp:anchor>
          </w:drawing>
        </mc:Choice>
        <mc:Fallback>
          <w:pict>
            <v:shape id="_x0000_s1450" type="#_x0000_t202" style="position:absolute;margin-left:119.10000000000001pt;margin-top:38.200000000000003pt;width:142.09999999999999pt;height:11.050000000000001pt;z-index:-188743739;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苏宁云商集团股份有限公司</w:t>
                    </w:r>
                  </w:p>
                </w:txbxContent>
              </v:textbox>
              <w10:wrap anchorx="page" anchory="page"/>
            </v:shape>
          </w:pict>
        </mc:Fallback>
      </mc:AlternateContent>
    </w:r>
  </w:p>
</w:hdr>
</file>

<file path=word/header9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8" behindDoc="1" locked="0" layoutInCell="1" allowOverlap="1">
              <wp:simplePos x="0" y="0"/>
              <wp:positionH relativeFrom="page">
                <wp:posOffset>1374775</wp:posOffset>
              </wp:positionH>
              <wp:positionV relativeFrom="page">
                <wp:posOffset>483870</wp:posOffset>
              </wp:positionV>
              <wp:extent cx="1804670" cy="140335"/>
              <wp:wrapNone/>
              <wp:docPr id="428" name="Shape 428"/>
              <a:graphic xmlns:a="http://schemas.openxmlformats.org/drawingml/2006/main">
                <a:graphicData uri="http://schemas.microsoft.com/office/word/2010/wordprocessingShape">
                  <wps:wsp>
                    <wps:cNvSpPr txBox="1"/>
                    <wps:spPr>
                      <a:xfrm>
                        <a:ext cx="1804670" cy="140335"/>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苏宁云商集团股份有限公司</w:t>
                          </w:r>
                        </w:p>
                      </w:txbxContent>
                    </wps:txbx>
                    <wps:bodyPr wrap="none" lIns="0" tIns="0" rIns="0" bIns="0">
                      <a:spAutoFit/>
                    </wps:bodyPr>
                  </wps:wsp>
                </a:graphicData>
              </a:graphic>
            </wp:anchor>
          </w:drawing>
        </mc:Choice>
        <mc:Fallback>
          <w:pict>
            <v:shape id="_x0000_s1454" type="#_x0000_t202" style="position:absolute;margin-left:108.25pt;margin-top:38.100000000000001pt;width:142.09999999999999pt;height:11.050000000000001pt;z-index:-188743735;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苏宁云商集团股份有限公司</w:t>
                    </w:r>
                  </w:p>
                </w:txbxContent>
              </v:textbox>
              <w10:wrap anchorx="page" anchory="page"/>
            </v:shape>
          </w:pict>
        </mc:Fallback>
      </mc:AlternateContent>
    </w:r>
  </w:p>
</w:hdr>
</file>

<file path=word/header9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0" behindDoc="1" locked="0" layoutInCell="1" allowOverlap="1">
              <wp:simplePos x="0" y="0"/>
              <wp:positionH relativeFrom="page">
                <wp:posOffset>1374775</wp:posOffset>
              </wp:positionH>
              <wp:positionV relativeFrom="page">
                <wp:posOffset>483870</wp:posOffset>
              </wp:positionV>
              <wp:extent cx="1804670" cy="140335"/>
              <wp:wrapNone/>
              <wp:docPr id="430" name="Shape 430"/>
              <a:graphic xmlns:a="http://schemas.openxmlformats.org/drawingml/2006/main">
                <a:graphicData uri="http://schemas.microsoft.com/office/word/2010/wordprocessingShape">
                  <wps:wsp>
                    <wps:cNvSpPr txBox="1"/>
                    <wps:spPr>
                      <a:xfrm>
                        <a:ext cx="1804670" cy="140335"/>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苏宁云商集团股份有限公司</w:t>
                          </w:r>
                        </w:p>
                      </w:txbxContent>
                    </wps:txbx>
                    <wps:bodyPr wrap="none" lIns="0" tIns="0" rIns="0" bIns="0">
                      <a:spAutoFit/>
                    </wps:bodyPr>
                  </wps:wsp>
                </a:graphicData>
              </a:graphic>
            </wp:anchor>
          </w:drawing>
        </mc:Choice>
        <mc:Fallback>
          <w:pict>
            <v:shape id="_x0000_s1456" type="#_x0000_t202" style="position:absolute;margin-left:108.25pt;margin-top:38.100000000000001pt;width:142.09999999999999pt;height:11.050000000000001pt;z-index:-188743733;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苏宁云商集团股份有限公司</w:t>
                    </w:r>
                  </w:p>
                </w:txbxContent>
              </v:textbox>
              <w10:wrap anchorx="page" anchory="page"/>
            </v:shape>
          </w:pict>
        </mc:Fallback>
      </mc:AlternateContent>
    </w:r>
  </w:p>
</w:hdr>
</file>

<file path=word/header9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9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9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6" behindDoc="1" locked="0" layoutInCell="1" allowOverlap="1">
              <wp:simplePos x="0" y="0"/>
              <wp:positionH relativeFrom="page">
                <wp:posOffset>1375410</wp:posOffset>
              </wp:positionH>
              <wp:positionV relativeFrom="page">
                <wp:posOffset>481965</wp:posOffset>
              </wp:positionV>
              <wp:extent cx="1804670" cy="140335"/>
              <wp:wrapNone/>
              <wp:docPr id="436" name="Shape 436"/>
              <a:graphic xmlns:a="http://schemas.openxmlformats.org/drawingml/2006/main">
                <a:graphicData uri="http://schemas.microsoft.com/office/word/2010/wordprocessingShape">
                  <wps:wsp>
                    <wps:cNvSpPr txBox="1"/>
                    <wps:spPr>
                      <a:xfrm>
                        <a:ext cx="1804670" cy="140335"/>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苏宁云商集团股份有限公司</w:t>
                          </w:r>
                        </w:p>
                      </w:txbxContent>
                    </wps:txbx>
                    <wps:bodyPr wrap="none" lIns="0" tIns="0" rIns="0" bIns="0">
                      <a:spAutoFit/>
                    </wps:bodyPr>
                  </wps:wsp>
                </a:graphicData>
              </a:graphic>
            </wp:anchor>
          </w:drawing>
        </mc:Choice>
        <mc:Fallback>
          <w:pict>
            <v:shape id="_x0000_s1462" type="#_x0000_t202" style="position:absolute;margin-left:108.3pt;margin-top:37.950000000000003pt;width:142.09999999999999pt;height:11.050000000000001pt;z-index:-188743727;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苏宁云商集团股份有限公司</w:t>
                    </w:r>
                  </w:p>
                </w:txbxContent>
              </v:textbox>
              <w10:wrap anchorx="page" anchory="page"/>
            </v:shape>
          </w:pict>
        </mc:Fallback>
      </mc:AlternateContent>
    </w:r>
  </w:p>
</w:hdr>
</file>

<file path=word/header9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0" behindDoc="1" locked="0" layoutInCell="1" allowOverlap="1">
              <wp:simplePos x="0" y="0"/>
              <wp:positionH relativeFrom="page">
                <wp:posOffset>1375410</wp:posOffset>
              </wp:positionH>
              <wp:positionV relativeFrom="page">
                <wp:posOffset>481965</wp:posOffset>
              </wp:positionV>
              <wp:extent cx="1804670" cy="140335"/>
              <wp:wrapNone/>
              <wp:docPr id="440" name="Shape 440"/>
              <a:graphic xmlns:a="http://schemas.openxmlformats.org/drawingml/2006/main">
                <a:graphicData uri="http://schemas.microsoft.com/office/word/2010/wordprocessingShape">
                  <wps:wsp>
                    <wps:cNvSpPr txBox="1"/>
                    <wps:spPr>
                      <a:xfrm>
                        <a:ext cx="1804670" cy="140335"/>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苏宁云商集团股份有限公司</w:t>
                          </w:r>
                        </w:p>
                      </w:txbxContent>
                    </wps:txbx>
                    <wps:bodyPr wrap="none" lIns="0" tIns="0" rIns="0" bIns="0">
                      <a:spAutoFit/>
                    </wps:bodyPr>
                  </wps:wsp>
                </a:graphicData>
              </a:graphic>
            </wp:anchor>
          </w:drawing>
        </mc:Choice>
        <mc:Fallback>
          <w:pict>
            <v:shape id="_x0000_s1466" type="#_x0000_t202" style="position:absolute;margin-left:108.3pt;margin-top:37.950000000000003pt;width:142.09999999999999pt;height:11.050000000000001pt;z-index:-188743723;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苏宁云商集团股份有限公司</w:t>
                    </w:r>
                  </w:p>
                </w:txbxContent>
              </v:textbox>
              <w10:wrap anchorx="page" anchory="page"/>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rPr>
    </w:lvl>
  </w:abstractNum>
  <w:abstractNum w:abstractNumId="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6">
    <w:multiLevelType w:val="multilevel"/>
    <w:lvl w:ilvl="0">
      <w:start w:val="3"/>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rPr>
    </w:lvl>
  </w:abstractNum>
  <w:abstractNum w:abstractNumId="16">
    <w:multiLevelType w:val="multilevel"/>
    <w:lvl w:ilvl="0">
      <w:start w:val="1"/>
      <w:numFmt w:val="upperRoman"/>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abstractNum>
  <w:abstractNum w:abstractNumId="18">
    <w:multiLevelType w:val="multilevel"/>
    <w:lvl w:ilvl="0">
      <w:start w:val="1"/>
      <w:numFmt w:val="upperRoman"/>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abstractNum>
  <w:abstractNum w:abstractNumId="20">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abstractNum>
  <w:abstractNum w:abstractNumId="2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abstractNum>
  <w:abstractNum w:abstractNumId="26">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abstractNum>
  <w:abstractNum w:abstractNumId="28">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abstractNum>
  <w:abstractNum w:abstractNumId="30">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abstractNum>
  <w:abstractNum w:abstractNumId="32">
    <w:multiLevelType w:val="multilevel"/>
    <w:lvl w:ilvl="0">
      <w:start w:val="1"/>
      <w:numFmt w:val="lowerRoman"/>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abstractNum>
  <w:abstractNum w:abstractNumId="34">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abstractNum>
  <w:abstractNum w:abstractNumId="36">
    <w:multiLevelType w:val="multilevel"/>
    <w:lvl w:ilvl="0">
      <w:start w:val="4"/>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abstractNum>
  <w:abstractNum w:abstractNumId="38">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abstractNum>
  <w:abstractNum w:abstractNumId="40">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abstractNum>
  <w:abstractNum w:abstractNumId="42">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abstractNum>
  <w:abstractNum w:abstractNumId="44">
    <w:multiLevelType w:val="multilevel"/>
    <w:lvl w:ilvl="0">
      <w:start w:val="14"/>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abstractNum>
  <w:abstractNum w:abstractNumId="46">
    <w:multiLevelType w:val="multilevel"/>
    <w:lvl w:ilvl="0">
      <w:start w:val="16"/>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abstractNum>
  <w:abstractNum w:abstractNumId="48">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abstractNum>
  <w:abstractNum w:abstractNumId="50">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abstractNum>
  <w:abstractNum w:abstractNumId="52">
    <w:multiLevelType w:val="multilevel"/>
    <w:lvl w:ilvl="0">
      <w:start w:val="24"/>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abstractNum>
  <w:abstractNum w:abstractNumId="54">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abstractNum>
  <w:abstractNum w:abstractNumId="56">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abstractNum>
  <w:abstractNum w:abstractNumId="58">
    <w:multiLevelType w:val="multilevel"/>
    <w:lvl w:ilvl="0">
      <w:start w:val="1"/>
      <w:numFmt w:val="lowerRoman"/>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abstractNum>
  <w:abstractNum w:abstractNumId="60">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abstractNum>
  <w:abstractNum w:abstractNumId="62">
    <w:multiLevelType w:val="multilevel"/>
    <w:lvl w:ilvl="0">
      <w:start w:val="2"/>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abstractNum>
  <w:abstractNum w:abstractNumId="64">
    <w:multiLevelType w:val="multilevel"/>
    <w:lvl w:ilvl="0">
      <w:start w:val="2"/>
      <w:numFmt w:val="lowerRoman"/>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abstractNum>
  <w:abstractNum w:abstractNumId="66">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FFFFFF"/>
      </w:rPr>
    </w:lvl>
  </w:abstractNum>
  <w:abstractNum w:abstractNumId="68">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FFFFFF"/>
      </w:rPr>
    </w:lvl>
  </w:abstractNum>
  <w:abstractNum w:abstractNumId="70">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abstractNum>
  <w:abstractNum w:abstractNumId="72">
    <w:multiLevelType w:val="multilevel"/>
    <w:lvl w:ilvl="0">
      <w:start w:val="4"/>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abstractNum>
  <w:abstractNum w:abstractNumId="74">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abstractNum>
  <w:abstractNum w:abstractNumId="76">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abstractNum>
  <w:abstractNum w:abstractNumId="78">
    <w:multiLevelType w:val="multilevel"/>
    <w:lvl w:ilvl="0">
      <w:start w:val="37"/>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abstractNum>
  <w:abstractNum w:abstractNumId="80">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FFFFFF"/>
      </w:rPr>
    </w:lvl>
  </w:abstractNum>
  <w:abstractNum w:abstractNumId="82">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abstractNum>
  <w:abstractNum w:abstractNumId="84">
    <w:multiLevelType w:val="multilevel"/>
    <w:lvl w:ilvl="0">
      <w:start w:val="54"/>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abstractNum>
  <w:abstractNum w:abstractNumId="86">
    <w:multiLevelType w:val="multilevel"/>
    <w:lvl w:ilvl="0">
      <w:start w:val="100"/>
      <w:numFmt w:val="lowerRoman"/>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abstractNum>
  <w:abstractNum w:abstractNumId="88">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abstractNum>
  <w:abstractNum w:abstractNumId="90">
    <w:multiLevelType w:val="multilevel"/>
    <w:lvl w:ilvl="0">
      <w:start w:val="5"/>
      <w:numFmt w:val="lowerRoman"/>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abstractNum>
  <w:abstractNum w:abstractNumId="92">
    <w:multiLevelType w:val="multilevel"/>
    <w:lvl w:ilvl="0">
      <w:start w:val="10"/>
      <w:numFmt w:val="lowerRoman"/>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abstractNum>
  <w:abstractNum w:abstractNumId="9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abstractNum>
  <w:abstractNum w:abstractNumId="96">
    <w:multiLevelType w:val="multilevel"/>
    <w:lvl w:ilvl="0">
      <w:start w:val="3"/>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abstractNum>
  <w:abstractNum w:abstractNumId="98">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FFFFFF"/>
      </w:rPr>
    </w:lvl>
  </w:abstractNum>
  <w:abstractNum w:abstractNumId="100">
    <w:multiLevelType w:val="multilevel"/>
    <w:lvl w:ilvl="0">
      <w:start w:val="4"/>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abstractNum>
  <w:abstractNum w:abstractNumId="102">
    <w:multiLevelType w:val="multilevel"/>
    <w:lvl w:ilvl="0">
      <w:start w:val="100"/>
      <w:numFmt w:val="lowerRoman"/>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标题 #1_"/>
    <w:basedOn w:val="DefaultParagraphFont"/>
    <w:link w:val="Style2"/>
    <w:rPr>
      <w:rFonts w:ascii="SimSun" w:eastAsia="SimSun" w:hAnsi="SimSun" w:cs="SimSun"/>
      <w:b/>
      <w:bCs/>
      <w:i w:val="0"/>
      <w:iCs w:val="0"/>
      <w:smallCaps w:val="0"/>
      <w:strike w:val="0"/>
      <w:sz w:val="36"/>
      <w:szCs w:val="36"/>
      <w:u w:val="none"/>
      <w:shd w:val="clear" w:color="auto" w:fill="auto"/>
    </w:rPr>
  </w:style>
  <w:style w:type="character" w:customStyle="1" w:styleId="CharStyle5">
    <w:name w:val="页眉或页脚 (2)_"/>
    <w:basedOn w:val="DefaultParagraphFont"/>
    <w:link w:val="Style4"/>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9">
    <w:name w:val="正文文本 (3)_"/>
    <w:basedOn w:val="DefaultParagraphFont"/>
    <w:link w:val="Style8"/>
    <w:rPr>
      <w:rFonts w:ascii="SimSun" w:eastAsia="SimSun" w:hAnsi="SimSun" w:cs="SimSun"/>
      <w:b/>
      <w:bCs/>
      <w:i w:val="0"/>
      <w:iCs w:val="0"/>
      <w:smallCaps w:val="0"/>
      <w:strike w:val="0"/>
      <w:sz w:val="32"/>
      <w:szCs w:val="32"/>
      <w:u w:val="none"/>
      <w:shd w:val="clear" w:color="auto" w:fill="auto"/>
    </w:rPr>
  </w:style>
  <w:style w:type="character" w:customStyle="1" w:styleId="CharStyle12">
    <w:name w:val="正文文本 (5)_"/>
    <w:basedOn w:val="DefaultParagraphFont"/>
    <w:link w:val="Style11"/>
    <w:rPr>
      <w:rFonts w:ascii="Verdana" w:eastAsia="Verdana" w:hAnsi="Verdana" w:cs="Verdana"/>
      <w:b/>
      <w:bCs/>
      <w:i w:val="0"/>
      <w:iCs w:val="0"/>
      <w:smallCaps w:val="0"/>
      <w:strike w:val="0"/>
      <w:color w:val="06A6EA"/>
      <w:sz w:val="68"/>
      <w:szCs w:val="68"/>
      <w:u w:val="none"/>
      <w:shd w:val="clear" w:color="auto" w:fill="FFFFFF"/>
    </w:rPr>
  </w:style>
  <w:style w:type="character" w:customStyle="1" w:styleId="CharStyle14">
    <w:name w:val="正文文本 (6)_"/>
    <w:basedOn w:val="DefaultParagraphFont"/>
    <w:link w:val="Style13"/>
    <w:rPr>
      <w:rFonts w:ascii="SimHei" w:eastAsia="SimHei" w:hAnsi="SimHei" w:cs="SimHei"/>
      <w:b w:val="0"/>
      <w:bCs w:val="0"/>
      <w:i w:val="0"/>
      <w:iCs w:val="0"/>
      <w:smallCaps w:val="0"/>
      <w:strike w:val="0"/>
      <w:color w:val="06A6EA"/>
      <w:sz w:val="56"/>
      <w:szCs w:val="56"/>
      <w:u w:val="none"/>
      <w:shd w:val="clear" w:color="auto" w:fill="auto"/>
    </w:rPr>
  </w:style>
  <w:style w:type="character" w:customStyle="1" w:styleId="CharStyle16">
    <w:name w:val="正文文本 (4)_"/>
    <w:basedOn w:val="DefaultParagraphFont"/>
    <w:link w:val="Style15"/>
    <w:rPr>
      <w:rFonts w:ascii="Times New Roman" w:eastAsia="Times New Roman" w:hAnsi="Times New Roman" w:cs="Times New Roman"/>
      <w:b/>
      <w:bCs/>
      <w:i w:val="0"/>
      <w:iCs w:val="0"/>
      <w:smallCaps w:val="0"/>
      <w:strike w:val="0"/>
      <w:sz w:val="32"/>
      <w:szCs w:val="32"/>
      <w:u w:val="none"/>
      <w:shd w:val="clear" w:color="auto" w:fill="auto"/>
    </w:rPr>
  </w:style>
  <w:style w:type="character" w:customStyle="1" w:styleId="CharStyle19">
    <w:name w:val="标题 #2_"/>
    <w:basedOn w:val="DefaultParagraphFont"/>
    <w:link w:val="Style18"/>
    <w:rPr>
      <w:rFonts w:ascii="SimSun" w:eastAsia="SimSun" w:hAnsi="SimSun" w:cs="SimSun"/>
      <w:b/>
      <w:bCs/>
      <w:i w:val="0"/>
      <w:iCs w:val="0"/>
      <w:smallCaps w:val="0"/>
      <w:strike w:val="0"/>
      <w:sz w:val="32"/>
      <w:szCs w:val="32"/>
      <w:u w:val="none"/>
      <w:shd w:val="clear" w:color="auto" w:fill="auto"/>
    </w:rPr>
  </w:style>
  <w:style w:type="character" w:customStyle="1" w:styleId="CharStyle21">
    <w:name w:val="正文文本 (2)_"/>
    <w:basedOn w:val="DefaultParagraphFont"/>
    <w:link w:val="Style20"/>
    <w:rPr>
      <w:rFonts w:ascii="SimSun" w:eastAsia="SimSun" w:hAnsi="SimSun" w:cs="SimSun"/>
      <w:b/>
      <w:bCs/>
      <w:i w:val="0"/>
      <w:iCs w:val="0"/>
      <w:smallCaps w:val="0"/>
      <w:strike w:val="0"/>
      <w:sz w:val="28"/>
      <w:szCs w:val="28"/>
      <w:u w:val="none"/>
      <w:shd w:val="clear" w:color="auto" w:fill="auto"/>
    </w:rPr>
  </w:style>
  <w:style w:type="character" w:customStyle="1" w:styleId="CharStyle23">
    <w:name w:val="目录_"/>
    <w:basedOn w:val="DefaultParagraphFont"/>
    <w:link w:val="Style22"/>
    <w:rPr>
      <w:rFonts w:ascii="SimSun" w:eastAsia="SimSun" w:hAnsi="SimSun" w:cs="SimSun"/>
      <w:b w:val="0"/>
      <w:bCs w:val="0"/>
      <w:i w:val="0"/>
      <w:iCs w:val="0"/>
      <w:smallCaps w:val="0"/>
      <w:strike w:val="0"/>
      <w:u w:val="none"/>
      <w:shd w:val="clear" w:color="auto" w:fill="auto"/>
    </w:rPr>
  </w:style>
  <w:style w:type="character" w:customStyle="1" w:styleId="CharStyle26">
    <w:name w:val="表格标题_"/>
    <w:basedOn w:val="DefaultParagraphFont"/>
    <w:link w:val="Style25"/>
    <w:rPr>
      <w:rFonts w:ascii="SimSun" w:eastAsia="SimSun" w:hAnsi="SimSun" w:cs="SimSun"/>
      <w:b w:val="0"/>
      <w:bCs w:val="0"/>
      <w:i w:val="0"/>
      <w:iCs w:val="0"/>
      <w:smallCaps w:val="0"/>
      <w:strike w:val="0"/>
      <w:sz w:val="22"/>
      <w:szCs w:val="22"/>
      <w:u w:val="none"/>
      <w:shd w:val="clear" w:color="auto" w:fill="auto"/>
    </w:rPr>
  </w:style>
  <w:style w:type="character" w:customStyle="1" w:styleId="CharStyle29">
    <w:name w:val="其他_"/>
    <w:basedOn w:val="DefaultParagraphFont"/>
    <w:link w:val="Style28"/>
    <w:rPr>
      <w:rFonts w:ascii="SimSun" w:eastAsia="SimSun" w:hAnsi="SimSun" w:cs="SimSun"/>
      <w:b w:val="0"/>
      <w:bCs w:val="0"/>
      <w:i w:val="0"/>
      <w:iCs w:val="0"/>
      <w:smallCaps w:val="0"/>
      <w:strike w:val="0"/>
      <w:sz w:val="22"/>
      <w:szCs w:val="22"/>
      <w:u w:val="none"/>
      <w:shd w:val="clear" w:color="auto" w:fill="auto"/>
    </w:rPr>
  </w:style>
  <w:style w:type="character" w:customStyle="1" w:styleId="CharStyle33">
    <w:name w:val="正文文本_"/>
    <w:basedOn w:val="DefaultParagraphFont"/>
    <w:link w:val="Style32"/>
    <w:rPr>
      <w:rFonts w:ascii="SimSun" w:eastAsia="SimSun" w:hAnsi="SimSun" w:cs="SimSun"/>
      <w:b w:val="0"/>
      <w:bCs w:val="0"/>
      <w:i w:val="0"/>
      <w:iCs w:val="0"/>
      <w:smallCaps w:val="0"/>
      <w:strike w:val="0"/>
      <w:sz w:val="22"/>
      <w:szCs w:val="22"/>
      <w:u w:val="none"/>
      <w:shd w:val="clear" w:color="auto" w:fill="auto"/>
    </w:rPr>
  </w:style>
  <w:style w:type="character" w:customStyle="1" w:styleId="CharStyle39">
    <w:name w:val="标题 #4_"/>
    <w:basedOn w:val="DefaultParagraphFont"/>
    <w:link w:val="Style38"/>
    <w:rPr>
      <w:rFonts w:ascii="SimSun" w:eastAsia="SimSun" w:hAnsi="SimSun" w:cs="SimSun"/>
      <w:b/>
      <w:bCs/>
      <w:i w:val="0"/>
      <w:iCs w:val="0"/>
      <w:smallCaps w:val="0"/>
      <w:strike w:val="0"/>
      <w:sz w:val="22"/>
      <w:szCs w:val="22"/>
      <w:u w:val="none"/>
      <w:shd w:val="clear" w:color="auto" w:fill="auto"/>
    </w:rPr>
  </w:style>
  <w:style w:type="character" w:customStyle="1" w:styleId="CharStyle54">
    <w:name w:val="正文文本 (9)_"/>
    <w:basedOn w:val="DefaultParagraphFont"/>
    <w:link w:val="Style53"/>
    <w:rPr>
      <w:rFonts w:ascii="Times New Roman" w:eastAsia="Times New Roman" w:hAnsi="Times New Roman" w:cs="Times New Roman"/>
      <w:b w:val="0"/>
      <w:bCs w:val="0"/>
      <w:i w:val="0"/>
      <w:iCs w:val="0"/>
      <w:smallCaps w:val="0"/>
      <w:strike w:val="0"/>
      <w:sz w:val="22"/>
      <w:szCs w:val="22"/>
      <w:u w:val="none"/>
      <w:shd w:val="clear" w:color="auto" w:fill="auto"/>
    </w:rPr>
  </w:style>
  <w:style w:type="character" w:customStyle="1" w:styleId="CharStyle64">
    <w:name w:val="页眉或页脚_"/>
    <w:basedOn w:val="DefaultParagraphFont"/>
    <w:link w:val="Style63"/>
    <w:rPr>
      <w:rFonts w:ascii="SimSun" w:eastAsia="SimSun" w:hAnsi="SimSun" w:cs="SimSun"/>
      <w:b w:val="0"/>
      <w:bCs w:val="0"/>
      <w:i w:val="0"/>
      <w:iCs w:val="0"/>
      <w:smallCaps w:val="0"/>
      <w:strike w:val="0"/>
      <w:sz w:val="20"/>
      <w:szCs w:val="20"/>
      <w:u w:val="none"/>
      <w:shd w:val="clear" w:color="auto" w:fill="auto"/>
    </w:rPr>
  </w:style>
  <w:style w:type="character" w:customStyle="1" w:styleId="CharStyle89">
    <w:name w:val="标题 #3_"/>
    <w:basedOn w:val="DefaultParagraphFont"/>
    <w:link w:val="Style88"/>
    <w:rPr>
      <w:rFonts w:ascii="Arial" w:eastAsia="Arial" w:hAnsi="Arial" w:cs="Arial"/>
      <w:b w:val="0"/>
      <w:bCs w:val="0"/>
      <w:i w:val="0"/>
      <w:iCs w:val="0"/>
      <w:smallCaps w:val="0"/>
      <w:strike w:val="0"/>
      <w:u w:val="none"/>
      <w:shd w:val="clear" w:color="auto" w:fill="auto"/>
    </w:rPr>
  </w:style>
  <w:style w:type="character" w:customStyle="1" w:styleId="CharStyle114">
    <w:name w:val="正文文本 (10)_"/>
    <w:basedOn w:val="DefaultParagraphFont"/>
    <w:link w:val="Style113"/>
    <w:rPr>
      <w:rFonts w:ascii="SimSun" w:eastAsia="SimSun" w:hAnsi="SimSun" w:cs="SimSun"/>
      <w:b w:val="0"/>
      <w:bCs w:val="0"/>
      <w:i w:val="0"/>
      <w:iCs w:val="0"/>
      <w:smallCaps w:val="0"/>
      <w:strike w:val="0"/>
      <w:sz w:val="18"/>
      <w:szCs w:val="18"/>
      <w:u w:val="none"/>
      <w:shd w:val="clear" w:color="auto" w:fill="auto"/>
    </w:rPr>
  </w:style>
  <w:style w:type="character" w:customStyle="1" w:styleId="CharStyle135">
    <w:name w:val="正文文本 (11)_"/>
    <w:basedOn w:val="DefaultParagraphFont"/>
    <w:link w:val="Style134"/>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2">
    <w:name w:val="标题 #1"/>
    <w:basedOn w:val="Normal"/>
    <w:link w:val="CharStyle3"/>
    <w:pPr>
      <w:widowControl w:val="0"/>
      <w:shd w:val="clear" w:color="auto" w:fill="auto"/>
      <w:spacing w:after="990"/>
      <w:jc w:val="center"/>
      <w:outlineLvl w:val="0"/>
    </w:pPr>
    <w:rPr>
      <w:rFonts w:ascii="SimSun" w:eastAsia="SimSun" w:hAnsi="SimSun" w:cs="SimSun"/>
      <w:b/>
      <w:bCs/>
      <w:i w:val="0"/>
      <w:iCs w:val="0"/>
      <w:smallCaps w:val="0"/>
      <w:strike w:val="0"/>
      <w:sz w:val="36"/>
      <w:szCs w:val="36"/>
      <w:u w:val="none"/>
      <w:shd w:val="clear" w:color="auto" w:fill="auto"/>
    </w:rPr>
  </w:style>
  <w:style w:type="paragraph" w:customStyle="1" w:styleId="Style4">
    <w:name w:val="页眉或页脚 (2)"/>
    <w:basedOn w:val="Normal"/>
    <w:link w:val="CharStyle5"/>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8">
    <w:name w:val="正文文本 (3)"/>
    <w:basedOn w:val="Normal"/>
    <w:link w:val="CharStyle9"/>
    <w:pPr>
      <w:widowControl w:val="0"/>
      <w:shd w:val="clear" w:color="auto" w:fill="auto"/>
      <w:spacing w:after="1360"/>
      <w:jc w:val="center"/>
    </w:pPr>
    <w:rPr>
      <w:rFonts w:ascii="SimSun" w:eastAsia="SimSun" w:hAnsi="SimSun" w:cs="SimSun"/>
      <w:b/>
      <w:bCs/>
      <w:i w:val="0"/>
      <w:iCs w:val="0"/>
      <w:smallCaps w:val="0"/>
      <w:strike w:val="0"/>
      <w:sz w:val="32"/>
      <w:szCs w:val="32"/>
      <w:u w:val="none"/>
      <w:shd w:val="clear" w:color="auto" w:fill="auto"/>
    </w:rPr>
  </w:style>
  <w:style w:type="paragraph" w:customStyle="1" w:styleId="Style11">
    <w:name w:val="正文文本 (5)"/>
    <w:basedOn w:val="Normal"/>
    <w:link w:val="CharStyle12"/>
    <w:pPr>
      <w:widowControl w:val="0"/>
      <w:shd w:val="clear" w:color="auto" w:fill="auto"/>
      <w:spacing w:after="60" w:line="706" w:lineRule="exact"/>
      <w:jc w:val="center"/>
    </w:pPr>
    <w:rPr>
      <w:rFonts w:ascii="Verdana" w:eastAsia="Verdana" w:hAnsi="Verdana" w:cs="Verdana"/>
      <w:b/>
      <w:bCs/>
      <w:i w:val="0"/>
      <w:iCs w:val="0"/>
      <w:smallCaps w:val="0"/>
      <w:strike w:val="0"/>
      <w:color w:val="06A6EA"/>
      <w:sz w:val="68"/>
      <w:szCs w:val="68"/>
      <w:u w:val="none"/>
      <w:shd w:val="clear" w:color="auto" w:fill="FFFFFF"/>
    </w:rPr>
  </w:style>
  <w:style w:type="paragraph" w:customStyle="1" w:styleId="Style13">
    <w:name w:val="正文文本 (6)"/>
    <w:basedOn w:val="Normal"/>
    <w:link w:val="CharStyle14"/>
    <w:pPr>
      <w:widowControl w:val="0"/>
      <w:shd w:val="clear" w:color="auto" w:fill="auto"/>
      <w:spacing w:after="3320" w:line="706" w:lineRule="exact"/>
      <w:jc w:val="center"/>
    </w:pPr>
    <w:rPr>
      <w:rFonts w:ascii="SimHei" w:eastAsia="SimHei" w:hAnsi="SimHei" w:cs="SimHei"/>
      <w:b w:val="0"/>
      <w:bCs w:val="0"/>
      <w:i w:val="0"/>
      <w:iCs w:val="0"/>
      <w:smallCaps w:val="0"/>
      <w:strike w:val="0"/>
      <w:color w:val="06A6EA"/>
      <w:sz w:val="56"/>
      <w:szCs w:val="56"/>
      <w:u w:val="none"/>
      <w:shd w:val="clear" w:color="auto" w:fill="auto"/>
    </w:rPr>
  </w:style>
  <w:style w:type="paragraph" w:customStyle="1" w:styleId="Style15">
    <w:name w:val="正文文本 (4)"/>
    <w:basedOn w:val="Normal"/>
    <w:link w:val="CharStyle16"/>
    <w:pPr>
      <w:widowControl w:val="0"/>
      <w:shd w:val="clear" w:color="auto" w:fill="auto"/>
      <w:spacing w:after="880"/>
      <w:jc w:val="center"/>
    </w:pPr>
    <w:rPr>
      <w:rFonts w:ascii="Times New Roman" w:eastAsia="Times New Roman" w:hAnsi="Times New Roman" w:cs="Times New Roman"/>
      <w:b/>
      <w:bCs/>
      <w:i w:val="0"/>
      <w:iCs w:val="0"/>
      <w:smallCaps w:val="0"/>
      <w:strike w:val="0"/>
      <w:sz w:val="32"/>
      <w:szCs w:val="32"/>
      <w:u w:val="none"/>
      <w:shd w:val="clear" w:color="auto" w:fill="auto"/>
    </w:rPr>
  </w:style>
  <w:style w:type="paragraph" w:customStyle="1" w:styleId="Style18">
    <w:name w:val="标题 #2"/>
    <w:basedOn w:val="Normal"/>
    <w:link w:val="CharStyle19"/>
    <w:pPr>
      <w:widowControl w:val="0"/>
      <w:shd w:val="clear" w:color="auto" w:fill="auto"/>
      <w:spacing w:before="530" w:after="360"/>
      <w:jc w:val="center"/>
      <w:outlineLvl w:val="1"/>
    </w:pPr>
    <w:rPr>
      <w:rFonts w:ascii="SimSun" w:eastAsia="SimSun" w:hAnsi="SimSun" w:cs="SimSun"/>
      <w:b/>
      <w:bCs/>
      <w:i w:val="0"/>
      <w:iCs w:val="0"/>
      <w:smallCaps w:val="0"/>
      <w:strike w:val="0"/>
      <w:sz w:val="32"/>
      <w:szCs w:val="32"/>
      <w:u w:val="none"/>
      <w:shd w:val="clear" w:color="auto" w:fill="auto"/>
    </w:rPr>
  </w:style>
  <w:style w:type="paragraph" w:customStyle="1" w:styleId="Style20">
    <w:name w:val="正文文本 (2)"/>
    <w:basedOn w:val="Normal"/>
    <w:link w:val="CharStyle21"/>
    <w:pPr>
      <w:widowControl w:val="0"/>
      <w:shd w:val="clear" w:color="auto" w:fill="auto"/>
      <w:spacing w:after="100" w:line="629"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22">
    <w:name w:val="目录"/>
    <w:basedOn w:val="Normal"/>
    <w:link w:val="CharStyle23"/>
    <w:pPr>
      <w:widowControl w:val="0"/>
      <w:shd w:val="clear" w:color="auto" w:fill="auto"/>
      <w:spacing w:after="220"/>
    </w:pPr>
    <w:rPr>
      <w:rFonts w:ascii="SimSun" w:eastAsia="SimSun" w:hAnsi="SimSun" w:cs="SimSun"/>
      <w:b w:val="0"/>
      <w:bCs w:val="0"/>
      <w:i w:val="0"/>
      <w:iCs w:val="0"/>
      <w:smallCaps w:val="0"/>
      <w:strike w:val="0"/>
      <w:u w:val="none"/>
      <w:shd w:val="clear" w:color="auto" w:fill="auto"/>
    </w:rPr>
  </w:style>
  <w:style w:type="paragraph" w:customStyle="1" w:styleId="Style25">
    <w:name w:val="表格标题"/>
    <w:basedOn w:val="Normal"/>
    <w:link w:val="CharStyle26"/>
    <w:pPr>
      <w:widowControl w:val="0"/>
      <w:shd w:val="clear" w:color="auto" w:fill="auto"/>
    </w:pPr>
    <w:rPr>
      <w:rFonts w:ascii="SimSun" w:eastAsia="SimSun" w:hAnsi="SimSun" w:cs="SimSun"/>
      <w:b w:val="0"/>
      <w:bCs w:val="0"/>
      <w:i w:val="0"/>
      <w:iCs w:val="0"/>
      <w:smallCaps w:val="0"/>
      <w:strike w:val="0"/>
      <w:sz w:val="22"/>
      <w:szCs w:val="22"/>
      <w:u w:val="none"/>
      <w:shd w:val="clear" w:color="auto" w:fill="auto"/>
    </w:rPr>
  </w:style>
  <w:style w:type="paragraph" w:customStyle="1" w:styleId="Style28">
    <w:name w:val="其他"/>
    <w:basedOn w:val="Normal"/>
    <w:link w:val="CharStyle29"/>
    <w:pPr>
      <w:widowControl w:val="0"/>
      <w:shd w:val="clear" w:color="auto" w:fill="auto"/>
      <w:spacing w:line="446" w:lineRule="auto"/>
      <w:ind w:firstLine="400"/>
    </w:pPr>
    <w:rPr>
      <w:rFonts w:ascii="SimSun" w:eastAsia="SimSun" w:hAnsi="SimSun" w:cs="SimSun"/>
      <w:b w:val="0"/>
      <w:bCs w:val="0"/>
      <w:i w:val="0"/>
      <w:iCs w:val="0"/>
      <w:smallCaps w:val="0"/>
      <w:strike w:val="0"/>
      <w:sz w:val="22"/>
      <w:szCs w:val="22"/>
      <w:u w:val="none"/>
      <w:shd w:val="clear" w:color="auto" w:fill="auto"/>
    </w:rPr>
  </w:style>
  <w:style w:type="paragraph" w:customStyle="1" w:styleId="Style32">
    <w:name w:val="正文文本"/>
    <w:basedOn w:val="Normal"/>
    <w:link w:val="CharStyle33"/>
    <w:pPr>
      <w:widowControl w:val="0"/>
      <w:shd w:val="clear" w:color="auto" w:fill="auto"/>
      <w:spacing w:line="446" w:lineRule="auto"/>
      <w:ind w:firstLine="400"/>
    </w:pPr>
    <w:rPr>
      <w:rFonts w:ascii="SimSun" w:eastAsia="SimSun" w:hAnsi="SimSun" w:cs="SimSun"/>
      <w:b w:val="0"/>
      <w:bCs w:val="0"/>
      <w:i w:val="0"/>
      <w:iCs w:val="0"/>
      <w:smallCaps w:val="0"/>
      <w:strike w:val="0"/>
      <w:sz w:val="22"/>
      <w:szCs w:val="22"/>
      <w:u w:val="none"/>
      <w:shd w:val="clear" w:color="auto" w:fill="auto"/>
    </w:rPr>
  </w:style>
  <w:style w:type="paragraph" w:customStyle="1" w:styleId="Style38">
    <w:name w:val="标题 #4"/>
    <w:basedOn w:val="Normal"/>
    <w:link w:val="CharStyle39"/>
    <w:pPr>
      <w:widowControl w:val="0"/>
      <w:shd w:val="clear" w:color="auto" w:fill="auto"/>
      <w:spacing w:after="210" w:line="468" w:lineRule="exact"/>
      <w:ind w:firstLine="420"/>
      <w:outlineLvl w:val="3"/>
    </w:pPr>
    <w:rPr>
      <w:rFonts w:ascii="SimSun" w:eastAsia="SimSun" w:hAnsi="SimSun" w:cs="SimSun"/>
      <w:b/>
      <w:bCs/>
      <w:i w:val="0"/>
      <w:iCs w:val="0"/>
      <w:smallCaps w:val="0"/>
      <w:strike w:val="0"/>
      <w:sz w:val="22"/>
      <w:szCs w:val="22"/>
      <w:u w:val="none"/>
      <w:shd w:val="clear" w:color="auto" w:fill="auto"/>
    </w:rPr>
  </w:style>
  <w:style w:type="paragraph" w:customStyle="1" w:styleId="Style53">
    <w:name w:val="正文文本 (9)"/>
    <w:basedOn w:val="Normal"/>
    <w:link w:val="CharStyle54"/>
    <w:pPr>
      <w:widowControl w:val="0"/>
      <w:shd w:val="clear" w:color="auto" w:fill="auto"/>
      <w:spacing w:after="200" w:line="472" w:lineRule="exact"/>
      <w:ind w:left="120" w:firstLine="460"/>
    </w:pPr>
    <w:rPr>
      <w:rFonts w:ascii="Times New Roman" w:eastAsia="Times New Roman" w:hAnsi="Times New Roman" w:cs="Times New Roman"/>
      <w:b w:val="0"/>
      <w:bCs w:val="0"/>
      <w:i w:val="0"/>
      <w:iCs w:val="0"/>
      <w:smallCaps w:val="0"/>
      <w:strike w:val="0"/>
      <w:sz w:val="22"/>
      <w:szCs w:val="22"/>
      <w:u w:val="none"/>
      <w:shd w:val="clear" w:color="auto" w:fill="auto"/>
    </w:rPr>
  </w:style>
  <w:style w:type="paragraph" w:customStyle="1" w:styleId="Style63">
    <w:name w:val="页眉或页脚"/>
    <w:basedOn w:val="Normal"/>
    <w:link w:val="CharStyle64"/>
    <w:pPr>
      <w:widowControl w:val="0"/>
      <w:shd w:val="clear" w:color="auto" w:fill="auto"/>
      <w:jc w:val="center"/>
    </w:pPr>
    <w:rPr>
      <w:rFonts w:ascii="SimSun" w:eastAsia="SimSun" w:hAnsi="SimSun" w:cs="SimSun"/>
      <w:b w:val="0"/>
      <w:bCs w:val="0"/>
      <w:i w:val="0"/>
      <w:iCs w:val="0"/>
      <w:smallCaps w:val="0"/>
      <w:strike w:val="0"/>
      <w:sz w:val="20"/>
      <w:szCs w:val="20"/>
      <w:u w:val="none"/>
      <w:shd w:val="clear" w:color="auto" w:fill="auto"/>
    </w:rPr>
  </w:style>
  <w:style w:type="paragraph" w:customStyle="1" w:styleId="Style88">
    <w:name w:val="标题 #3"/>
    <w:basedOn w:val="Normal"/>
    <w:link w:val="CharStyle89"/>
    <w:pPr>
      <w:widowControl w:val="0"/>
      <w:shd w:val="clear" w:color="auto" w:fill="auto"/>
      <w:ind w:firstLine="700"/>
      <w:outlineLvl w:val="2"/>
    </w:pPr>
    <w:rPr>
      <w:rFonts w:ascii="Arial" w:eastAsia="Arial" w:hAnsi="Arial" w:cs="Arial"/>
      <w:b w:val="0"/>
      <w:bCs w:val="0"/>
      <w:i w:val="0"/>
      <w:iCs w:val="0"/>
      <w:smallCaps w:val="0"/>
      <w:strike w:val="0"/>
      <w:u w:val="none"/>
      <w:shd w:val="clear" w:color="auto" w:fill="auto"/>
    </w:rPr>
  </w:style>
  <w:style w:type="paragraph" w:customStyle="1" w:styleId="Style113">
    <w:name w:val="正文文本 (10)"/>
    <w:basedOn w:val="Normal"/>
    <w:link w:val="CharStyle114"/>
    <w:pPr>
      <w:widowControl w:val="0"/>
      <w:shd w:val="clear" w:color="auto" w:fill="auto"/>
      <w:jc w:val="right"/>
    </w:pPr>
    <w:rPr>
      <w:rFonts w:ascii="SimSun" w:eastAsia="SimSun" w:hAnsi="SimSun" w:cs="SimSun"/>
      <w:b w:val="0"/>
      <w:bCs w:val="0"/>
      <w:i w:val="0"/>
      <w:iCs w:val="0"/>
      <w:smallCaps w:val="0"/>
      <w:strike w:val="0"/>
      <w:sz w:val="18"/>
      <w:szCs w:val="18"/>
      <w:u w:val="none"/>
      <w:shd w:val="clear" w:color="auto" w:fill="auto"/>
    </w:rPr>
  </w:style>
  <w:style w:type="paragraph" w:customStyle="1" w:styleId="Style134">
    <w:name w:val="正文文本 (11)"/>
    <w:basedOn w:val="Normal"/>
    <w:link w:val="CharStyle135"/>
    <w:pPr>
      <w:widowControl w:val="0"/>
      <w:shd w:val="clear" w:color="auto" w:fill="auto"/>
    </w:pPr>
    <w:rPr>
      <w:rFonts w:ascii="Times New Roman" w:eastAsia="Times New Roman" w:hAnsi="Times New Roman" w:cs="Times New Roman"/>
      <w:b w:val="0"/>
      <w:bCs w:val="0"/>
      <w:i w:val="0"/>
      <w:iCs w:val="0"/>
      <w:smallCaps w:val="0"/>
      <w:strike w:val="0"/>
      <w:sz w:val="18"/>
      <w:szCs w:val="18"/>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footer" Target="footer1.xml"/><Relationship Id="rId9" Type="http://schemas.openxmlformats.org/officeDocument/2006/relationships/header" Target="header4.xml"/><Relationship Id="rId10" Type="http://schemas.openxmlformats.org/officeDocument/2006/relationships/footer" Target="footer2.xml"/><Relationship Id="rId11" Type="http://schemas.openxmlformats.org/officeDocument/2006/relationships/header" Target="header5.xml"/><Relationship Id="rId12" Type="http://schemas.openxmlformats.org/officeDocument/2006/relationships/footer" Target="footer3.xml"/><Relationship Id="rId13" Type="http://schemas.openxmlformats.org/officeDocument/2006/relationships/header" Target="header6.xml"/><Relationship Id="rId14" Type="http://schemas.openxmlformats.org/officeDocument/2006/relationships/footer" Target="footer4.xml"/><Relationship Id="rId15" Type="http://schemas.openxmlformats.org/officeDocument/2006/relationships/header" Target="header7.xml"/><Relationship Id="rId16" Type="http://schemas.openxmlformats.org/officeDocument/2006/relationships/footer" Target="footer5.xml"/><Relationship Id="rId17" Type="http://schemas.openxmlformats.org/officeDocument/2006/relationships/header" Target="header8.xml"/><Relationship Id="rId18" Type="http://schemas.openxmlformats.org/officeDocument/2006/relationships/footer" Target="footer6.xml"/><Relationship Id="rId19" Type="http://schemas.openxmlformats.org/officeDocument/2006/relationships/header" Target="header9.xml"/><Relationship Id="rId20" Type="http://schemas.openxmlformats.org/officeDocument/2006/relationships/footer" Target="footer7.xml"/><Relationship Id="rId21" Type="http://schemas.openxmlformats.org/officeDocument/2006/relationships/header" Target="header10.xml"/><Relationship Id="rId22" Type="http://schemas.openxmlformats.org/officeDocument/2006/relationships/footer" Target="footer8.xml"/><Relationship Id="rId23" Type="http://schemas.openxmlformats.org/officeDocument/2006/relationships/header" Target="header11.xml"/><Relationship Id="rId24" Type="http://schemas.openxmlformats.org/officeDocument/2006/relationships/footer" Target="footer9.xml"/><Relationship Id="rId25" Type="http://schemas.openxmlformats.org/officeDocument/2006/relationships/header" Target="header12.xml"/><Relationship Id="rId26" Type="http://schemas.openxmlformats.org/officeDocument/2006/relationships/footer" Target="footer10.xml"/><Relationship Id="rId27" Type="http://schemas.openxmlformats.org/officeDocument/2006/relationships/header" Target="header13.xml"/><Relationship Id="rId28" Type="http://schemas.openxmlformats.org/officeDocument/2006/relationships/footer" Target="footer11.xml"/><Relationship Id="rId29" Type="http://schemas.openxmlformats.org/officeDocument/2006/relationships/header" Target="header14.xml"/><Relationship Id="rId30" Type="http://schemas.openxmlformats.org/officeDocument/2006/relationships/footer" Target="footer12.xml"/><Relationship Id="rId31" Type="http://schemas.openxmlformats.org/officeDocument/2006/relationships/header" Target="header15.xml"/><Relationship Id="rId32" Type="http://schemas.openxmlformats.org/officeDocument/2006/relationships/footer" Target="footer13.xml"/><Relationship Id="rId33" Type="http://schemas.openxmlformats.org/officeDocument/2006/relationships/header" Target="header16.xml"/><Relationship Id="rId34" Type="http://schemas.openxmlformats.org/officeDocument/2006/relationships/footer" Target="footer14.xml"/><Relationship Id="rId35" Type="http://schemas.openxmlformats.org/officeDocument/2006/relationships/header" Target="header17.xml"/><Relationship Id="rId36" Type="http://schemas.openxmlformats.org/officeDocument/2006/relationships/footer" Target="footer15.xml"/><Relationship Id="rId37" Type="http://schemas.openxmlformats.org/officeDocument/2006/relationships/header" Target="header18.xml"/><Relationship Id="rId38" Type="http://schemas.openxmlformats.org/officeDocument/2006/relationships/footer" Target="footer16.xml"/><Relationship Id="rId39" Type="http://schemas.openxmlformats.org/officeDocument/2006/relationships/header" Target="header19.xml"/><Relationship Id="rId40" Type="http://schemas.openxmlformats.org/officeDocument/2006/relationships/footer" Target="footer17.xml"/><Relationship Id="rId41" Type="http://schemas.openxmlformats.org/officeDocument/2006/relationships/header" Target="header20.xml"/><Relationship Id="rId42" Type="http://schemas.openxmlformats.org/officeDocument/2006/relationships/footer" Target="footer18.xml"/><Relationship Id="rId43" Type="http://schemas.openxmlformats.org/officeDocument/2006/relationships/header" Target="header21.xml"/><Relationship Id="rId44" Type="http://schemas.openxmlformats.org/officeDocument/2006/relationships/footer" Target="footer19.xml"/><Relationship Id="rId45" Type="http://schemas.openxmlformats.org/officeDocument/2006/relationships/header" Target="header22.xml"/><Relationship Id="rId46" Type="http://schemas.openxmlformats.org/officeDocument/2006/relationships/footer" Target="footer20.xml"/><Relationship Id="rId47" Type="http://schemas.openxmlformats.org/officeDocument/2006/relationships/header" Target="header23.xml"/><Relationship Id="rId48" Type="http://schemas.openxmlformats.org/officeDocument/2006/relationships/footer" Target="footer21.xml"/><Relationship Id="rId49" Type="http://schemas.openxmlformats.org/officeDocument/2006/relationships/header" Target="header24.xml"/><Relationship Id="rId50" Type="http://schemas.openxmlformats.org/officeDocument/2006/relationships/footer" Target="footer22.xml"/><Relationship Id="rId51" Type="http://schemas.openxmlformats.org/officeDocument/2006/relationships/header" Target="header25.xml"/><Relationship Id="rId52" Type="http://schemas.openxmlformats.org/officeDocument/2006/relationships/footer" Target="footer23.xml"/><Relationship Id="rId53" Type="http://schemas.openxmlformats.org/officeDocument/2006/relationships/header" Target="header26.xml"/><Relationship Id="rId54" Type="http://schemas.openxmlformats.org/officeDocument/2006/relationships/footer" Target="footer24.xml"/><Relationship Id="rId55" Type="http://schemas.openxmlformats.org/officeDocument/2006/relationships/header" Target="header27.xml"/><Relationship Id="rId56" Type="http://schemas.openxmlformats.org/officeDocument/2006/relationships/footer" Target="footer25.xml"/><Relationship Id="rId57" Type="http://schemas.openxmlformats.org/officeDocument/2006/relationships/header" Target="header28.xml"/><Relationship Id="rId58" Type="http://schemas.openxmlformats.org/officeDocument/2006/relationships/footer" Target="footer26.xml"/><Relationship Id="rId59" Type="http://schemas.openxmlformats.org/officeDocument/2006/relationships/header" Target="header29.xml"/><Relationship Id="rId60" Type="http://schemas.openxmlformats.org/officeDocument/2006/relationships/footer" Target="footer27.xml"/><Relationship Id="rId61" Type="http://schemas.openxmlformats.org/officeDocument/2006/relationships/header" Target="header30.xml"/><Relationship Id="rId62" Type="http://schemas.openxmlformats.org/officeDocument/2006/relationships/footer" Target="footer28.xml"/><Relationship Id="rId63" Type="http://schemas.openxmlformats.org/officeDocument/2006/relationships/header" Target="header31.xml"/><Relationship Id="rId64" Type="http://schemas.openxmlformats.org/officeDocument/2006/relationships/footer" Target="footer29.xml"/><Relationship Id="rId65" Type="http://schemas.openxmlformats.org/officeDocument/2006/relationships/header" Target="header32.xml"/><Relationship Id="rId66" Type="http://schemas.openxmlformats.org/officeDocument/2006/relationships/footer" Target="footer30.xml"/><Relationship Id="rId67" Type="http://schemas.openxmlformats.org/officeDocument/2006/relationships/header" Target="header33.xml"/><Relationship Id="rId68" Type="http://schemas.openxmlformats.org/officeDocument/2006/relationships/footer" Target="footer31.xml"/><Relationship Id="rId69" Type="http://schemas.openxmlformats.org/officeDocument/2006/relationships/header" Target="header34.xml"/><Relationship Id="rId70" Type="http://schemas.openxmlformats.org/officeDocument/2006/relationships/footer" Target="footer32.xml"/><Relationship Id="rId71" Type="http://schemas.openxmlformats.org/officeDocument/2006/relationships/header" Target="header35.xml"/><Relationship Id="rId72" Type="http://schemas.openxmlformats.org/officeDocument/2006/relationships/footer" Target="footer33.xml"/><Relationship Id="rId73" Type="http://schemas.openxmlformats.org/officeDocument/2006/relationships/header" Target="header36.xml"/><Relationship Id="rId74" Type="http://schemas.openxmlformats.org/officeDocument/2006/relationships/footer" Target="footer34.xml"/><Relationship Id="rId75" Type="http://schemas.openxmlformats.org/officeDocument/2006/relationships/header" Target="header37.xml"/><Relationship Id="rId76" Type="http://schemas.openxmlformats.org/officeDocument/2006/relationships/footer" Target="footer35.xml"/><Relationship Id="rId77" Type="http://schemas.openxmlformats.org/officeDocument/2006/relationships/header" Target="header38.xml"/><Relationship Id="rId78" Type="http://schemas.openxmlformats.org/officeDocument/2006/relationships/footer" Target="footer36.xml"/><Relationship Id="rId79" Type="http://schemas.openxmlformats.org/officeDocument/2006/relationships/header" Target="header39.xml"/><Relationship Id="rId80" Type="http://schemas.openxmlformats.org/officeDocument/2006/relationships/footer" Target="footer37.xml"/><Relationship Id="rId81" Type="http://schemas.openxmlformats.org/officeDocument/2006/relationships/header" Target="header40.xml"/><Relationship Id="rId82" Type="http://schemas.openxmlformats.org/officeDocument/2006/relationships/footer" Target="footer38.xml"/><Relationship Id="rId83" Type="http://schemas.openxmlformats.org/officeDocument/2006/relationships/header" Target="header41.xml"/><Relationship Id="rId84" Type="http://schemas.openxmlformats.org/officeDocument/2006/relationships/footer" Target="footer39.xml"/><Relationship Id="rId85" Type="http://schemas.openxmlformats.org/officeDocument/2006/relationships/header" Target="header42.xml"/><Relationship Id="rId86" Type="http://schemas.openxmlformats.org/officeDocument/2006/relationships/footer" Target="footer40.xml"/><Relationship Id="rId87" Type="http://schemas.openxmlformats.org/officeDocument/2006/relationships/image" Target="media/image1.jpeg"/><Relationship Id="rId88" Type="http://schemas.openxmlformats.org/officeDocument/2006/relationships/image" Target="media/image1.jpeg" TargetMode="External"/><Relationship Id="rId89" Type="http://schemas.openxmlformats.org/officeDocument/2006/relationships/header" Target="header43.xml"/><Relationship Id="rId90" Type="http://schemas.openxmlformats.org/officeDocument/2006/relationships/footer" Target="footer41.xml"/><Relationship Id="rId91" Type="http://schemas.openxmlformats.org/officeDocument/2006/relationships/header" Target="header44.xml"/><Relationship Id="rId92" Type="http://schemas.openxmlformats.org/officeDocument/2006/relationships/footer" Target="footer42.xml"/><Relationship Id="rId93" Type="http://schemas.openxmlformats.org/officeDocument/2006/relationships/header" Target="header45.xml"/><Relationship Id="rId94" Type="http://schemas.openxmlformats.org/officeDocument/2006/relationships/footer" Target="footer43.xml"/><Relationship Id="rId95" Type="http://schemas.openxmlformats.org/officeDocument/2006/relationships/header" Target="header46.xml"/><Relationship Id="rId96" Type="http://schemas.openxmlformats.org/officeDocument/2006/relationships/footer" Target="footer44.xml"/><Relationship Id="rId97" Type="http://schemas.openxmlformats.org/officeDocument/2006/relationships/header" Target="header47.xml"/><Relationship Id="rId98" Type="http://schemas.openxmlformats.org/officeDocument/2006/relationships/footer" Target="footer45.xml"/><Relationship Id="rId99" Type="http://schemas.openxmlformats.org/officeDocument/2006/relationships/header" Target="header48.xml"/><Relationship Id="rId100" Type="http://schemas.openxmlformats.org/officeDocument/2006/relationships/footer" Target="footer46.xml"/><Relationship Id="rId101" Type="http://schemas.openxmlformats.org/officeDocument/2006/relationships/header" Target="header49.xml"/><Relationship Id="rId102" Type="http://schemas.openxmlformats.org/officeDocument/2006/relationships/footer" Target="footer47.xml"/><Relationship Id="rId103" Type="http://schemas.openxmlformats.org/officeDocument/2006/relationships/header" Target="header50.xml"/><Relationship Id="rId104" Type="http://schemas.openxmlformats.org/officeDocument/2006/relationships/footer" Target="footer48.xml"/><Relationship Id="rId105" Type="http://schemas.openxmlformats.org/officeDocument/2006/relationships/header" Target="header51.xml"/><Relationship Id="rId106" Type="http://schemas.openxmlformats.org/officeDocument/2006/relationships/footer" Target="footer49.xml"/><Relationship Id="rId107" Type="http://schemas.openxmlformats.org/officeDocument/2006/relationships/header" Target="header52.xml"/><Relationship Id="rId108" Type="http://schemas.openxmlformats.org/officeDocument/2006/relationships/footer" Target="footer50.xml"/><Relationship Id="rId109" Type="http://schemas.openxmlformats.org/officeDocument/2006/relationships/header" Target="header53.xml"/><Relationship Id="rId110" Type="http://schemas.openxmlformats.org/officeDocument/2006/relationships/footer" Target="footer51.xml"/><Relationship Id="rId111" Type="http://schemas.openxmlformats.org/officeDocument/2006/relationships/header" Target="header54.xml"/><Relationship Id="rId112" Type="http://schemas.openxmlformats.org/officeDocument/2006/relationships/footer" Target="footer52.xml"/><Relationship Id="rId113" Type="http://schemas.openxmlformats.org/officeDocument/2006/relationships/header" Target="header55.xml"/><Relationship Id="rId114" Type="http://schemas.openxmlformats.org/officeDocument/2006/relationships/footer" Target="footer53.xml"/><Relationship Id="rId115" Type="http://schemas.openxmlformats.org/officeDocument/2006/relationships/header" Target="header56.xml"/><Relationship Id="rId116" Type="http://schemas.openxmlformats.org/officeDocument/2006/relationships/footer" Target="footer54.xml"/><Relationship Id="rId117" Type="http://schemas.openxmlformats.org/officeDocument/2006/relationships/header" Target="header57.xml"/><Relationship Id="rId118" Type="http://schemas.openxmlformats.org/officeDocument/2006/relationships/footer" Target="footer55.xml"/><Relationship Id="rId119" Type="http://schemas.openxmlformats.org/officeDocument/2006/relationships/header" Target="header58.xml"/><Relationship Id="rId120" Type="http://schemas.openxmlformats.org/officeDocument/2006/relationships/footer" Target="footer56.xml"/><Relationship Id="rId121" Type="http://schemas.openxmlformats.org/officeDocument/2006/relationships/header" Target="header59.xml"/><Relationship Id="rId122" Type="http://schemas.openxmlformats.org/officeDocument/2006/relationships/footer" Target="footer57.xml"/><Relationship Id="rId123" Type="http://schemas.openxmlformats.org/officeDocument/2006/relationships/header" Target="header60.xml"/><Relationship Id="rId124" Type="http://schemas.openxmlformats.org/officeDocument/2006/relationships/footer" Target="footer58.xml"/><Relationship Id="rId125" Type="http://schemas.openxmlformats.org/officeDocument/2006/relationships/header" Target="header61.xml"/><Relationship Id="rId126" Type="http://schemas.openxmlformats.org/officeDocument/2006/relationships/footer" Target="footer59.xml"/><Relationship Id="rId127" Type="http://schemas.openxmlformats.org/officeDocument/2006/relationships/header" Target="header62.xml"/><Relationship Id="rId128" Type="http://schemas.openxmlformats.org/officeDocument/2006/relationships/footer" Target="footer60.xml"/><Relationship Id="rId129" Type="http://schemas.openxmlformats.org/officeDocument/2006/relationships/header" Target="header63.xml"/><Relationship Id="rId130" Type="http://schemas.openxmlformats.org/officeDocument/2006/relationships/footer" Target="footer61.xml"/><Relationship Id="rId131" Type="http://schemas.openxmlformats.org/officeDocument/2006/relationships/header" Target="header64.xml"/><Relationship Id="rId132" Type="http://schemas.openxmlformats.org/officeDocument/2006/relationships/footer" Target="footer62.xml"/><Relationship Id="rId133" Type="http://schemas.openxmlformats.org/officeDocument/2006/relationships/header" Target="header65.xml"/><Relationship Id="rId134" Type="http://schemas.openxmlformats.org/officeDocument/2006/relationships/footer" Target="footer63.xml"/><Relationship Id="rId135" Type="http://schemas.openxmlformats.org/officeDocument/2006/relationships/header" Target="header66.xml"/><Relationship Id="rId136" Type="http://schemas.openxmlformats.org/officeDocument/2006/relationships/footer" Target="footer64.xml"/><Relationship Id="rId137" Type="http://schemas.openxmlformats.org/officeDocument/2006/relationships/header" Target="header67.xml"/><Relationship Id="rId138" Type="http://schemas.openxmlformats.org/officeDocument/2006/relationships/footer" Target="footer65.xml"/><Relationship Id="rId139" Type="http://schemas.openxmlformats.org/officeDocument/2006/relationships/header" Target="header68.xml"/><Relationship Id="rId140" Type="http://schemas.openxmlformats.org/officeDocument/2006/relationships/footer" Target="footer66.xml"/><Relationship Id="rId141" Type="http://schemas.openxmlformats.org/officeDocument/2006/relationships/header" Target="header69.xml"/><Relationship Id="rId142" Type="http://schemas.openxmlformats.org/officeDocument/2006/relationships/footer" Target="footer67.xml"/><Relationship Id="rId143" Type="http://schemas.openxmlformats.org/officeDocument/2006/relationships/header" Target="header70.xml"/><Relationship Id="rId144" Type="http://schemas.openxmlformats.org/officeDocument/2006/relationships/footer" Target="footer68.xml"/><Relationship Id="rId145" Type="http://schemas.openxmlformats.org/officeDocument/2006/relationships/header" Target="header71.xml"/><Relationship Id="rId146" Type="http://schemas.openxmlformats.org/officeDocument/2006/relationships/footer" Target="footer69.xml"/><Relationship Id="rId147" Type="http://schemas.openxmlformats.org/officeDocument/2006/relationships/header" Target="header72.xml"/><Relationship Id="rId148" Type="http://schemas.openxmlformats.org/officeDocument/2006/relationships/footer" Target="footer70.xml"/><Relationship Id="rId149" Type="http://schemas.openxmlformats.org/officeDocument/2006/relationships/header" Target="header73.xml"/><Relationship Id="rId150" Type="http://schemas.openxmlformats.org/officeDocument/2006/relationships/footer" Target="footer71.xml"/><Relationship Id="rId151" Type="http://schemas.openxmlformats.org/officeDocument/2006/relationships/header" Target="header74.xml"/><Relationship Id="rId152" Type="http://schemas.openxmlformats.org/officeDocument/2006/relationships/footer" Target="footer72.xml"/><Relationship Id="rId153" Type="http://schemas.openxmlformats.org/officeDocument/2006/relationships/header" Target="header75.xml"/><Relationship Id="rId154" Type="http://schemas.openxmlformats.org/officeDocument/2006/relationships/footer" Target="footer73.xml"/><Relationship Id="rId155" Type="http://schemas.openxmlformats.org/officeDocument/2006/relationships/header" Target="header76.xml"/><Relationship Id="rId156" Type="http://schemas.openxmlformats.org/officeDocument/2006/relationships/footer" Target="footer74.xml"/><Relationship Id="rId157" Type="http://schemas.openxmlformats.org/officeDocument/2006/relationships/header" Target="header77.xml"/><Relationship Id="rId158" Type="http://schemas.openxmlformats.org/officeDocument/2006/relationships/footer" Target="footer75.xml"/><Relationship Id="rId159" Type="http://schemas.openxmlformats.org/officeDocument/2006/relationships/header" Target="header78.xml"/><Relationship Id="rId160" Type="http://schemas.openxmlformats.org/officeDocument/2006/relationships/footer" Target="footer76.xml"/><Relationship Id="rId161" Type="http://schemas.openxmlformats.org/officeDocument/2006/relationships/header" Target="header79.xml"/><Relationship Id="rId162" Type="http://schemas.openxmlformats.org/officeDocument/2006/relationships/footer" Target="footer77.xml"/><Relationship Id="rId163" Type="http://schemas.openxmlformats.org/officeDocument/2006/relationships/header" Target="header80.xml"/><Relationship Id="rId164" Type="http://schemas.openxmlformats.org/officeDocument/2006/relationships/footer" Target="footer78.xml"/><Relationship Id="rId165" Type="http://schemas.openxmlformats.org/officeDocument/2006/relationships/header" Target="header81.xml"/><Relationship Id="rId166" Type="http://schemas.openxmlformats.org/officeDocument/2006/relationships/footer" Target="footer79.xml"/><Relationship Id="rId167" Type="http://schemas.openxmlformats.org/officeDocument/2006/relationships/header" Target="header82.xml"/><Relationship Id="rId168" Type="http://schemas.openxmlformats.org/officeDocument/2006/relationships/footer" Target="footer80.xml"/><Relationship Id="rId169" Type="http://schemas.openxmlformats.org/officeDocument/2006/relationships/header" Target="header83.xml"/><Relationship Id="rId170" Type="http://schemas.openxmlformats.org/officeDocument/2006/relationships/footer" Target="footer81.xml"/><Relationship Id="rId171" Type="http://schemas.openxmlformats.org/officeDocument/2006/relationships/header" Target="header84.xml"/><Relationship Id="rId172" Type="http://schemas.openxmlformats.org/officeDocument/2006/relationships/footer" Target="footer82.xml"/><Relationship Id="rId173" Type="http://schemas.openxmlformats.org/officeDocument/2006/relationships/header" Target="header85.xml"/><Relationship Id="rId174" Type="http://schemas.openxmlformats.org/officeDocument/2006/relationships/footer" Target="footer83.xml"/><Relationship Id="rId175" Type="http://schemas.openxmlformats.org/officeDocument/2006/relationships/header" Target="header86.xml"/><Relationship Id="rId176" Type="http://schemas.openxmlformats.org/officeDocument/2006/relationships/footer" Target="footer84.xml"/><Relationship Id="rId177" Type="http://schemas.openxmlformats.org/officeDocument/2006/relationships/header" Target="header87.xml"/><Relationship Id="rId178" Type="http://schemas.openxmlformats.org/officeDocument/2006/relationships/footer" Target="footer85.xml"/><Relationship Id="rId179" Type="http://schemas.openxmlformats.org/officeDocument/2006/relationships/header" Target="header88.xml"/><Relationship Id="rId180" Type="http://schemas.openxmlformats.org/officeDocument/2006/relationships/footer" Target="footer86.xml"/><Relationship Id="rId181" Type="http://schemas.openxmlformats.org/officeDocument/2006/relationships/header" Target="header89.xml"/><Relationship Id="rId182" Type="http://schemas.openxmlformats.org/officeDocument/2006/relationships/footer" Target="footer87.xml"/><Relationship Id="rId183" Type="http://schemas.openxmlformats.org/officeDocument/2006/relationships/header" Target="header90.xml"/><Relationship Id="rId184" Type="http://schemas.openxmlformats.org/officeDocument/2006/relationships/footer" Target="footer88.xml"/><Relationship Id="rId185" Type="http://schemas.openxmlformats.org/officeDocument/2006/relationships/header" Target="header91.xml"/><Relationship Id="rId186" Type="http://schemas.openxmlformats.org/officeDocument/2006/relationships/footer" Target="footer89.xml"/><Relationship Id="rId187" Type="http://schemas.openxmlformats.org/officeDocument/2006/relationships/header" Target="header92.xml"/><Relationship Id="rId188" Type="http://schemas.openxmlformats.org/officeDocument/2006/relationships/footer" Target="footer90.xml"/><Relationship Id="rId189" Type="http://schemas.openxmlformats.org/officeDocument/2006/relationships/header" Target="header93.xml"/><Relationship Id="rId190" Type="http://schemas.openxmlformats.org/officeDocument/2006/relationships/footer" Target="footer91.xml"/><Relationship Id="rId191" Type="http://schemas.openxmlformats.org/officeDocument/2006/relationships/header" Target="header94.xml"/><Relationship Id="rId192" Type="http://schemas.openxmlformats.org/officeDocument/2006/relationships/footer" Target="footer92.xml"/><Relationship Id="rId193" Type="http://schemas.openxmlformats.org/officeDocument/2006/relationships/header" Target="header95.xml"/><Relationship Id="rId194" Type="http://schemas.openxmlformats.org/officeDocument/2006/relationships/footer" Target="footer93.xml"/><Relationship Id="rId195" Type="http://schemas.openxmlformats.org/officeDocument/2006/relationships/header" Target="header96.xml"/><Relationship Id="rId196" Type="http://schemas.openxmlformats.org/officeDocument/2006/relationships/footer" Target="footer94.xml"/><Relationship Id="rId197" Type="http://schemas.openxmlformats.org/officeDocument/2006/relationships/header" Target="header97.xml"/><Relationship Id="rId198" Type="http://schemas.openxmlformats.org/officeDocument/2006/relationships/footer" Target="footer95.xml"/><Relationship Id="rId199" Type="http://schemas.openxmlformats.org/officeDocument/2006/relationships/header" Target="header98.xml"/><Relationship Id="rId200" Type="http://schemas.openxmlformats.org/officeDocument/2006/relationships/footer" Target="footer96.xml"/><Relationship Id="rId201" Type="http://schemas.openxmlformats.org/officeDocument/2006/relationships/header" Target="header99.xml"/><Relationship Id="rId202" Type="http://schemas.openxmlformats.org/officeDocument/2006/relationships/footer" Target="footer97.xml"/><Relationship Id="rId203" Type="http://schemas.openxmlformats.org/officeDocument/2006/relationships/header" Target="header100.xml"/><Relationship Id="rId204" Type="http://schemas.openxmlformats.org/officeDocument/2006/relationships/footer" Target="footer98.xml"/><Relationship Id="rId205" Type="http://schemas.openxmlformats.org/officeDocument/2006/relationships/header" Target="header101.xml"/><Relationship Id="rId206" Type="http://schemas.openxmlformats.org/officeDocument/2006/relationships/footer" Target="footer99.xml"/><Relationship Id="rId207" Type="http://schemas.openxmlformats.org/officeDocument/2006/relationships/header" Target="header102.xml"/><Relationship Id="rId208" Type="http://schemas.openxmlformats.org/officeDocument/2006/relationships/footer" Target="footer100.xml"/><Relationship Id="rId209" Type="http://schemas.openxmlformats.org/officeDocument/2006/relationships/header" Target="header103.xml"/><Relationship Id="rId210" Type="http://schemas.openxmlformats.org/officeDocument/2006/relationships/footer" Target="footer101.xml"/><Relationship Id="rId211" Type="http://schemas.openxmlformats.org/officeDocument/2006/relationships/header" Target="header104.xml"/><Relationship Id="rId212" Type="http://schemas.openxmlformats.org/officeDocument/2006/relationships/footer" Target="footer102.xml"/><Relationship Id="rId213" Type="http://schemas.openxmlformats.org/officeDocument/2006/relationships/header" Target="header105.xml"/><Relationship Id="rId214" Type="http://schemas.openxmlformats.org/officeDocument/2006/relationships/footer" Target="footer103.xml"/><Relationship Id="rId215" Type="http://schemas.openxmlformats.org/officeDocument/2006/relationships/header" Target="header106.xml"/><Relationship Id="rId216" Type="http://schemas.openxmlformats.org/officeDocument/2006/relationships/footer" Target="footer104.xml"/><Relationship Id="rId217" Type="http://schemas.openxmlformats.org/officeDocument/2006/relationships/header" Target="header107.xml"/><Relationship Id="rId218" Type="http://schemas.openxmlformats.org/officeDocument/2006/relationships/footer" Target="footer105.xml"/><Relationship Id="rId219" Type="http://schemas.openxmlformats.org/officeDocument/2006/relationships/header" Target="header108.xml"/><Relationship Id="rId220" Type="http://schemas.openxmlformats.org/officeDocument/2006/relationships/footer" Target="footer106.xml"/><Relationship Id="rId221" Type="http://schemas.openxmlformats.org/officeDocument/2006/relationships/header" Target="header109.xml"/><Relationship Id="rId222" Type="http://schemas.openxmlformats.org/officeDocument/2006/relationships/footer" Target="footer107.xml"/><Relationship Id="rId223" Type="http://schemas.openxmlformats.org/officeDocument/2006/relationships/header" Target="header110.xml"/><Relationship Id="rId224" Type="http://schemas.openxmlformats.org/officeDocument/2006/relationships/footer" Target="footer108.xml"/><Relationship Id="rId225" Type="http://schemas.openxmlformats.org/officeDocument/2006/relationships/header" Target="header111.xml"/><Relationship Id="rId226" Type="http://schemas.openxmlformats.org/officeDocument/2006/relationships/footer" Target="footer109.xml"/><Relationship Id="rId227" Type="http://schemas.openxmlformats.org/officeDocument/2006/relationships/header" Target="header112.xml"/><Relationship Id="rId228" Type="http://schemas.openxmlformats.org/officeDocument/2006/relationships/footer" Target="footer110.xml"/><Relationship Id="rId229" Type="http://schemas.openxmlformats.org/officeDocument/2006/relationships/header" Target="header113.xml"/><Relationship Id="rId230" Type="http://schemas.openxmlformats.org/officeDocument/2006/relationships/footer" Target="footer111.xml"/><Relationship Id="rId231" Type="http://schemas.openxmlformats.org/officeDocument/2006/relationships/header" Target="header114.xml"/><Relationship Id="rId232" Type="http://schemas.openxmlformats.org/officeDocument/2006/relationships/footer" Target="footer112.xml"/><Relationship Id="rId233" Type="http://schemas.openxmlformats.org/officeDocument/2006/relationships/header" Target="header115.xml"/><Relationship Id="rId234" Type="http://schemas.openxmlformats.org/officeDocument/2006/relationships/footer" Target="footer113.xml"/><Relationship Id="rId235" Type="http://schemas.openxmlformats.org/officeDocument/2006/relationships/header" Target="header116.xml"/><Relationship Id="rId236" Type="http://schemas.openxmlformats.org/officeDocument/2006/relationships/footer" Target="footer114.xml"/><Relationship Id="rId237" Type="http://schemas.openxmlformats.org/officeDocument/2006/relationships/header" Target="header117.xml"/><Relationship Id="rId238" Type="http://schemas.openxmlformats.org/officeDocument/2006/relationships/footer" Target="footer115.xml"/><Relationship Id="rId239" Type="http://schemas.openxmlformats.org/officeDocument/2006/relationships/header" Target="header118.xml"/><Relationship Id="rId240" Type="http://schemas.openxmlformats.org/officeDocument/2006/relationships/footer" Target="footer116.xml"/><Relationship Id="rId241" Type="http://schemas.openxmlformats.org/officeDocument/2006/relationships/header" Target="header119.xml"/><Relationship Id="rId242" Type="http://schemas.openxmlformats.org/officeDocument/2006/relationships/footer" Target="footer117.xml"/><Relationship Id="rId243" Type="http://schemas.openxmlformats.org/officeDocument/2006/relationships/header" Target="header120.xml"/><Relationship Id="rId244" Type="http://schemas.openxmlformats.org/officeDocument/2006/relationships/footer" Target="footer118.xml"/><Relationship Id="rId245" Type="http://schemas.openxmlformats.org/officeDocument/2006/relationships/header" Target="header121.xml"/><Relationship Id="rId246" Type="http://schemas.openxmlformats.org/officeDocument/2006/relationships/footer" Target="footer119.xml"/><Relationship Id="rId247" Type="http://schemas.openxmlformats.org/officeDocument/2006/relationships/header" Target="header122.xml"/><Relationship Id="rId248" Type="http://schemas.openxmlformats.org/officeDocument/2006/relationships/footer" Target="footer120.xml"/><Relationship Id="rId249" Type="http://schemas.openxmlformats.org/officeDocument/2006/relationships/header" Target="header123.xml"/><Relationship Id="rId250" Type="http://schemas.openxmlformats.org/officeDocument/2006/relationships/footer" Target="footer121.xml"/><Relationship Id="rId251" Type="http://schemas.openxmlformats.org/officeDocument/2006/relationships/header" Target="header124.xml"/><Relationship Id="rId252" Type="http://schemas.openxmlformats.org/officeDocument/2006/relationships/footer" Target="footer122.xml"/><Relationship Id="rId253" Type="http://schemas.openxmlformats.org/officeDocument/2006/relationships/header" Target="header125.xml"/><Relationship Id="rId254" Type="http://schemas.openxmlformats.org/officeDocument/2006/relationships/footer" Target="footer123.xml"/><Relationship Id="rId255" Type="http://schemas.openxmlformats.org/officeDocument/2006/relationships/header" Target="header126.xml"/><Relationship Id="rId256" Type="http://schemas.openxmlformats.org/officeDocument/2006/relationships/footer" Target="footer124.xml"/><Relationship Id="rId257" Type="http://schemas.openxmlformats.org/officeDocument/2006/relationships/header" Target="header127.xml"/><Relationship Id="rId258" Type="http://schemas.openxmlformats.org/officeDocument/2006/relationships/footer" Target="footer125.xml"/><Relationship Id="rId259" Type="http://schemas.openxmlformats.org/officeDocument/2006/relationships/header" Target="header128.xml"/><Relationship Id="rId260" Type="http://schemas.openxmlformats.org/officeDocument/2006/relationships/footer" Target="footer126.xml"/><Relationship Id="rId261" Type="http://schemas.openxmlformats.org/officeDocument/2006/relationships/header" Target="header129.xml"/><Relationship Id="rId262" Type="http://schemas.openxmlformats.org/officeDocument/2006/relationships/footer" Target="footer127.xml"/><Relationship Id="rId263" Type="http://schemas.openxmlformats.org/officeDocument/2006/relationships/header" Target="header130.xml"/><Relationship Id="rId264" Type="http://schemas.openxmlformats.org/officeDocument/2006/relationships/footer" Target="footer128.xml"/><Relationship Id="rId265" Type="http://schemas.openxmlformats.org/officeDocument/2006/relationships/header" Target="header131.xml"/><Relationship Id="rId266" Type="http://schemas.openxmlformats.org/officeDocument/2006/relationships/footer" Target="footer129.xml"/></Relationships>
</file>

<file path=docProps/core.xml><?xml version="1.0" encoding="utf-8"?>
<cp:coreProperties xmlns:cp="http://schemas.openxmlformats.org/package/2006/metadata/core-properties" xmlns:dc="http://purl.org/dc/elements/1.1/">
  <dc:title>2_财审报告 SN-Report-20161231（加新模板）</dc:title>
  <dc:subject/>
  <dc:creator>China GTS</dc:creator>
  <cp:keywords/>
</cp:coreProperties>
</file>